
<file path=[Content_Types].xml><?xml version="1.0" encoding="utf-8"?>
<Types xmlns="http://schemas.openxmlformats.org/package/2006/content-types">
  <Default Extension="xml" ContentType="application/xml"/>
  <Default Extension="bin" ContentType="application/vnd.openxmlformats-officedocument.oleObject"/>
  <Default Extension="jpeg" ContentType="image/jpeg"/>
  <Default Extension="JPG" ContentType="image/.jpg"/>
  <Default Extension="emf" ContentType="image/x-emf"/>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83CF43">
      <w:pPr>
        <w:rPr>
          <w:rFonts w:ascii="仿宋_GB2312" w:hAnsi="仿宋_GB2312" w:eastAsia="仿宋_GB2312" w:cs="仿宋_GB2312"/>
          <w:color w:val="auto"/>
          <w:sz w:val="36"/>
          <w:szCs w:val="36"/>
        </w:rPr>
      </w:pPr>
      <w:r>
        <w:rPr>
          <w:color w:val="auto"/>
        </w:rPr>
        <w:drawing>
          <wp:inline distT="0" distB="0" distL="0" distR="0">
            <wp:extent cx="2702560" cy="497840"/>
            <wp:effectExtent l="0" t="0" r="2540" b="10160"/>
            <wp:docPr id="1026" name="图片 1"/>
            <wp:cNvGraphicFramePr/>
            <a:graphic xmlns:a="http://schemas.openxmlformats.org/drawingml/2006/main">
              <a:graphicData uri="http://schemas.openxmlformats.org/drawingml/2006/picture">
                <pic:pic xmlns:pic="http://schemas.openxmlformats.org/drawingml/2006/picture">
                  <pic:nvPicPr>
                    <pic:cNvPr id="1026" name="图片 1"/>
                    <pic:cNvPicPr/>
                  </pic:nvPicPr>
                  <pic:blipFill>
                    <a:blip r:embed="rId10" cstate="print"/>
                    <a:srcRect/>
                    <a:stretch>
                      <a:fillRect/>
                    </a:stretch>
                  </pic:blipFill>
                  <pic:spPr>
                    <a:xfrm>
                      <a:off x="0" y="0"/>
                      <a:ext cx="2702560" cy="497840"/>
                    </a:xfrm>
                    <a:prstGeom prst="rect">
                      <a:avLst/>
                    </a:prstGeom>
                    <a:ln>
                      <a:noFill/>
                    </a:ln>
                  </pic:spPr>
                </pic:pic>
              </a:graphicData>
            </a:graphic>
          </wp:inline>
        </w:drawing>
      </w:r>
    </w:p>
    <w:p w14:paraId="2E19AC6A">
      <w:pPr>
        <w:rPr>
          <w:rFonts w:ascii="仿宋_GB2312" w:hAnsi="仿宋_GB2312" w:eastAsia="仿宋_GB2312" w:cs="仿宋_GB2312"/>
          <w:color w:val="auto"/>
          <w:sz w:val="36"/>
          <w:szCs w:val="36"/>
        </w:rPr>
      </w:pPr>
    </w:p>
    <w:p w14:paraId="1A50E997">
      <w:pPr>
        <w:rPr>
          <w:rFonts w:ascii="仿宋_GB2312" w:hAnsi="仿宋_GB2312" w:eastAsia="仿宋_GB2312" w:cs="仿宋_GB2312"/>
          <w:color w:val="auto"/>
          <w:sz w:val="36"/>
          <w:szCs w:val="36"/>
        </w:rPr>
      </w:pPr>
    </w:p>
    <w:p w14:paraId="45E4F7A0">
      <w:pPr>
        <w:rPr>
          <w:rFonts w:ascii="仿宋_GB2312" w:hAnsi="仿宋_GB2312" w:eastAsia="仿宋_GB2312" w:cs="仿宋_GB2312"/>
          <w:color w:val="auto"/>
          <w:sz w:val="36"/>
          <w:szCs w:val="36"/>
        </w:rPr>
      </w:pPr>
    </w:p>
    <w:p w14:paraId="2599CDA6">
      <w:pPr>
        <w:adjustRightInd w:val="0"/>
        <w:snapToGrid w:val="0"/>
        <w:jc w:val="center"/>
        <w:outlineLvl w:val="0"/>
        <w:rPr>
          <w:rFonts w:ascii="方正小标宋_GBK" w:eastAsia="方正小标宋_GBK"/>
          <w:bCs/>
          <w:color w:val="auto"/>
          <w:sz w:val="72"/>
          <w:szCs w:val="72"/>
        </w:rPr>
      </w:pPr>
      <w:r>
        <w:rPr>
          <w:rFonts w:hint="eastAsia" w:ascii="方正小标宋_GBK" w:eastAsia="方正小标宋_GBK"/>
          <w:bCs/>
          <w:color w:val="auto"/>
          <w:sz w:val="72"/>
          <w:szCs w:val="72"/>
        </w:rPr>
        <w:t>建设项目环境影响报告</w:t>
      </w:r>
      <w:r>
        <w:rPr>
          <w:rFonts w:hint="eastAsia" w:ascii="方正小标宋_GBK" w:eastAsia="方正小标宋_GBK"/>
          <w:b w:val="0"/>
          <w:bCs/>
          <w:color w:val="auto"/>
          <w:sz w:val="72"/>
          <w:szCs w:val="72"/>
        </w:rPr>
        <w:t>表</w:t>
      </w:r>
    </w:p>
    <w:p w14:paraId="3B57CB96">
      <w:pPr>
        <w:adjustRightInd w:val="0"/>
        <w:snapToGrid w:val="0"/>
        <w:spacing w:before="192" w:beforeLines="80"/>
        <w:jc w:val="center"/>
        <w:rPr>
          <w:rFonts w:ascii="楷体_GB2312" w:eastAsia="楷体_GB2312"/>
          <w:bCs/>
          <w:color w:val="auto"/>
          <w:sz w:val="48"/>
          <w:szCs w:val="48"/>
        </w:rPr>
      </w:pPr>
      <w:r>
        <w:rPr>
          <w:rFonts w:hint="eastAsia" w:ascii="楷体_GB2312" w:eastAsia="楷体_GB2312"/>
          <w:bCs/>
          <w:color w:val="auto"/>
          <w:sz w:val="48"/>
          <w:szCs w:val="48"/>
        </w:rPr>
        <w:t>（污染影响类）</w:t>
      </w:r>
    </w:p>
    <w:p w14:paraId="4B971EC2">
      <w:pPr>
        <w:ind w:firstLine="1040"/>
        <w:rPr>
          <w:rFonts w:eastAsia="仿宋"/>
          <w:color w:val="auto"/>
          <w:sz w:val="44"/>
          <w:szCs w:val="44"/>
        </w:rPr>
      </w:pPr>
    </w:p>
    <w:p w14:paraId="1A8AF3D3">
      <w:pPr>
        <w:ind w:firstLine="1040"/>
        <w:rPr>
          <w:rFonts w:eastAsia="仿宋"/>
          <w:color w:val="auto"/>
          <w:sz w:val="44"/>
          <w:szCs w:val="44"/>
        </w:rPr>
      </w:pPr>
    </w:p>
    <w:p w14:paraId="738E2F36">
      <w:pPr>
        <w:ind w:firstLine="1040"/>
        <w:rPr>
          <w:rFonts w:eastAsia="仿宋"/>
          <w:color w:val="auto"/>
          <w:sz w:val="44"/>
          <w:szCs w:val="44"/>
        </w:rPr>
      </w:pPr>
    </w:p>
    <w:p w14:paraId="69E60AE7">
      <w:pPr>
        <w:ind w:firstLine="1040"/>
        <w:rPr>
          <w:rFonts w:eastAsia="仿宋"/>
          <w:color w:val="auto"/>
          <w:sz w:val="44"/>
          <w:szCs w:val="44"/>
        </w:rPr>
      </w:pPr>
    </w:p>
    <w:p w14:paraId="6A9809B2">
      <w:pPr>
        <w:keepNext w:val="0"/>
        <w:keepLines w:val="0"/>
        <w:pageBreakBefore w:val="0"/>
        <w:widowControl w:val="0"/>
        <w:kinsoku/>
        <w:wordWrap/>
        <w:overflowPunct/>
        <w:topLinePunct w:val="0"/>
        <w:autoSpaceDE/>
        <w:autoSpaceDN/>
        <w:bidi w:val="0"/>
        <w:adjustRightInd w:val="0"/>
        <w:snapToGrid w:val="0"/>
        <w:spacing w:line="288" w:lineRule="auto"/>
        <w:ind w:left="1620" w:hanging="1620" w:hangingChars="450"/>
        <w:textAlignment w:val="auto"/>
        <w:rPr>
          <w:rFonts w:hint="default" w:eastAsia="仿宋_GB2312"/>
          <w:color w:val="auto"/>
          <w:sz w:val="36"/>
          <w:szCs w:val="36"/>
          <w:u w:val="single"/>
          <w:lang w:val="en-US" w:eastAsia="zh-CN"/>
        </w:rPr>
      </w:pPr>
      <w:r>
        <w:rPr>
          <w:rFonts w:hint="eastAsia" w:eastAsia="仿宋_GB2312"/>
          <w:color w:val="auto"/>
          <w:sz w:val="36"/>
          <w:szCs w:val="36"/>
        </w:rPr>
        <w:t>项目名称</w:t>
      </w:r>
      <w:r>
        <w:rPr>
          <w:rFonts w:hint="eastAsia" w:eastAsia="仿宋_GB2312"/>
          <w:color w:val="auto"/>
          <w:spacing w:val="11"/>
          <w:sz w:val="36"/>
          <w:szCs w:val="36"/>
        </w:rPr>
        <w:t>：</w:t>
      </w:r>
      <w:r>
        <w:rPr>
          <w:rFonts w:hint="eastAsia" w:eastAsia="仿宋_GB2312"/>
          <w:color w:val="auto"/>
          <w:sz w:val="36"/>
          <w:szCs w:val="36"/>
          <w:u w:val="single"/>
          <w:lang w:val="en-US" w:eastAsia="zh-CN"/>
        </w:rPr>
        <w:t xml:space="preserve">年产1万套10吨/小时及以上饲料加工成套设备的关键部件项目                        </w:t>
      </w:r>
    </w:p>
    <w:p w14:paraId="156BCD8C">
      <w:pPr>
        <w:adjustRightInd w:val="0"/>
        <w:snapToGrid w:val="0"/>
        <w:spacing w:line="288" w:lineRule="auto"/>
        <w:rPr>
          <w:rFonts w:hint="default" w:eastAsia="仿宋_GB2312"/>
          <w:color w:val="auto"/>
          <w:sz w:val="36"/>
          <w:szCs w:val="36"/>
          <w:u w:val="single"/>
          <w:lang w:val="en-US" w:eastAsia="zh-CN"/>
        </w:rPr>
      </w:pPr>
      <w:r>
        <w:rPr>
          <w:rFonts w:hint="eastAsia" w:eastAsia="仿宋_GB2312"/>
          <w:color w:val="auto"/>
          <w:sz w:val="36"/>
          <w:szCs w:val="36"/>
        </w:rPr>
        <w:t>建设单位（盖章）：</w:t>
      </w:r>
      <w:r>
        <w:rPr>
          <w:rFonts w:hint="eastAsia" w:eastAsia="仿宋_GB2312"/>
          <w:color w:val="auto"/>
          <w:sz w:val="36"/>
          <w:szCs w:val="36"/>
          <w:u w:val="single"/>
          <w:lang w:val="en-US" w:eastAsia="zh-CN"/>
        </w:rPr>
        <w:t xml:space="preserve">  希彼埃姆机械（南通）有限公司 </w:t>
      </w:r>
    </w:p>
    <w:p w14:paraId="1F034619">
      <w:pPr>
        <w:adjustRightInd w:val="0"/>
        <w:snapToGrid w:val="0"/>
        <w:spacing w:line="288" w:lineRule="auto"/>
        <w:rPr>
          <w:rFonts w:hint="default" w:eastAsia="仿宋_GB2312"/>
          <w:color w:val="auto"/>
          <w:sz w:val="10"/>
          <w:szCs w:val="10"/>
          <w:u w:val="single"/>
          <w:lang w:val="en-US"/>
        </w:rPr>
      </w:pPr>
      <w:r>
        <w:rPr>
          <w:rFonts w:hint="eastAsia" w:eastAsia="仿宋_GB2312"/>
          <w:color w:val="auto"/>
          <w:sz w:val="36"/>
          <w:szCs w:val="36"/>
        </w:rPr>
        <w:t>编制日期：</w:t>
      </w:r>
      <w:r>
        <w:rPr>
          <w:rFonts w:hint="eastAsia" w:eastAsia="仿宋_GB2312"/>
          <w:color w:val="auto"/>
          <w:sz w:val="36"/>
          <w:szCs w:val="36"/>
          <w:u w:val="single"/>
        </w:rPr>
        <w:t xml:space="preserve">              </w:t>
      </w:r>
      <w:r>
        <w:rPr>
          <w:rFonts w:hint="eastAsia" w:eastAsia="仿宋_GB2312"/>
          <w:color w:val="auto"/>
          <w:sz w:val="36"/>
          <w:szCs w:val="36"/>
          <w:u w:val="single"/>
          <w:lang w:val="en-US" w:eastAsia="zh-CN"/>
        </w:rPr>
        <w:t xml:space="preserve"> 2026年5月</w:t>
      </w:r>
      <w:r>
        <w:rPr>
          <w:rFonts w:hint="eastAsia" w:eastAsia="仿宋_GB2312"/>
          <w:color w:val="auto"/>
          <w:sz w:val="36"/>
          <w:szCs w:val="36"/>
          <w:u w:val="single"/>
        </w:rPr>
        <w:t xml:space="preserve">   </w:t>
      </w:r>
      <w:r>
        <w:rPr>
          <w:rFonts w:hint="eastAsia" w:eastAsia="仿宋_GB2312"/>
          <w:color w:val="auto"/>
          <w:spacing w:val="-6"/>
          <w:sz w:val="36"/>
          <w:szCs w:val="36"/>
          <w:u w:val="single"/>
        </w:rPr>
        <w:t xml:space="preserve">        </w:t>
      </w:r>
      <w:r>
        <w:rPr>
          <w:rFonts w:hint="eastAsia" w:eastAsia="仿宋_GB2312"/>
          <w:color w:val="auto"/>
          <w:spacing w:val="-6"/>
          <w:sz w:val="36"/>
          <w:szCs w:val="36"/>
          <w:u w:val="single"/>
          <w:lang w:val="en-US" w:eastAsia="zh-CN"/>
        </w:rPr>
        <w:t xml:space="preserve">  </w:t>
      </w:r>
    </w:p>
    <w:p w14:paraId="12C9C420">
      <w:pPr>
        <w:adjustRightInd w:val="0"/>
        <w:snapToGrid w:val="0"/>
        <w:spacing w:line="288" w:lineRule="auto"/>
        <w:rPr>
          <w:rFonts w:ascii="仿宋_GB2312" w:eastAsia="仿宋_GB2312"/>
          <w:color w:val="auto"/>
          <w:sz w:val="36"/>
          <w:szCs w:val="36"/>
        </w:rPr>
      </w:pPr>
    </w:p>
    <w:p w14:paraId="0CDA4D29">
      <w:pPr>
        <w:adjustRightInd w:val="0"/>
        <w:snapToGrid w:val="0"/>
        <w:spacing w:line="288" w:lineRule="auto"/>
        <w:ind w:firstLine="1040"/>
        <w:rPr>
          <w:rFonts w:ascii="仿宋_GB2312" w:eastAsia="仿宋_GB2312"/>
          <w:color w:val="auto"/>
          <w:sz w:val="36"/>
          <w:szCs w:val="36"/>
        </w:rPr>
      </w:pPr>
    </w:p>
    <w:p w14:paraId="34A43818">
      <w:pPr>
        <w:adjustRightInd w:val="0"/>
        <w:snapToGrid w:val="0"/>
        <w:spacing w:line="288" w:lineRule="auto"/>
        <w:ind w:firstLine="1040"/>
        <w:rPr>
          <w:rFonts w:ascii="仿宋_GB2312" w:eastAsia="仿宋_GB2312"/>
          <w:color w:val="auto"/>
          <w:sz w:val="36"/>
          <w:szCs w:val="36"/>
        </w:rPr>
      </w:pPr>
    </w:p>
    <w:p w14:paraId="117677BB">
      <w:pPr>
        <w:adjustRightInd w:val="0"/>
        <w:snapToGrid w:val="0"/>
        <w:spacing w:line="288" w:lineRule="auto"/>
        <w:jc w:val="center"/>
        <w:rPr>
          <w:rFonts w:ascii="楷体_GB2312" w:eastAsia="楷体_GB2312"/>
          <w:color w:val="auto"/>
          <w:sz w:val="36"/>
          <w:szCs w:val="36"/>
        </w:rPr>
      </w:pPr>
    </w:p>
    <w:p w14:paraId="0E65EEF6">
      <w:pPr>
        <w:adjustRightInd w:val="0"/>
        <w:snapToGrid w:val="0"/>
        <w:spacing w:line="288" w:lineRule="auto"/>
        <w:jc w:val="center"/>
        <w:rPr>
          <w:rFonts w:ascii="楷体_GB2312" w:eastAsia="楷体_GB2312"/>
          <w:color w:val="auto"/>
          <w:sz w:val="36"/>
          <w:szCs w:val="36"/>
        </w:rPr>
      </w:pPr>
    </w:p>
    <w:p w14:paraId="18C7BBD3">
      <w:pPr>
        <w:adjustRightInd w:val="0"/>
        <w:snapToGrid w:val="0"/>
        <w:spacing w:line="288" w:lineRule="auto"/>
        <w:jc w:val="center"/>
        <w:rPr>
          <w:rFonts w:ascii="楷体_GB2312" w:eastAsia="楷体_GB2312"/>
          <w:color w:val="auto"/>
          <w:sz w:val="36"/>
          <w:szCs w:val="36"/>
        </w:rPr>
      </w:pPr>
    </w:p>
    <w:p w14:paraId="61449E55">
      <w:pPr>
        <w:adjustRightInd w:val="0"/>
        <w:snapToGrid w:val="0"/>
        <w:spacing w:line="288" w:lineRule="auto"/>
        <w:jc w:val="center"/>
        <w:rPr>
          <w:rFonts w:ascii="楷体_GB2312" w:eastAsia="楷体_GB2312"/>
          <w:color w:val="auto"/>
          <w:sz w:val="36"/>
          <w:szCs w:val="36"/>
        </w:rPr>
      </w:pPr>
    </w:p>
    <w:p w14:paraId="0DE63877">
      <w:pPr>
        <w:adjustRightInd w:val="0"/>
        <w:snapToGrid w:val="0"/>
        <w:spacing w:line="288" w:lineRule="auto"/>
        <w:jc w:val="center"/>
        <w:rPr>
          <w:rFonts w:ascii="楷体_GB2312" w:eastAsia="楷体_GB2312"/>
          <w:color w:val="auto"/>
          <w:sz w:val="36"/>
          <w:szCs w:val="36"/>
        </w:rPr>
      </w:pPr>
      <w:r>
        <w:rPr>
          <w:rFonts w:hint="eastAsia" w:ascii="楷体_GB2312" w:eastAsia="楷体_GB2312"/>
          <w:color w:val="auto"/>
          <w:sz w:val="36"/>
          <w:szCs w:val="36"/>
        </w:rPr>
        <w:t>中华人民共和国生态环境部制</w:t>
      </w:r>
    </w:p>
    <w:p w14:paraId="420A4E3D">
      <w:pPr>
        <w:adjustRightInd w:val="0"/>
        <w:snapToGrid w:val="0"/>
        <w:spacing w:line="288" w:lineRule="auto"/>
        <w:ind w:firstLine="1040"/>
        <w:rPr>
          <w:rFonts w:ascii="仿宋_GB2312" w:eastAsia="仿宋_GB2312"/>
          <w:color w:val="auto"/>
          <w:sz w:val="36"/>
          <w:szCs w:val="36"/>
        </w:rPr>
        <w:sectPr>
          <w:footerReference r:id="rId3" w:type="default"/>
          <w:footerReference r:id="rId4" w:type="even"/>
          <w:pgSz w:w="11906" w:h="16838"/>
          <w:pgMar w:top="1701" w:right="1531" w:bottom="1701" w:left="1531" w:header="851" w:footer="1077" w:gutter="0"/>
          <w:pgBorders>
            <w:top w:val="none" w:sz="0" w:space="0"/>
            <w:left w:val="none" w:sz="0" w:space="0"/>
            <w:bottom w:val="none" w:sz="0" w:space="0"/>
            <w:right w:val="none" w:sz="0" w:space="0"/>
          </w:pgBorders>
          <w:pgNumType w:start="3"/>
          <w:cols w:space="720" w:num="1"/>
          <w:docGrid w:linePitch="312" w:charSpace="0"/>
        </w:sectPr>
      </w:pPr>
    </w:p>
    <w:p w14:paraId="39A46372">
      <w:pPr>
        <w:pStyle w:val="22"/>
        <w:jc w:val="center"/>
        <w:outlineLvl w:val="0"/>
        <w:rPr>
          <w:rFonts w:ascii="黑体" w:hAnsi="黑体" w:eastAsia="黑体"/>
          <w:snapToGrid w:val="0"/>
          <w:color w:val="auto"/>
          <w:sz w:val="30"/>
          <w:szCs w:val="30"/>
        </w:rPr>
      </w:pPr>
      <w:bookmarkStart w:id="0" w:name="PageNo100020001"/>
      <w:bookmarkStart w:id="1" w:name="PageNo100290028"/>
      <w:r>
        <w:rPr>
          <w:rFonts w:hint="eastAsia" w:ascii="黑体" w:hAnsi="黑体" w:eastAsia="黑体"/>
          <w:snapToGrid w:val="0"/>
          <w:color w:val="auto"/>
          <w:sz w:val="30"/>
          <w:szCs w:val="30"/>
        </w:rPr>
        <w:t>一</w:t>
      </w:r>
      <w:bookmarkEnd w:id="0"/>
      <w:r>
        <w:rPr>
          <w:rFonts w:hint="eastAsia" w:ascii="黑体" w:hAnsi="黑体" w:eastAsia="黑体"/>
          <w:snapToGrid w:val="0"/>
          <w:color w:val="auto"/>
          <w:sz w:val="30"/>
          <w:szCs w:val="30"/>
        </w:rPr>
        <w:t>、建设项目基本情况</w:t>
      </w:r>
    </w:p>
    <w:tbl>
      <w:tblPr>
        <w:tblStyle w:val="26"/>
        <w:tblW w:w="887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1201"/>
        <w:gridCol w:w="2122"/>
        <w:gridCol w:w="1416"/>
        <w:gridCol w:w="4131"/>
      </w:tblGrid>
      <w:tr w14:paraId="7AB181A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9" w:hRule="atLeast"/>
          <w:jc w:val="center"/>
        </w:trPr>
        <w:tc>
          <w:tcPr>
            <w:tcW w:w="1201" w:type="dxa"/>
            <w:tcMar>
              <w:top w:w="16" w:type="dxa"/>
              <w:left w:w="16" w:type="dxa"/>
              <w:right w:w="16" w:type="dxa"/>
            </w:tcMar>
            <w:vAlign w:val="center"/>
          </w:tcPr>
          <w:p w14:paraId="5C40458A">
            <w:pPr>
              <w:adjustRightInd w:val="0"/>
              <w:snapToGrid w:val="0"/>
              <w:jc w:val="center"/>
              <w:rPr>
                <w:color w:val="auto"/>
                <w:sz w:val="24"/>
                <w:szCs w:val="24"/>
              </w:rPr>
            </w:pPr>
            <w:r>
              <w:rPr>
                <w:color w:val="auto"/>
                <w:sz w:val="24"/>
                <w:szCs w:val="24"/>
              </w:rPr>
              <w:t>建设项目名称</w:t>
            </w:r>
          </w:p>
        </w:tc>
        <w:tc>
          <w:tcPr>
            <w:tcW w:w="7669" w:type="dxa"/>
            <w:gridSpan w:val="3"/>
            <w:vAlign w:val="center"/>
          </w:tcPr>
          <w:p w14:paraId="09A1FC47">
            <w:pPr>
              <w:adjustRightInd w:val="0"/>
              <w:snapToGrid w:val="0"/>
              <w:jc w:val="center"/>
              <w:rPr>
                <w:color w:val="auto"/>
                <w:sz w:val="24"/>
                <w:szCs w:val="24"/>
              </w:rPr>
            </w:pPr>
            <w:r>
              <w:rPr>
                <w:rFonts w:hint="eastAsia"/>
                <w:color w:val="auto"/>
                <w:sz w:val="24"/>
                <w:szCs w:val="24"/>
              </w:rPr>
              <w:t>年产1万套10吨/小时及以上饲料加工成套设备的关键部件项目</w:t>
            </w:r>
          </w:p>
        </w:tc>
      </w:tr>
      <w:tr w14:paraId="0D58A98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51" w:hRule="atLeast"/>
          <w:jc w:val="center"/>
        </w:trPr>
        <w:tc>
          <w:tcPr>
            <w:tcW w:w="1201" w:type="dxa"/>
            <w:tcMar>
              <w:top w:w="16" w:type="dxa"/>
              <w:left w:w="16" w:type="dxa"/>
              <w:right w:w="16" w:type="dxa"/>
            </w:tcMar>
            <w:vAlign w:val="center"/>
          </w:tcPr>
          <w:p w14:paraId="11DBCA66">
            <w:pPr>
              <w:adjustRightInd w:val="0"/>
              <w:snapToGrid w:val="0"/>
              <w:jc w:val="center"/>
              <w:rPr>
                <w:color w:val="auto"/>
                <w:sz w:val="24"/>
                <w:szCs w:val="24"/>
              </w:rPr>
            </w:pPr>
            <w:r>
              <w:rPr>
                <w:color w:val="auto"/>
                <w:sz w:val="24"/>
                <w:szCs w:val="24"/>
              </w:rPr>
              <w:t>项目代码</w:t>
            </w:r>
          </w:p>
        </w:tc>
        <w:tc>
          <w:tcPr>
            <w:tcW w:w="7669" w:type="dxa"/>
            <w:gridSpan w:val="3"/>
            <w:vAlign w:val="center"/>
          </w:tcPr>
          <w:p w14:paraId="59E80AE4">
            <w:pPr>
              <w:adjustRightInd w:val="0"/>
              <w:snapToGrid w:val="0"/>
              <w:jc w:val="center"/>
              <w:rPr>
                <w:rFonts w:hint="default" w:eastAsia="宋体"/>
                <w:color w:val="auto"/>
                <w:sz w:val="24"/>
                <w:szCs w:val="24"/>
                <w:lang w:val="en-US" w:eastAsia="zh-CN"/>
              </w:rPr>
            </w:pPr>
            <w:r>
              <w:rPr>
                <w:rFonts w:hint="eastAsia"/>
                <w:color w:val="auto"/>
                <w:sz w:val="24"/>
                <w:szCs w:val="24"/>
              </w:rPr>
              <w:t>2508-320666-89-01-150100</w:t>
            </w:r>
          </w:p>
        </w:tc>
      </w:tr>
      <w:tr w14:paraId="5996108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201" w:type="dxa"/>
            <w:tcMar>
              <w:top w:w="16" w:type="dxa"/>
              <w:left w:w="16" w:type="dxa"/>
              <w:right w:w="16" w:type="dxa"/>
            </w:tcMar>
            <w:vAlign w:val="center"/>
          </w:tcPr>
          <w:p w14:paraId="30147195">
            <w:pPr>
              <w:adjustRightInd w:val="0"/>
              <w:snapToGrid w:val="0"/>
              <w:jc w:val="center"/>
              <w:rPr>
                <w:color w:val="auto"/>
                <w:sz w:val="24"/>
                <w:szCs w:val="24"/>
              </w:rPr>
            </w:pPr>
            <w:r>
              <w:rPr>
                <w:color w:val="auto"/>
                <w:sz w:val="24"/>
                <w:szCs w:val="24"/>
              </w:rPr>
              <w:t>建设单位联系人</w:t>
            </w:r>
          </w:p>
        </w:tc>
        <w:tc>
          <w:tcPr>
            <w:tcW w:w="2122" w:type="dxa"/>
            <w:vAlign w:val="center"/>
          </w:tcPr>
          <w:p w14:paraId="2969F3A2">
            <w:pPr>
              <w:adjustRightInd w:val="0"/>
              <w:snapToGrid w:val="0"/>
              <w:jc w:val="center"/>
              <w:rPr>
                <w:rFonts w:hint="default" w:eastAsia="宋体"/>
                <w:color w:val="auto"/>
                <w:sz w:val="24"/>
                <w:szCs w:val="24"/>
                <w:lang w:val="en-US" w:eastAsia="zh-CN"/>
              </w:rPr>
            </w:pPr>
            <w:r>
              <w:rPr>
                <w:rFonts w:hint="eastAsia"/>
                <w:color w:val="auto"/>
                <w:sz w:val="24"/>
                <w:szCs w:val="24"/>
                <w:lang w:val="en-US" w:eastAsia="zh-CN"/>
              </w:rPr>
              <w:t>/</w:t>
            </w:r>
          </w:p>
        </w:tc>
        <w:tc>
          <w:tcPr>
            <w:tcW w:w="1416" w:type="dxa"/>
            <w:vAlign w:val="center"/>
          </w:tcPr>
          <w:p w14:paraId="1371A03D">
            <w:pPr>
              <w:adjustRightInd w:val="0"/>
              <w:snapToGrid w:val="0"/>
              <w:jc w:val="center"/>
              <w:rPr>
                <w:color w:val="auto"/>
                <w:sz w:val="24"/>
                <w:szCs w:val="24"/>
              </w:rPr>
            </w:pPr>
            <w:r>
              <w:rPr>
                <w:color w:val="auto"/>
                <w:sz w:val="24"/>
                <w:szCs w:val="24"/>
              </w:rPr>
              <w:t>联系方式</w:t>
            </w:r>
          </w:p>
        </w:tc>
        <w:tc>
          <w:tcPr>
            <w:tcW w:w="4131" w:type="dxa"/>
            <w:vAlign w:val="center"/>
          </w:tcPr>
          <w:p w14:paraId="167F829D">
            <w:pPr>
              <w:adjustRightInd w:val="0"/>
              <w:snapToGrid w:val="0"/>
              <w:jc w:val="center"/>
              <w:rPr>
                <w:rFonts w:hint="default" w:eastAsia="宋体"/>
                <w:color w:val="auto"/>
                <w:sz w:val="24"/>
                <w:szCs w:val="24"/>
                <w:lang w:val="en-US" w:eastAsia="zh-CN"/>
              </w:rPr>
            </w:pPr>
            <w:r>
              <w:rPr>
                <w:rFonts w:hint="eastAsia"/>
                <w:color w:val="auto"/>
                <w:sz w:val="24"/>
                <w:szCs w:val="24"/>
                <w:lang w:val="en-US" w:eastAsia="zh-CN"/>
              </w:rPr>
              <w:t>/</w:t>
            </w:r>
          </w:p>
        </w:tc>
      </w:tr>
      <w:tr w14:paraId="5BE92A8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1201" w:type="dxa"/>
            <w:tcMar>
              <w:top w:w="16" w:type="dxa"/>
              <w:left w:w="16" w:type="dxa"/>
              <w:right w:w="16" w:type="dxa"/>
            </w:tcMar>
            <w:vAlign w:val="center"/>
          </w:tcPr>
          <w:p w14:paraId="53E4083F">
            <w:pPr>
              <w:adjustRightInd w:val="0"/>
              <w:snapToGrid w:val="0"/>
              <w:jc w:val="center"/>
              <w:rPr>
                <w:color w:val="auto"/>
                <w:sz w:val="24"/>
                <w:szCs w:val="24"/>
              </w:rPr>
            </w:pPr>
            <w:r>
              <w:rPr>
                <w:color w:val="auto"/>
                <w:sz w:val="24"/>
                <w:szCs w:val="24"/>
              </w:rPr>
              <w:t>建设地点</w:t>
            </w:r>
          </w:p>
        </w:tc>
        <w:tc>
          <w:tcPr>
            <w:tcW w:w="7669" w:type="dxa"/>
            <w:gridSpan w:val="3"/>
            <w:vAlign w:val="center"/>
          </w:tcPr>
          <w:p w14:paraId="449012C7">
            <w:pPr>
              <w:adjustRightInd w:val="0"/>
              <w:snapToGrid w:val="0"/>
              <w:jc w:val="center"/>
              <w:rPr>
                <w:rFonts w:hint="default" w:eastAsia="宋体"/>
                <w:color w:val="auto"/>
                <w:sz w:val="24"/>
                <w:szCs w:val="24"/>
                <w:lang w:val="en-US" w:eastAsia="zh-CN"/>
              </w:rPr>
            </w:pPr>
            <w:r>
              <w:rPr>
                <w:rFonts w:hint="default" w:eastAsia="宋体"/>
                <w:color w:val="auto"/>
                <w:sz w:val="24"/>
                <w:szCs w:val="24"/>
                <w:lang w:val="en-US" w:eastAsia="zh-CN"/>
              </w:rPr>
              <w:t>江苏省</w:t>
            </w:r>
            <w:r>
              <w:rPr>
                <w:rFonts w:hint="eastAsia"/>
                <w:color w:val="auto"/>
                <w:sz w:val="24"/>
                <w:szCs w:val="24"/>
                <w:lang w:val="en-US" w:eastAsia="zh-CN"/>
              </w:rPr>
              <w:t>海安高新技术产业开发区田庄村18组</w:t>
            </w:r>
            <w:r>
              <w:rPr>
                <w:rFonts w:hint="eastAsia"/>
                <w:color w:val="auto"/>
                <w:sz w:val="24"/>
                <w:szCs w:val="24"/>
              </w:rPr>
              <w:t>（西园大道99号）</w:t>
            </w:r>
          </w:p>
        </w:tc>
      </w:tr>
      <w:tr w14:paraId="76B5841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62" w:hRule="atLeast"/>
          <w:jc w:val="center"/>
        </w:trPr>
        <w:tc>
          <w:tcPr>
            <w:tcW w:w="1201" w:type="dxa"/>
            <w:tcMar>
              <w:top w:w="16" w:type="dxa"/>
              <w:left w:w="16" w:type="dxa"/>
              <w:right w:w="16" w:type="dxa"/>
            </w:tcMar>
            <w:vAlign w:val="center"/>
          </w:tcPr>
          <w:p w14:paraId="2A7B0563">
            <w:pPr>
              <w:adjustRightInd w:val="0"/>
              <w:snapToGrid w:val="0"/>
              <w:jc w:val="center"/>
              <w:rPr>
                <w:color w:val="auto"/>
                <w:sz w:val="24"/>
                <w:szCs w:val="24"/>
              </w:rPr>
            </w:pPr>
            <w:r>
              <w:rPr>
                <w:color w:val="auto"/>
                <w:sz w:val="24"/>
                <w:szCs w:val="24"/>
              </w:rPr>
              <w:t>地理坐标</w:t>
            </w:r>
          </w:p>
        </w:tc>
        <w:tc>
          <w:tcPr>
            <w:tcW w:w="7669" w:type="dxa"/>
            <w:gridSpan w:val="3"/>
            <w:vAlign w:val="center"/>
          </w:tcPr>
          <w:p w14:paraId="3E212EF6">
            <w:pPr>
              <w:jc w:val="center"/>
              <w:rPr>
                <w:color w:val="auto"/>
                <w:sz w:val="24"/>
                <w:szCs w:val="24"/>
              </w:rPr>
            </w:pPr>
            <w:r>
              <w:rPr>
                <w:color w:val="auto"/>
                <w:sz w:val="24"/>
                <w:szCs w:val="24"/>
              </w:rPr>
              <w:t>（</w:t>
            </w:r>
            <w:r>
              <w:rPr>
                <w:color w:val="auto"/>
                <w:sz w:val="24"/>
                <w:szCs w:val="24"/>
                <w:u w:val="single"/>
              </w:rPr>
              <w:t xml:space="preserve">  120  </w:t>
            </w:r>
            <w:r>
              <w:rPr>
                <w:color w:val="auto"/>
                <w:sz w:val="24"/>
                <w:szCs w:val="24"/>
              </w:rPr>
              <w:t>度</w:t>
            </w:r>
            <w:r>
              <w:rPr>
                <w:color w:val="auto"/>
                <w:sz w:val="24"/>
                <w:szCs w:val="24"/>
                <w:u w:val="single"/>
              </w:rPr>
              <w:t xml:space="preserve">  </w:t>
            </w:r>
            <w:r>
              <w:rPr>
                <w:rFonts w:hint="eastAsia"/>
                <w:color w:val="auto"/>
                <w:sz w:val="24"/>
                <w:szCs w:val="24"/>
                <w:u w:val="single"/>
                <w:lang w:val="en-US" w:eastAsia="zh-CN"/>
              </w:rPr>
              <w:t>25</w:t>
            </w:r>
            <w:r>
              <w:rPr>
                <w:rFonts w:hint="eastAsia"/>
                <w:color w:val="auto"/>
                <w:sz w:val="24"/>
                <w:szCs w:val="24"/>
                <w:u w:val="single"/>
              </w:rPr>
              <w:t xml:space="preserve"> </w:t>
            </w:r>
            <w:r>
              <w:rPr>
                <w:color w:val="auto"/>
                <w:sz w:val="24"/>
                <w:szCs w:val="24"/>
                <w:u w:val="single"/>
              </w:rPr>
              <w:t xml:space="preserve"> </w:t>
            </w:r>
            <w:r>
              <w:rPr>
                <w:color w:val="auto"/>
                <w:sz w:val="24"/>
                <w:szCs w:val="24"/>
              </w:rPr>
              <w:t>分</w:t>
            </w:r>
            <w:r>
              <w:rPr>
                <w:color w:val="auto"/>
                <w:sz w:val="24"/>
                <w:szCs w:val="24"/>
                <w:u w:val="single"/>
              </w:rPr>
              <w:t xml:space="preserve"> </w:t>
            </w:r>
            <w:r>
              <w:rPr>
                <w:rFonts w:hint="eastAsia"/>
                <w:color w:val="auto"/>
                <w:sz w:val="24"/>
                <w:szCs w:val="24"/>
                <w:u w:val="single"/>
              </w:rPr>
              <w:t>9.386</w:t>
            </w:r>
            <w:r>
              <w:rPr>
                <w:color w:val="auto"/>
                <w:sz w:val="24"/>
                <w:szCs w:val="24"/>
                <w:u w:val="single"/>
              </w:rPr>
              <w:t xml:space="preserve"> </w:t>
            </w:r>
            <w:r>
              <w:rPr>
                <w:color w:val="auto"/>
                <w:sz w:val="24"/>
                <w:szCs w:val="24"/>
              </w:rPr>
              <w:t>秒，</w:t>
            </w:r>
            <w:r>
              <w:rPr>
                <w:color w:val="auto"/>
                <w:sz w:val="24"/>
                <w:szCs w:val="24"/>
                <w:u w:val="single"/>
              </w:rPr>
              <w:t xml:space="preserve">  32</w:t>
            </w:r>
            <w:r>
              <w:rPr>
                <w:rFonts w:hint="eastAsia"/>
                <w:color w:val="auto"/>
                <w:sz w:val="24"/>
                <w:szCs w:val="24"/>
                <w:u w:val="single"/>
              </w:rPr>
              <w:t xml:space="preserve"> </w:t>
            </w:r>
            <w:r>
              <w:rPr>
                <w:color w:val="auto"/>
                <w:sz w:val="24"/>
                <w:szCs w:val="24"/>
                <w:u w:val="single"/>
              </w:rPr>
              <w:t xml:space="preserve"> </w:t>
            </w:r>
            <w:r>
              <w:rPr>
                <w:color w:val="auto"/>
                <w:sz w:val="24"/>
                <w:szCs w:val="24"/>
              </w:rPr>
              <w:t>度</w:t>
            </w:r>
            <w:r>
              <w:rPr>
                <w:color w:val="auto"/>
                <w:sz w:val="24"/>
                <w:szCs w:val="24"/>
                <w:u w:val="single"/>
              </w:rPr>
              <w:t xml:space="preserve">  </w:t>
            </w:r>
            <w:r>
              <w:rPr>
                <w:rFonts w:hint="eastAsia"/>
                <w:color w:val="auto"/>
                <w:sz w:val="24"/>
                <w:szCs w:val="24"/>
                <w:u w:val="single"/>
                <w:lang w:val="en-US" w:eastAsia="zh-CN"/>
              </w:rPr>
              <w:t>29</w:t>
            </w:r>
            <w:r>
              <w:rPr>
                <w:color w:val="auto"/>
                <w:sz w:val="24"/>
                <w:szCs w:val="24"/>
                <w:u w:val="single"/>
              </w:rPr>
              <w:t xml:space="preserve">  </w:t>
            </w:r>
            <w:r>
              <w:rPr>
                <w:color w:val="auto"/>
                <w:sz w:val="24"/>
                <w:szCs w:val="24"/>
              </w:rPr>
              <w:t>分</w:t>
            </w:r>
            <w:r>
              <w:rPr>
                <w:color w:val="auto"/>
                <w:sz w:val="24"/>
                <w:szCs w:val="24"/>
                <w:u w:val="single"/>
              </w:rPr>
              <w:t xml:space="preserve">  </w:t>
            </w:r>
            <w:r>
              <w:rPr>
                <w:rFonts w:hint="eastAsia"/>
                <w:color w:val="auto"/>
                <w:sz w:val="24"/>
                <w:szCs w:val="24"/>
                <w:u w:val="single"/>
              </w:rPr>
              <w:t>53.102</w:t>
            </w:r>
            <w:r>
              <w:rPr>
                <w:color w:val="auto"/>
                <w:sz w:val="24"/>
                <w:szCs w:val="24"/>
                <w:u w:val="single"/>
              </w:rPr>
              <w:t xml:space="preserve">  </w:t>
            </w:r>
            <w:r>
              <w:rPr>
                <w:color w:val="auto"/>
                <w:sz w:val="24"/>
                <w:szCs w:val="24"/>
              </w:rPr>
              <w:t>秒）</w:t>
            </w:r>
          </w:p>
        </w:tc>
      </w:tr>
      <w:tr w14:paraId="57F03E1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17" w:hRule="atLeast"/>
          <w:jc w:val="center"/>
        </w:trPr>
        <w:tc>
          <w:tcPr>
            <w:tcW w:w="1201" w:type="dxa"/>
            <w:tcMar>
              <w:top w:w="16" w:type="dxa"/>
              <w:left w:w="16" w:type="dxa"/>
              <w:right w:w="16" w:type="dxa"/>
            </w:tcMar>
            <w:vAlign w:val="center"/>
          </w:tcPr>
          <w:p w14:paraId="64F3EE97">
            <w:pPr>
              <w:adjustRightInd w:val="0"/>
              <w:snapToGrid w:val="0"/>
              <w:jc w:val="center"/>
              <w:rPr>
                <w:color w:val="auto"/>
                <w:sz w:val="24"/>
                <w:szCs w:val="24"/>
              </w:rPr>
            </w:pPr>
            <w:r>
              <w:rPr>
                <w:color w:val="auto"/>
                <w:sz w:val="24"/>
                <w:szCs w:val="24"/>
              </w:rPr>
              <w:t>国民经济</w:t>
            </w:r>
          </w:p>
          <w:p w14:paraId="5FAF4781">
            <w:pPr>
              <w:adjustRightInd w:val="0"/>
              <w:snapToGrid w:val="0"/>
              <w:jc w:val="center"/>
              <w:rPr>
                <w:color w:val="auto"/>
                <w:sz w:val="24"/>
                <w:szCs w:val="24"/>
              </w:rPr>
            </w:pPr>
            <w:r>
              <w:rPr>
                <w:color w:val="auto"/>
                <w:sz w:val="24"/>
                <w:szCs w:val="24"/>
              </w:rPr>
              <w:t>行业类别</w:t>
            </w:r>
          </w:p>
        </w:tc>
        <w:tc>
          <w:tcPr>
            <w:tcW w:w="2122" w:type="dxa"/>
            <w:vAlign w:val="center"/>
          </w:tcPr>
          <w:p w14:paraId="3157A45D">
            <w:pPr>
              <w:pStyle w:val="9"/>
              <w:rPr>
                <w:rFonts w:hint="default" w:eastAsia="宋体"/>
                <w:color w:val="auto"/>
                <w:sz w:val="24"/>
                <w:szCs w:val="24"/>
                <w:lang w:val="en-US" w:eastAsia="zh-CN"/>
              </w:rPr>
            </w:pPr>
            <w:r>
              <w:rPr>
                <w:rFonts w:hint="eastAsia"/>
                <w:color w:val="auto"/>
                <w:sz w:val="24"/>
                <w:szCs w:val="24"/>
                <w:lang w:val="en-US" w:eastAsia="zh-CN"/>
              </w:rPr>
              <w:t>[C3534]饲料生产专用设备制造</w:t>
            </w:r>
          </w:p>
        </w:tc>
        <w:tc>
          <w:tcPr>
            <w:tcW w:w="1416" w:type="dxa"/>
            <w:vAlign w:val="center"/>
          </w:tcPr>
          <w:p w14:paraId="424AE0A1">
            <w:pPr>
              <w:adjustRightInd w:val="0"/>
              <w:snapToGrid w:val="0"/>
              <w:jc w:val="center"/>
              <w:rPr>
                <w:color w:val="auto"/>
                <w:sz w:val="24"/>
                <w:szCs w:val="24"/>
              </w:rPr>
            </w:pPr>
            <w:r>
              <w:rPr>
                <w:color w:val="auto"/>
                <w:sz w:val="24"/>
                <w:szCs w:val="24"/>
              </w:rPr>
              <w:t>建设项目</w:t>
            </w:r>
          </w:p>
          <w:p w14:paraId="57CDE3DA">
            <w:pPr>
              <w:adjustRightInd w:val="0"/>
              <w:snapToGrid w:val="0"/>
              <w:jc w:val="center"/>
              <w:rPr>
                <w:color w:val="auto"/>
                <w:sz w:val="24"/>
                <w:szCs w:val="24"/>
              </w:rPr>
            </w:pPr>
            <w:r>
              <w:rPr>
                <w:color w:val="auto"/>
                <w:sz w:val="24"/>
                <w:szCs w:val="24"/>
              </w:rPr>
              <w:t>行业类别</w:t>
            </w:r>
          </w:p>
        </w:tc>
        <w:tc>
          <w:tcPr>
            <w:tcW w:w="4131" w:type="dxa"/>
            <w:vAlign w:val="center"/>
          </w:tcPr>
          <w:p w14:paraId="049B4DD4">
            <w:pPr>
              <w:adjustRightInd w:val="0"/>
              <w:snapToGrid w:val="0"/>
              <w:jc w:val="left"/>
              <w:rPr>
                <w:rFonts w:hint="eastAsia"/>
                <w:color w:val="auto"/>
                <w:lang w:val="en-US" w:eastAsia="zh-CN"/>
              </w:rPr>
            </w:pPr>
            <w:r>
              <w:rPr>
                <w:rFonts w:hint="eastAsia"/>
                <w:color w:val="auto"/>
                <w:sz w:val="24"/>
                <w:szCs w:val="24"/>
                <w:lang w:eastAsia="zh-CN"/>
              </w:rPr>
              <w:t>“三十二、专用设备制造业 35”</w:t>
            </w:r>
            <w:r>
              <w:rPr>
                <w:rFonts w:hint="eastAsia"/>
                <w:color w:val="auto"/>
                <w:sz w:val="24"/>
                <w:szCs w:val="24"/>
                <w:lang w:val="en-US" w:eastAsia="zh-CN"/>
              </w:rPr>
              <w:t>中“食品、饮料、烟草及饲料生产专用设备制造 353”中的“其他”</w:t>
            </w:r>
          </w:p>
        </w:tc>
      </w:tr>
      <w:tr w14:paraId="5833653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201" w:type="dxa"/>
            <w:tcMar>
              <w:top w:w="16" w:type="dxa"/>
              <w:left w:w="16" w:type="dxa"/>
              <w:right w:w="16" w:type="dxa"/>
            </w:tcMar>
            <w:vAlign w:val="center"/>
          </w:tcPr>
          <w:p w14:paraId="03EC3DE7">
            <w:pPr>
              <w:adjustRightInd w:val="0"/>
              <w:snapToGrid w:val="0"/>
              <w:jc w:val="center"/>
              <w:rPr>
                <w:color w:val="auto"/>
                <w:sz w:val="24"/>
                <w:szCs w:val="24"/>
              </w:rPr>
            </w:pPr>
            <w:r>
              <w:rPr>
                <w:color w:val="auto"/>
                <w:sz w:val="24"/>
                <w:szCs w:val="24"/>
              </w:rPr>
              <w:t>建设性质</w:t>
            </w:r>
          </w:p>
        </w:tc>
        <w:tc>
          <w:tcPr>
            <w:tcW w:w="2122" w:type="dxa"/>
            <w:vAlign w:val="center"/>
          </w:tcPr>
          <w:p w14:paraId="60E4951E">
            <w:pPr>
              <w:jc w:val="left"/>
              <w:rPr>
                <w:color w:val="auto"/>
                <w:sz w:val="24"/>
                <w:szCs w:val="24"/>
              </w:rPr>
            </w:pPr>
            <w:r>
              <w:rPr>
                <w:rFonts w:hint="eastAsia"/>
                <w:color w:val="auto"/>
                <w:sz w:val="24"/>
                <w:szCs w:val="24"/>
                <w:lang w:eastAsia="zh-CN"/>
              </w:rPr>
              <w:t>□</w:t>
            </w:r>
            <w:r>
              <w:rPr>
                <w:color w:val="auto"/>
                <w:sz w:val="24"/>
                <w:szCs w:val="24"/>
              </w:rPr>
              <w:t>新建（迁建）</w:t>
            </w:r>
          </w:p>
          <w:p w14:paraId="00DE846E">
            <w:pPr>
              <w:jc w:val="left"/>
              <w:rPr>
                <w:color w:val="auto"/>
                <w:sz w:val="24"/>
                <w:szCs w:val="24"/>
              </w:rPr>
            </w:pPr>
            <w:r>
              <w:rPr>
                <w:rFonts w:hint="eastAsia"/>
                <w:color w:val="auto"/>
                <w:sz w:val="24"/>
                <w:szCs w:val="24"/>
                <w:lang w:eastAsia="zh-CN"/>
              </w:rPr>
              <w:t>□</w:t>
            </w:r>
            <w:r>
              <w:rPr>
                <w:color w:val="auto"/>
                <w:sz w:val="24"/>
                <w:szCs w:val="24"/>
              </w:rPr>
              <w:t>改建</w:t>
            </w:r>
          </w:p>
          <w:p w14:paraId="371CA5A7">
            <w:pPr>
              <w:jc w:val="left"/>
              <w:rPr>
                <w:color w:val="auto"/>
                <w:sz w:val="24"/>
                <w:szCs w:val="24"/>
              </w:rPr>
            </w:pPr>
            <w:r>
              <w:rPr>
                <w:rFonts w:hint="eastAsia"/>
                <w:color w:val="auto"/>
                <w:sz w:val="24"/>
                <w:szCs w:val="24"/>
                <w:lang w:eastAsia="zh-CN"/>
              </w:rPr>
              <w:t>☑</w:t>
            </w:r>
            <w:r>
              <w:rPr>
                <w:color w:val="auto"/>
                <w:sz w:val="24"/>
                <w:szCs w:val="24"/>
              </w:rPr>
              <w:t>扩建</w:t>
            </w:r>
          </w:p>
          <w:p w14:paraId="7D6A2753">
            <w:pPr>
              <w:jc w:val="left"/>
              <w:rPr>
                <w:color w:val="auto"/>
                <w:sz w:val="24"/>
                <w:szCs w:val="24"/>
              </w:rPr>
            </w:pPr>
            <w:r>
              <w:rPr>
                <w:rFonts w:hint="eastAsia"/>
                <w:color w:val="auto"/>
                <w:sz w:val="24"/>
                <w:szCs w:val="24"/>
                <w:lang w:eastAsia="zh-CN"/>
              </w:rPr>
              <w:t>□</w:t>
            </w:r>
            <w:r>
              <w:rPr>
                <w:color w:val="auto"/>
                <w:sz w:val="24"/>
                <w:szCs w:val="24"/>
              </w:rPr>
              <w:t>技术改造</w:t>
            </w:r>
          </w:p>
        </w:tc>
        <w:tc>
          <w:tcPr>
            <w:tcW w:w="1416" w:type="dxa"/>
            <w:vAlign w:val="center"/>
          </w:tcPr>
          <w:p w14:paraId="2A688330">
            <w:pPr>
              <w:adjustRightInd w:val="0"/>
              <w:snapToGrid w:val="0"/>
              <w:jc w:val="center"/>
              <w:rPr>
                <w:color w:val="auto"/>
                <w:sz w:val="24"/>
                <w:szCs w:val="24"/>
              </w:rPr>
            </w:pPr>
            <w:r>
              <w:rPr>
                <w:color w:val="auto"/>
                <w:sz w:val="24"/>
                <w:szCs w:val="24"/>
              </w:rPr>
              <w:t>建设项目</w:t>
            </w:r>
          </w:p>
          <w:p w14:paraId="33A746B0">
            <w:pPr>
              <w:adjustRightInd w:val="0"/>
              <w:snapToGrid w:val="0"/>
              <w:jc w:val="center"/>
              <w:rPr>
                <w:color w:val="auto"/>
                <w:sz w:val="24"/>
                <w:szCs w:val="24"/>
              </w:rPr>
            </w:pPr>
            <w:r>
              <w:rPr>
                <w:color w:val="auto"/>
                <w:sz w:val="24"/>
                <w:szCs w:val="24"/>
              </w:rPr>
              <w:t>申报情形</w:t>
            </w:r>
          </w:p>
        </w:tc>
        <w:tc>
          <w:tcPr>
            <w:tcW w:w="4131" w:type="dxa"/>
            <w:vAlign w:val="center"/>
          </w:tcPr>
          <w:p w14:paraId="3E769FB6">
            <w:pPr>
              <w:jc w:val="left"/>
              <w:rPr>
                <w:color w:val="auto"/>
                <w:sz w:val="24"/>
                <w:szCs w:val="24"/>
              </w:rPr>
            </w:pPr>
            <w:r>
              <w:rPr>
                <w:color w:val="auto"/>
                <w:sz w:val="24"/>
                <w:szCs w:val="24"/>
              </w:rPr>
              <w:t>√首次申报项目</w:t>
            </w:r>
          </w:p>
          <w:p w14:paraId="0A19399A">
            <w:pPr>
              <w:jc w:val="left"/>
              <w:rPr>
                <w:color w:val="auto"/>
                <w:sz w:val="24"/>
                <w:szCs w:val="24"/>
              </w:rPr>
            </w:pPr>
            <w:r>
              <w:rPr>
                <w:color w:val="auto"/>
                <w:sz w:val="24"/>
                <w:szCs w:val="24"/>
              </w:rPr>
              <w:t>□不予批准后再次申报项目</w:t>
            </w:r>
          </w:p>
          <w:p w14:paraId="042ED328">
            <w:pPr>
              <w:jc w:val="left"/>
              <w:rPr>
                <w:color w:val="auto"/>
                <w:sz w:val="24"/>
                <w:szCs w:val="24"/>
              </w:rPr>
            </w:pPr>
            <w:r>
              <w:rPr>
                <w:color w:val="auto"/>
                <w:sz w:val="24"/>
                <w:szCs w:val="24"/>
              </w:rPr>
              <w:t>□超五年重新审核项目</w:t>
            </w:r>
          </w:p>
          <w:p w14:paraId="49E1B779">
            <w:pPr>
              <w:jc w:val="left"/>
              <w:rPr>
                <w:color w:val="auto"/>
                <w:sz w:val="24"/>
                <w:szCs w:val="24"/>
              </w:rPr>
            </w:pPr>
            <w:r>
              <w:rPr>
                <w:color w:val="auto"/>
                <w:sz w:val="24"/>
                <w:szCs w:val="24"/>
              </w:rPr>
              <w:t>□重大变动重新报批项目</w:t>
            </w:r>
          </w:p>
        </w:tc>
      </w:tr>
      <w:tr w14:paraId="1AB48CC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201" w:type="dxa"/>
            <w:tcMar>
              <w:top w:w="16" w:type="dxa"/>
              <w:left w:w="16" w:type="dxa"/>
              <w:right w:w="16" w:type="dxa"/>
            </w:tcMar>
            <w:vAlign w:val="center"/>
          </w:tcPr>
          <w:p w14:paraId="69437D2A">
            <w:pPr>
              <w:adjustRightInd w:val="0"/>
              <w:snapToGrid w:val="0"/>
              <w:jc w:val="center"/>
              <w:rPr>
                <w:color w:val="auto"/>
                <w:sz w:val="24"/>
                <w:szCs w:val="24"/>
              </w:rPr>
            </w:pPr>
            <w:r>
              <w:rPr>
                <w:color w:val="auto"/>
                <w:sz w:val="24"/>
                <w:szCs w:val="24"/>
              </w:rPr>
              <w:t>项目审批（核准/</w:t>
            </w:r>
          </w:p>
          <w:p w14:paraId="03B4025A">
            <w:pPr>
              <w:adjustRightInd w:val="0"/>
              <w:snapToGrid w:val="0"/>
              <w:jc w:val="center"/>
              <w:rPr>
                <w:color w:val="auto"/>
                <w:sz w:val="24"/>
                <w:szCs w:val="24"/>
              </w:rPr>
            </w:pPr>
            <w:r>
              <w:rPr>
                <w:color w:val="auto"/>
                <w:sz w:val="24"/>
                <w:szCs w:val="24"/>
              </w:rPr>
              <w:t>备案）部门（选填）</w:t>
            </w:r>
          </w:p>
        </w:tc>
        <w:tc>
          <w:tcPr>
            <w:tcW w:w="2122" w:type="dxa"/>
            <w:vAlign w:val="center"/>
          </w:tcPr>
          <w:p w14:paraId="34108FE9">
            <w:pPr>
              <w:adjustRightInd w:val="0"/>
              <w:snapToGrid w:val="0"/>
              <w:jc w:val="center"/>
              <w:rPr>
                <w:rFonts w:hint="default" w:eastAsia="宋体"/>
                <w:color w:val="auto"/>
                <w:sz w:val="24"/>
                <w:szCs w:val="24"/>
                <w:lang w:val="en-US" w:eastAsia="zh-CN"/>
              </w:rPr>
            </w:pPr>
            <w:r>
              <w:rPr>
                <w:rFonts w:hint="default" w:eastAsia="宋体"/>
                <w:color w:val="auto"/>
                <w:sz w:val="24"/>
                <w:szCs w:val="24"/>
                <w:lang w:val="en-US" w:eastAsia="zh-CN"/>
              </w:rPr>
              <w:t>江苏省海安高新技术产业开发区管理委员会</w:t>
            </w:r>
          </w:p>
        </w:tc>
        <w:tc>
          <w:tcPr>
            <w:tcW w:w="1416" w:type="dxa"/>
            <w:vAlign w:val="center"/>
          </w:tcPr>
          <w:p w14:paraId="76C43F0B">
            <w:pPr>
              <w:adjustRightInd w:val="0"/>
              <w:snapToGrid w:val="0"/>
              <w:jc w:val="center"/>
              <w:rPr>
                <w:color w:val="auto"/>
                <w:sz w:val="24"/>
                <w:szCs w:val="24"/>
              </w:rPr>
            </w:pPr>
            <w:r>
              <w:rPr>
                <w:color w:val="auto"/>
                <w:sz w:val="24"/>
                <w:szCs w:val="24"/>
              </w:rPr>
              <w:t>项目审批（核准/</w:t>
            </w:r>
          </w:p>
          <w:p w14:paraId="650A91BC">
            <w:pPr>
              <w:adjustRightInd w:val="0"/>
              <w:snapToGrid w:val="0"/>
              <w:jc w:val="center"/>
              <w:rPr>
                <w:color w:val="auto"/>
                <w:sz w:val="24"/>
                <w:szCs w:val="24"/>
              </w:rPr>
            </w:pPr>
            <w:r>
              <w:rPr>
                <w:color w:val="auto"/>
                <w:sz w:val="24"/>
                <w:szCs w:val="24"/>
              </w:rPr>
              <w:t>备案）文号（选填）</w:t>
            </w:r>
          </w:p>
        </w:tc>
        <w:tc>
          <w:tcPr>
            <w:tcW w:w="4131" w:type="dxa"/>
            <w:vAlign w:val="center"/>
          </w:tcPr>
          <w:p w14:paraId="5A7B67C9">
            <w:pPr>
              <w:jc w:val="center"/>
              <w:rPr>
                <w:rFonts w:hint="default" w:eastAsia="宋体"/>
                <w:color w:val="auto"/>
                <w:sz w:val="24"/>
                <w:szCs w:val="24"/>
                <w:lang w:val="en-US" w:eastAsia="zh-CN"/>
              </w:rPr>
            </w:pPr>
            <w:r>
              <w:rPr>
                <w:rFonts w:hint="default" w:eastAsia="宋体"/>
                <w:color w:val="auto"/>
                <w:sz w:val="24"/>
                <w:szCs w:val="24"/>
                <w:lang w:val="en-US" w:eastAsia="zh-CN"/>
              </w:rPr>
              <w:t>海高行审备〔202</w:t>
            </w:r>
            <w:r>
              <w:rPr>
                <w:rFonts w:hint="eastAsia"/>
                <w:color w:val="auto"/>
                <w:sz w:val="24"/>
                <w:szCs w:val="24"/>
                <w:lang w:val="en-US" w:eastAsia="zh-CN"/>
              </w:rPr>
              <w:t>6</w:t>
            </w:r>
            <w:r>
              <w:rPr>
                <w:rFonts w:hint="default" w:eastAsia="宋体"/>
                <w:color w:val="auto"/>
                <w:sz w:val="24"/>
                <w:szCs w:val="24"/>
                <w:lang w:val="en-US" w:eastAsia="zh-CN"/>
              </w:rPr>
              <w:t>〕</w:t>
            </w:r>
            <w:r>
              <w:rPr>
                <w:rFonts w:hint="eastAsia"/>
                <w:color w:val="auto"/>
                <w:sz w:val="24"/>
                <w:szCs w:val="24"/>
                <w:lang w:val="en-US" w:eastAsia="zh-CN"/>
              </w:rPr>
              <w:t>44</w:t>
            </w:r>
            <w:r>
              <w:rPr>
                <w:rFonts w:hint="default" w:eastAsia="宋体"/>
                <w:color w:val="auto"/>
                <w:sz w:val="24"/>
                <w:szCs w:val="24"/>
                <w:lang w:val="en-US" w:eastAsia="zh-CN"/>
              </w:rPr>
              <w:t>号</w:t>
            </w:r>
          </w:p>
        </w:tc>
      </w:tr>
      <w:tr w14:paraId="53A419D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201" w:type="dxa"/>
            <w:tcMar>
              <w:top w:w="16" w:type="dxa"/>
              <w:left w:w="16" w:type="dxa"/>
              <w:right w:w="16" w:type="dxa"/>
            </w:tcMar>
            <w:vAlign w:val="center"/>
          </w:tcPr>
          <w:p w14:paraId="359AF437">
            <w:pPr>
              <w:adjustRightInd w:val="0"/>
              <w:snapToGrid w:val="0"/>
              <w:jc w:val="center"/>
              <w:rPr>
                <w:color w:val="auto"/>
                <w:sz w:val="24"/>
                <w:szCs w:val="24"/>
              </w:rPr>
            </w:pPr>
            <w:r>
              <w:rPr>
                <w:color w:val="auto"/>
                <w:sz w:val="24"/>
                <w:szCs w:val="24"/>
              </w:rPr>
              <w:t>总投资（万元）</w:t>
            </w:r>
          </w:p>
        </w:tc>
        <w:tc>
          <w:tcPr>
            <w:tcW w:w="2122" w:type="dxa"/>
            <w:vAlign w:val="center"/>
          </w:tcPr>
          <w:p w14:paraId="3404D725">
            <w:pPr>
              <w:adjustRightInd w:val="0"/>
              <w:snapToGrid w:val="0"/>
              <w:jc w:val="center"/>
              <w:rPr>
                <w:rFonts w:hint="default" w:eastAsia="宋体"/>
                <w:color w:val="auto"/>
                <w:sz w:val="24"/>
                <w:szCs w:val="24"/>
                <w:lang w:val="en-US" w:eastAsia="zh-CN"/>
              </w:rPr>
            </w:pPr>
            <w:r>
              <w:rPr>
                <w:rFonts w:hint="eastAsia"/>
                <w:color w:val="auto"/>
                <w:sz w:val="24"/>
                <w:szCs w:val="24"/>
                <w:lang w:val="en-US" w:eastAsia="zh-CN"/>
              </w:rPr>
              <w:t>5000</w:t>
            </w:r>
          </w:p>
        </w:tc>
        <w:tc>
          <w:tcPr>
            <w:tcW w:w="1416" w:type="dxa"/>
            <w:tcMar>
              <w:top w:w="16" w:type="dxa"/>
              <w:left w:w="16" w:type="dxa"/>
              <w:right w:w="16" w:type="dxa"/>
            </w:tcMar>
            <w:vAlign w:val="center"/>
          </w:tcPr>
          <w:p w14:paraId="6DA56CFD">
            <w:pPr>
              <w:adjustRightInd w:val="0"/>
              <w:snapToGrid w:val="0"/>
              <w:jc w:val="center"/>
              <w:rPr>
                <w:color w:val="auto"/>
                <w:sz w:val="24"/>
                <w:szCs w:val="24"/>
              </w:rPr>
            </w:pPr>
            <w:r>
              <w:rPr>
                <w:color w:val="auto"/>
                <w:sz w:val="24"/>
                <w:szCs w:val="24"/>
              </w:rPr>
              <w:t>环保投资（万元）</w:t>
            </w:r>
          </w:p>
        </w:tc>
        <w:tc>
          <w:tcPr>
            <w:tcW w:w="4131" w:type="dxa"/>
            <w:vAlign w:val="center"/>
          </w:tcPr>
          <w:p w14:paraId="2174CE88">
            <w:pPr>
              <w:adjustRightInd w:val="0"/>
              <w:snapToGrid w:val="0"/>
              <w:jc w:val="center"/>
              <w:rPr>
                <w:rFonts w:hint="default" w:eastAsia="宋体"/>
                <w:color w:val="auto"/>
                <w:sz w:val="24"/>
                <w:szCs w:val="24"/>
                <w:lang w:val="en-US" w:eastAsia="zh-CN"/>
              </w:rPr>
            </w:pPr>
            <w:r>
              <w:rPr>
                <w:rFonts w:hint="eastAsia"/>
                <w:color w:val="auto"/>
                <w:sz w:val="24"/>
                <w:szCs w:val="24"/>
                <w:lang w:val="en-US" w:eastAsia="zh-CN"/>
              </w:rPr>
              <w:t>60</w:t>
            </w:r>
          </w:p>
        </w:tc>
      </w:tr>
      <w:tr w14:paraId="2173861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201" w:type="dxa"/>
            <w:tcMar>
              <w:top w:w="16" w:type="dxa"/>
              <w:left w:w="16" w:type="dxa"/>
              <w:right w:w="16" w:type="dxa"/>
            </w:tcMar>
            <w:vAlign w:val="center"/>
          </w:tcPr>
          <w:p w14:paraId="774FCD0C">
            <w:pPr>
              <w:adjustRightInd w:val="0"/>
              <w:snapToGrid w:val="0"/>
              <w:jc w:val="center"/>
              <w:rPr>
                <w:color w:val="auto"/>
                <w:sz w:val="24"/>
                <w:szCs w:val="24"/>
              </w:rPr>
            </w:pPr>
            <w:r>
              <w:rPr>
                <w:color w:val="auto"/>
                <w:sz w:val="24"/>
                <w:szCs w:val="24"/>
              </w:rPr>
              <w:t>环保投资占比（%）</w:t>
            </w:r>
          </w:p>
        </w:tc>
        <w:tc>
          <w:tcPr>
            <w:tcW w:w="2122" w:type="dxa"/>
            <w:vAlign w:val="center"/>
          </w:tcPr>
          <w:p w14:paraId="10AE8D53">
            <w:pPr>
              <w:adjustRightInd w:val="0"/>
              <w:snapToGrid w:val="0"/>
              <w:jc w:val="center"/>
              <w:rPr>
                <w:rFonts w:hint="default" w:eastAsia="宋体"/>
                <w:color w:val="auto"/>
                <w:sz w:val="24"/>
                <w:szCs w:val="24"/>
                <w:lang w:val="en-US" w:eastAsia="zh-CN"/>
              </w:rPr>
            </w:pPr>
            <w:r>
              <w:rPr>
                <w:rFonts w:hint="eastAsia"/>
                <w:color w:val="auto"/>
                <w:sz w:val="24"/>
                <w:szCs w:val="24"/>
                <w:lang w:val="en-US" w:eastAsia="zh-CN"/>
              </w:rPr>
              <w:t>1.2</w:t>
            </w:r>
          </w:p>
        </w:tc>
        <w:tc>
          <w:tcPr>
            <w:tcW w:w="1416" w:type="dxa"/>
            <w:tcMar>
              <w:top w:w="16" w:type="dxa"/>
              <w:left w:w="16" w:type="dxa"/>
              <w:right w:w="16" w:type="dxa"/>
            </w:tcMar>
            <w:vAlign w:val="center"/>
          </w:tcPr>
          <w:p w14:paraId="03EEC314">
            <w:pPr>
              <w:adjustRightInd w:val="0"/>
              <w:snapToGrid w:val="0"/>
              <w:jc w:val="center"/>
              <w:rPr>
                <w:color w:val="auto"/>
                <w:sz w:val="24"/>
                <w:szCs w:val="24"/>
              </w:rPr>
            </w:pPr>
            <w:r>
              <w:rPr>
                <w:color w:val="auto"/>
                <w:sz w:val="24"/>
                <w:szCs w:val="24"/>
              </w:rPr>
              <w:t>施工工期</w:t>
            </w:r>
          </w:p>
        </w:tc>
        <w:tc>
          <w:tcPr>
            <w:tcW w:w="4131" w:type="dxa"/>
            <w:vAlign w:val="center"/>
          </w:tcPr>
          <w:p w14:paraId="1D119F2A">
            <w:pPr>
              <w:adjustRightInd w:val="0"/>
              <w:snapToGrid w:val="0"/>
              <w:jc w:val="center"/>
              <w:rPr>
                <w:color w:val="auto"/>
                <w:sz w:val="24"/>
                <w:szCs w:val="24"/>
              </w:rPr>
            </w:pPr>
            <w:r>
              <w:rPr>
                <w:rFonts w:hint="eastAsia"/>
                <w:color w:val="auto"/>
                <w:sz w:val="24"/>
                <w:szCs w:val="24"/>
                <w:lang w:val="en-US" w:eastAsia="zh-CN"/>
              </w:rPr>
              <w:t>3</w:t>
            </w:r>
            <w:r>
              <w:rPr>
                <w:color w:val="auto"/>
                <w:sz w:val="24"/>
                <w:szCs w:val="24"/>
              </w:rPr>
              <w:t>个月</w:t>
            </w:r>
          </w:p>
        </w:tc>
      </w:tr>
      <w:tr w14:paraId="2658462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201" w:type="dxa"/>
            <w:tcMar>
              <w:top w:w="16" w:type="dxa"/>
              <w:left w:w="16" w:type="dxa"/>
              <w:right w:w="16" w:type="dxa"/>
            </w:tcMar>
            <w:vAlign w:val="center"/>
          </w:tcPr>
          <w:p w14:paraId="1E96B69B">
            <w:pPr>
              <w:adjustRightInd w:val="0"/>
              <w:snapToGrid w:val="0"/>
              <w:jc w:val="center"/>
              <w:rPr>
                <w:color w:val="auto"/>
                <w:sz w:val="24"/>
                <w:szCs w:val="24"/>
              </w:rPr>
            </w:pPr>
            <w:r>
              <w:rPr>
                <w:color w:val="auto"/>
                <w:sz w:val="24"/>
                <w:szCs w:val="24"/>
              </w:rPr>
              <w:t>是否开工建设</w:t>
            </w:r>
          </w:p>
        </w:tc>
        <w:tc>
          <w:tcPr>
            <w:tcW w:w="2122" w:type="dxa"/>
            <w:vAlign w:val="center"/>
          </w:tcPr>
          <w:p w14:paraId="61E3D6FB">
            <w:pPr>
              <w:adjustRightInd w:val="0"/>
              <w:snapToGrid w:val="0"/>
              <w:rPr>
                <w:color w:val="auto"/>
                <w:sz w:val="24"/>
                <w:szCs w:val="24"/>
              </w:rPr>
            </w:pPr>
            <w:r>
              <w:rPr>
                <w:color w:val="auto"/>
                <w:sz w:val="24"/>
                <w:szCs w:val="24"/>
              </w:rPr>
              <w:t>√否</w:t>
            </w:r>
          </w:p>
          <w:p w14:paraId="64972B81">
            <w:pPr>
              <w:adjustRightInd w:val="0"/>
              <w:snapToGrid w:val="0"/>
              <w:rPr>
                <w:color w:val="auto"/>
                <w:sz w:val="24"/>
                <w:szCs w:val="24"/>
              </w:rPr>
            </w:pPr>
            <w:r>
              <w:rPr>
                <w:color w:val="auto"/>
                <w:sz w:val="24"/>
                <w:szCs w:val="24"/>
              </w:rPr>
              <w:sym w:font="Wingdings 2" w:char="00A3"/>
            </w:r>
            <w:r>
              <w:rPr>
                <w:color w:val="auto"/>
                <w:sz w:val="24"/>
                <w:szCs w:val="24"/>
              </w:rPr>
              <w:t>是：</w:t>
            </w:r>
            <w:r>
              <w:rPr>
                <w:color w:val="auto"/>
                <w:sz w:val="24"/>
                <w:szCs w:val="24"/>
                <w:u w:val="single"/>
              </w:rPr>
              <w:t xml:space="preserve">             </w:t>
            </w:r>
          </w:p>
        </w:tc>
        <w:tc>
          <w:tcPr>
            <w:tcW w:w="1416" w:type="dxa"/>
            <w:tcMar>
              <w:top w:w="16" w:type="dxa"/>
              <w:left w:w="16" w:type="dxa"/>
              <w:right w:w="16" w:type="dxa"/>
            </w:tcMar>
            <w:vAlign w:val="center"/>
          </w:tcPr>
          <w:p w14:paraId="42147D1F">
            <w:pPr>
              <w:adjustRightInd w:val="0"/>
              <w:snapToGrid w:val="0"/>
              <w:jc w:val="center"/>
              <w:rPr>
                <w:color w:val="auto"/>
                <w:sz w:val="24"/>
                <w:szCs w:val="24"/>
              </w:rPr>
            </w:pPr>
            <w:r>
              <w:rPr>
                <w:color w:val="auto"/>
                <w:spacing w:val="-6"/>
                <w:sz w:val="24"/>
                <w:szCs w:val="24"/>
              </w:rPr>
              <w:t>用地（用海）面积（m</w:t>
            </w:r>
            <w:r>
              <w:rPr>
                <w:color w:val="auto"/>
                <w:spacing w:val="-6"/>
                <w:sz w:val="24"/>
                <w:szCs w:val="24"/>
                <w:vertAlign w:val="superscript"/>
              </w:rPr>
              <w:t>2</w:t>
            </w:r>
            <w:r>
              <w:rPr>
                <w:color w:val="auto"/>
                <w:spacing w:val="-6"/>
                <w:sz w:val="24"/>
                <w:szCs w:val="24"/>
              </w:rPr>
              <w:t>）</w:t>
            </w:r>
          </w:p>
        </w:tc>
        <w:tc>
          <w:tcPr>
            <w:tcW w:w="4131" w:type="dxa"/>
            <w:vAlign w:val="center"/>
          </w:tcPr>
          <w:p w14:paraId="682F0EDB">
            <w:pPr>
              <w:adjustRightInd w:val="0"/>
              <w:snapToGrid w:val="0"/>
              <w:jc w:val="center"/>
              <w:rPr>
                <w:rFonts w:hint="default" w:eastAsia="宋体"/>
                <w:color w:val="auto"/>
                <w:sz w:val="24"/>
                <w:szCs w:val="24"/>
                <w:lang w:val="en-US" w:eastAsia="zh-CN"/>
              </w:rPr>
            </w:pPr>
            <w:r>
              <w:rPr>
                <w:rFonts w:hint="eastAsia"/>
                <w:color w:val="auto"/>
                <w:sz w:val="24"/>
                <w:szCs w:val="24"/>
                <w:lang w:val="en-US" w:eastAsia="zh-CN"/>
              </w:rPr>
              <w:t>30388.5</w:t>
            </w:r>
            <w:r>
              <w:rPr>
                <w:rFonts w:hint="eastAsia"/>
                <w:color w:val="auto"/>
                <w:sz w:val="24"/>
                <w:szCs w:val="24"/>
              </w:rPr>
              <w:t>（依托现有，不新增）</w:t>
            </w:r>
          </w:p>
        </w:tc>
      </w:tr>
      <w:tr w14:paraId="28E150C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51" w:hRule="atLeast"/>
          <w:jc w:val="center"/>
        </w:trPr>
        <w:tc>
          <w:tcPr>
            <w:tcW w:w="1201" w:type="dxa"/>
            <w:vAlign w:val="center"/>
          </w:tcPr>
          <w:p w14:paraId="47E19A84">
            <w:pPr>
              <w:keepNext w:val="0"/>
              <w:keepLines/>
              <w:pageBreakBefore w:val="0"/>
              <w:widowControl w:val="0"/>
              <w:kinsoku/>
              <w:wordWrap/>
              <w:overflowPunct/>
              <w:topLinePunct w:val="0"/>
              <w:autoSpaceDE w:val="0"/>
              <w:autoSpaceDN w:val="0"/>
              <w:bidi w:val="0"/>
              <w:adjustRightInd w:val="0"/>
              <w:snapToGrid w:val="0"/>
              <w:jc w:val="center"/>
              <w:textAlignment w:val="auto"/>
              <w:rPr>
                <w:rFonts w:ascii="宋体" w:hAnsi="宋体" w:cs="宋体"/>
                <w:color w:val="auto"/>
                <w:kern w:val="0"/>
                <w:sz w:val="24"/>
                <w:szCs w:val="24"/>
              </w:rPr>
            </w:pPr>
            <w:r>
              <w:rPr>
                <w:rFonts w:hint="eastAsia" w:ascii="宋体" w:hAnsi="宋体" w:cs="宋体"/>
                <w:color w:val="auto"/>
                <w:kern w:val="0"/>
                <w:sz w:val="24"/>
                <w:szCs w:val="24"/>
              </w:rPr>
              <w:t>专项评价设置情况</w:t>
            </w:r>
          </w:p>
        </w:tc>
        <w:tc>
          <w:tcPr>
            <w:tcW w:w="7669" w:type="dxa"/>
            <w:gridSpan w:val="3"/>
            <w:vAlign w:val="center"/>
          </w:tcPr>
          <w:p w14:paraId="26FE7C76">
            <w:pPr>
              <w:keepNext w:val="0"/>
              <w:keepLines/>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color w:val="auto"/>
                <w:sz w:val="24"/>
                <w:szCs w:val="24"/>
              </w:rPr>
            </w:pPr>
            <w:r>
              <w:rPr>
                <w:rFonts w:hint="eastAsia"/>
                <w:color w:val="auto"/>
                <w:sz w:val="24"/>
                <w:szCs w:val="24"/>
              </w:rPr>
              <w:t>根据《建设项目环境影响报告表编制技术指南（污染影响类）</w:t>
            </w:r>
            <w:r>
              <w:rPr>
                <w:rFonts w:hint="eastAsia"/>
                <w:color w:val="auto"/>
                <w:sz w:val="24"/>
                <w:szCs w:val="24"/>
                <w:lang w:eastAsia="zh-CN"/>
              </w:rPr>
              <w:t>（</w:t>
            </w:r>
            <w:r>
              <w:rPr>
                <w:rFonts w:hint="eastAsia"/>
                <w:color w:val="auto"/>
                <w:sz w:val="24"/>
                <w:szCs w:val="24"/>
              </w:rPr>
              <w:t>试行</w:t>
            </w:r>
            <w:r>
              <w:rPr>
                <w:rFonts w:hint="eastAsia"/>
                <w:color w:val="auto"/>
                <w:sz w:val="24"/>
                <w:szCs w:val="24"/>
                <w:lang w:eastAsia="zh-CN"/>
              </w:rPr>
              <w:t>）</w:t>
            </w:r>
            <w:r>
              <w:rPr>
                <w:rFonts w:hint="eastAsia"/>
                <w:color w:val="auto"/>
                <w:sz w:val="24"/>
                <w:szCs w:val="24"/>
              </w:rPr>
              <w:t>》，本项目无</w:t>
            </w:r>
            <w:r>
              <w:rPr>
                <w:rFonts w:hint="eastAsia"/>
                <w:color w:val="auto"/>
                <w:sz w:val="24"/>
                <w:szCs w:val="24"/>
                <w:lang w:val="en-US" w:eastAsia="zh-CN"/>
              </w:rPr>
              <w:t>需</w:t>
            </w:r>
            <w:r>
              <w:rPr>
                <w:rFonts w:hint="eastAsia"/>
                <w:color w:val="auto"/>
                <w:sz w:val="24"/>
                <w:szCs w:val="24"/>
              </w:rPr>
              <w:t>设置专项评价。</w:t>
            </w:r>
          </w:p>
        </w:tc>
      </w:tr>
      <w:tr w14:paraId="29DA83F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45" w:hRule="atLeast"/>
          <w:jc w:val="center"/>
        </w:trPr>
        <w:tc>
          <w:tcPr>
            <w:tcW w:w="1201" w:type="dxa"/>
            <w:vAlign w:val="center"/>
          </w:tcPr>
          <w:p w14:paraId="4698B4DA">
            <w:pPr>
              <w:keepNext w:val="0"/>
              <w:keepLines/>
              <w:pageBreakBefore w:val="0"/>
              <w:widowControl w:val="0"/>
              <w:kinsoku/>
              <w:wordWrap/>
              <w:overflowPunct/>
              <w:topLinePunct w:val="0"/>
              <w:autoSpaceDE w:val="0"/>
              <w:autoSpaceDN w:val="0"/>
              <w:bidi w:val="0"/>
              <w:adjustRightInd w:val="0"/>
              <w:snapToGrid w:val="0"/>
              <w:jc w:val="center"/>
              <w:textAlignment w:val="auto"/>
              <w:rPr>
                <w:rFonts w:hint="eastAsia" w:ascii="宋体" w:hAnsi="宋体" w:cs="宋体"/>
                <w:color w:val="auto"/>
                <w:kern w:val="0"/>
                <w:sz w:val="24"/>
                <w:szCs w:val="24"/>
              </w:rPr>
            </w:pPr>
            <w:r>
              <w:rPr>
                <w:rFonts w:hint="default" w:ascii="Times New Roman" w:hAnsi="Times New Roman" w:eastAsia="宋体" w:cs="Times New Roman"/>
                <w:color w:val="auto"/>
                <w:sz w:val="24"/>
                <w:szCs w:val="24"/>
              </w:rPr>
              <w:t>规划情况</w:t>
            </w:r>
          </w:p>
        </w:tc>
        <w:tc>
          <w:tcPr>
            <w:tcW w:w="7669" w:type="dxa"/>
            <w:gridSpan w:val="3"/>
            <w:vAlign w:val="center"/>
          </w:tcPr>
          <w:p w14:paraId="3474101A">
            <w:pPr>
              <w:keepLines/>
              <w:autoSpaceDE w:val="0"/>
              <w:autoSpaceDN w:val="0"/>
              <w:adjustRightInd w:val="0"/>
              <w:snapToGrid w:val="0"/>
              <w:spacing w:line="360" w:lineRule="auto"/>
              <w:ind w:firstLine="480" w:firstLineChars="200"/>
              <w:rPr>
                <w:color w:val="auto"/>
                <w:kern w:val="0"/>
                <w:sz w:val="24"/>
                <w:szCs w:val="24"/>
              </w:rPr>
            </w:pPr>
            <w:r>
              <w:rPr>
                <w:rFonts w:hint="eastAsia"/>
                <w:color w:val="auto"/>
                <w:kern w:val="0"/>
                <w:sz w:val="24"/>
                <w:szCs w:val="24"/>
              </w:rPr>
              <w:t>（1）</w:t>
            </w:r>
            <w:r>
              <w:rPr>
                <w:color w:val="auto"/>
                <w:kern w:val="0"/>
                <w:sz w:val="24"/>
                <w:szCs w:val="24"/>
              </w:rPr>
              <w:t>规划：《海安市国土空间总体规划（2021-2035年）》；</w:t>
            </w:r>
          </w:p>
          <w:p w14:paraId="598B6DFE">
            <w:pPr>
              <w:keepLines/>
              <w:autoSpaceDE w:val="0"/>
              <w:autoSpaceDN w:val="0"/>
              <w:adjustRightInd w:val="0"/>
              <w:snapToGrid w:val="0"/>
              <w:spacing w:line="360" w:lineRule="auto"/>
              <w:ind w:firstLine="480" w:firstLineChars="200"/>
              <w:rPr>
                <w:color w:val="auto"/>
                <w:kern w:val="0"/>
                <w:sz w:val="24"/>
                <w:szCs w:val="24"/>
              </w:rPr>
            </w:pPr>
            <w:r>
              <w:rPr>
                <w:color w:val="auto"/>
                <w:kern w:val="0"/>
                <w:sz w:val="24"/>
                <w:szCs w:val="24"/>
              </w:rPr>
              <w:t>审批机关：江苏省人民政府；审查意见文号：苏政复〔2023〕43号。</w:t>
            </w:r>
          </w:p>
          <w:p w14:paraId="44E336F7">
            <w:pPr>
              <w:keepNext w:val="0"/>
              <w:keepLines/>
              <w:pageBreakBefore w:val="0"/>
              <w:widowControl w:val="0"/>
              <w:kinsoku/>
              <w:wordWrap/>
              <w:overflowPunct/>
              <w:topLinePunct w:val="0"/>
              <w:autoSpaceDE w:val="0"/>
              <w:autoSpaceDN w:val="0"/>
              <w:bidi w:val="0"/>
              <w:adjustRightInd w:val="0"/>
              <w:snapToGrid w:val="0"/>
              <w:spacing w:line="336" w:lineRule="auto"/>
              <w:ind w:firstLine="480" w:firstLineChars="200"/>
              <w:textAlignment w:val="auto"/>
              <w:rPr>
                <w:rFonts w:hint="eastAsia"/>
                <w:color w:val="auto"/>
                <w:sz w:val="24"/>
                <w:szCs w:val="24"/>
              </w:rPr>
            </w:pPr>
            <w:r>
              <w:rPr>
                <w:rFonts w:hint="eastAsia"/>
                <w:color w:val="auto"/>
                <w:kern w:val="0"/>
                <w:sz w:val="24"/>
                <w:szCs w:val="24"/>
              </w:rPr>
              <w:t>（2）</w:t>
            </w:r>
            <w:r>
              <w:rPr>
                <w:color w:val="auto"/>
                <w:kern w:val="0"/>
                <w:sz w:val="24"/>
                <w:szCs w:val="24"/>
              </w:rPr>
              <w:t>规划：《江苏省海安高新技术产业开发区开发建设规划（2021-2035年）》</w:t>
            </w:r>
            <w:r>
              <w:rPr>
                <w:rFonts w:hint="eastAsia"/>
                <w:color w:val="auto"/>
                <w:kern w:val="0"/>
                <w:sz w:val="24"/>
                <w:szCs w:val="24"/>
              </w:rPr>
              <w:t>；</w:t>
            </w:r>
            <w:r>
              <w:rPr>
                <w:color w:val="auto"/>
                <w:kern w:val="0"/>
                <w:sz w:val="24"/>
                <w:szCs w:val="24"/>
              </w:rPr>
              <w:t>审批机关</w:t>
            </w:r>
            <w:r>
              <w:rPr>
                <w:rFonts w:hint="eastAsia"/>
                <w:color w:val="auto"/>
                <w:kern w:val="0"/>
                <w:sz w:val="24"/>
                <w:szCs w:val="24"/>
              </w:rPr>
              <w:t>及</w:t>
            </w:r>
            <w:r>
              <w:rPr>
                <w:color w:val="auto"/>
                <w:kern w:val="0"/>
                <w:sz w:val="24"/>
                <w:szCs w:val="24"/>
              </w:rPr>
              <w:t>审查意见文号：</w:t>
            </w:r>
            <w:r>
              <w:rPr>
                <w:rFonts w:hint="eastAsia"/>
                <w:color w:val="auto"/>
                <w:kern w:val="0"/>
                <w:sz w:val="24"/>
                <w:szCs w:val="24"/>
              </w:rPr>
              <w:t>/。</w:t>
            </w:r>
          </w:p>
        </w:tc>
      </w:tr>
      <w:tr w14:paraId="4DD9F65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201" w:type="dxa"/>
            <w:vAlign w:val="center"/>
          </w:tcPr>
          <w:p w14:paraId="17EE2C69">
            <w:pPr>
              <w:keepNext/>
              <w:keepLines/>
              <w:pageBreakBefore w:val="0"/>
              <w:widowControl/>
              <w:kinsoku/>
              <w:wordWrap/>
              <w:overflowPunct/>
              <w:topLinePunct w:val="0"/>
              <w:autoSpaceDE w:val="0"/>
              <w:autoSpaceDN w:val="0"/>
              <w:bidi w:val="0"/>
              <w:adjustRightInd w:val="0"/>
              <w:snapToGrid w:val="0"/>
              <w:jc w:val="center"/>
              <w:textAlignment w:val="auto"/>
              <w:rPr>
                <w:rFonts w:hint="default" w:ascii="Times New Roman" w:hAnsi="Times New Roman" w:eastAsia="宋体" w:cs="Times New Roman"/>
                <w:color w:val="auto"/>
                <w:sz w:val="24"/>
                <w:szCs w:val="24"/>
              </w:rPr>
            </w:pPr>
            <w:r>
              <w:rPr>
                <w:rFonts w:hint="eastAsia" w:ascii="宋体" w:hAnsi="宋体" w:cs="宋体"/>
                <w:color w:val="auto"/>
                <w:sz w:val="24"/>
                <w:szCs w:val="24"/>
              </w:rPr>
              <w:t>规划环境影响评价情况</w:t>
            </w:r>
          </w:p>
        </w:tc>
        <w:tc>
          <w:tcPr>
            <w:tcW w:w="7669" w:type="dxa"/>
            <w:gridSpan w:val="3"/>
            <w:vAlign w:val="center"/>
          </w:tcPr>
          <w:p w14:paraId="0A6E6B3A">
            <w:pPr>
              <w:keepNext/>
              <w:keepLines/>
              <w:pageBreakBefore w:val="0"/>
              <w:widowControl/>
              <w:kinsoku/>
              <w:wordWrap/>
              <w:overflowPunct/>
              <w:topLinePunct w:val="0"/>
              <w:autoSpaceDE w:val="0"/>
              <w:autoSpaceDN w:val="0"/>
              <w:bidi w:val="0"/>
              <w:adjustRightInd w:val="0"/>
              <w:snapToGrid w:val="0"/>
              <w:spacing w:line="360" w:lineRule="auto"/>
              <w:ind w:firstLine="480" w:firstLineChars="200"/>
              <w:textAlignment w:val="auto"/>
              <w:rPr>
                <w:color w:val="auto"/>
                <w:kern w:val="0"/>
                <w:sz w:val="24"/>
                <w:szCs w:val="24"/>
              </w:rPr>
            </w:pPr>
            <w:r>
              <w:rPr>
                <w:rFonts w:hint="eastAsia"/>
                <w:color w:val="auto"/>
                <w:kern w:val="0"/>
                <w:sz w:val="24"/>
                <w:szCs w:val="24"/>
              </w:rPr>
              <w:t>规划环评：《江苏省海安高新技术产业开发区开发建设规划（2021-2035年）环境影响报告书》</w:t>
            </w:r>
          </w:p>
          <w:p w14:paraId="1CCDFA7A">
            <w:pPr>
              <w:keepNext/>
              <w:keepLines/>
              <w:pageBreakBefore w:val="0"/>
              <w:widowControl/>
              <w:kinsoku/>
              <w:wordWrap/>
              <w:overflowPunct/>
              <w:topLinePunct w:val="0"/>
              <w:autoSpaceDE w:val="0"/>
              <w:autoSpaceDN w:val="0"/>
              <w:bidi w:val="0"/>
              <w:adjustRightInd w:val="0"/>
              <w:snapToGrid w:val="0"/>
              <w:spacing w:line="360" w:lineRule="auto"/>
              <w:ind w:firstLine="480" w:firstLineChars="200"/>
              <w:textAlignment w:val="auto"/>
              <w:rPr>
                <w:color w:val="auto"/>
                <w:kern w:val="0"/>
                <w:sz w:val="24"/>
                <w:szCs w:val="24"/>
              </w:rPr>
            </w:pPr>
            <w:r>
              <w:rPr>
                <w:rFonts w:hint="eastAsia"/>
                <w:color w:val="auto"/>
                <w:kern w:val="0"/>
                <w:sz w:val="24"/>
                <w:szCs w:val="24"/>
              </w:rPr>
              <w:t>规划环评审查意见文号：苏环审〔2023〕86号</w:t>
            </w:r>
          </w:p>
          <w:p w14:paraId="4F043C39">
            <w:pPr>
              <w:keepNext/>
              <w:keepLines/>
              <w:pageBreakBefore w:val="0"/>
              <w:widowControl/>
              <w:kinsoku/>
              <w:wordWrap/>
              <w:overflowPunct/>
              <w:topLinePunct w:val="0"/>
              <w:autoSpaceDE w:val="0"/>
              <w:autoSpaceDN w:val="0"/>
              <w:bidi w:val="0"/>
              <w:adjustRightInd w:val="0"/>
              <w:snapToGrid w:val="0"/>
              <w:spacing w:line="360" w:lineRule="auto"/>
              <w:ind w:firstLine="480" w:firstLineChars="200"/>
              <w:textAlignment w:val="auto"/>
              <w:rPr>
                <w:color w:val="auto"/>
                <w:kern w:val="0"/>
                <w:sz w:val="24"/>
                <w:szCs w:val="24"/>
              </w:rPr>
            </w:pPr>
            <w:r>
              <w:rPr>
                <w:rFonts w:hint="eastAsia"/>
                <w:color w:val="auto"/>
                <w:kern w:val="0"/>
                <w:sz w:val="24"/>
                <w:szCs w:val="24"/>
              </w:rPr>
              <w:t>审查机关：江苏省生态环境厅</w:t>
            </w:r>
          </w:p>
          <w:p w14:paraId="66EC1C41">
            <w:pPr>
              <w:keepNext/>
              <w:keepLines/>
              <w:pageBreakBefore w:val="0"/>
              <w:widowControl/>
              <w:kinsoku/>
              <w:wordWrap/>
              <w:overflowPunct/>
              <w:topLinePunct w:val="0"/>
              <w:autoSpaceDE w:val="0"/>
              <w:autoSpaceDN w:val="0"/>
              <w:bidi w:val="0"/>
              <w:adjustRightInd w:val="0"/>
              <w:snapToGrid w:val="0"/>
              <w:spacing w:line="360" w:lineRule="auto"/>
              <w:ind w:firstLine="480" w:firstLineChars="200"/>
              <w:textAlignment w:val="auto"/>
              <w:rPr>
                <w:rFonts w:hint="default" w:ascii="Times New Roman" w:hAnsi="Times New Roman" w:cs="Times New Roman"/>
                <w:color w:val="auto"/>
                <w:kern w:val="0"/>
                <w:sz w:val="24"/>
                <w:szCs w:val="24"/>
              </w:rPr>
            </w:pPr>
            <w:r>
              <w:rPr>
                <w:rFonts w:hint="eastAsia"/>
                <w:color w:val="auto"/>
                <w:kern w:val="0"/>
                <w:sz w:val="24"/>
                <w:szCs w:val="24"/>
              </w:rPr>
              <w:t>审查时间：2023年10月29日</w:t>
            </w:r>
          </w:p>
        </w:tc>
      </w:tr>
      <w:tr w14:paraId="38839CC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201" w:type="dxa"/>
            <w:vAlign w:val="center"/>
          </w:tcPr>
          <w:p w14:paraId="30B633BF">
            <w:pPr>
              <w:keepNext/>
              <w:keepLines/>
              <w:pageBreakBefore w:val="0"/>
              <w:widowControl/>
              <w:kinsoku/>
              <w:wordWrap/>
              <w:overflowPunct/>
              <w:topLinePunct w:val="0"/>
              <w:autoSpaceDE w:val="0"/>
              <w:autoSpaceDN w:val="0"/>
              <w:bidi w:val="0"/>
              <w:adjustRightInd w:val="0"/>
              <w:snapToGrid w:val="0"/>
              <w:jc w:val="center"/>
              <w:textAlignment w:val="auto"/>
              <w:rPr>
                <w:rFonts w:hint="eastAsia" w:ascii="宋体" w:hAnsi="宋体" w:cs="宋体"/>
                <w:color w:val="auto"/>
                <w:sz w:val="24"/>
                <w:szCs w:val="24"/>
              </w:rPr>
            </w:pPr>
            <w:r>
              <w:rPr>
                <w:rFonts w:hint="eastAsia" w:ascii="宋体" w:hAnsi="宋体" w:cs="宋体"/>
                <w:color w:val="auto"/>
                <w:kern w:val="0"/>
                <w:sz w:val="24"/>
                <w:szCs w:val="24"/>
              </w:rPr>
              <w:t>规划及规划环境影响评价符合性分析</w:t>
            </w:r>
          </w:p>
        </w:tc>
        <w:tc>
          <w:tcPr>
            <w:tcW w:w="7669" w:type="dxa"/>
            <w:gridSpan w:val="3"/>
            <w:vAlign w:val="center"/>
          </w:tcPr>
          <w:p w14:paraId="4A4F9EED">
            <w:pPr>
              <w:adjustRightInd w:val="0"/>
              <w:snapToGrid w:val="0"/>
              <w:spacing w:line="360" w:lineRule="auto"/>
              <w:ind w:firstLine="480" w:firstLineChars="200"/>
              <w:rPr>
                <w:color w:val="auto"/>
                <w:sz w:val="24"/>
                <w:szCs w:val="24"/>
              </w:rPr>
            </w:pPr>
            <w:r>
              <w:rPr>
                <w:rFonts w:hint="eastAsia"/>
                <w:color w:val="auto"/>
                <w:sz w:val="24"/>
                <w:szCs w:val="24"/>
              </w:rPr>
              <w:t>本项目位于江苏省海安高新技术产业开发区田庄村18组，为[C3534]饲料生产专用设备制造，项目用地为工业用地，用地性质符合要求。</w:t>
            </w:r>
          </w:p>
          <w:p w14:paraId="6E84F46C">
            <w:pPr>
              <w:autoSpaceDE w:val="0"/>
              <w:autoSpaceDN w:val="0"/>
              <w:adjustRightInd w:val="0"/>
              <w:snapToGrid w:val="0"/>
              <w:spacing w:line="360" w:lineRule="auto"/>
              <w:ind w:firstLine="420"/>
              <w:rPr>
                <w:b/>
                <w:bCs/>
                <w:color w:val="auto"/>
                <w:sz w:val="24"/>
                <w:szCs w:val="24"/>
              </w:rPr>
            </w:pPr>
            <w:r>
              <w:rPr>
                <w:rFonts w:hint="eastAsia"/>
                <w:b/>
                <w:bCs/>
                <w:color w:val="auto"/>
                <w:sz w:val="24"/>
                <w:szCs w:val="24"/>
              </w:rPr>
              <w:t>与《江苏省海安高新技术产业开发区开发建设规划（2021-2035年）环境影响报告书》的相符性分析</w:t>
            </w:r>
          </w:p>
          <w:p w14:paraId="78DAC93F">
            <w:pPr>
              <w:autoSpaceDE w:val="0"/>
              <w:autoSpaceDN w:val="0"/>
              <w:adjustRightInd w:val="0"/>
              <w:snapToGrid w:val="0"/>
              <w:spacing w:line="360" w:lineRule="auto"/>
              <w:ind w:firstLine="420"/>
              <w:rPr>
                <w:color w:val="auto"/>
                <w:sz w:val="24"/>
                <w:szCs w:val="24"/>
              </w:rPr>
            </w:pPr>
            <w:r>
              <w:rPr>
                <w:rFonts w:hint="eastAsia"/>
                <w:color w:val="auto"/>
                <w:sz w:val="24"/>
                <w:szCs w:val="24"/>
              </w:rPr>
              <w:t>构建“五大产业组团”的产业结构，包括汽车产业组团、新材料产业北部组团、新材料南部组团、综合产业组团、传统产业组团。</w:t>
            </w:r>
          </w:p>
          <w:p w14:paraId="06B903DB">
            <w:pPr>
              <w:autoSpaceDE w:val="0"/>
              <w:autoSpaceDN w:val="0"/>
              <w:adjustRightInd w:val="0"/>
              <w:snapToGrid w:val="0"/>
              <w:spacing w:line="360" w:lineRule="auto"/>
              <w:ind w:firstLine="420"/>
              <w:rPr>
                <w:color w:val="auto"/>
                <w:sz w:val="24"/>
                <w:szCs w:val="24"/>
              </w:rPr>
            </w:pPr>
            <w:r>
              <w:rPr>
                <w:rFonts w:hint="eastAsia"/>
                <w:color w:val="auto"/>
                <w:sz w:val="24"/>
                <w:szCs w:val="24"/>
              </w:rPr>
              <w:t>汽车产业组团：位于204国道以西，至规划范围边界的区域，占地面积约206.81公顷，打造以汽车零部件装备生产、汽车销售维修为主的汽车主题功能区。</w:t>
            </w:r>
          </w:p>
          <w:p w14:paraId="461C82BB">
            <w:pPr>
              <w:autoSpaceDE w:val="0"/>
              <w:autoSpaceDN w:val="0"/>
              <w:adjustRightInd w:val="0"/>
              <w:snapToGrid w:val="0"/>
              <w:spacing w:line="360" w:lineRule="auto"/>
              <w:ind w:firstLine="420"/>
              <w:rPr>
                <w:color w:val="auto"/>
                <w:sz w:val="24"/>
                <w:szCs w:val="24"/>
              </w:rPr>
            </w:pPr>
            <w:r>
              <w:rPr>
                <w:rFonts w:hint="eastAsia"/>
                <w:color w:val="auto"/>
                <w:sz w:val="24"/>
                <w:szCs w:val="24"/>
              </w:rPr>
              <w:t>新材料产业南部组团：位于黄海大道以南、谭港路以北、西园大道以西、204国道以东的区域，占地面积416.80公顷。依托锦纶新材料产业园，以高校和科研所等产学研合作为支撑，以弘盛新材料和文凤集团等产业为基础，聚力推进锦纶新材料产业基地建设，升级原料生产、纺丝织造等为一体的全产业链发展模式。依托铭利达、铁锚玻璃等企业，推动形成汽车轻量化研究、关键系统部件制造、轨道交通关键部件协同发展。重点发展功能新材料（特种玻璃、锦纶材料）、高端装备制造（输变电装备、汽车零部件及轨道交通装备）等产业。</w:t>
            </w:r>
          </w:p>
          <w:p w14:paraId="31FB9E45">
            <w:pPr>
              <w:autoSpaceDE w:val="0"/>
              <w:autoSpaceDN w:val="0"/>
              <w:adjustRightInd w:val="0"/>
              <w:snapToGrid w:val="0"/>
              <w:spacing w:line="360" w:lineRule="auto"/>
              <w:ind w:firstLine="420"/>
              <w:rPr>
                <w:color w:val="auto"/>
                <w:sz w:val="24"/>
                <w:szCs w:val="24"/>
              </w:rPr>
            </w:pPr>
            <w:r>
              <w:rPr>
                <w:rFonts w:hint="eastAsia"/>
                <w:color w:val="auto"/>
                <w:sz w:val="24"/>
                <w:szCs w:val="24"/>
              </w:rPr>
              <w:t>新材料产业北部组团：位于老通扬运河以南、黄海大道以北、204国道以东的区域，占地面积约280.98公顷。该区域已基本开发，现状主要产业为装备制造、磁性材料、节能环保等产业，对区域实施产业提升改造，盘活低效土地。主要依托磁性材料产业园，打造以电子变压器、无线充电配件和电动汽车及充电桩元器件为主的专业化磁性材料集聚区。依托天楹集团，扩大城市环境服务、等离子体处置、资源回收再利用等业态，实现产业链的多维度创新和升级。重点发展功能新材料（磁性材料）、装备制造、节能环保等产业。</w:t>
            </w:r>
          </w:p>
          <w:p w14:paraId="0732DEFA">
            <w:pPr>
              <w:autoSpaceDE w:val="0"/>
              <w:autoSpaceDN w:val="0"/>
              <w:adjustRightInd w:val="0"/>
              <w:snapToGrid w:val="0"/>
              <w:spacing w:line="360" w:lineRule="auto"/>
              <w:ind w:firstLine="420"/>
              <w:rPr>
                <w:color w:val="auto"/>
                <w:sz w:val="24"/>
                <w:szCs w:val="24"/>
              </w:rPr>
            </w:pPr>
            <w:r>
              <w:rPr>
                <w:rFonts w:hint="eastAsia"/>
                <w:color w:val="auto"/>
                <w:sz w:val="24"/>
                <w:szCs w:val="24"/>
              </w:rPr>
              <w:t>传统产业组团（北）：位于北片区，占地面积214.91公顷，该区域已基本开发，现状主要为装备制造（电梯装备、汽车零部件及轨道交通装备）。</w:t>
            </w:r>
            <w:r>
              <w:rPr>
                <w:rFonts w:hint="eastAsia"/>
                <w:color w:val="auto"/>
                <w:sz w:val="24"/>
                <w:szCs w:val="24"/>
                <w:lang w:eastAsia="zh-CN"/>
              </w:rPr>
              <w:t>重点</w:t>
            </w:r>
            <w:r>
              <w:rPr>
                <w:rFonts w:hint="eastAsia"/>
                <w:color w:val="auto"/>
                <w:sz w:val="24"/>
                <w:szCs w:val="24"/>
              </w:rPr>
              <w:t>依托威尔曼、米兰特、江中光电、中力科技、中尧机电等头部企业，积极开展电梯整机（乘客电梯、观光电梯、自动扶梯、自动人行道等）、电梯部件、电梯配件、电梯安全部件、电梯专用电机等关键技术研发，延伸完善电梯产业链，形成具有较强竞争力的电梯产业集群，实现高附加值环节的自主配套。实施区域产业改造提升，以及“退二进三”，禁止新增工业用地。</w:t>
            </w:r>
          </w:p>
          <w:p w14:paraId="697FEAA2">
            <w:pPr>
              <w:autoSpaceDE w:val="0"/>
              <w:autoSpaceDN w:val="0"/>
              <w:adjustRightInd w:val="0"/>
              <w:snapToGrid w:val="0"/>
              <w:spacing w:line="360" w:lineRule="auto"/>
              <w:ind w:firstLine="420"/>
              <w:rPr>
                <w:color w:val="auto"/>
                <w:sz w:val="24"/>
                <w:szCs w:val="24"/>
              </w:rPr>
            </w:pPr>
            <w:r>
              <w:rPr>
                <w:rFonts w:hint="eastAsia"/>
                <w:color w:val="auto"/>
                <w:sz w:val="24"/>
                <w:szCs w:val="24"/>
              </w:rPr>
              <w:t>传统产业组团（南）：位于黄海大道以南、西园大道以东、328国道以北，东至规划边界的区域，占地面积97.47公顷，已基本开发，现状有纺织印染、装备制造等产业，规划以存量挖潜为主，实施“产业焕新、空间再造”行动计划，实施闲置资源盘活，加速产业高端化转型，突出企业技术改造，加强企业梯度培育，主要发展高端纺织和高端装备制造产业。</w:t>
            </w:r>
          </w:p>
          <w:p w14:paraId="0B5339CF">
            <w:pPr>
              <w:autoSpaceDE w:val="0"/>
              <w:autoSpaceDN w:val="0"/>
              <w:adjustRightInd w:val="0"/>
              <w:snapToGrid w:val="0"/>
              <w:spacing w:line="360" w:lineRule="auto"/>
              <w:ind w:firstLine="420"/>
              <w:rPr>
                <w:color w:val="auto"/>
                <w:sz w:val="24"/>
                <w:szCs w:val="24"/>
              </w:rPr>
            </w:pPr>
            <w:r>
              <w:rPr>
                <w:rFonts w:hint="eastAsia"/>
                <w:color w:val="auto"/>
                <w:sz w:val="24"/>
                <w:szCs w:val="24"/>
              </w:rPr>
              <w:t>综合产业组团：谭港路以南、204国道以东的区域，占地面积302.666公顷，该区域为未来高新区重点发展区域，主要依托台商综合产业园，重点打造以高端装备制造、功能新材料为主的产业综合板块。</w:t>
            </w:r>
          </w:p>
          <w:p w14:paraId="7AFCDA1C">
            <w:pPr>
              <w:autoSpaceDE w:val="0"/>
              <w:autoSpaceDN w:val="0"/>
              <w:adjustRightInd w:val="0"/>
              <w:snapToGrid w:val="0"/>
              <w:spacing w:line="360" w:lineRule="auto"/>
              <w:ind w:firstLine="420"/>
              <w:rPr>
                <w:color w:val="auto"/>
                <w:sz w:val="24"/>
                <w:szCs w:val="24"/>
              </w:rPr>
            </w:pPr>
            <w:r>
              <w:rPr>
                <w:rFonts w:hint="eastAsia"/>
                <w:color w:val="auto"/>
                <w:sz w:val="24"/>
                <w:szCs w:val="24"/>
              </w:rPr>
              <w:t>本项目位于传统产业组团（南），生产饲料加工系统关键部件，属于高端装备制造，是园区主导产业。</w:t>
            </w:r>
          </w:p>
          <w:p w14:paraId="6031C8D1">
            <w:pPr>
              <w:autoSpaceDE w:val="0"/>
              <w:autoSpaceDN w:val="0"/>
              <w:adjustRightInd w:val="0"/>
              <w:snapToGrid w:val="0"/>
              <w:jc w:val="center"/>
              <w:rPr>
                <w:b/>
                <w:bCs/>
                <w:color w:val="auto"/>
                <w:kern w:val="0"/>
                <w:sz w:val="24"/>
                <w:szCs w:val="24"/>
              </w:rPr>
            </w:pPr>
            <w:r>
              <w:rPr>
                <w:b/>
                <w:bCs/>
                <w:color w:val="auto"/>
                <w:sz w:val="24"/>
                <w:szCs w:val="24"/>
              </w:rPr>
              <w:t xml:space="preserve">表1-1 </w:t>
            </w:r>
            <w:r>
              <w:rPr>
                <w:rFonts w:hint="eastAsia"/>
                <w:b/>
                <w:bCs/>
                <w:color w:val="auto"/>
                <w:sz w:val="24"/>
                <w:szCs w:val="24"/>
              </w:rPr>
              <w:t>与江苏省海安高新技术产业开发区生态环境准入清单相符性分析</w:t>
            </w:r>
          </w:p>
          <w:tbl>
            <w:tblPr>
              <w:tblStyle w:val="26"/>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57" w:type="dxa"/>
                <w:bottom w:w="0" w:type="dxa"/>
                <w:right w:w="57" w:type="dxa"/>
              </w:tblCellMar>
            </w:tblPr>
            <w:tblGrid>
              <w:gridCol w:w="298"/>
              <w:gridCol w:w="653"/>
              <w:gridCol w:w="4832"/>
              <w:gridCol w:w="1670"/>
            </w:tblGrid>
            <w:tr w14:paraId="46A5501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638" w:type="pct"/>
                  <w:gridSpan w:val="2"/>
                  <w:tcBorders>
                    <w:tl2br w:val="nil"/>
                    <w:tr2bl w:val="nil"/>
                  </w:tcBorders>
                  <w:vAlign w:val="center"/>
                </w:tcPr>
                <w:p w14:paraId="76873369">
                  <w:pPr>
                    <w:adjustRightInd w:val="0"/>
                    <w:snapToGrid w:val="0"/>
                    <w:jc w:val="center"/>
                    <w:rPr>
                      <w:b/>
                      <w:color w:val="auto"/>
                    </w:rPr>
                  </w:pPr>
                  <w:r>
                    <w:rPr>
                      <w:rFonts w:hint="eastAsia"/>
                      <w:b/>
                      <w:color w:val="auto"/>
                    </w:rPr>
                    <w:t>清单类别</w:t>
                  </w:r>
                </w:p>
              </w:tc>
              <w:tc>
                <w:tcPr>
                  <w:tcW w:w="3241" w:type="pct"/>
                  <w:tcBorders>
                    <w:tl2br w:val="nil"/>
                    <w:tr2bl w:val="nil"/>
                  </w:tcBorders>
                  <w:vAlign w:val="center"/>
                </w:tcPr>
                <w:p w14:paraId="0C46B5FC">
                  <w:pPr>
                    <w:adjustRightInd w:val="0"/>
                    <w:snapToGrid w:val="0"/>
                    <w:jc w:val="center"/>
                    <w:rPr>
                      <w:b/>
                      <w:color w:val="auto"/>
                    </w:rPr>
                  </w:pPr>
                  <w:r>
                    <w:rPr>
                      <w:rFonts w:hint="eastAsia"/>
                      <w:b/>
                      <w:color w:val="auto"/>
                    </w:rPr>
                    <w:t>准入内容</w:t>
                  </w:r>
                </w:p>
              </w:tc>
              <w:tc>
                <w:tcPr>
                  <w:tcW w:w="1120" w:type="pct"/>
                  <w:tcBorders>
                    <w:tl2br w:val="nil"/>
                    <w:tr2bl w:val="nil"/>
                  </w:tcBorders>
                  <w:vAlign w:val="center"/>
                </w:tcPr>
                <w:p w14:paraId="1E32CC8A">
                  <w:pPr>
                    <w:adjustRightInd w:val="0"/>
                    <w:snapToGrid w:val="0"/>
                    <w:jc w:val="center"/>
                    <w:rPr>
                      <w:b/>
                      <w:color w:val="auto"/>
                    </w:rPr>
                  </w:pPr>
                  <w:r>
                    <w:rPr>
                      <w:rFonts w:hint="eastAsia"/>
                      <w:b/>
                      <w:color w:val="auto"/>
                    </w:rPr>
                    <w:t>相符性</w:t>
                  </w:r>
                </w:p>
              </w:tc>
            </w:tr>
            <w:tr w14:paraId="58E7FD8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200" w:type="pct"/>
                  <w:vMerge w:val="restart"/>
                  <w:tcBorders>
                    <w:tl2br w:val="nil"/>
                    <w:tr2bl w:val="nil"/>
                  </w:tcBorders>
                  <w:vAlign w:val="center"/>
                </w:tcPr>
                <w:p w14:paraId="4660285B">
                  <w:pPr>
                    <w:adjustRightInd w:val="0"/>
                    <w:snapToGrid w:val="0"/>
                    <w:jc w:val="center"/>
                    <w:rPr>
                      <w:color w:val="auto"/>
                    </w:rPr>
                  </w:pPr>
                  <w:r>
                    <w:rPr>
                      <w:rFonts w:hint="eastAsia"/>
                      <w:color w:val="auto"/>
                    </w:rPr>
                    <w:t>产业准入</w:t>
                  </w:r>
                </w:p>
              </w:tc>
              <w:tc>
                <w:tcPr>
                  <w:tcW w:w="438" w:type="pct"/>
                  <w:tcBorders>
                    <w:tl2br w:val="nil"/>
                    <w:tr2bl w:val="nil"/>
                  </w:tcBorders>
                  <w:vAlign w:val="center"/>
                </w:tcPr>
                <w:p w14:paraId="2B868E75">
                  <w:pPr>
                    <w:adjustRightInd w:val="0"/>
                    <w:snapToGrid w:val="0"/>
                    <w:jc w:val="center"/>
                    <w:rPr>
                      <w:color w:val="auto"/>
                    </w:rPr>
                  </w:pPr>
                  <w:r>
                    <w:rPr>
                      <w:rFonts w:hint="eastAsia"/>
                      <w:color w:val="auto"/>
                    </w:rPr>
                    <w:t>主导产业定位</w:t>
                  </w:r>
                </w:p>
              </w:tc>
              <w:tc>
                <w:tcPr>
                  <w:tcW w:w="3241" w:type="pct"/>
                  <w:tcBorders>
                    <w:tl2br w:val="nil"/>
                    <w:tr2bl w:val="nil"/>
                  </w:tcBorders>
                  <w:vAlign w:val="center"/>
                </w:tcPr>
                <w:p w14:paraId="003100E1">
                  <w:pPr>
                    <w:adjustRightInd w:val="0"/>
                    <w:snapToGrid w:val="0"/>
                    <w:rPr>
                      <w:color w:val="auto"/>
                    </w:rPr>
                  </w:pPr>
                  <w:r>
                    <w:rPr>
                      <w:rFonts w:hint="eastAsia"/>
                      <w:color w:val="auto"/>
                    </w:rPr>
                    <w:t>重点发展功能新材料、高端装备制造、节能环保三大产业。</w:t>
                  </w:r>
                </w:p>
              </w:tc>
              <w:tc>
                <w:tcPr>
                  <w:tcW w:w="1120" w:type="pct"/>
                  <w:vMerge w:val="restart"/>
                  <w:tcBorders>
                    <w:tl2br w:val="nil"/>
                    <w:tr2bl w:val="nil"/>
                  </w:tcBorders>
                  <w:vAlign w:val="center"/>
                </w:tcPr>
                <w:p w14:paraId="2377F46C">
                  <w:pPr>
                    <w:adjustRightInd w:val="0"/>
                    <w:snapToGrid w:val="0"/>
                    <w:jc w:val="center"/>
                    <w:rPr>
                      <w:color w:val="auto"/>
                    </w:rPr>
                  </w:pPr>
                  <w:r>
                    <w:rPr>
                      <w:rFonts w:hint="eastAsia"/>
                      <w:color w:val="auto"/>
                    </w:rPr>
                    <w:t>本项目属于[C3534]饲料生产专用设备制造，属于高端装备制造，是园区主导产业。</w:t>
                  </w:r>
                </w:p>
              </w:tc>
            </w:tr>
            <w:tr w14:paraId="3347E7C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200" w:type="pct"/>
                  <w:vMerge w:val="continue"/>
                  <w:tcBorders>
                    <w:tl2br w:val="nil"/>
                    <w:tr2bl w:val="nil"/>
                  </w:tcBorders>
                  <w:vAlign w:val="center"/>
                </w:tcPr>
                <w:p w14:paraId="079C08E6">
                  <w:pPr>
                    <w:adjustRightInd w:val="0"/>
                    <w:snapToGrid w:val="0"/>
                    <w:jc w:val="center"/>
                    <w:rPr>
                      <w:color w:val="auto"/>
                    </w:rPr>
                  </w:pPr>
                </w:p>
              </w:tc>
              <w:tc>
                <w:tcPr>
                  <w:tcW w:w="438" w:type="pct"/>
                  <w:tcBorders>
                    <w:tl2br w:val="nil"/>
                    <w:tr2bl w:val="nil"/>
                  </w:tcBorders>
                  <w:vAlign w:val="center"/>
                </w:tcPr>
                <w:p w14:paraId="210E9E4B">
                  <w:pPr>
                    <w:adjustRightInd w:val="0"/>
                    <w:snapToGrid w:val="0"/>
                    <w:jc w:val="center"/>
                    <w:rPr>
                      <w:color w:val="auto"/>
                    </w:rPr>
                  </w:pPr>
                  <w:r>
                    <w:rPr>
                      <w:rFonts w:hint="eastAsia"/>
                      <w:color w:val="auto"/>
                    </w:rPr>
                    <w:t>优先引入</w:t>
                  </w:r>
                </w:p>
              </w:tc>
              <w:tc>
                <w:tcPr>
                  <w:tcW w:w="3241" w:type="pct"/>
                  <w:tcBorders>
                    <w:tl2br w:val="nil"/>
                    <w:tr2bl w:val="nil"/>
                  </w:tcBorders>
                  <w:vAlign w:val="center"/>
                </w:tcPr>
                <w:p w14:paraId="1DFE6203">
                  <w:pPr>
                    <w:adjustRightInd w:val="0"/>
                    <w:snapToGrid w:val="0"/>
                    <w:rPr>
                      <w:color w:val="auto"/>
                    </w:rPr>
                  </w:pPr>
                  <w:r>
                    <w:rPr>
                      <w:rFonts w:hint="eastAsia"/>
                      <w:color w:val="auto"/>
                    </w:rPr>
                    <w:t>1、《产业结构调整指导目录（2019年本）》（2021年修正）、《鼓励外商投资产业目录（2022年版）》、《产业发展与转移指导目录（2018年本）》鼓励类或优先承接的产业，且符合高新区产业定位的项目；</w:t>
                  </w:r>
                </w:p>
                <w:p w14:paraId="0A321D29">
                  <w:pPr>
                    <w:adjustRightInd w:val="0"/>
                    <w:snapToGrid w:val="0"/>
                    <w:rPr>
                      <w:color w:val="auto"/>
                    </w:rPr>
                  </w:pPr>
                  <w:r>
                    <w:rPr>
                      <w:rFonts w:hint="eastAsia"/>
                      <w:color w:val="auto"/>
                    </w:rPr>
                    <w:t>2、资源消耗少、产值高、附加值高的环境友好型项目；</w:t>
                  </w:r>
                </w:p>
                <w:p w14:paraId="38C5293C">
                  <w:pPr>
                    <w:adjustRightInd w:val="0"/>
                    <w:snapToGrid w:val="0"/>
                    <w:rPr>
                      <w:color w:val="auto"/>
                    </w:rPr>
                  </w:pPr>
                  <w:r>
                    <w:rPr>
                      <w:rFonts w:hint="eastAsia"/>
                      <w:color w:val="auto"/>
                    </w:rPr>
                    <w:t>3、鼓励依托龙头企业发展上下游关联度强、技术水平高、绿色安全环保的项目，进一步强链、补链、延链。</w:t>
                  </w:r>
                </w:p>
              </w:tc>
              <w:tc>
                <w:tcPr>
                  <w:tcW w:w="1120" w:type="pct"/>
                  <w:vMerge w:val="continue"/>
                  <w:tcBorders>
                    <w:tl2br w:val="nil"/>
                    <w:tr2bl w:val="nil"/>
                  </w:tcBorders>
                  <w:vAlign w:val="center"/>
                </w:tcPr>
                <w:p w14:paraId="2C6F0C74">
                  <w:pPr>
                    <w:adjustRightInd w:val="0"/>
                    <w:snapToGrid w:val="0"/>
                    <w:rPr>
                      <w:color w:val="auto"/>
                    </w:rPr>
                  </w:pPr>
                </w:p>
              </w:tc>
            </w:tr>
            <w:tr w14:paraId="79D21BE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200" w:type="pct"/>
                  <w:vMerge w:val="continue"/>
                  <w:tcBorders>
                    <w:tl2br w:val="nil"/>
                    <w:tr2bl w:val="nil"/>
                  </w:tcBorders>
                  <w:vAlign w:val="center"/>
                </w:tcPr>
                <w:p w14:paraId="6B1918B7">
                  <w:pPr>
                    <w:adjustRightInd w:val="0"/>
                    <w:snapToGrid w:val="0"/>
                    <w:jc w:val="center"/>
                    <w:rPr>
                      <w:color w:val="auto"/>
                    </w:rPr>
                  </w:pPr>
                </w:p>
              </w:tc>
              <w:tc>
                <w:tcPr>
                  <w:tcW w:w="438" w:type="pct"/>
                  <w:tcBorders>
                    <w:tl2br w:val="nil"/>
                    <w:tr2bl w:val="nil"/>
                  </w:tcBorders>
                  <w:vAlign w:val="center"/>
                </w:tcPr>
                <w:p w14:paraId="4EC62E63">
                  <w:pPr>
                    <w:adjustRightInd w:val="0"/>
                    <w:snapToGrid w:val="0"/>
                    <w:jc w:val="center"/>
                    <w:rPr>
                      <w:color w:val="auto"/>
                    </w:rPr>
                  </w:pPr>
                  <w:r>
                    <w:rPr>
                      <w:rFonts w:hint="eastAsia"/>
                      <w:color w:val="auto"/>
                    </w:rPr>
                    <w:t>禁止引入</w:t>
                  </w:r>
                </w:p>
              </w:tc>
              <w:tc>
                <w:tcPr>
                  <w:tcW w:w="3241" w:type="pct"/>
                  <w:tcBorders>
                    <w:tl2br w:val="nil"/>
                    <w:tr2bl w:val="nil"/>
                  </w:tcBorders>
                  <w:vAlign w:val="center"/>
                </w:tcPr>
                <w:p w14:paraId="54FC18C0">
                  <w:pPr>
                    <w:adjustRightInd w:val="0"/>
                    <w:snapToGrid w:val="0"/>
                    <w:rPr>
                      <w:color w:val="auto"/>
                    </w:rPr>
                  </w:pPr>
                  <w:r>
                    <w:rPr>
                      <w:rFonts w:hint="eastAsia"/>
                      <w:color w:val="auto"/>
                    </w:rPr>
                    <w:t>1、北片区：如海运河以东禁止引入工业项目；禁止在如海运河河道内设置经营性餐饮设施；禁止向河道、水体倾倒生活垃圾等。</w:t>
                  </w:r>
                </w:p>
                <w:p w14:paraId="16536B74">
                  <w:pPr>
                    <w:adjustRightInd w:val="0"/>
                    <w:snapToGrid w:val="0"/>
                    <w:rPr>
                      <w:color w:val="auto"/>
                    </w:rPr>
                  </w:pPr>
                  <w:r>
                    <w:rPr>
                      <w:rFonts w:hint="eastAsia"/>
                      <w:color w:val="auto"/>
                    </w:rPr>
                    <w:t>2、禁止新建、扩建法律法规和相关政策明令禁止的落后产能项目；禁止引入其他国家和地方产业政策淘汰类或禁止类的建设项目和工艺；</w:t>
                  </w:r>
                </w:p>
                <w:p w14:paraId="36136941">
                  <w:pPr>
                    <w:adjustRightInd w:val="0"/>
                    <w:snapToGrid w:val="0"/>
                    <w:rPr>
                      <w:color w:val="auto"/>
                    </w:rPr>
                  </w:pPr>
                  <w:r>
                    <w:rPr>
                      <w:rFonts w:hint="eastAsia"/>
                      <w:color w:val="auto"/>
                    </w:rPr>
                    <w:t>3、禁止引入不符合《长江经济带发展负面清单指南（试行，2022年版）》《&lt;长江经济带发展负面清单指南（试行，2022年版）&gt;江苏省实施细则》（苏长江办发〔2022〕55号）产业发展要求的项目。</w:t>
                  </w:r>
                </w:p>
                <w:p w14:paraId="2A316274">
                  <w:pPr>
                    <w:adjustRightInd w:val="0"/>
                    <w:snapToGrid w:val="0"/>
                    <w:rPr>
                      <w:color w:val="auto"/>
                    </w:rPr>
                  </w:pPr>
                  <w:r>
                    <w:rPr>
                      <w:rFonts w:hint="eastAsia"/>
                      <w:color w:val="auto"/>
                    </w:rPr>
                    <w:t>4、高端装备制造：禁止引进电镀工艺项目；确属工艺需要、不能剥离电镀工序的项目，需由生态环境部门会同经济主管部门组织专家技术论证，通过专家论证同意后方可审批建设；禁止建设生产和使用高VOCs含量的溶剂型涂料、油墨、胶黏剂项目。</w:t>
                  </w:r>
                </w:p>
                <w:p w14:paraId="0A935948">
                  <w:pPr>
                    <w:adjustRightInd w:val="0"/>
                    <w:snapToGrid w:val="0"/>
                    <w:rPr>
                      <w:color w:val="auto"/>
                    </w:rPr>
                  </w:pPr>
                  <w:r>
                    <w:rPr>
                      <w:rFonts w:hint="eastAsia"/>
                      <w:color w:val="auto"/>
                    </w:rPr>
                    <w:t>5、功能新材料：禁止引入化工类新材料项目，包括2651初级形态塑料及合成树脂制造、2652合成橡胶制造、2653合成纤维单（聚合）体制造；禁止新建粘胶纤维用浆粕生产建设项目。</w:t>
                  </w:r>
                </w:p>
                <w:p w14:paraId="01002814">
                  <w:pPr>
                    <w:adjustRightInd w:val="0"/>
                    <w:snapToGrid w:val="0"/>
                    <w:rPr>
                      <w:color w:val="auto"/>
                    </w:rPr>
                  </w:pPr>
                  <w:r>
                    <w:rPr>
                      <w:rFonts w:hint="eastAsia"/>
                      <w:color w:val="auto"/>
                    </w:rPr>
                    <w:t>6、节能环保：禁止引入放射性废物、核设施退役工程的“三废”综合利用及治理工程；禁止采用焚烧和填埋方式处置工业固体废物等污染较大项目。</w:t>
                  </w:r>
                </w:p>
                <w:p w14:paraId="197FF5C0">
                  <w:pPr>
                    <w:adjustRightInd w:val="0"/>
                    <w:snapToGrid w:val="0"/>
                    <w:rPr>
                      <w:color w:val="auto"/>
                    </w:rPr>
                  </w:pPr>
                  <w:r>
                    <w:rPr>
                      <w:rFonts w:hint="eastAsia"/>
                      <w:color w:val="auto"/>
                    </w:rPr>
                    <w:t>7、禁止引入不满足《南通市关于加大污染减排力度推进重点行业绿色发展的指导意见》（通办〔2021〕59号）和《关于印发海安市推进重点行业绿色发展实施方案的通知》（海办〔2021〕116号）的要求工艺技术及项目。</w:t>
                  </w:r>
                </w:p>
              </w:tc>
              <w:tc>
                <w:tcPr>
                  <w:tcW w:w="1120" w:type="pct"/>
                  <w:tcBorders>
                    <w:tl2br w:val="nil"/>
                    <w:tr2bl w:val="nil"/>
                  </w:tcBorders>
                  <w:vAlign w:val="center"/>
                </w:tcPr>
                <w:p w14:paraId="4ED50D92">
                  <w:pPr>
                    <w:adjustRightInd w:val="0"/>
                    <w:snapToGrid w:val="0"/>
                    <w:rPr>
                      <w:rFonts w:hint="eastAsia"/>
                      <w:color w:val="auto"/>
                      <w:lang w:val="en-US" w:eastAsia="zh-CN"/>
                    </w:rPr>
                  </w:pPr>
                  <w:r>
                    <w:rPr>
                      <w:rFonts w:hint="eastAsia"/>
                      <w:color w:val="auto"/>
                      <w:lang w:val="en-US" w:eastAsia="zh-CN"/>
                    </w:rPr>
                    <w:t>1、</w:t>
                  </w:r>
                  <w:r>
                    <w:rPr>
                      <w:rFonts w:hint="eastAsia"/>
                      <w:color w:val="auto"/>
                    </w:rPr>
                    <w:t>本项目</w:t>
                  </w:r>
                  <w:r>
                    <w:rPr>
                      <w:rFonts w:hint="eastAsia"/>
                      <w:color w:val="auto"/>
                      <w:lang w:val="en-US" w:eastAsia="zh-CN"/>
                    </w:rPr>
                    <w:t>位于如海运河以西，不涉及在如海运河河道内设置经营性餐饮设施，向河道、水体倾倒生活垃圾等。</w:t>
                  </w:r>
                </w:p>
                <w:p w14:paraId="64F7206D">
                  <w:pPr>
                    <w:adjustRightInd w:val="0"/>
                    <w:snapToGrid w:val="0"/>
                    <w:rPr>
                      <w:rFonts w:hint="eastAsia" w:eastAsia="宋体"/>
                      <w:color w:val="auto"/>
                      <w:lang w:val="en-US" w:eastAsia="zh-CN"/>
                    </w:rPr>
                  </w:pPr>
                  <w:r>
                    <w:rPr>
                      <w:rFonts w:hint="eastAsia"/>
                      <w:color w:val="auto"/>
                      <w:lang w:val="en-US" w:eastAsia="zh-CN"/>
                    </w:rPr>
                    <w:t>2、本项目不属于</w:t>
                  </w:r>
                  <w:r>
                    <w:rPr>
                      <w:rFonts w:hint="eastAsia"/>
                      <w:color w:val="auto"/>
                    </w:rPr>
                    <w:t>落后产能项目</w:t>
                  </w:r>
                  <w:r>
                    <w:rPr>
                      <w:rFonts w:hint="eastAsia"/>
                      <w:color w:val="auto"/>
                      <w:lang w:eastAsia="zh-CN"/>
                    </w:rPr>
                    <w:t>、淘汰类或禁止类的建设项目和工艺。</w:t>
                  </w:r>
                </w:p>
                <w:p w14:paraId="77C69E8E">
                  <w:pPr>
                    <w:adjustRightInd w:val="0"/>
                    <w:snapToGrid w:val="0"/>
                    <w:rPr>
                      <w:rFonts w:hint="eastAsia" w:eastAsia="宋体"/>
                      <w:color w:val="auto"/>
                      <w:lang w:eastAsia="zh-CN"/>
                    </w:rPr>
                  </w:pPr>
                  <w:r>
                    <w:rPr>
                      <w:rFonts w:hint="eastAsia"/>
                      <w:color w:val="auto"/>
                      <w:lang w:val="en-US" w:eastAsia="zh-CN"/>
                    </w:rPr>
                    <w:t>3、本项目符合</w:t>
                  </w:r>
                  <w:r>
                    <w:rPr>
                      <w:rFonts w:hint="eastAsia"/>
                      <w:color w:val="auto"/>
                    </w:rPr>
                    <w:t>《长江经济带发展负面清单指南（试行，2022年版）》</w:t>
                  </w:r>
                  <w:r>
                    <w:rPr>
                      <w:rFonts w:hint="eastAsia"/>
                      <w:color w:val="auto"/>
                      <w:lang w:val="en-US" w:eastAsia="zh-CN"/>
                    </w:rPr>
                    <w:t>及</w:t>
                  </w:r>
                  <w:r>
                    <w:rPr>
                      <w:rFonts w:hint="eastAsia"/>
                      <w:color w:val="auto"/>
                    </w:rPr>
                    <w:t>苏长江办发〔2022〕55号</w:t>
                  </w:r>
                  <w:r>
                    <w:rPr>
                      <w:rFonts w:hint="eastAsia"/>
                      <w:color w:val="auto"/>
                      <w:lang w:val="en-US" w:eastAsia="zh-CN"/>
                    </w:rPr>
                    <w:t>文</w:t>
                  </w:r>
                  <w:r>
                    <w:rPr>
                      <w:rFonts w:hint="eastAsia"/>
                      <w:color w:val="auto"/>
                    </w:rPr>
                    <w:t>产业发展要求</w:t>
                  </w:r>
                  <w:r>
                    <w:rPr>
                      <w:rFonts w:hint="eastAsia"/>
                      <w:color w:val="auto"/>
                      <w:lang w:eastAsia="zh-CN"/>
                    </w:rPr>
                    <w:t>。</w:t>
                  </w:r>
                </w:p>
                <w:p w14:paraId="3C7208D8">
                  <w:pPr>
                    <w:adjustRightInd w:val="0"/>
                    <w:snapToGrid w:val="0"/>
                    <w:rPr>
                      <w:rFonts w:hint="eastAsia"/>
                      <w:color w:val="auto"/>
                      <w:lang w:eastAsia="zh-CN"/>
                    </w:rPr>
                  </w:pPr>
                  <w:r>
                    <w:rPr>
                      <w:rFonts w:hint="eastAsia"/>
                      <w:color w:val="auto"/>
                      <w:lang w:val="en-US" w:eastAsia="zh-CN"/>
                    </w:rPr>
                    <w:t>4、本项目</w:t>
                  </w:r>
                  <w:r>
                    <w:rPr>
                      <w:rFonts w:hint="eastAsia"/>
                      <w:color w:val="auto"/>
                    </w:rPr>
                    <w:t>不涉及电镀工艺，本项目不使用高VOCs含量的溶剂型涂料、油墨、胶黏剂</w:t>
                  </w:r>
                  <w:r>
                    <w:rPr>
                      <w:rFonts w:hint="eastAsia"/>
                      <w:color w:val="auto"/>
                      <w:lang w:eastAsia="zh-CN"/>
                    </w:rPr>
                    <w:t>。</w:t>
                  </w:r>
                </w:p>
                <w:p w14:paraId="34B1ECEB">
                  <w:pPr>
                    <w:adjustRightInd w:val="0"/>
                    <w:snapToGrid w:val="0"/>
                    <w:rPr>
                      <w:rFonts w:hint="eastAsia"/>
                      <w:color w:val="auto"/>
                      <w:lang w:val="en-US" w:eastAsia="zh-CN"/>
                    </w:rPr>
                  </w:pPr>
                  <w:r>
                    <w:rPr>
                      <w:rFonts w:hint="eastAsia"/>
                      <w:color w:val="auto"/>
                      <w:lang w:val="en-US" w:eastAsia="zh-CN"/>
                    </w:rPr>
                    <w:t>5、本项目产品不属于功能新材料。</w:t>
                  </w:r>
                </w:p>
                <w:p w14:paraId="47127D4A">
                  <w:pPr>
                    <w:adjustRightInd w:val="0"/>
                    <w:snapToGrid w:val="0"/>
                    <w:rPr>
                      <w:rFonts w:hint="eastAsia"/>
                      <w:color w:val="auto"/>
                      <w:lang w:val="en-US" w:eastAsia="zh-CN"/>
                    </w:rPr>
                  </w:pPr>
                  <w:r>
                    <w:rPr>
                      <w:rFonts w:hint="eastAsia"/>
                      <w:color w:val="auto"/>
                      <w:lang w:val="en-US" w:eastAsia="zh-CN"/>
                    </w:rPr>
                    <w:t>6、本项目不属于</w:t>
                  </w:r>
                  <w:r>
                    <w:rPr>
                      <w:rFonts w:hint="eastAsia"/>
                      <w:color w:val="auto"/>
                    </w:rPr>
                    <w:t>放射性废物、核设施退役工程的“三废”综合利用及治理工程</w:t>
                  </w:r>
                  <w:r>
                    <w:rPr>
                      <w:rFonts w:hint="eastAsia"/>
                      <w:color w:val="auto"/>
                      <w:lang w:eastAsia="zh-CN"/>
                    </w:rPr>
                    <w:t>，</w:t>
                  </w:r>
                  <w:r>
                    <w:rPr>
                      <w:rFonts w:hint="eastAsia"/>
                      <w:color w:val="auto"/>
                      <w:lang w:val="en-US" w:eastAsia="zh-CN"/>
                    </w:rPr>
                    <w:t>不涉及处置工业固体废物。</w:t>
                  </w:r>
                </w:p>
                <w:p w14:paraId="06D4B49E">
                  <w:pPr>
                    <w:adjustRightInd w:val="0"/>
                    <w:snapToGrid w:val="0"/>
                    <w:rPr>
                      <w:rFonts w:hint="default"/>
                      <w:color w:val="auto"/>
                      <w:lang w:val="en-US" w:eastAsia="zh-CN"/>
                    </w:rPr>
                  </w:pPr>
                  <w:r>
                    <w:rPr>
                      <w:rFonts w:hint="eastAsia"/>
                      <w:color w:val="auto"/>
                      <w:lang w:val="en-US" w:eastAsia="zh-CN"/>
                    </w:rPr>
                    <w:t>7、本项目符合通办〔2021〕59号文和海办〔2021〕116号文的要求。</w:t>
                  </w:r>
                </w:p>
              </w:tc>
            </w:tr>
            <w:tr w14:paraId="668DE4F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200" w:type="pct"/>
                  <w:vMerge w:val="continue"/>
                  <w:tcBorders>
                    <w:tl2br w:val="nil"/>
                    <w:tr2bl w:val="nil"/>
                  </w:tcBorders>
                  <w:vAlign w:val="center"/>
                </w:tcPr>
                <w:p w14:paraId="345D85C2">
                  <w:pPr>
                    <w:adjustRightInd w:val="0"/>
                    <w:snapToGrid w:val="0"/>
                    <w:jc w:val="center"/>
                    <w:rPr>
                      <w:color w:val="auto"/>
                    </w:rPr>
                  </w:pPr>
                </w:p>
              </w:tc>
              <w:tc>
                <w:tcPr>
                  <w:tcW w:w="438" w:type="pct"/>
                  <w:tcBorders>
                    <w:tl2br w:val="nil"/>
                    <w:tr2bl w:val="nil"/>
                  </w:tcBorders>
                  <w:vAlign w:val="center"/>
                </w:tcPr>
                <w:p w14:paraId="2511CB81">
                  <w:pPr>
                    <w:adjustRightInd w:val="0"/>
                    <w:snapToGrid w:val="0"/>
                    <w:jc w:val="center"/>
                    <w:rPr>
                      <w:color w:val="auto"/>
                    </w:rPr>
                  </w:pPr>
                  <w:r>
                    <w:rPr>
                      <w:rFonts w:hint="eastAsia"/>
                      <w:color w:val="auto"/>
                    </w:rPr>
                    <w:t>限制引入</w:t>
                  </w:r>
                </w:p>
              </w:tc>
              <w:tc>
                <w:tcPr>
                  <w:tcW w:w="3241" w:type="pct"/>
                  <w:tcBorders>
                    <w:tl2br w:val="nil"/>
                    <w:tr2bl w:val="nil"/>
                  </w:tcBorders>
                  <w:vAlign w:val="center"/>
                </w:tcPr>
                <w:p w14:paraId="7438C41B">
                  <w:pPr>
                    <w:numPr>
                      <w:ilvl w:val="0"/>
                      <w:numId w:val="3"/>
                    </w:numPr>
                    <w:adjustRightInd w:val="0"/>
                    <w:snapToGrid w:val="0"/>
                    <w:rPr>
                      <w:color w:val="auto"/>
                    </w:rPr>
                  </w:pPr>
                  <w:r>
                    <w:rPr>
                      <w:rFonts w:hint="eastAsia"/>
                      <w:color w:val="auto"/>
                    </w:rPr>
                    <w:t>《江苏省通榆河水污染防治条例》一级保护区限制工业开发建设，不符合管控要求的现有企业实施关停或搬迁，其他企业存续期间除节能减排项目外不得扩建排放废水的项目。</w:t>
                  </w:r>
                </w:p>
                <w:p w14:paraId="3BF61CBC">
                  <w:pPr>
                    <w:adjustRightInd w:val="0"/>
                    <w:snapToGrid w:val="0"/>
                    <w:rPr>
                      <w:color w:val="auto"/>
                    </w:rPr>
                  </w:pPr>
                  <w:r>
                    <w:rPr>
                      <w:rFonts w:hint="eastAsia"/>
                      <w:color w:val="auto"/>
                    </w:rPr>
                    <w:t>2、严格限制引入“两高”项目，确需引入的“两高”项目应坚决落实能耗减量替代政策。</w:t>
                  </w:r>
                </w:p>
              </w:tc>
              <w:tc>
                <w:tcPr>
                  <w:tcW w:w="1120" w:type="pct"/>
                  <w:tcBorders>
                    <w:tl2br w:val="nil"/>
                    <w:tr2bl w:val="nil"/>
                  </w:tcBorders>
                  <w:vAlign w:val="center"/>
                </w:tcPr>
                <w:p w14:paraId="39198799">
                  <w:pPr>
                    <w:adjustRightInd w:val="0"/>
                    <w:snapToGrid w:val="0"/>
                    <w:rPr>
                      <w:rFonts w:hint="default" w:eastAsia="宋体"/>
                      <w:color w:val="auto"/>
                      <w:lang w:val="en-US" w:eastAsia="zh-CN"/>
                    </w:rPr>
                  </w:pPr>
                  <w:r>
                    <w:rPr>
                      <w:rFonts w:hint="eastAsia"/>
                      <w:color w:val="auto"/>
                      <w:lang w:val="en-US" w:eastAsia="zh-CN"/>
                    </w:rPr>
                    <w:t>本项目所在地</w:t>
                  </w:r>
                  <w:r>
                    <w:rPr>
                      <w:rFonts w:hint="eastAsia"/>
                      <w:color w:val="auto"/>
                    </w:rPr>
                    <w:t>不属于通榆河保护区范围</w:t>
                  </w:r>
                  <w:r>
                    <w:rPr>
                      <w:rFonts w:hint="eastAsia"/>
                      <w:color w:val="auto"/>
                      <w:lang w:eastAsia="zh-CN"/>
                    </w:rPr>
                    <w:t>，</w:t>
                  </w:r>
                  <w:r>
                    <w:rPr>
                      <w:rFonts w:hint="eastAsia"/>
                      <w:color w:val="auto"/>
                      <w:lang w:val="en-US" w:eastAsia="zh-CN"/>
                    </w:rPr>
                    <w:t>本项目不属于两高项目。</w:t>
                  </w:r>
                </w:p>
              </w:tc>
            </w:tr>
            <w:tr w14:paraId="3AF44F0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638" w:type="pct"/>
                  <w:gridSpan w:val="2"/>
                  <w:tcBorders>
                    <w:tl2br w:val="nil"/>
                    <w:tr2bl w:val="nil"/>
                  </w:tcBorders>
                  <w:vAlign w:val="center"/>
                </w:tcPr>
                <w:p w14:paraId="0286FE10">
                  <w:pPr>
                    <w:adjustRightInd w:val="0"/>
                    <w:snapToGrid w:val="0"/>
                    <w:jc w:val="center"/>
                    <w:rPr>
                      <w:color w:val="auto"/>
                    </w:rPr>
                  </w:pPr>
                  <w:r>
                    <w:rPr>
                      <w:rFonts w:hint="eastAsia"/>
                      <w:color w:val="auto"/>
                    </w:rPr>
                    <w:t>空间布局约束</w:t>
                  </w:r>
                </w:p>
              </w:tc>
              <w:tc>
                <w:tcPr>
                  <w:tcW w:w="3241" w:type="pct"/>
                  <w:tcBorders>
                    <w:tl2br w:val="nil"/>
                    <w:tr2bl w:val="nil"/>
                  </w:tcBorders>
                  <w:vAlign w:val="center"/>
                </w:tcPr>
                <w:p w14:paraId="05DABE0E">
                  <w:pPr>
                    <w:numPr>
                      <w:ilvl w:val="0"/>
                      <w:numId w:val="4"/>
                    </w:numPr>
                    <w:adjustRightInd w:val="0"/>
                    <w:snapToGrid w:val="0"/>
                    <w:rPr>
                      <w:color w:val="auto"/>
                    </w:rPr>
                  </w:pPr>
                  <w:r>
                    <w:rPr>
                      <w:rFonts w:hint="eastAsia"/>
                      <w:color w:val="auto"/>
                    </w:rPr>
                    <w:t>工业用地与人口集中居住区之间，应设置以道路（河道）+防护林为主要形式的空间防护带，防护带的宽度原则上不小于50米，非生产型企业空间防护距离可以适当缩小，但不应小于30米。</w:t>
                  </w:r>
                </w:p>
                <w:p w14:paraId="54E98685">
                  <w:pPr>
                    <w:numPr>
                      <w:ilvl w:val="0"/>
                      <w:numId w:val="4"/>
                    </w:numPr>
                    <w:adjustRightInd w:val="0"/>
                    <w:snapToGrid w:val="0"/>
                    <w:rPr>
                      <w:color w:val="auto"/>
                    </w:rPr>
                  </w:pPr>
                  <w:r>
                    <w:rPr>
                      <w:rFonts w:hint="eastAsia"/>
                      <w:color w:val="auto"/>
                    </w:rPr>
                    <w:t>如海运河两侧设置30米宽的绿化隔离带。高新区边界桥港河设置不小于30米空间防护带。</w:t>
                  </w:r>
                </w:p>
                <w:p w14:paraId="7D2ED5B7">
                  <w:pPr>
                    <w:numPr>
                      <w:ilvl w:val="0"/>
                      <w:numId w:val="4"/>
                    </w:numPr>
                    <w:adjustRightInd w:val="0"/>
                    <w:snapToGrid w:val="0"/>
                    <w:rPr>
                      <w:color w:val="auto"/>
                    </w:rPr>
                  </w:pPr>
                  <w:r>
                    <w:rPr>
                      <w:rFonts w:hint="eastAsia"/>
                      <w:color w:val="auto"/>
                    </w:rPr>
                    <w:t>对于居住区周边已开发的工业用地，应加强对现状企业的环境监督管理确保其污染物达标排放；对于居住区周边已开发且后续实施用地置换的工业用地，以及居住区周边未开发的工业用地，优先引入无污染或轻污染的企业或项目，禁止引进排放恶臭、有毒有害、“三致”物质的建设项目。</w:t>
                  </w:r>
                </w:p>
                <w:p w14:paraId="7E797BFD">
                  <w:pPr>
                    <w:adjustRightInd w:val="0"/>
                    <w:snapToGrid w:val="0"/>
                    <w:rPr>
                      <w:color w:val="auto"/>
                    </w:rPr>
                  </w:pPr>
                  <w:r>
                    <w:rPr>
                      <w:rFonts w:hint="eastAsia"/>
                      <w:color w:val="auto"/>
                    </w:rPr>
                    <w:t>4、《江苏省通榆河水污染防治条例》一级保护区禁止不符合要求的开发建设。</w:t>
                  </w:r>
                </w:p>
              </w:tc>
              <w:tc>
                <w:tcPr>
                  <w:tcW w:w="1120" w:type="pct"/>
                  <w:tcBorders>
                    <w:tl2br w:val="nil"/>
                    <w:tr2bl w:val="nil"/>
                  </w:tcBorders>
                  <w:vAlign w:val="center"/>
                </w:tcPr>
                <w:p w14:paraId="25E24364">
                  <w:pPr>
                    <w:adjustRightInd w:val="0"/>
                    <w:snapToGrid w:val="0"/>
                    <w:jc w:val="center"/>
                    <w:rPr>
                      <w:color w:val="auto"/>
                    </w:rPr>
                  </w:pPr>
                  <w:r>
                    <w:rPr>
                      <w:rFonts w:hint="eastAsia"/>
                      <w:color w:val="auto"/>
                    </w:rPr>
                    <w:t>本项目</w:t>
                  </w:r>
                  <w:r>
                    <w:rPr>
                      <w:rFonts w:hint="eastAsia"/>
                      <w:color w:val="auto"/>
                      <w:lang w:val="en-US" w:eastAsia="zh-CN"/>
                    </w:rPr>
                    <w:t>厂区</w:t>
                  </w:r>
                  <w:r>
                    <w:rPr>
                      <w:rFonts w:hint="eastAsia"/>
                      <w:color w:val="auto"/>
                    </w:rPr>
                    <w:t>50米范围内无</w:t>
                  </w:r>
                  <w:r>
                    <w:rPr>
                      <w:rFonts w:hint="eastAsia"/>
                      <w:color w:val="auto"/>
                      <w:lang w:val="en-US" w:eastAsia="zh-CN"/>
                    </w:rPr>
                    <w:t>规划的</w:t>
                  </w:r>
                  <w:r>
                    <w:rPr>
                      <w:rFonts w:hint="eastAsia"/>
                      <w:color w:val="auto"/>
                    </w:rPr>
                    <w:t>人口集中居住区，</w:t>
                  </w:r>
                  <w:r>
                    <w:rPr>
                      <w:rFonts w:hint="eastAsia"/>
                      <w:color w:val="auto"/>
                      <w:lang w:val="en-US" w:eastAsia="zh-CN"/>
                    </w:rPr>
                    <w:t>且本项目2009年建厂并通过一期项目环评审批，时间处于规划时间之前，故</w:t>
                  </w:r>
                  <w:r>
                    <w:rPr>
                      <w:rFonts w:hint="eastAsia"/>
                      <w:color w:val="auto"/>
                    </w:rPr>
                    <w:t>符合防护带宽度要求；本项目为[C3534]饲料生产专用设备制造，不属于排放恶臭、有毒有害、“三致”物质的建设项目；本项目位于江苏省海安高新技术产业开发区田庄村18组，不属于通榆河保护区范围。</w:t>
                  </w:r>
                </w:p>
              </w:tc>
            </w:tr>
            <w:tr w14:paraId="7EBC11D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638" w:type="pct"/>
                  <w:gridSpan w:val="2"/>
                  <w:tcBorders>
                    <w:tl2br w:val="nil"/>
                    <w:tr2bl w:val="nil"/>
                  </w:tcBorders>
                  <w:vAlign w:val="center"/>
                </w:tcPr>
                <w:p w14:paraId="201D3AE4">
                  <w:pPr>
                    <w:adjustRightInd w:val="0"/>
                    <w:snapToGrid w:val="0"/>
                    <w:jc w:val="center"/>
                    <w:rPr>
                      <w:color w:val="auto"/>
                    </w:rPr>
                  </w:pPr>
                  <w:r>
                    <w:rPr>
                      <w:rFonts w:hint="eastAsia"/>
                      <w:color w:val="auto"/>
                    </w:rPr>
                    <w:t>污染物排放管控</w:t>
                  </w:r>
                </w:p>
              </w:tc>
              <w:tc>
                <w:tcPr>
                  <w:tcW w:w="3241" w:type="pct"/>
                  <w:tcBorders>
                    <w:tl2br w:val="nil"/>
                    <w:tr2bl w:val="nil"/>
                  </w:tcBorders>
                  <w:vAlign w:val="center"/>
                </w:tcPr>
                <w:p w14:paraId="503A72BF">
                  <w:pPr>
                    <w:adjustRightInd w:val="0"/>
                    <w:snapToGrid w:val="0"/>
                    <w:rPr>
                      <w:color w:val="auto"/>
                    </w:rPr>
                  </w:pPr>
                  <w:r>
                    <w:rPr>
                      <w:rFonts w:hint="eastAsia"/>
                      <w:color w:val="auto"/>
                    </w:rPr>
                    <w:t>1、环境质量：</w:t>
                  </w:r>
                </w:p>
                <w:p w14:paraId="17378566">
                  <w:pPr>
                    <w:adjustRightInd w:val="0"/>
                    <w:snapToGrid w:val="0"/>
                    <w:rPr>
                      <w:color w:val="auto"/>
                    </w:rPr>
                  </w:pPr>
                  <w:r>
                    <w:rPr>
                      <w:rFonts w:hint="eastAsia"/>
                      <w:color w:val="auto"/>
                    </w:rPr>
                    <w:t>（1）大气环境质量达到《环境空气质量标准》二级标准、《环境影响评价技术导则 大气环境》（HJ2.2-2018）附录D其他污染物空气质量浓度参考限值等。到2025年，环境空气细颗粒物（PM</w:t>
                  </w:r>
                  <w:r>
                    <w:rPr>
                      <w:rFonts w:hint="eastAsia"/>
                      <w:color w:val="auto"/>
                      <w:vertAlign w:val="subscript"/>
                    </w:rPr>
                    <w:t>2.5</w:t>
                  </w:r>
                  <w:r>
                    <w:rPr>
                      <w:rFonts w:hint="eastAsia"/>
                      <w:color w:val="auto"/>
                    </w:rPr>
                    <w:t>）、臭氧、二氧化氮浓度分别达到29、160、19微克/立方米；</w:t>
                  </w:r>
                </w:p>
                <w:p w14:paraId="547C7A8E">
                  <w:pPr>
                    <w:adjustRightInd w:val="0"/>
                    <w:snapToGrid w:val="0"/>
                    <w:rPr>
                      <w:color w:val="auto"/>
                    </w:rPr>
                  </w:pPr>
                  <w:r>
                    <w:rPr>
                      <w:rFonts w:hint="eastAsia"/>
                      <w:color w:val="auto"/>
                    </w:rPr>
                    <w:t>（2）地表水环境质量：通扬运河、如海运河、桥港河、陈家港、如焦河、胜利河、团结河、丰产河及纳污河道栟茶运河稳定达到</w:t>
                  </w:r>
                  <w:r>
                    <w:rPr>
                      <w:color w:val="auto"/>
                    </w:rPr>
                    <w:t>Ⅲ</w:t>
                  </w:r>
                  <w:r>
                    <w:rPr>
                      <w:rFonts w:hint="eastAsia"/>
                      <w:color w:val="auto"/>
                    </w:rPr>
                    <w:t>类水质标准。（3）土壤环境质量达到《土壤环境质量</w:t>
                  </w:r>
                  <w:r>
                    <w:rPr>
                      <w:rFonts w:hint="eastAsia"/>
                      <w:color w:val="auto"/>
                      <w:lang w:val="en-US" w:eastAsia="zh-CN"/>
                    </w:rPr>
                    <w:t xml:space="preserve"> </w:t>
                  </w:r>
                  <w:r>
                    <w:rPr>
                      <w:rFonts w:hint="eastAsia"/>
                      <w:color w:val="auto"/>
                    </w:rPr>
                    <w:t>建设用地土壤污染风险管控标准</w:t>
                  </w:r>
                  <w:r>
                    <w:rPr>
                      <w:rFonts w:hint="eastAsia"/>
                      <w:color w:val="auto"/>
                      <w:lang w:eastAsia="zh-CN"/>
                    </w:rPr>
                    <w:t>（</w:t>
                  </w:r>
                  <w:r>
                    <w:rPr>
                      <w:rFonts w:hint="eastAsia"/>
                      <w:color w:val="auto"/>
                      <w:lang w:val="en-US" w:eastAsia="zh-CN"/>
                    </w:rPr>
                    <w:t>试行</w:t>
                  </w:r>
                  <w:r>
                    <w:rPr>
                      <w:rFonts w:hint="eastAsia"/>
                      <w:color w:val="auto"/>
                      <w:lang w:eastAsia="zh-CN"/>
                    </w:rPr>
                    <w:t>）</w:t>
                  </w:r>
                  <w:r>
                    <w:rPr>
                      <w:rFonts w:hint="eastAsia"/>
                      <w:color w:val="auto"/>
                    </w:rPr>
                    <w:t>》（GB36600-2018）和《土壤环境质量 农用地土壤污染风险管控标准</w:t>
                  </w:r>
                  <w:r>
                    <w:rPr>
                      <w:rFonts w:hint="eastAsia"/>
                      <w:color w:val="auto"/>
                      <w:lang w:eastAsia="zh-CN"/>
                    </w:rPr>
                    <w:t>（</w:t>
                  </w:r>
                  <w:r>
                    <w:rPr>
                      <w:rFonts w:hint="eastAsia"/>
                      <w:color w:val="auto"/>
                      <w:lang w:val="en-US" w:eastAsia="zh-CN"/>
                    </w:rPr>
                    <w:t>试行</w:t>
                  </w:r>
                  <w:r>
                    <w:rPr>
                      <w:rFonts w:hint="eastAsia"/>
                      <w:color w:val="auto"/>
                      <w:lang w:eastAsia="zh-CN"/>
                    </w:rPr>
                    <w:t>）》</w:t>
                  </w:r>
                  <w:r>
                    <w:rPr>
                      <w:rFonts w:hint="eastAsia"/>
                      <w:color w:val="auto"/>
                    </w:rPr>
                    <w:t>（GB15618-2018）相应的标准要求。</w:t>
                  </w:r>
                </w:p>
                <w:p w14:paraId="55507CC1">
                  <w:pPr>
                    <w:adjustRightInd w:val="0"/>
                    <w:snapToGrid w:val="0"/>
                    <w:rPr>
                      <w:color w:val="auto"/>
                    </w:rPr>
                  </w:pPr>
                  <w:r>
                    <w:rPr>
                      <w:rFonts w:hint="eastAsia"/>
                      <w:color w:val="auto"/>
                    </w:rPr>
                    <w:t>（4）声环境质量：满足《声环境质量标准》（GB3096-2008）中相应声环境功能区标准要求。</w:t>
                  </w:r>
                </w:p>
                <w:p w14:paraId="4AC6BA8C">
                  <w:pPr>
                    <w:adjustRightInd w:val="0"/>
                    <w:snapToGrid w:val="0"/>
                    <w:rPr>
                      <w:color w:val="auto"/>
                    </w:rPr>
                  </w:pPr>
                  <w:r>
                    <w:rPr>
                      <w:rFonts w:hint="eastAsia"/>
                      <w:color w:val="auto"/>
                    </w:rPr>
                    <w:t>2、总量控制要求</w:t>
                  </w:r>
                </w:p>
                <w:p w14:paraId="4B94EE44">
                  <w:pPr>
                    <w:adjustRightInd w:val="0"/>
                    <w:snapToGrid w:val="0"/>
                    <w:rPr>
                      <w:color w:val="auto"/>
                    </w:rPr>
                  </w:pPr>
                  <w:r>
                    <w:rPr>
                      <w:rFonts w:hint="eastAsia"/>
                      <w:color w:val="auto"/>
                    </w:rPr>
                    <w:t>（1）水污染物（外排量，吨/年）：2025年排放量，化学需氧量≤161.15、氨氮≤16.11、总氨≤48.34、总磷≤1.21；2035年排放量，化学需氧量≤168.69、氨</w:t>
                  </w:r>
                  <w:r>
                    <w:rPr>
                      <w:rFonts w:hint="eastAsia"/>
                      <w:color w:val="auto"/>
                      <w:lang w:val="en-US" w:eastAsia="zh-CN"/>
                    </w:rPr>
                    <w:t>氮</w:t>
                  </w:r>
                  <w:r>
                    <w:rPr>
                      <w:rFonts w:hint="eastAsia"/>
                      <w:color w:val="auto"/>
                    </w:rPr>
                    <w:t>≤16.87、总氮≤50.61、总磷≤1.27；</w:t>
                  </w:r>
                </w:p>
                <w:p w14:paraId="481019F3">
                  <w:pPr>
                    <w:adjustRightInd w:val="0"/>
                    <w:snapToGrid w:val="0"/>
                    <w:rPr>
                      <w:color w:val="auto"/>
                    </w:rPr>
                  </w:pPr>
                  <w:r>
                    <w:rPr>
                      <w:rFonts w:hint="eastAsia"/>
                      <w:color w:val="auto"/>
                    </w:rPr>
                    <w:t>（2）大气污染物（吨/年）：2025年排放量，二氧化硫≤89.47、挥发性有机物≤92.05、颗粒物≤245.10、氮氧化物≤272.62、氯化氢≤9.33；2035年排放量，二氧化硫≤89.50、挥发性有机物≤93.69、颗粒物≤246.87、氮氧化物≤273.08、氯化氢≤9.40。</w:t>
                  </w:r>
                </w:p>
                <w:p w14:paraId="7392D23D">
                  <w:pPr>
                    <w:adjustRightInd w:val="0"/>
                    <w:snapToGrid w:val="0"/>
                    <w:rPr>
                      <w:color w:val="auto"/>
                    </w:rPr>
                  </w:pPr>
                  <w:r>
                    <w:rPr>
                      <w:rFonts w:hint="eastAsia"/>
                      <w:color w:val="auto"/>
                    </w:rPr>
                    <w:t>3、规划实施时各年度允许排放总量按照《江苏省工业园区（集中区）污染物排放限值限量管理工作方案（试行）》《南通市工业园区（集中区）污染物排放定值定量工作方案》等要求确定。</w:t>
                  </w:r>
                </w:p>
              </w:tc>
              <w:tc>
                <w:tcPr>
                  <w:tcW w:w="1120" w:type="pct"/>
                  <w:tcBorders>
                    <w:tl2br w:val="nil"/>
                    <w:tr2bl w:val="nil"/>
                  </w:tcBorders>
                  <w:vAlign w:val="center"/>
                </w:tcPr>
                <w:p w14:paraId="59F36CBA">
                  <w:pPr>
                    <w:adjustRightInd w:val="0"/>
                    <w:snapToGrid w:val="0"/>
                    <w:jc w:val="center"/>
                    <w:rPr>
                      <w:color w:val="auto"/>
                    </w:rPr>
                  </w:pPr>
                  <w:r>
                    <w:rPr>
                      <w:rFonts w:hint="eastAsia"/>
                      <w:color w:val="auto"/>
                    </w:rPr>
                    <w:t>本项目新增总量已在区域内落实。</w:t>
                  </w:r>
                </w:p>
              </w:tc>
            </w:tr>
            <w:tr w14:paraId="345A363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638" w:type="pct"/>
                  <w:gridSpan w:val="2"/>
                  <w:tcBorders>
                    <w:tl2br w:val="nil"/>
                    <w:tr2bl w:val="nil"/>
                  </w:tcBorders>
                  <w:vAlign w:val="center"/>
                </w:tcPr>
                <w:p w14:paraId="7AD9B24E">
                  <w:pPr>
                    <w:adjustRightInd w:val="0"/>
                    <w:snapToGrid w:val="0"/>
                    <w:jc w:val="center"/>
                    <w:rPr>
                      <w:color w:val="auto"/>
                    </w:rPr>
                  </w:pPr>
                  <w:r>
                    <w:rPr>
                      <w:rFonts w:hint="eastAsia"/>
                      <w:color w:val="auto"/>
                    </w:rPr>
                    <w:t>环境风险防控</w:t>
                  </w:r>
                </w:p>
              </w:tc>
              <w:tc>
                <w:tcPr>
                  <w:tcW w:w="3241" w:type="pct"/>
                  <w:tcBorders>
                    <w:tl2br w:val="nil"/>
                    <w:tr2bl w:val="nil"/>
                  </w:tcBorders>
                  <w:vAlign w:val="center"/>
                </w:tcPr>
                <w:p w14:paraId="2D5FFF11">
                  <w:pPr>
                    <w:numPr>
                      <w:ilvl w:val="0"/>
                      <w:numId w:val="5"/>
                    </w:numPr>
                    <w:adjustRightInd w:val="0"/>
                    <w:snapToGrid w:val="0"/>
                    <w:rPr>
                      <w:color w:val="auto"/>
                    </w:rPr>
                  </w:pPr>
                  <w:r>
                    <w:rPr>
                      <w:rFonts w:hint="eastAsia"/>
                      <w:color w:val="auto"/>
                    </w:rPr>
                    <w:t>建立突发水污染事件等环境应急防范体系，完善“企业-公共管网-区内水体”水污染三级防控基础设施建设，完善事故应急救援体系，加强应急队伍建设、应急物资装备储备，编制突发环境事件应急预案，定期开展演练。</w:t>
                  </w:r>
                </w:p>
                <w:p w14:paraId="3BB26327">
                  <w:pPr>
                    <w:numPr>
                      <w:ilvl w:val="0"/>
                      <w:numId w:val="5"/>
                    </w:numPr>
                    <w:adjustRightInd w:val="0"/>
                    <w:snapToGrid w:val="0"/>
                    <w:rPr>
                      <w:color w:val="auto"/>
                    </w:rPr>
                  </w:pPr>
                  <w:r>
                    <w:rPr>
                      <w:rFonts w:hint="eastAsia"/>
                      <w:color w:val="auto"/>
                    </w:rPr>
                    <w:t>生产、使用、储存危险化学品或其他存在环境风险的企事业单位，应当制定风险防范措施，编制完善突发环境事件应急预案，防止发生环境污染事故；</w:t>
                  </w:r>
                </w:p>
                <w:p w14:paraId="4F93B3F5">
                  <w:pPr>
                    <w:numPr>
                      <w:ilvl w:val="0"/>
                      <w:numId w:val="5"/>
                    </w:numPr>
                    <w:adjustRightInd w:val="0"/>
                    <w:snapToGrid w:val="0"/>
                    <w:rPr>
                      <w:color w:val="auto"/>
                    </w:rPr>
                  </w:pPr>
                  <w:r>
                    <w:rPr>
                      <w:rFonts w:hint="eastAsia"/>
                      <w:color w:val="auto"/>
                    </w:rPr>
                    <w:t>建立完善包括环境空气、地表水、地下水、土壤等环境要素的监控体系做好长期跟踪监测与管理。</w:t>
                  </w:r>
                </w:p>
                <w:p w14:paraId="66DFC4B3">
                  <w:pPr>
                    <w:adjustRightInd w:val="0"/>
                    <w:snapToGrid w:val="0"/>
                    <w:rPr>
                      <w:color w:val="auto"/>
                    </w:rPr>
                  </w:pPr>
                  <w:r>
                    <w:rPr>
                      <w:rFonts w:hint="eastAsia"/>
                      <w:color w:val="auto"/>
                    </w:rPr>
                    <w:t>4、高新区应构建与海安市、周边区镇之间的联动应急响应体系，实行联防联控。加强通榆河一级保护区-如海运河两侧1公里范围的环境风险管控。</w:t>
                  </w:r>
                </w:p>
              </w:tc>
              <w:tc>
                <w:tcPr>
                  <w:tcW w:w="1120" w:type="pct"/>
                  <w:tcBorders>
                    <w:tl2br w:val="nil"/>
                    <w:tr2bl w:val="nil"/>
                  </w:tcBorders>
                  <w:vAlign w:val="center"/>
                </w:tcPr>
                <w:p w14:paraId="04B8B42C">
                  <w:pPr>
                    <w:adjustRightInd w:val="0"/>
                    <w:snapToGrid w:val="0"/>
                    <w:jc w:val="center"/>
                    <w:rPr>
                      <w:color w:val="auto"/>
                    </w:rPr>
                  </w:pPr>
                  <w:r>
                    <w:rPr>
                      <w:rFonts w:hint="eastAsia"/>
                      <w:color w:val="auto"/>
                    </w:rPr>
                    <w:t>本项目强化环境应急体系建设，生产落实环境风险防范措施。运营期做好各环境要素的例行检测。</w:t>
                  </w:r>
                </w:p>
              </w:tc>
            </w:tr>
            <w:tr w14:paraId="56D9E56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638" w:type="pct"/>
                  <w:gridSpan w:val="2"/>
                  <w:tcBorders>
                    <w:tl2br w:val="nil"/>
                    <w:tr2bl w:val="nil"/>
                  </w:tcBorders>
                  <w:vAlign w:val="center"/>
                </w:tcPr>
                <w:p w14:paraId="046CF64F">
                  <w:pPr>
                    <w:adjustRightInd w:val="0"/>
                    <w:snapToGrid w:val="0"/>
                    <w:jc w:val="center"/>
                    <w:rPr>
                      <w:color w:val="auto"/>
                    </w:rPr>
                  </w:pPr>
                  <w:r>
                    <w:rPr>
                      <w:rFonts w:hint="eastAsia"/>
                      <w:color w:val="auto"/>
                    </w:rPr>
                    <w:t>资源开发利用要求</w:t>
                  </w:r>
                </w:p>
              </w:tc>
              <w:tc>
                <w:tcPr>
                  <w:tcW w:w="3241" w:type="pct"/>
                  <w:tcBorders>
                    <w:tl2br w:val="nil"/>
                    <w:tr2bl w:val="nil"/>
                  </w:tcBorders>
                  <w:vAlign w:val="center"/>
                </w:tcPr>
                <w:p w14:paraId="6CD51B82">
                  <w:pPr>
                    <w:numPr>
                      <w:ilvl w:val="0"/>
                      <w:numId w:val="6"/>
                    </w:numPr>
                    <w:adjustRightInd w:val="0"/>
                    <w:snapToGrid w:val="0"/>
                    <w:rPr>
                      <w:color w:val="auto"/>
                    </w:rPr>
                  </w:pPr>
                  <w:r>
                    <w:rPr>
                      <w:rFonts w:hint="eastAsia"/>
                      <w:color w:val="auto"/>
                    </w:rPr>
                    <w:t>引进项目的生产工艺、设备、能耗、污染物排放、资源利用等应达到同行业国际先进水平。同时满足《南通市关于加大污染减排力度推进重点行业绿色发展的指导意见》（通办〔2021〕59号）和《关于印发海安市推进重点行业绿色发展实施方案的通知》（海办〔2021〕116号）的要求。</w:t>
                  </w:r>
                </w:p>
                <w:p w14:paraId="05020D65">
                  <w:pPr>
                    <w:numPr>
                      <w:ilvl w:val="0"/>
                      <w:numId w:val="6"/>
                    </w:numPr>
                    <w:adjustRightInd w:val="0"/>
                    <w:snapToGrid w:val="0"/>
                    <w:rPr>
                      <w:color w:val="auto"/>
                    </w:rPr>
                  </w:pPr>
                  <w:r>
                    <w:rPr>
                      <w:rFonts w:hint="eastAsia"/>
                      <w:color w:val="auto"/>
                    </w:rPr>
                    <w:t>单位工业增加值新鲜水耗≤7立方米/万元，禁止新增取用地下水。3、单位工业用地面积工业增加值≥15亿元/平方公里。高端装备制造行业新建企业亩均工业产值≥120万元/亩、亩均税收&gt;13.3万元/亩。</w:t>
                  </w:r>
                </w:p>
                <w:p w14:paraId="3B1A6C5D">
                  <w:pPr>
                    <w:adjustRightInd w:val="0"/>
                    <w:snapToGrid w:val="0"/>
                    <w:rPr>
                      <w:color w:val="auto"/>
                    </w:rPr>
                  </w:pPr>
                  <w:r>
                    <w:rPr>
                      <w:rFonts w:hint="eastAsia"/>
                      <w:color w:val="auto"/>
                    </w:rPr>
                    <w:t>4、万元工业增加值综合能耗≤0.3kgce/万元。</w:t>
                  </w:r>
                </w:p>
              </w:tc>
              <w:tc>
                <w:tcPr>
                  <w:tcW w:w="1120" w:type="pct"/>
                  <w:tcBorders>
                    <w:tl2br w:val="nil"/>
                    <w:tr2bl w:val="nil"/>
                  </w:tcBorders>
                  <w:vAlign w:val="center"/>
                </w:tcPr>
                <w:p w14:paraId="1440AFE7">
                  <w:pPr>
                    <w:adjustRightInd w:val="0"/>
                    <w:snapToGrid w:val="0"/>
                    <w:jc w:val="center"/>
                    <w:rPr>
                      <w:color w:val="auto"/>
                    </w:rPr>
                  </w:pPr>
                  <w:r>
                    <w:rPr>
                      <w:rFonts w:hint="eastAsia"/>
                      <w:color w:val="auto"/>
                    </w:rPr>
                    <w:t>本项目生产工艺、设备、能耗、污染物排放、资源利用等应达到同行业国际先进水平；满足《南通市关于加大污染减排力度推进重点行业绿色发展的指导意见》（通办〔2021〕59号）和《关于印发海安市推进重点行业绿色发展实施方案的通知》（海办〔2021〕116号）的要求。</w:t>
                  </w:r>
                </w:p>
              </w:tc>
            </w:tr>
          </w:tbl>
          <w:p w14:paraId="28C8CABB">
            <w:pPr>
              <w:adjustRightInd w:val="0"/>
              <w:snapToGrid w:val="0"/>
              <w:spacing w:line="360" w:lineRule="auto"/>
              <w:ind w:firstLine="482" w:firstLineChars="200"/>
              <w:outlineLvl w:val="2"/>
              <w:rPr>
                <w:b/>
                <w:bCs/>
                <w:color w:val="auto"/>
                <w:sz w:val="24"/>
                <w:szCs w:val="24"/>
              </w:rPr>
            </w:pPr>
            <w:r>
              <w:rPr>
                <w:rFonts w:hint="eastAsia"/>
                <w:b/>
                <w:bCs/>
                <w:color w:val="auto"/>
                <w:sz w:val="24"/>
                <w:szCs w:val="24"/>
              </w:rPr>
              <w:t>与《江苏省海安高新技术产业开发区开发建设规划（2021-2035年）环境影响报告书》结论及审查意见（苏环审〔2023〕86号）相符性</w:t>
            </w:r>
          </w:p>
          <w:p w14:paraId="08B65473">
            <w:pPr>
              <w:adjustRightInd w:val="0"/>
              <w:snapToGrid w:val="0"/>
              <w:jc w:val="center"/>
              <w:outlineLvl w:val="2"/>
              <w:rPr>
                <w:b/>
                <w:bCs/>
                <w:color w:val="auto"/>
                <w:sz w:val="24"/>
                <w:szCs w:val="24"/>
              </w:rPr>
            </w:pPr>
            <w:r>
              <w:rPr>
                <w:b/>
                <w:bCs/>
                <w:color w:val="auto"/>
                <w:sz w:val="24"/>
                <w:szCs w:val="24"/>
              </w:rPr>
              <w:t xml:space="preserve">表1-2 </w:t>
            </w:r>
            <w:r>
              <w:rPr>
                <w:rFonts w:hint="eastAsia"/>
                <w:b/>
                <w:bCs/>
                <w:color w:val="auto"/>
                <w:sz w:val="24"/>
                <w:szCs w:val="24"/>
              </w:rPr>
              <w:t>本项目与高新区规划环评及审查意见的相符性分析</w:t>
            </w:r>
          </w:p>
          <w:tbl>
            <w:tblPr>
              <w:tblStyle w:val="26"/>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57" w:type="dxa"/>
                <w:bottom w:w="0" w:type="dxa"/>
                <w:right w:w="57" w:type="dxa"/>
              </w:tblCellMar>
            </w:tblPr>
            <w:tblGrid>
              <w:gridCol w:w="602"/>
              <w:gridCol w:w="4247"/>
              <w:gridCol w:w="2604"/>
            </w:tblGrid>
            <w:tr w14:paraId="71E9068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blHeader/>
                <w:jc w:val="center"/>
              </w:trPr>
              <w:tc>
                <w:tcPr>
                  <w:tcW w:w="404" w:type="pct"/>
                  <w:tcBorders>
                    <w:top w:val="single" w:color="auto" w:sz="12" w:space="0"/>
                    <w:left w:val="nil"/>
                    <w:bottom w:val="single" w:color="auto" w:sz="4" w:space="0"/>
                    <w:right w:val="single" w:color="auto" w:sz="4" w:space="0"/>
                    <w:tl2br w:val="nil"/>
                    <w:tr2bl w:val="nil"/>
                  </w:tcBorders>
                  <w:vAlign w:val="center"/>
                </w:tcPr>
                <w:p w14:paraId="3DE4357F">
                  <w:pPr>
                    <w:adjustRightInd w:val="0"/>
                    <w:snapToGrid w:val="0"/>
                    <w:jc w:val="center"/>
                    <w:rPr>
                      <w:b/>
                      <w:color w:val="auto"/>
                    </w:rPr>
                  </w:pPr>
                  <w:r>
                    <w:rPr>
                      <w:rFonts w:hint="eastAsia"/>
                      <w:b/>
                      <w:color w:val="auto"/>
                    </w:rPr>
                    <w:t>序号</w:t>
                  </w:r>
                </w:p>
              </w:tc>
              <w:tc>
                <w:tcPr>
                  <w:tcW w:w="2848" w:type="pct"/>
                  <w:tcBorders>
                    <w:top w:val="single" w:color="auto" w:sz="12" w:space="0"/>
                    <w:left w:val="single" w:color="auto" w:sz="4" w:space="0"/>
                    <w:bottom w:val="single" w:color="auto" w:sz="4" w:space="0"/>
                    <w:right w:val="single" w:color="auto" w:sz="4" w:space="0"/>
                    <w:tl2br w:val="nil"/>
                    <w:tr2bl w:val="nil"/>
                  </w:tcBorders>
                  <w:vAlign w:val="center"/>
                </w:tcPr>
                <w:p w14:paraId="63A6D746">
                  <w:pPr>
                    <w:adjustRightInd w:val="0"/>
                    <w:snapToGrid w:val="0"/>
                    <w:jc w:val="center"/>
                    <w:rPr>
                      <w:b/>
                      <w:color w:val="auto"/>
                    </w:rPr>
                  </w:pPr>
                  <w:r>
                    <w:rPr>
                      <w:rFonts w:hint="eastAsia"/>
                      <w:b/>
                      <w:color w:val="auto"/>
                    </w:rPr>
                    <w:t>审查意见</w:t>
                  </w:r>
                </w:p>
              </w:tc>
              <w:tc>
                <w:tcPr>
                  <w:tcW w:w="1747" w:type="pct"/>
                  <w:tcBorders>
                    <w:top w:val="single" w:color="auto" w:sz="12" w:space="0"/>
                    <w:left w:val="single" w:color="auto" w:sz="4" w:space="0"/>
                    <w:bottom w:val="single" w:color="auto" w:sz="4" w:space="0"/>
                    <w:right w:val="nil"/>
                    <w:tl2br w:val="nil"/>
                    <w:tr2bl w:val="nil"/>
                  </w:tcBorders>
                  <w:vAlign w:val="center"/>
                </w:tcPr>
                <w:p w14:paraId="46BCD997">
                  <w:pPr>
                    <w:adjustRightInd w:val="0"/>
                    <w:snapToGrid w:val="0"/>
                    <w:jc w:val="center"/>
                    <w:rPr>
                      <w:b/>
                      <w:color w:val="auto"/>
                    </w:rPr>
                  </w:pPr>
                  <w:r>
                    <w:rPr>
                      <w:rFonts w:hint="eastAsia"/>
                      <w:b/>
                      <w:color w:val="auto"/>
                    </w:rPr>
                    <w:t>本项目相符性</w:t>
                  </w:r>
                </w:p>
              </w:tc>
            </w:tr>
            <w:tr w14:paraId="3853409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99" w:hRule="atLeast"/>
                <w:jc w:val="center"/>
              </w:trPr>
              <w:tc>
                <w:tcPr>
                  <w:tcW w:w="404" w:type="pct"/>
                  <w:tcBorders>
                    <w:top w:val="single" w:color="auto" w:sz="4" w:space="0"/>
                    <w:left w:val="nil"/>
                    <w:bottom w:val="single" w:color="auto" w:sz="4" w:space="0"/>
                    <w:right w:val="single" w:color="auto" w:sz="4" w:space="0"/>
                    <w:tl2br w:val="nil"/>
                    <w:tr2bl w:val="nil"/>
                  </w:tcBorders>
                  <w:vAlign w:val="center"/>
                </w:tcPr>
                <w:p w14:paraId="422BB336">
                  <w:pPr>
                    <w:adjustRightInd w:val="0"/>
                    <w:snapToGrid w:val="0"/>
                    <w:jc w:val="center"/>
                    <w:rPr>
                      <w:color w:val="auto"/>
                    </w:rPr>
                  </w:pPr>
                  <w:r>
                    <w:rPr>
                      <w:color w:val="auto"/>
                    </w:rPr>
                    <w:t>1</w:t>
                  </w:r>
                </w:p>
              </w:tc>
              <w:tc>
                <w:tcPr>
                  <w:tcW w:w="2848" w:type="pct"/>
                  <w:tcBorders>
                    <w:top w:val="single" w:color="auto" w:sz="4" w:space="0"/>
                    <w:left w:val="single" w:color="auto" w:sz="4" w:space="0"/>
                    <w:bottom w:val="single" w:color="auto" w:sz="4" w:space="0"/>
                    <w:right w:val="single" w:color="auto" w:sz="4" w:space="0"/>
                    <w:tl2br w:val="nil"/>
                    <w:tr2bl w:val="nil"/>
                  </w:tcBorders>
                  <w:vAlign w:val="center"/>
                </w:tcPr>
                <w:p w14:paraId="7B7AB6B6">
                  <w:pPr>
                    <w:adjustRightInd w:val="0"/>
                    <w:snapToGrid w:val="0"/>
                    <w:jc w:val="center"/>
                    <w:rPr>
                      <w:color w:val="auto"/>
                    </w:rPr>
                  </w:pPr>
                  <w:r>
                    <w:rPr>
                      <w:rFonts w:hint="eastAsia"/>
                      <w:color w:val="auto"/>
                    </w:rPr>
                    <w:t>《规划》应深入贯彻落实习近平生态文明思想，完整准确、全面贯彻新发展理念，坚持生态优先、节约集约，绿色低碳发展，以生态保护和环境质量持续改善为目标，做好与国土空间规划和生态环境分区管控体系的协调衔接；进一步优化《规划》布局、产业结构和发展规模，降低区域环境风险，协同推进生态环境高水平保护与经济高质量发展。</w:t>
                  </w:r>
                </w:p>
              </w:tc>
              <w:tc>
                <w:tcPr>
                  <w:tcW w:w="1747" w:type="pct"/>
                  <w:tcBorders>
                    <w:top w:val="single" w:color="auto" w:sz="4" w:space="0"/>
                    <w:left w:val="single" w:color="auto" w:sz="4" w:space="0"/>
                    <w:bottom w:val="single" w:color="auto" w:sz="4" w:space="0"/>
                    <w:right w:val="nil"/>
                    <w:tl2br w:val="nil"/>
                    <w:tr2bl w:val="nil"/>
                  </w:tcBorders>
                  <w:vAlign w:val="center"/>
                </w:tcPr>
                <w:p w14:paraId="02789F81">
                  <w:pPr>
                    <w:adjustRightInd w:val="0"/>
                    <w:snapToGrid w:val="0"/>
                    <w:jc w:val="center"/>
                    <w:rPr>
                      <w:color w:val="auto"/>
                    </w:rPr>
                  </w:pPr>
                  <w:r>
                    <w:rPr>
                      <w:rFonts w:hint="eastAsia"/>
                      <w:color w:val="auto"/>
                    </w:rPr>
                    <w:t>本项目位于江苏省海安高新技术产业开发区田庄村18组，位于传统产业组团（南）内，企业土地证用途为工业用地，符合《江苏省海安高新技术产业开发区开发建设规划（2021-2035年）环境影响报告书》中用地规划。本项目符合相应的国家产业政策，符合海安高新技术产业开发区产业定位，符合最新环保准入条件，不属于产业发展负面清单中限制和淘汰类产业。</w:t>
                  </w:r>
                </w:p>
              </w:tc>
            </w:tr>
            <w:tr w14:paraId="452CC90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99" w:hRule="atLeast"/>
                <w:jc w:val="center"/>
              </w:trPr>
              <w:tc>
                <w:tcPr>
                  <w:tcW w:w="404" w:type="pct"/>
                  <w:tcBorders>
                    <w:top w:val="single" w:color="auto" w:sz="4" w:space="0"/>
                    <w:left w:val="nil"/>
                    <w:bottom w:val="single" w:color="auto" w:sz="4" w:space="0"/>
                    <w:right w:val="single" w:color="auto" w:sz="4" w:space="0"/>
                    <w:tl2br w:val="nil"/>
                    <w:tr2bl w:val="nil"/>
                  </w:tcBorders>
                  <w:vAlign w:val="center"/>
                </w:tcPr>
                <w:p w14:paraId="6013D08C">
                  <w:pPr>
                    <w:adjustRightInd w:val="0"/>
                    <w:snapToGrid w:val="0"/>
                    <w:jc w:val="center"/>
                    <w:rPr>
                      <w:color w:val="auto"/>
                    </w:rPr>
                  </w:pPr>
                  <w:r>
                    <w:rPr>
                      <w:color w:val="auto"/>
                    </w:rPr>
                    <w:t>2</w:t>
                  </w:r>
                </w:p>
              </w:tc>
              <w:tc>
                <w:tcPr>
                  <w:tcW w:w="2848" w:type="pct"/>
                  <w:tcBorders>
                    <w:top w:val="single" w:color="auto" w:sz="4" w:space="0"/>
                    <w:left w:val="single" w:color="auto" w:sz="4" w:space="0"/>
                    <w:bottom w:val="single" w:color="auto" w:sz="4" w:space="0"/>
                    <w:right w:val="single" w:color="auto" w:sz="4" w:space="0"/>
                    <w:tl2br w:val="nil"/>
                    <w:tr2bl w:val="nil"/>
                  </w:tcBorders>
                  <w:vAlign w:val="center"/>
                </w:tcPr>
                <w:p w14:paraId="27222C7D">
                  <w:pPr>
                    <w:adjustRightInd w:val="0"/>
                    <w:snapToGrid w:val="0"/>
                    <w:jc w:val="center"/>
                    <w:rPr>
                      <w:color w:val="auto"/>
                    </w:rPr>
                  </w:pPr>
                  <w:r>
                    <w:rPr>
                      <w:rFonts w:hint="eastAsia"/>
                      <w:color w:val="auto"/>
                    </w:rPr>
                    <w:t>严格空间管控，优化空间布局。严格执行《江苏省通榆河水污染防治条例》（以下简称《条例》）等法律法规政策要求，禁止不符合要求的开发建设活动。高新区内绿地及水域在规划期内禁止开发利用。落实《报告书》提出的现有环境问题整改措施，加快如海运河东侧区域“退二进三”进程，通榆河一级保护区内不符合《条例》要求的项目于2025年底前完成搬迁或关停海安县新宁电镀电器设备有限公司、南通广联实业有限公司等2家电镀企业于2025年底前迁入海安市电子信息产业园区金属表面处理中心，退出前不得扩大现有规模和占地面积。加快推进用地不符企业腾退,强化工业企业退出和产业升级过程中的污染防治、生态修复。加强区内空间隔离带建设，如海运河两侧设置不少于30米的空间防护距离，确保高新区产业布局与生态环境保护、人居环境安全相协调。</w:t>
                  </w:r>
                </w:p>
              </w:tc>
              <w:tc>
                <w:tcPr>
                  <w:tcW w:w="1747" w:type="pct"/>
                  <w:tcBorders>
                    <w:top w:val="single" w:color="auto" w:sz="4" w:space="0"/>
                    <w:left w:val="single" w:color="auto" w:sz="4" w:space="0"/>
                    <w:bottom w:val="single" w:color="auto" w:sz="4" w:space="0"/>
                    <w:right w:val="nil"/>
                    <w:tl2br w:val="nil"/>
                    <w:tr2bl w:val="nil"/>
                  </w:tcBorders>
                  <w:vAlign w:val="center"/>
                </w:tcPr>
                <w:p w14:paraId="318C0395">
                  <w:pPr>
                    <w:adjustRightInd w:val="0"/>
                    <w:snapToGrid w:val="0"/>
                    <w:jc w:val="center"/>
                    <w:rPr>
                      <w:color w:val="auto"/>
                    </w:rPr>
                  </w:pPr>
                  <w:r>
                    <w:rPr>
                      <w:rFonts w:hint="eastAsia"/>
                      <w:color w:val="auto"/>
                    </w:rPr>
                    <w:t>本项目位于江苏省海安高新技术产业开发区田庄村18组。本项目属于[C3534]饲料生产专用设备制造，不属于文件中规定的污染环境的项目。</w:t>
                  </w:r>
                </w:p>
              </w:tc>
            </w:tr>
            <w:tr w14:paraId="0D0F5A1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99" w:hRule="atLeast"/>
                <w:jc w:val="center"/>
              </w:trPr>
              <w:tc>
                <w:tcPr>
                  <w:tcW w:w="404" w:type="pct"/>
                  <w:tcBorders>
                    <w:top w:val="single" w:color="auto" w:sz="4" w:space="0"/>
                    <w:left w:val="nil"/>
                    <w:bottom w:val="single" w:color="auto" w:sz="4" w:space="0"/>
                    <w:right w:val="single" w:color="auto" w:sz="4" w:space="0"/>
                    <w:tl2br w:val="nil"/>
                    <w:tr2bl w:val="nil"/>
                  </w:tcBorders>
                  <w:vAlign w:val="center"/>
                </w:tcPr>
                <w:p w14:paraId="53E38E57">
                  <w:pPr>
                    <w:adjustRightInd w:val="0"/>
                    <w:snapToGrid w:val="0"/>
                    <w:jc w:val="center"/>
                    <w:rPr>
                      <w:color w:val="auto"/>
                    </w:rPr>
                  </w:pPr>
                  <w:r>
                    <w:rPr>
                      <w:color w:val="auto"/>
                    </w:rPr>
                    <w:t>3</w:t>
                  </w:r>
                </w:p>
              </w:tc>
              <w:tc>
                <w:tcPr>
                  <w:tcW w:w="2848" w:type="pct"/>
                  <w:tcBorders>
                    <w:top w:val="single" w:color="auto" w:sz="4" w:space="0"/>
                    <w:left w:val="single" w:color="auto" w:sz="4" w:space="0"/>
                    <w:bottom w:val="single" w:color="auto" w:sz="4" w:space="0"/>
                    <w:right w:val="single" w:color="auto" w:sz="4" w:space="0"/>
                    <w:tl2br w:val="nil"/>
                    <w:tr2bl w:val="nil"/>
                  </w:tcBorders>
                  <w:vAlign w:val="center"/>
                </w:tcPr>
                <w:p w14:paraId="4411278E">
                  <w:pPr>
                    <w:adjustRightInd w:val="0"/>
                    <w:snapToGrid w:val="0"/>
                    <w:jc w:val="center"/>
                    <w:rPr>
                      <w:color w:val="auto"/>
                    </w:rPr>
                  </w:pPr>
                  <w:r>
                    <w:rPr>
                      <w:rFonts w:hint="eastAsia"/>
                      <w:color w:val="auto"/>
                    </w:rPr>
                    <w:t>严守环境质量底线，实施污染物排放限值限量管理落实国家和江苏省关于大气、水、土壤、噪声污染防治、区域生态环境分区管控、工业园区（集中区）污染物排放限值限量管理相关要求，建立以环境质量为核心的污染物总量控制管理体系推进主要污染物排放浓度和总量“双管控”。2025年，高新区环境空气细颗粒物（PM</w:t>
                  </w:r>
                  <w:r>
                    <w:rPr>
                      <w:rFonts w:hint="eastAsia"/>
                      <w:color w:val="auto"/>
                      <w:vertAlign w:val="subscript"/>
                    </w:rPr>
                    <w:t>2.5</w:t>
                  </w:r>
                  <w:r>
                    <w:rPr>
                      <w:rFonts w:hint="eastAsia"/>
                      <w:color w:val="auto"/>
                    </w:rPr>
                    <w:t>）年均浓度应达到29微克/立方米；新通扬运河、如海运河、栟茶运河、通扬运河等稳定达到</w:t>
                  </w:r>
                  <w:r>
                    <w:rPr>
                      <w:color w:val="auto"/>
                    </w:rPr>
                    <w:t>Ⅲ</w:t>
                  </w:r>
                  <w:r>
                    <w:rPr>
                      <w:rFonts w:hint="eastAsia"/>
                      <w:color w:val="auto"/>
                    </w:rPr>
                    <w:t>类水质标准。</w:t>
                  </w:r>
                </w:p>
              </w:tc>
              <w:tc>
                <w:tcPr>
                  <w:tcW w:w="1747" w:type="pct"/>
                  <w:tcBorders>
                    <w:top w:val="single" w:color="auto" w:sz="4" w:space="0"/>
                    <w:left w:val="single" w:color="auto" w:sz="4" w:space="0"/>
                    <w:bottom w:val="single" w:color="auto" w:sz="4" w:space="0"/>
                    <w:right w:val="nil"/>
                    <w:tl2br w:val="nil"/>
                    <w:tr2bl w:val="nil"/>
                  </w:tcBorders>
                  <w:vAlign w:val="center"/>
                </w:tcPr>
                <w:p w14:paraId="126D974A">
                  <w:pPr>
                    <w:adjustRightInd w:val="0"/>
                    <w:snapToGrid w:val="0"/>
                    <w:jc w:val="center"/>
                    <w:rPr>
                      <w:rFonts w:hint="eastAsia" w:eastAsia="宋体"/>
                      <w:color w:val="auto"/>
                      <w:lang w:eastAsia="zh-CN"/>
                    </w:rPr>
                  </w:pPr>
                  <w:r>
                    <w:rPr>
                      <w:rFonts w:hint="default" w:ascii="Times New Roman" w:hAnsi="Times New Roman" w:eastAsia="宋体" w:cs="Times New Roman"/>
                      <w:color w:val="auto"/>
                      <w:sz w:val="21"/>
                      <w:szCs w:val="21"/>
                      <w:lang w:bidi="ar-SA"/>
                    </w:rPr>
                    <w:t>根据《南通市生态环境状况公报》（2025年），202</w:t>
                  </w:r>
                  <w:r>
                    <w:rPr>
                      <w:rFonts w:hint="eastAsia" w:ascii="Times New Roman" w:hAnsi="Times New Roman" w:eastAsia="宋体" w:cs="Times New Roman"/>
                      <w:color w:val="auto"/>
                      <w:sz w:val="21"/>
                      <w:szCs w:val="21"/>
                      <w:lang w:val="en-US" w:eastAsia="zh-CN" w:bidi="ar-SA"/>
                    </w:rPr>
                    <w:t>5</w:t>
                  </w:r>
                  <w:r>
                    <w:rPr>
                      <w:rFonts w:hint="default" w:ascii="Times New Roman" w:hAnsi="Times New Roman" w:eastAsia="宋体" w:cs="Times New Roman"/>
                      <w:color w:val="auto"/>
                      <w:sz w:val="21"/>
                      <w:szCs w:val="21"/>
                      <w:lang w:bidi="ar-SA"/>
                    </w:rPr>
                    <w:t>年海安SO</w:t>
                  </w:r>
                  <w:r>
                    <w:rPr>
                      <w:rFonts w:hint="default" w:ascii="Times New Roman" w:hAnsi="Times New Roman" w:eastAsia="宋体" w:cs="Times New Roman"/>
                      <w:color w:val="auto"/>
                      <w:sz w:val="21"/>
                      <w:szCs w:val="21"/>
                      <w:vertAlign w:val="subscript"/>
                      <w:lang w:bidi="ar-SA"/>
                    </w:rPr>
                    <w:t>2</w:t>
                  </w:r>
                  <w:r>
                    <w:rPr>
                      <w:rFonts w:hint="default" w:ascii="Times New Roman" w:hAnsi="Times New Roman" w:eastAsia="宋体" w:cs="Times New Roman"/>
                      <w:color w:val="auto"/>
                      <w:sz w:val="21"/>
                      <w:szCs w:val="21"/>
                      <w:lang w:bidi="ar-SA"/>
                    </w:rPr>
                    <w:t>、NO</w:t>
                  </w:r>
                  <w:r>
                    <w:rPr>
                      <w:rFonts w:hint="default" w:ascii="Times New Roman" w:hAnsi="Times New Roman" w:eastAsia="宋体" w:cs="Times New Roman"/>
                      <w:color w:val="auto"/>
                      <w:sz w:val="21"/>
                      <w:szCs w:val="21"/>
                      <w:vertAlign w:val="subscript"/>
                      <w:lang w:bidi="ar-SA"/>
                    </w:rPr>
                    <w:t>2</w:t>
                  </w:r>
                  <w:r>
                    <w:rPr>
                      <w:rFonts w:hint="default" w:ascii="Times New Roman" w:hAnsi="Times New Roman" w:eastAsia="宋体" w:cs="Times New Roman"/>
                      <w:color w:val="auto"/>
                      <w:sz w:val="21"/>
                      <w:szCs w:val="21"/>
                      <w:lang w:bidi="ar-SA"/>
                    </w:rPr>
                    <w:t>、PM</w:t>
                  </w:r>
                  <w:r>
                    <w:rPr>
                      <w:rFonts w:hint="default" w:ascii="Times New Roman" w:hAnsi="Times New Roman" w:eastAsia="宋体" w:cs="Times New Roman"/>
                      <w:color w:val="auto"/>
                      <w:sz w:val="21"/>
                      <w:szCs w:val="21"/>
                      <w:vertAlign w:val="subscript"/>
                      <w:lang w:bidi="ar-SA"/>
                    </w:rPr>
                    <w:t>10</w:t>
                  </w:r>
                  <w:r>
                    <w:rPr>
                      <w:rFonts w:hint="default" w:ascii="Times New Roman" w:hAnsi="Times New Roman" w:eastAsia="宋体" w:cs="Times New Roman"/>
                      <w:color w:val="auto"/>
                      <w:sz w:val="21"/>
                      <w:szCs w:val="21"/>
                      <w:lang w:bidi="ar-SA"/>
                    </w:rPr>
                    <w:t>、CO第95百分位数均能满足《环境空气质量标准》（GB3095-2026）过</w:t>
                  </w:r>
                  <w:r>
                    <w:rPr>
                      <w:rFonts w:hint="eastAsia" w:ascii="Times New Roman" w:hAnsi="Times New Roman" w:eastAsia="宋体" w:cs="Times New Roman"/>
                      <w:color w:val="auto"/>
                      <w:sz w:val="21"/>
                      <w:szCs w:val="21"/>
                      <w:lang w:val="en-US" w:eastAsia="zh-CN" w:bidi="ar-SA"/>
                    </w:rPr>
                    <w:t>渡</w:t>
                  </w:r>
                  <w:r>
                    <w:rPr>
                      <w:rFonts w:hint="default" w:ascii="Times New Roman" w:hAnsi="Times New Roman" w:eastAsia="宋体" w:cs="Times New Roman"/>
                      <w:color w:val="auto"/>
                      <w:sz w:val="21"/>
                      <w:szCs w:val="21"/>
                      <w:lang w:bidi="ar-SA"/>
                    </w:rPr>
                    <w:t>阶段二级标准，PM</w:t>
                  </w:r>
                  <w:r>
                    <w:rPr>
                      <w:rFonts w:hint="default" w:ascii="Times New Roman" w:hAnsi="Times New Roman" w:eastAsia="宋体" w:cs="Times New Roman"/>
                      <w:color w:val="auto"/>
                      <w:sz w:val="21"/>
                      <w:szCs w:val="21"/>
                      <w:vertAlign w:val="subscript"/>
                      <w:lang w:bidi="ar-SA"/>
                    </w:rPr>
                    <w:t>2.5</w:t>
                  </w:r>
                  <w:r>
                    <w:rPr>
                      <w:rFonts w:hint="default" w:ascii="Times New Roman" w:hAnsi="Times New Roman" w:eastAsia="宋体" w:cs="Times New Roman"/>
                      <w:color w:val="auto"/>
                      <w:sz w:val="21"/>
                      <w:szCs w:val="21"/>
                      <w:lang w:bidi="ar-SA"/>
                    </w:rPr>
                    <w:t>、O</w:t>
                  </w:r>
                  <w:r>
                    <w:rPr>
                      <w:rFonts w:hint="default" w:ascii="Times New Roman" w:hAnsi="Times New Roman" w:eastAsia="宋体" w:cs="Times New Roman"/>
                      <w:color w:val="auto"/>
                      <w:sz w:val="21"/>
                      <w:szCs w:val="21"/>
                      <w:vertAlign w:val="subscript"/>
                      <w:lang w:bidi="ar-SA"/>
                    </w:rPr>
                    <w:t>3</w:t>
                  </w:r>
                  <w:r>
                    <w:rPr>
                      <w:rFonts w:hint="default" w:ascii="Times New Roman" w:hAnsi="Times New Roman" w:eastAsia="宋体" w:cs="Times New Roman"/>
                      <w:color w:val="auto"/>
                      <w:sz w:val="21"/>
                      <w:szCs w:val="21"/>
                      <w:lang w:bidi="ar-SA"/>
                    </w:rPr>
                    <w:t>日最大8小时滑动平均值第90百分位数不能满足《环境空气质量标准》（GB3095-2026）过</w:t>
                  </w:r>
                  <w:r>
                    <w:rPr>
                      <w:rFonts w:hint="eastAsia" w:ascii="Times New Roman" w:hAnsi="Times New Roman" w:eastAsia="宋体" w:cs="Times New Roman"/>
                      <w:color w:val="auto"/>
                      <w:sz w:val="21"/>
                      <w:szCs w:val="21"/>
                      <w:lang w:val="en-US" w:eastAsia="zh-CN" w:bidi="ar-SA"/>
                    </w:rPr>
                    <w:t>渡</w:t>
                  </w:r>
                  <w:r>
                    <w:rPr>
                      <w:rFonts w:hint="default" w:ascii="Times New Roman" w:hAnsi="Times New Roman" w:eastAsia="宋体" w:cs="Times New Roman"/>
                      <w:color w:val="auto"/>
                      <w:sz w:val="21"/>
                      <w:szCs w:val="21"/>
                      <w:lang w:bidi="ar-SA"/>
                    </w:rPr>
                    <w:t>阶段二级标准，因此区域属于不达标区。</w:t>
                  </w:r>
                  <w:r>
                    <w:rPr>
                      <w:rFonts w:ascii="Times New Roman" w:hAnsi="Times New Roman" w:eastAsia="宋体" w:cs="Times New Roman"/>
                      <w:color w:val="auto"/>
                      <w:kern w:val="0"/>
                      <w:sz w:val="21"/>
                      <w:szCs w:val="21"/>
                      <w:lang w:val="en-US" w:eastAsia="zh-CN" w:bidi="ar-SA"/>
                    </w:rPr>
                    <w:t>海安市根据2026年4月13日发布的《中共海安市委海安市人民政府2026年生态文明建设工作意见》（海委〔2026〕19号），聚焦大气污染管控，部署以下五大重点任务：（一）深化工业源废气污染防治。（二）推进移动源尾气综合治理。（三）落实面源污染精细化管控。（五）科学应对重污染天气应急管控。采取上述措施后，预计2026年PM</w:t>
                  </w:r>
                  <w:r>
                    <w:rPr>
                      <w:rFonts w:ascii="Times New Roman" w:hAnsi="Times New Roman" w:eastAsia="宋体" w:cs="Times New Roman"/>
                      <w:color w:val="auto"/>
                      <w:kern w:val="0"/>
                      <w:sz w:val="21"/>
                      <w:szCs w:val="21"/>
                      <w:vertAlign w:val="subscript"/>
                      <w:lang w:val="en-US" w:eastAsia="zh-CN" w:bidi="ar-SA"/>
                    </w:rPr>
                    <w:t>2.5</w:t>
                  </w:r>
                  <w:r>
                    <w:rPr>
                      <w:rFonts w:ascii="Times New Roman" w:hAnsi="Times New Roman" w:eastAsia="宋体" w:cs="Times New Roman"/>
                      <w:color w:val="auto"/>
                      <w:kern w:val="0"/>
                      <w:sz w:val="21"/>
                      <w:szCs w:val="21"/>
                      <w:lang w:val="en-US" w:eastAsia="zh-CN" w:bidi="ar-SA"/>
                    </w:rPr>
                    <w:t>、O</w:t>
                  </w:r>
                  <w:r>
                    <w:rPr>
                      <w:rFonts w:ascii="Times New Roman" w:hAnsi="Times New Roman" w:eastAsia="宋体" w:cs="Times New Roman"/>
                      <w:color w:val="auto"/>
                      <w:kern w:val="0"/>
                      <w:sz w:val="21"/>
                      <w:szCs w:val="21"/>
                      <w:vertAlign w:val="subscript"/>
                      <w:lang w:val="en-US" w:eastAsia="zh-CN" w:bidi="ar-SA"/>
                    </w:rPr>
                    <w:t>3</w:t>
                  </w:r>
                  <w:r>
                    <w:rPr>
                      <w:rFonts w:ascii="Times New Roman" w:hAnsi="Times New Roman" w:eastAsia="宋体" w:cs="Times New Roman"/>
                      <w:color w:val="auto"/>
                      <w:kern w:val="0"/>
                      <w:sz w:val="21"/>
                      <w:szCs w:val="21"/>
                      <w:lang w:val="en-US" w:eastAsia="zh-CN" w:bidi="ar-SA"/>
                    </w:rPr>
                    <w:t>超标情况将得到显著改善。</w:t>
                  </w:r>
                  <w:r>
                    <w:rPr>
                      <w:rFonts w:hint="default" w:ascii="Times New Roman" w:hAnsi="Times New Roman" w:eastAsia="宋体" w:cs="Times New Roman"/>
                      <w:color w:val="auto"/>
                      <w:kern w:val="0"/>
                      <w:sz w:val="21"/>
                      <w:szCs w:val="21"/>
                      <w:lang w:val="en-US" w:eastAsia="zh-CN" w:bidi="ar-SA"/>
                    </w:rPr>
                    <w:t>南通市境内主要内河中，焦港河、通吕运河、如海运河、九圩港河、通启运河、新江海河、通扬运河、新通扬运河、栟茶运河、如泰运河、遥望港水质基本达到Ⅲ类标准</w:t>
                  </w:r>
                  <w:r>
                    <w:rPr>
                      <w:rFonts w:hint="eastAsia" w:ascii="Times New Roman" w:hAnsi="Times New Roman" w:eastAsia="宋体" w:cs="Times New Roman"/>
                      <w:color w:val="auto"/>
                      <w:kern w:val="0"/>
                      <w:sz w:val="21"/>
                      <w:szCs w:val="21"/>
                      <w:lang w:val="en-US" w:eastAsia="zh-CN" w:bidi="ar-SA"/>
                    </w:rPr>
                    <w:t>。</w:t>
                  </w:r>
                  <w:r>
                    <w:rPr>
                      <w:rFonts w:hint="eastAsia"/>
                      <w:color w:val="auto"/>
                    </w:rPr>
                    <w:t>本项目建设后营运期产生的各项污染物通过相应的治理措施处理后均可达标排放，建设项目环境风险可控制在安全范围内。因此，本项目的建设对区域环境质量影响较小，符合环境质量底线的相关规定要求</w:t>
                  </w:r>
                  <w:r>
                    <w:rPr>
                      <w:rFonts w:hint="eastAsia"/>
                      <w:color w:val="auto"/>
                      <w:lang w:eastAsia="zh-CN"/>
                    </w:rPr>
                    <w:t>。</w:t>
                  </w:r>
                </w:p>
              </w:tc>
            </w:tr>
            <w:tr w14:paraId="5C83606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99" w:hRule="atLeast"/>
                <w:jc w:val="center"/>
              </w:trPr>
              <w:tc>
                <w:tcPr>
                  <w:tcW w:w="404" w:type="pct"/>
                  <w:tcBorders>
                    <w:top w:val="single" w:color="auto" w:sz="4" w:space="0"/>
                    <w:left w:val="nil"/>
                    <w:bottom w:val="single" w:color="auto" w:sz="4" w:space="0"/>
                    <w:right w:val="single" w:color="auto" w:sz="4" w:space="0"/>
                    <w:tl2br w:val="nil"/>
                    <w:tr2bl w:val="nil"/>
                  </w:tcBorders>
                  <w:vAlign w:val="center"/>
                </w:tcPr>
                <w:p w14:paraId="0DEE9CC4">
                  <w:pPr>
                    <w:adjustRightInd w:val="0"/>
                    <w:snapToGrid w:val="0"/>
                    <w:jc w:val="center"/>
                    <w:rPr>
                      <w:color w:val="auto"/>
                    </w:rPr>
                  </w:pPr>
                  <w:r>
                    <w:rPr>
                      <w:color w:val="auto"/>
                    </w:rPr>
                    <w:t>4</w:t>
                  </w:r>
                </w:p>
              </w:tc>
              <w:tc>
                <w:tcPr>
                  <w:tcW w:w="2848" w:type="pct"/>
                  <w:tcBorders>
                    <w:top w:val="single" w:color="auto" w:sz="4" w:space="0"/>
                    <w:left w:val="single" w:color="auto" w:sz="4" w:space="0"/>
                    <w:bottom w:val="single" w:color="auto" w:sz="4" w:space="0"/>
                    <w:right w:val="single" w:color="auto" w:sz="4" w:space="0"/>
                    <w:tl2br w:val="nil"/>
                    <w:tr2bl w:val="nil"/>
                  </w:tcBorders>
                  <w:vAlign w:val="center"/>
                </w:tcPr>
                <w:p w14:paraId="7A0897D8">
                  <w:pPr>
                    <w:adjustRightInd w:val="0"/>
                    <w:snapToGrid w:val="0"/>
                    <w:jc w:val="center"/>
                    <w:rPr>
                      <w:color w:val="auto"/>
                    </w:rPr>
                  </w:pPr>
                  <w:r>
                    <w:rPr>
                      <w:rFonts w:hint="eastAsia"/>
                      <w:color w:val="auto"/>
                    </w:rPr>
                    <w:t>加强源头治理，协同推进减污降碳。严格落实生态环境准入清单（附件2），落实《报告书》提出的各片区生态环境准入要求，严格限制与主导产业不相关且排污负荷大的项目入区，执行最严格的废水、废气排放控制要求。强化企业特征污染物排放控制、高效治理设施建设，落实精细化管控要求，引进的项目生产工艺、设备，以及单位产品能耗、污染物排放和资源利用效率等应达到同行业国际先进水平。全面开展清洁生产审核推动重点行业依法实施强制性审核，引导其他行业自觉自愿开展审核，不断提高现有企业清洁生产和污染治理水平。根据国家和地方碳减排、碳达峰行动方案和路径要求，优化高新区产业结构能源结构和交通结构等规划内容，推进减污降碳协同增效。</w:t>
                  </w:r>
                </w:p>
              </w:tc>
              <w:tc>
                <w:tcPr>
                  <w:tcW w:w="1747" w:type="pct"/>
                  <w:tcBorders>
                    <w:top w:val="single" w:color="auto" w:sz="4" w:space="0"/>
                    <w:left w:val="single" w:color="auto" w:sz="4" w:space="0"/>
                    <w:bottom w:val="single" w:color="auto" w:sz="4" w:space="0"/>
                    <w:right w:val="nil"/>
                    <w:tl2br w:val="nil"/>
                    <w:tr2bl w:val="nil"/>
                  </w:tcBorders>
                  <w:vAlign w:val="center"/>
                </w:tcPr>
                <w:p w14:paraId="28CFBF91">
                  <w:pPr>
                    <w:adjustRightInd w:val="0"/>
                    <w:snapToGrid w:val="0"/>
                    <w:jc w:val="center"/>
                    <w:rPr>
                      <w:color w:val="auto"/>
                    </w:rPr>
                  </w:pPr>
                  <w:r>
                    <w:rPr>
                      <w:rFonts w:hint="eastAsia"/>
                      <w:color w:val="auto"/>
                    </w:rPr>
                    <w:t>本项目优先选用低耗能设备，项目生产工艺、设备，以及单位产品能耗、污染物排放和资源利用效率等达到同行业国际先进水平；项目为[C3534]饲料生产专用设备制造，生产饲料加工系统关键部件，属于高端装备制造，是园区主导产业。本项目产生的污染物通过有效措施处理后，排放浓度满足相关标准。</w:t>
                  </w:r>
                </w:p>
              </w:tc>
            </w:tr>
            <w:tr w14:paraId="4CF27AB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99" w:hRule="atLeast"/>
                <w:jc w:val="center"/>
              </w:trPr>
              <w:tc>
                <w:tcPr>
                  <w:tcW w:w="404" w:type="pct"/>
                  <w:tcBorders>
                    <w:top w:val="single" w:color="auto" w:sz="4" w:space="0"/>
                    <w:left w:val="nil"/>
                    <w:bottom w:val="single" w:color="auto" w:sz="4" w:space="0"/>
                    <w:right w:val="single" w:color="auto" w:sz="4" w:space="0"/>
                    <w:tl2br w:val="nil"/>
                    <w:tr2bl w:val="nil"/>
                  </w:tcBorders>
                  <w:vAlign w:val="center"/>
                </w:tcPr>
                <w:p w14:paraId="4B869CE8">
                  <w:pPr>
                    <w:adjustRightInd w:val="0"/>
                    <w:snapToGrid w:val="0"/>
                    <w:jc w:val="center"/>
                    <w:rPr>
                      <w:color w:val="auto"/>
                    </w:rPr>
                  </w:pPr>
                  <w:r>
                    <w:rPr>
                      <w:color w:val="auto"/>
                    </w:rPr>
                    <w:t>5</w:t>
                  </w:r>
                </w:p>
              </w:tc>
              <w:tc>
                <w:tcPr>
                  <w:tcW w:w="2848" w:type="pct"/>
                  <w:tcBorders>
                    <w:top w:val="single" w:color="auto" w:sz="4" w:space="0"/>
                    <w:left w:val="single" w:color="auto" w:sz="4" w:space="0"/>
                    <w:bottom w:val="single" w:color="auto" w:sz="4" w:space="0"/>
                    <w:right w:val="single" w:color="auto" w:sz="4" w:space="0"/>
                    <w:tl2br w:val="nil"/>
                    <w:tr2bl w:val="nil"/>
                  </w:tcBorders>
                  <w:vAlign w:val="center"/>
                </w:tcPr>
                <w:p w14:paraId="3D868086">
                  <w:pPr>
                    <w:adjustRightInd w:val="0"/>
                    <w:snapToGrid w:val="0"/>
                    <w:jc w:val="center"/>
                    <w:rPr>
                      <w:color w:val="auto"/>
                    </w:rPr>
                  </w:pPr>
                  <w:r>
                    <w:rPr>
                      <w:rFonts w:hint="eastAsia"/>
                      <w:color w:val="auto"/>
                    </w:rPr>
                    <w:t>严守高新区资源利用上线，降低污染物排放强度。结合区域环境质量改善目标要求，衔接区域水资源、能源利用总量管控目标，进一步优化区内能源结构，提升能源、用水效率。</w:t>
                  </w:r>
                </w:p>
              </w:tc>
              <w:tc>
                <w:tcPr>
                  <w:tcW w:w="1747" w:type="pct"/>
                  <w:tcBorders>
                    <w:top w:val="single" w:color="auto" w:sz="4" w:space="0"/>
                    <w:left w:val="single" w:color="auto" w:sz="4" w:space="0"/>
                    <w:bottom w:val="single" w:color="auto" w:sz="4" w:space="0"/>
                    <w:right w:val="nil"/>
                    <w:tl2br w:val="nil"/>
                    <w:tr2bl w:val="nil"/>
                  </w:tcBorders>
                  <w:vAlign w:val="center"/>
                </w:tcPr>
                <w:p w14:paraId="7DF24E10">
                  <w:pPr>
                    <w:adjustRightInd w:val="0"/>
                    <w:snapToGrid w:val="0"/>
                    <w:jc w:val="center"/>
                    <w:rPr>
                      <w:color w:val="auto"/>
                    </w:rPr>
                  </w:pPr>
                  <w:r>
                    <w:rPr>
                      <w:rFonts w:hint="eastAsia"/>
                      <w:color w:val="auto"/>
                    </w:rPr>
                    <w:t>项目用水由当地自来水部门供给，用电来自当地供电网，本项目的用水、用电不会对自来水厂、供电单位产生负担，不会超出资源利用上线。</w:t>
                  </w:r>
                </w:p>
              </w:tc>
            </w:tr>
            <w:tr w14:paraId="2747D4F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99" w:hRule="atLeast"/>
                <w:jc w:val="center"/>
              </w:trPr>
              <w:tc>
                <w:tcPr>
                  <w:tcW w:w="404" w:type="pct"/>
                  <w:tcBorders>
                    <w:top w:val="single" w:color="auto" w:sz="4" w:space="0"/>
                    <w:left w:val="nil"/>
                    <w:bottom w:val="single" w:color="auto" w:sz="4" w:space="0"/>
                    <w:right w:val="single" w:color="auto" w:sz="4" w:space="0"/>
                    <w:tl2br w:val="nil"/>
                    <w:tr2bl w:val="nil"/>
                  </w:tcBorders>
                  <w:vAlign w:val="center"/>
                </w:tcPr>
                <w:p w14:paraId="7EE32390">
                  <w:pPr>
                    <w:adjustRightInd w:val="0"/>
                    <w:snapToGrid w:val="0"/>
                    <w:jc w:val="center"/>
                    <w:rPr>
                      <w:color w:val="auto"/>
                    </w:rPr>
                  </w:pPr>
                  <w:r>
                    <w:rPr>
                      <w:color w:val="auto"/>
                    </w:rPr>
                    <w:t>6</w:t>
                  </w:r>
                </w:p>
              </w:tc>
              <w:tc>
                <w:tcPr>
                  <w:tcW w:w="2848" w:type="pct"/>
                  <w:tcBorders>
                    <w:top w:val="single" w:color="auto" w:sz="4" w:space="0"/>
                    <w:left w:val="single" w:color="auto" w:sz="4" w:space="0"/>
                    <w:bottom w:val="single" w:color="auto" w:sz="4" w:space="0"/>
                    <w:right w:val="single" w:color="auto" w:sz="4" w:space="0"/>
                    <w:tl2br w:val="nil"/>
                    <w:tr2bl w:val="nil"/>
                  </w:tcBorders>
                  <w:vAlign w:val="center"/>
                </w:tcPr>
                <w:p w14:paraId="27738319">
                  <w:pPr>
                    <w:adjustRightInd w:val="0"/>
                    <w:snapToGrid w:val="0"/>
                    <w:jc w:val="center"/>
                    <w:rPr>
                      <w:color w:val="auto"/>
                    </w:rPr>
                  </w:pPr>
                  <w:r>
                    <w:rPr>
                      <w:rFonts w:hint="eastAsia"/>
                      <w:color w:val="auto"/>
                    </w:rPr>
                    <w:t>建立健全环境监测监控体系。开展包括环境空气、地表水、地下水、土壤、底泥等环境要素的长期跟踪监测与管理。结合区域跟踪监测情况，动态调整高新区开发建设规模和时序进度，优化生态环境保护措施，确保区域环境质量不恶化。探索开展新污染物环境本底调查监测，依法公开新污染物信息。指导区内企业规范安装在线监测设备并联网，推进区内排污许可重点管理单位自动监测全覆盖；暂不具备安装在线监测设备条件的企业，应做好委托监测工作。</w:t>
                  </w:r>
                </w:p>
              </w:tc>
              <w:tc>
                <w:tcPr>
                  <w:tcW w:w="1747" w:type="pct"/>
                  <w:tcBorders>
                    <w:top w:val="single" w:color="auto" w:sz="4" w:space="0"/>
                    <w:left w:val="single" w:color="auto" w:sz="4" w:space="0"/>
                    <w:bottom w:val="single" w:color="auto" w:sz="4" w:space="0"/>
                    <w:right w:val="nil"/>
                    <w:tl2br w:val="nil"/>
                    <w:tr2bl w:val="nil"/>
                  </w:tcBorders>
                  <w:vAlign w:val="center"/>
                </w:tcPr>
                <w:p w14:paraId="2AF7A614">
                  <w:pPr>
                    <w:adjustRightInd w:val="0"/>
                    <w:snapToGrid w:val="0"/>
                    <w:jc w:val="center"/>
                    <w:rPr>
                      <w:color w:val="auto"/>
                    </w:rPr>
                  </w:pPr>
                  <w:r>
                    <w:rPr>
                      <w:rFonts w:hint="eastAsia"/>
                      <w:color w:val="auto"/>
                    </w:rPr>
                    <w:t>本项目建成后将按相关要求定期对各环境要素进行监测。</w:t>
                  </w:r>
                </w:p>
              </w:tc>
            </w:tr>
            <w:tr w14:paraId="42696A7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99" w:hRule="atLeast"/>
                <w:jc w:val="center"/>
              </w:trPr>
              <w:tc>
                <w:tcPr>
                  <w:tcW w:w="404" w:type="pct"/>
                  <w:tcBorders>
                    <w:top w:val="single" w:color="auto" w:sz="4" w:space="0"/>
                    <w:left w:val="nil"/>
                    <w:bottom w:val="single" w:color="auto" w:sz="12" w:space="0"/>
                    <w:right w:val="single" w:color="auto" w:sz="4" w:space="0"/>
                    <w:tl2br w:val="nil"/>
                    <w:tr2bl w:val="nil"/>
                  </w:tcBorders>
                  <w:vAlign w:val="center"/>
                </w:tcPr>
                <w:p w14:paraId="0BC34E14">
                  <w:pPr>
                    <w:adjustRightInd w:val="0"/>
                    <w:snapToGrid w:val="0"/>
                    <w:jc w:val="center"/>
                    <w:rPr>
                      <w:color w:val="auto"/>
                    </w:rPr>
                  </w:pPr>
                  <w:r>
                    <w:rPr>
                      <w:color w:val="auto"/>
                    </w:rPr>
                    <w:t>7</w:t>
                  </w:r>
                </w:p>
              </w:tc>
              <w:tc>
                <w:tcPr>
                  <w:tcW w:w="2848" w:type="pct"/>
                  <w:tcBorders>
                    <w:top w:val="single" w:color="auto" w:sz="4" w:space="0"/>
                    <w:left w:val="single" w:color="auto" w:sz="4" w:space="0"/>
                    <w:bottom w:val="single" w:color="auto" w:sz="12" w:space="0"/>
                    <w:right w:val="single" w:color="auto" w:sz="4" w:space="0"/>
                    <w:tl2br w:val="nil"/>
                    <w:tr2bl w:val="nil"/>
                  </w:tcBorders>
                  <w:vAlign w:val="center"/>
                </w:tcPr>
                <w:p w14:paraId="28FF0B72">
                  <w:pPr>
                    <w:adjustRightInd w:val="0"/>
                    <w:snapToGrid w:val="0"/>
                    <w:jc w:val="center"/>
                    <w:rPr>
                      <w:color w:val="auto"/>
                    </w:rPr>
                  </w:pPr>
                  <w:r>
                    <w:rPr>
                      <w:rFonts w:hint="eastAsia"/>
                      <w:color w:val="auto"/>
                    </w:rPr>
                    <w:t>健全环境风险防控体系，提升环境应急能力。完善高新区三级防控体系建设，确保事故废水不进入外环境。加强环境应急基础设施建设，配备充足的应急装备物资，形成环境应急救援能力。健全环境风险评估和应急预案制度，定期开展环境应急演练，完善环境应急响应联动机制，提升应急实战水平。建立突发环境事件隐患排查长效机制，定期排查突发环境事件隐患，建立隐患清单并督促整改到位，保障区域环境安全。</w:t>
                  </w:r>
                </w:p>
              </w:tc>
              <w:tc>
                <w:tcPr>
                  <w:tcW w:w="1747" w:type="pct"/>
                  <w:tcBorders>
                    <w:top w:val="single" w:color="auto" w:sz="4" w:space="0"/>
                    <w:left w:val="single" w:color="auto" w:sz="4" w:space="0"/>
                    <w:bottom w:val="single" w:color="auto" w:sz="12" w:space="0"/>
                    <w:right w:val="nil"/>
                    <w:tl2br w:val="nil"/>
                    <w:tr2bl w:val="nil"/>
                  </w:tcBorders>
                  <w:vAlign w:val="center"/>
                </w:tcPr>
                <w:p w14:paraId="1BD4D73B">
                  <w:pPr>
                    <w:adjustRightInd w:val="0"/>
                    <w:snapToGrid w:val="0"/>
                    <w:jc w:val="center"/>
                    <w:rPr>
                      <w:color w:val="auto"/>
                    </w:rPr>
                  </w:pPr>
                  <w:r>
                    <w:rPr>
                      <w:rFonts w:hint="eastAsia"/>
                      <w:color w:val="auto"/>
                    </w:rPr>
                    <w:t>本项目强化环境风险防控体系建设，同时储备有足够的环境应急物资，实现环境风险联防联控，故能满足环境风险防控的相关要求。</w:t>
                  </w:r>
                </w:p>
              </w:tc>
            </w:tr>
          </w:tbl>
          <w:p w14:paraId="6719AB4F">
            <w:pPr>
              <w:keepNext w:val="0"/>
              <w:keepLines/>
              <w:pageBreakBefore w:val="0"/>
              <w:widowControl/>
              <w:kinsoku/>
              <w:wordWrap/>
              <w:overflowPunct/>
              <w:topLinePunct w:val="0"/>
              <w:autoSpaceDE w:val="0"/>
              <w:autoSpaceDN w:val="0"/>
              <w:bidi w:val="0"/>
              <w:adjustRightInd/>
              <w:snapToGrid/>
              <w:spacing w:line="360" w:lineRule="auto"/>
              <w:ind w:firstLine="482" w:firstLineChars="200"/>
              <w:jc w:val="both"/>
              <w:textAlignment w:val="auto"/>
              <w:rPr>
                <w:rFonts w:hint="eastAsia" w:ascii="Times New Roman" w:hAnsi="Times New Roman" w:eastAsia="宋体" w:cs="Times New Roman"/>
                <w:b/>
                <w:bCs/>
                <w:color w:val="auto"/>
                <w:kern w:val="2"/>
                <w:sz w:val="24"/>
                <w:szCs w:val="24"/>
                <w:highlight w:val="none"/>
                <w:lang w:val="en-US" w:eastAsia="zh-CN" w:bidi="ar-SA"/>
              </w:rPr>
            </w:pPr>
            <w:r>
              <w:rPr>
                <w:rFonts w:hint="eastAsia" w:ascii="Times New Roman" w:hAnsi="Times New Roman" w:eastAsia="宋体" w:cs="Times New Roman"/>
                <w:b/>
                <w:bCs/>
                <w:color w:val="auto"/>
                <w:kern w:val="2"/>
                <w:sz w:val="24"/>
                <w:szCs w:val="24"/>
                <w:highlight w:val="none"/>
                <w:lang w:val="en-US" w:eastAsia="zh-CN" w:bidi="ar-SA"/>
              </w:rPr>
              <w:t>本项目与</w:t>
            </w:r>
            <w:r>
              <w:rPr>
                <w:rFonts w:hint="default" w:ascii="Times New Roman" w:hAnsi="Times New Roman" w:eastAsia="宋体" w:cs="Times New Roman"/>
                <w:b/>
                <w:bCs/>
                <w:color w:val="auto"/>
                <w:kern w:val="2"/>
                <w:sz w:val="24"/>
                <w:szCs w:val="24"/>
                <w:highlight w:val="none"/>
                <w:lang w:val="en-US" w:eastAsia="zh-CN" w:bidi="ar-SA"/>
              </w:rPr>
              <w:t>《海安市国土空间总体规划（2021-2035年）》</w:t>
            </w:r>
            <w:r>
              <w:rPr>
                <w:rFonts w:hint="eastAsia" w:ascii="Times New Roman" w:hAnsi="Times New Roman" w:eastAsia="宋体" w:cs="Times New Roman"/>
                <w:b/>
                <w:bCs/>
                <w:color w:val="auto"/>
                <w:kern w:val="2"/>
                <w:sz w:val="24"/>
                <w:szCs w:val="24"/>
                <w:highlight w:val="none"/>
                <w:lang w:val="en-US" w:eastAsia="zh-CN" w:bidi="ar-SA"/>
              </w:rPr>
              <w:t>及批复（苏政复〔2023〕43号）相符性分析</w:t>
            </w:r>
          </w:p>
          <w:p w14:paraId="080FE26A">
            <w:pPr>
              <w:keepNext w:val="0"/>
              <w:keepLines/>
              <w:pageBreakBefore w:val="0"/>
              <w:widowControl/>
              <w:kinsoku/>
              <w:wordWrap/>
              <w:overflowPunct/>
              <w:topLinePunct w:val="0"/>
              <w:bidi w:val="0"/>
              <w:adjustRightInd w:val="0"/>
              <w:snapToGrid w:val="0"/>
              <w:spacing w:line="360" w:lineRule="auto"/>
              <w:ind w:firstLine="480" w:firstLineChars="200"/>
              <w:jc w:val="both"/>
              <w:textAlignment w:val="auto"/>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根据《海安市国土空间总体规划（2021-2035年）》及批复（苏政复〔2023〕43号），“4.2，明确“三区三线”，优先划定永久基本农田：坚决落实最严格的耕地保护制度，按照应保尽保、量质并重、集中成片的原则，划定永久基本农田；严格划定生态保护红线：在生态空间范围内具有特殊重要生态功能，必须强制性严格保护的区域，是保障和维护生态安全的底线和生命线；合理划定城镇开发边界：在一定时期内因城镇发展需要可以集中进行城镇开发建设，以城镇功能为主的区域。”</w:t>
            </w:r>
          </w:p>
          <w:p w14:paraId="09BCBF04">
            <w:pPr>
              <w:keepNext/>
              <w:keepLines/>
              <w:pageBreakBefore w:val="0"/>
              <w:widowControl/>
              <w:kinsoku/>
              <w:wordWrap/>
              <w:overflowPunct/>
              <w:topLinePunct w:val="0"/>
              <w:autoSpaceDE/>
              <w:autoSpaceDN/>
              <w:bidi w:val="0"/>
              <w:adjustRightInd w:val="0"/>
              <w:snapToGrid w:val="0"/>
              <w:spacing w:line="360" w:lineRule="auto"/>
              <w:ind w:firstLine="480" w:firstLineChars="200"/>
              <w:textAlignment w:val="auto"/>
              <w:rPr>
                <w:rFonts w:hint="eastAsia"/>
                <w:color w:val="auto"/>
                <w:sz w:val="24"/>
                <w:szCs w:val="24"/>
                <w:highlight w:val="none"/>
                <w:lang w:val="en-US" w:eastAsia="zh-CN"/>
              </w:rPr>
            </w:pPr>
            <w:r>
              <w:rPr>
                <w:rFonts w:hint="eastAsia" w:ascii="Times New Roman" w:hAnsi="Times New Roman" w:eastAsia="宋体" w:cs="Times New Roman"/>
                <w:color w:val="auto"/>
                <w:sz w:val="24"/>
                <w:szCs w:val="24"/>
                <w:lang w:val="en-US" w:eastAsia="zh-CN"/>
              </w:rPr>
              <w:t>本</w:t>
            </w:r>
            <w:r>
              <w:rPr>
                <w:rFonts w:hint="eastAsia" w:ascii="Times New Roman" w:hAnsi="Times New Roman" w:eastAsia="宋体" w:cs="Times New Roman"/>
                <w:color w:val="auto"/>
                <w:kern w:val="2"/>
                <w:sz w:val="24"/>
                <w:szCs w:val="24"/>
                <w:highlight w:val="none"/>
                <w:lang w:val="en-US" w:eastAsia="zh-CN" w:bidi="ar-SA"/>
              </w:rPr>
              <w:t>项目</w:t>
            </w:r>
            <w:r>
              <w:rPr>
                <w:rFonts w:hint="default" w:ascii="Times New Roman" w:hAnsi="Times New Roman" w:eastAsia="宋体" w:cs="Times New Roman"/>
                <w:color w:val="auto"/>
                <w:kern w:val="2"/>
                <w:sz w:val="24"/>
                <w:szCs w:val="24"/>
                <w:highlight w:val="none"/>
                <w:lang w:val="en-US" w:eastAsia="zh-CN" w:bidi="ar-SA"/>
              </w:rPr>
              <w:t>位于江苏省海安高新技术产业开发区田庄村18组</w:t>
            </w:r>
            <w:r>
              <w:rPr>
                <w:rFonts w:hint="eastAsia" w:ascii="Times New Roman" w:hAnsi="Times New Roman" w:eastAsia="宋体" w:cs="Times New Roman"/>
                <w:color w:val="auto"/>
                <w:kern w:val="2"/>
                <w:sz w:val="24"/>
                <w:szCs w:val="24"/>
                <w:highlight w:val="none"/>
                <w:lang w:val="en-US" w:eastAsia="zh-CN" w:bidi="ar-SA"/>
              </w:rPr>
              <w:t>，用地性质为工业用地，</w:t>
            </w:r>
            <w:r>
              <w:rPr>
                <w:rFonts w:hint="eastAsia"/>
                <w:color w:val="auto"/>
                <w:kern w:val="0"/>
                <w:sz w:val="24"/>
                <w:szCs w:val="24"/>
              </w:rPr>
              <w:t>位于城镇开发边界以内，</w:t>
            </w:r>
            <w:r>
              <w:rPr>
                <w:rFonts w:hint="eastAsia" w:ascii="Times New Roman" w:hAnsi="Times New Roman" w:eastAsia="宋体" w:cs="Times New Roman"/>
                <w:color w:val="auto"/>
                <w:kern w:val="2"/>
                <w:sz w:val="24"/>
                <w:szCs w:val="24"/>
                <w:highlight w:val="none"/>
                <w:lang w:val="en-US" w:eastAsia="zh-CN" w:bidi="ar-SA"/>
              </w:rPr>
              <w:t>不占用永久基本农田，不涉及生态红线管控区、江苏省生态空间管控区域和海安市环境管控优先保护单元，根据总体规划中“三区三线”划定成果可知，本项目符合《海安市国土空间总体规划（2021-2035年）》及批复（苏政复〔2023〕43号）相关内容。</w:t>
            </w:r>
          </w:p>
        </w:tc>
      </w:tr>
      <w:tr w14:paraId="78339A9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330" w:hRule="atLeast"/>
          <w:jc w:val="center"/>
        </w:trPr>
        <w:tc>
          <w:tcPr>
            <w:tcW w:w="1201" w:type="dxa"/>
            <w:vAlign w:val="center"/>
          </w:tcPr>
          <w:p w14:paraId="5842522D">
            <w:pPr>
              <w:autoSpaceDE w:val="0"/>
              <w:autoSpaceDN w:val="0"/>
              <w:adjustRightInd w:val="0"/>
              <w:snapToGrid w:val="0"/>
              <w:jc w:val="center"/>
              <w:rPr>
                <w:rFonts w:ascii="宋体" w:hAnsi="宋体" w:cs="宋体"/>
                <w:color w:val="auto"/>
                <w:kern w:val="0"/>
                <w:sz w:val="24"/>
                <w:szCs w:val="24"/>
              </w:rPr>
            </w:pPr>
            <w:r>
              <w:rPr>
                <w:rFonts w:hint="eastAsia" w:ascii="宋体" w:hAnsi="宋体" w:cs="宋体"/>
                <w:color w:val="auto"/>
                <w:kern w:val="0"/>
                <w:sz w:val="24"/>
                <w:szCs w:val="24"/>
              </w:rPr>
              <w:t>其他符合性分析</w:t>
            </w:r>
          </w:p>
        </w:tc>
        <w:tc>
          <w:tcPr>
            <w:tcW w:w="7669" w:type="dxa"/>
            <w:gridSpan w:val="3"/>
            <w:vAlign w:val="center"/>
          </w:tcPr>
          <w:p w14:paraId="757863C4">
            <w:pPr>
              <w:pStyle w:val="66"/>
              <w:ind w:firstLine="422"/>
              <w:rPr>
                <w:b/>
                <w:bCs/>
                <w:color w:val="auto"/>
                <w:sz w:val="24"/>
                <w:szCs w:val="24"/>
              </w:rPr>
            </w:pPr>
            <w:r>
              <w:rPr>
                <w:b/>
                <w:bCs/>
                <w:color w:val="auto"/>
                <w:sz w:val="24"/>
                <w:szCs w:val="24"/>
              </w:rPr>
              <w:t>1、</w:t>
            </w:r>
            <w:r>
              <w:rPr>
                <w:rFonts w:hint="eastAsia"/>
                <w:b/>
                <w:bCs/>
                <w:color w:val="auto"/>
                <w:sz w:val="24"/>
                <w:szCs w:val="24"/>
              </w:rPr>
              <w:t>生态环境分区管控</w:t>
            </w:r>
            <w:r>
              <w:rPr>
                <w:b/>
                <w:bCs/>
                <w:color w:val="auto"/>
                <w:sz w:val="24"/>
                <w:szCs w:val="24"/>
              </w:rPr>
              <w:t>相符性分析</w:t>
            </w:r>
          </w:p>
          <w:p w14:paraId="71662235">
            <w:pPr>
              <w:pStyle w:val="66"/>
              <w:rPr>
                <w:color w:val="auto"/>
                <w:sz w:val="24"/>
                <w:szCs w:val="24"/>
              </w:rPr>
            </w:pPr>
            <w:r>
              <w:rPr>
                <w:color w:val="auto"/>
                <w:sz w:val="24"/>
                <w:szCs w:val="24"/>
              </w:rPr>
              <w:t>（1）生态红线</w:t>
            </w:r>
          </w:p>
          <w:p w14:paraId="0FE532D3">
            <w:pPr>
              <w:pStyle w:val="66"/>
              <w:rPr>
                <w:color w:val="auto"/>
                <w:sz w:val="24"/>
                <w:szCs w:val="24"/>
              </w:rPr>
            </w:pPr>
            <w:r>
              <w:rPr>
                <w:color w:val="auto"/>
                <w:sz w:val="24"/>
                <w:szCs w:val="24"/>
              </w:rPr>
              <w:t>①根据《省政府关于印发江苏省国家级生态保护红线规划的通知》（苏政发</w:t>
            </w:r>
            <w:r>
              <w:rPr>
                <w:rFonts w:hint="eastAsia"/>
                <w:color w:val="auto"/>
                <w:sz w:val="24"/>
                <w:szCs w:val="24"/>
              </w:rPr>
              <w:t>〔2018〕</w:t>
            </w:r>
            <w:r>
              <w:rPr>
                <w:color w:val="auto"/>
                <w:sz w:val="24"/>
                <w:szCs w:val="24"/>
              </w:rPr>
              <w:t>74号），距本项目最近的江苏省国家级生态保护红线为</w:t>
            </w:r>
            <w:r>
              <w:rPr>
                <w:rFonts w:hint="eastAsia"/>
                <w:color w:val="auto"/>
                <w:sz w:val="24"/>
                <w:szCs w:val="24"/>
                <w:lang w:val="en-US" w:eastAsia="zh-CN"/>
              </w:rPr>
              <w:t>北</w:t>
            </w:r>
            <w:r>
              <w:rPr>
                <w:color w:val="auto"/>
                <w:sz w:val="24"/>
                <w:szCs w:val="24"/>
              </w:rPr>
              <w:t>侧的</w:t>
            </w:r>
            <w:bookmarkStart w:id="2" w:name="OLE_LINK33"/>
            <w:bookmarkStart w:id="3" w:name="OLE_LINK60"/>
            <w:r>
              <w:rPr>
                <w:rFonts w:hint="eastAsia"/>
                <w:color w:val="auto"/>
                <w:sz w:val="24"/>
                <w:szCs w:val="24"/>
              </w:rPr>
              <w:t>新通扬运河（海安）饮用水水源保护区</w:t>
            </w:r>
            <w:bookmarkEnd w:id="2"/>
            <w:r>
              <w:rPr>
                <w:color w:val="auto"/>
                <w:sz w:val="24"/>
                <w:szCs w:val="24"/>
              </w:rPr>
              <w:t>，</w:t>
            </w:r>
            <w:bookmarkEnd w:id="3"/>
            <w:r>
              <w:rPr>
                <w:color w:val="auto"/>
                <w:sz w:val="24"/>
                <w:szCs w:val="24"/>
              </w:rPr>
              <w:t>最近距离约</w:t>
            </w:r>
            <w:r>
              <w:rPr>
                <w:rFonts w:hint="eastAsia"/>
                <w:color w:val="auto"/>
                <w:sz w:val="24"/>
                <w:szCs w:val="24"/>
                <w:lang w:val="en-US" w:eastAsia="zh-CN"/>
              </w:rPr>
              <w:t>5.51k</w:t>
            </w:r>
            <w:r>
              <w:rPr>
                <w:color w:val="auto"/>
                <w:sz w:val="24"/>
                <w:szCs w:val="24"/>
              </w:rPr>
              <w:t>m。因此本项目不在国家级生态保护红线范围内，符合《江苏省国家级生态保护红线规划》要求。</w:t>
            </w:r>
          </w:p>
          <w:p w14:paraId="0A3C96D7">
            <w:pPr>
              <w:pStyle w:val="66"/>
              <w:rPr>
                <w:color w:val="auto"/>
                <w:sz w:val="24"/>
                <w:szCs w:val="24"/>
              </w:rPr>
            </w:pPr>
            <w:r>
              <w:rPr>
                <w:color w:val="auto"/>
                <w:sz w:val="24"/>
                <w:szCs w:val="24"/>
              </w:rPr>
              <w:t>②根据《省政府关于印发江苏省生态空间管控区域规划的通知》（苏政发</w:t>
            </w:r>
            <w:r>
              <w:rPr>
                <w:rFonts w:hint="eastAsia"/>
                <w:color w:val="auto"/>
                <w:sz w:val="24"/>
                <w:szCs w:val="24"/>
              </w:rPr>
              <w:t>〔2020〕</w:t>
            </w:r>
            <w:r>
              <w:rPr>
                <w:color w:val="auto"/>
                <w:sz w:val="24"/>
                <w:szCs w:val="24"/>
              </w:rPr>
              <w:t>1号）及《江苏省自然资源厅关于海安市生态空间管控区域调整方案的复函》（苏自然资函</w:t>
            </w:r>
            <w:r>
              <w:rPr>
                <w:rFonts w:hint="eastAsia"/>
                <w:color w:val="auto"/>
                <w:sz w:val="24"/>
                <w:szCs w:val="24"/>
                <w:lang w:eastAsia="zh-CN"/>
              </w:rPr>
              <w:t>〔</w:t>
            </w:r>
            <w:r>
              <w:rPr>
                <w:color w:val="auto"/>
                <w:sz w:val="24"/>
                <w:szCs w:val="24"/>
              </w:rPr>
              <w:t>2021</w:t>
            </w:r>
            <w:r>
              <w:rPr>
                <w:rFonts w:hint="eastAsia"/>
                <w:color w:val="auto"/>
                <w:sz w:val="24"/>
                <w:szCs w:val="24"/>
                <w:lang w:eastAsia="zh-CN"/>
              </w:rPr>
              <w:t>〕</w:t>
            </w:r>
            <w:r>
              <w:rPr>
                <w:color w:val="auto"/>
                <w:sz w:val="24"/>
                <w:szCs w:val="24"/>
              </w:rPr>
              <w:t>1085号），与本项目距离最近的生态空间管控区域为</w:t>
            </w:r>
            <w:r>
              <w:rPr>
                <w:rFonts w:hint="eastAsia"/>
                <w:color w:val="auto"/>
                <w:sz w:val="24"/>
                <w:szCs w:val="24"/>
                <w:lang w:val="en-US" w:eastAsia="zh-CN"/>
              </w:rPr>
              <w:t>北</w:t>
            </w:r>
            <w:r>
              <w:rPr>
                <w:color w:val="auto"/>
                <w:sz w:val="24"/>
                <w:szCs w:val="24"/>
              </w:rPr>
              <w:t>侧的</w:t>
            </w:r>
            <w:r>
              <w:rPr>
                <w:rFonts w:hint="eastAsia"/>
                <w:color w:val="auto"/>
                <w:sz w:val="24"/>
                <w:szCs w:val="24"/>
              </w:rPr>
              <w:t>新通扬－通榆运河清水通道维护区</w:t>
            </w:r>
            <w:r>
              <w:rPr>
                <w:color w:val="auto"/>
                <w:sz w:val="24"/>
                <w:szCs w:val="24"/>
              </w:rPr>
              <w:t>，最近距离约</w:t>
            </w:r>
            <w:r>
              <w:rPr>
                <w:rFonts w:hint="eastAsia"/>
                <w:color w:val="auto"/>
                <w:sz w:val="24"/>
                <w:szCs w:val="24"/>
                <w:lang w:val="en-US" w:eastAsia="zh-CN"/>
              </w:rPr>
              <w:t>4.84k</w:t>
            </w:r>
            <w:r>
              <w:rPr>
                <w:color w:val="auto"/>
                <w:sz w:val="24"/>
                <w:szCs w:val="24"/>
              </w:rPr>
              <w:t>m。因此本项目不在生态空间管控区域范围内，符合《省政府关于印发江苏省生态空间管控区域规划的通知》（苏政发</w:t>
            </w:r>
            <w:r>
              <w:rPr>
                <w:rFonts w:hint="eastAsia"/>
                <w:color w:val="auto"/>
                <w:sz w:val="24"/>
                <w:szCs w:val="24"/>
              </w:rPr>
              <w:t>〔2020〕</w:t>
            </w:r>
            <w:r>
              <w:rPr>
                <w:color w:val="auto"/>
                <w:sz w:val="24"/>
                <w:szCs w:val="24"/>
              </w:rPr>
              <w:t>1号）及《江苏省自然资源厅关于海安市生态空间管控区域调整方案的复函》（苏自然资函</w:t>
            </w:r>
            <w:r>
              <w:rPr>
                <w:rFonts w:hint="eastAsia"/>
                <w:color w:val="auto"/>
                <w:sz w:val="24"/>
                <w:szCs w:val="24"/>
                <w:lang w:eastAsia="zh-CN"/>
              </w:rPr>
              <w:t>〔</w:t>
            </w:r>
            <w:r>
              <w:rPr>
                <w:color w:val="auto"/>
                <w:sz w:val="24"/>
                <w:szCs w:val="24"/>
              </w:rPr>
              <w:t>2021</w:t>
            </w:r>
            <w:r>
              <w:rPr>
                <w:rFonts w:hint="eastAsia"/>
                <w:color w:val="auto"/>
                <w:sz w:val="24"/>
                <w:szCs w:val="24"/>
                <w:lang w:eastAsia="zh-CN"/>
              </w:rPr>
              <w:t>〕</w:t>
            </w:r>
            <w:r>
              <w:rPr>
                <w:color w:val="auto"/>
                <w:sz w:val="24"/>
                <w:szCs w:val="24"/>
              </w:rPr>
              <w:t>1085号）要求。</w:t>
            </w:r>
          </w:p>
          <w:p w14:paraId="668AB8B6">
            <w:pPr>
              <w:pStyle w:val="66"/>
              <w:rPr>
                <w:color w:val="auto"/>
                <w:sz w:val="24"/>
                <w:szCs w:val="24"/>
              </w:rPr>
            </w:pPr>
            <w:r>
              <w:rPr>
                <w:color w:val="auto"/>
                <w:sz w:val="24"/>
                <w:szCs w:val="24"/>
              </w:rPr>
              <w:t>生态空间管控区域分布见附图</w:t>
            </w:r>
            <w:r>
              <w:rPr>
                <w:rFonts w:hint="eastAsia"/>
                <w:color w:val="auto"/>
                <w:sz w:val="24"/>
                <w:szCs w:val="24"/>
                <w:lang w:val="en-US" w:eastAsia="zh-CN"/>
              </w:rPr>
              <w:t>3</w:t>
            </w:r>
            <w:r>
              <w:rPr>
                <w:color w:val="auto"/>
                <w:sz w:val="24"/>
                <w:szCs w:val="24"/>
              </w:rPr>
              <w:t>。</w:t>
            </w:r>
          </w:p>
          <w:p w14:paraId="6C02149E">
            <w:pPr>
              <w:pStyle w:val="66"/>
              <w:rPr>
                <w:color w:val="auto"/>
                <w:sz w:val="24"/>
                <w:szCs w:val="24"/>
              </w:rPr>
            </w:pPr>
            <w:r>
              <w:rPr>
                <w:color w:val="auto"/>
                <w:sz w:val="24"/>
                <w:szCs w:val="24"/>
              </w:rPr>
              <w:t>（2）环境质量底线</w:t>
            </w:r>
          </w:p>
          <w:p w14:paraId="7C87060C">
            <w:pPr>
              <w:pStyle w:val="66"/>
              <w:rPr>
                <w:rFonts w:hint="eastAsia"/>
                <w:color w:val="auto"/>
                <w:sz w:val="24"/>
                <w:szCs w:val="24"/>
              </w:rPr>
            </w:pPr>
            <w:r>
              <w:rPr>
                <w:rFonts w:hint="eastAsia"/>
                <w:color w:val="auto"/>
                <w:sz w:val="24"/>
                <w:szCs w:val="24"/>
              </w:rPr>
              <w:t>根据《南通市生态环境状况公报》（202</w:t>
            </w:r>
            <w:r>
              <w:rPr>
                <w:rFonts w:hint="eastAsia" w:ascii="Times New Roman" w:eastAsia="宋体"/>
                <w:color w:val="auto"/>
                <w:sz w:val="24"/>
                <w:szCs w:val="24"/>
                <w:lang w:val="en-US" w:eastAsia="zh-CN"/>
              </w:rPr>
              <w:t>5</w:t>
            </w:r>
            <w:r>
              <w:rPr>
                <w:rFonts w:hint="eastAsia"/>
                <w:color w:val="auto"/>
                <w:sz w:val="24"/>
                <w:szCs w:val="24"/>
              </w:rPr>
              <w:t>年），</w:t>
            </w:r>
            <w:r>
              <w:rPr>
                <w:rFonts w:hint="default" w:ascii="Times New Roman" w:hAnsi="Times New Roman" w:eastAsia="宋体" w:cs="Times New Roman"/>
                <w:color w:val="auto"/>
                <w:sz w:val="24"/>
                <w:szCs w:val="24"/>
              </w:rPr>
              <w:t>根据监测结果，202</w:t>
            </w:r>
            <w:r>
              <w:rPr>
                <w:rFonts w:hint="eastAsia" w:cs="Times New Roman"/>
                <w:color w:val="auto"/>
                <w:sz w:val="24"/>
                <w:szCs w:val="24"/>
                <w:lang w:val="en-US" w:eastAsia="zh-CN"/>
              </w:rPr>
              <w:t>5</w:t>
            </w:r>
            <w:r>
              <w:rPr>
                <w:rFonts w:hint="default" w:ascii="Times New Roman" w:hAnsi="Times New Roman" w:eastAsia="宋体" w:cs="Times New Roman"/>
                <w:color w:val="auto"/>
                <w:sz w:val="24"/>
                <w:szCs w:val="24"/>
              </w:rPr>
              <w:t>年海安SO</w:t>
            </w:r>
            <w:r>
              <w:rPr>
                <w:rFonts w:hint="default" w:ascii="Times New Roman" w:hAnsi="Times New Roman" w:eastAsia="宋体" w:cs="Times New Roman"/>
                <w:color w:val="auto"/>
                <w:sz w:val="24"/>
                <w:szCs w:val="24"/>
                <w:vertAlign w:val="subscript"/>
              </w:rPr>
              <w:t>2</w:t>
            </w:r>
            <w:r>
              <w:rPr>
                <w:rFonts w:hint="default" w:ascii="Times New Roman" w:hAnsi="Times New Roman" w:eastAsia="宋体" w:cs="Times New Roman"/>
                <w:color w:val="auto"/>
                <w:sz w:val="24"/>
                <w:szCs w:val="24"/>
              </w:rPr>
              <w:t>、NO</w:t>
            </w:r>
            <w:r>
              <w:rPr>
                <w:rFonts w:hint="default" w:ascii="Times New Roman" w:hAnsi="Times New Roman" w:eastAsia="宋体" w:cs="Times New Roman"/>
                <w:color w:val="auto"/>
                <w:sz w:val="24"/>
                <w:szCs w:val="24"/>
                <w:vertAlign w:val="subscript"/>
              </w:rPr>
              <w:t>2</w:t>
            </w:r>
            <w:r>
              <w:rPr>
                <w:rFonts w:hint="default" w:ascii="Times New Roman" w:hAnsi="Times New Roman" w:eastAsia="宋体" w:cs="Times New Roman"/>
                <w:color w:val="auto"/>
                <w:sz w:val="24"/>
                <w:szCs w:val="24"/>
              </w:rPr>
              <w:t>、PM</w:t>
            </w:r>
            <w:r>
              <w:rPr>
                <w:rFonts w:hint="default" w:ascii="Times New Roman" w:hAnsi="Times New Roman" w:eastAsia="宋体" w:cs="Times New Roman"/>
                <w:color w:val="auto"/>
                <w:sz w:val="24"/>
                <w:szCs w:val="24"/>
                <w:vertAlign w:val="subscript"/>
              </w:rPr>
              <w:t>10</w:t>
            </w:r>
            <w:r>
              <w:rPr>
                <w:rFonts w:hint="default" w:ascii="Times New Roman" w:hAnsi="Times New Roman" w:eastAsia="宋体" w:cs="Times New Roman"/>
                <w:color w:val="auto"/>
                <w:sz w:val="24"/>
                <w:szCs w:val="24"/>
              </w:rPr>
              <w:t>、CO第95百分位数均能满足《环境空气质量标准》（GB3095-2026）过</w:t>
            </w:r>
            <w:r>
              <w:rPr>
                <w:rFonts w:hint="eastAsia" w:ascii="Times New Roman" w:hAnsi="Times New Roman" w:eastAsia="宋体" w:cs="Times New Roman"/>
                <w:color w:val="auto"/>
                <w:sz w:val="24"/>
                <w:szCs w:val="24"/>
                <w:lang w:val="en-US" w:eastAsia="zh-CN"/>
              </w:rPr>
              <w:t>渡</w:t>
            </w:r>
            <w:r>
              <w:rPr>
                <w:rFonts w:hint="default" w:ascii="Times New Roman" w:hAnsi="Times New Roman" w:eastAsia="宋体" w:cs="Times New Roman"/>
                <w:color w:val="auto"/>
                <w:sz w:val="24"/>
                <w:szCs w:val="24"/>
              </w:rPr>
              <w:t>阶段二级标准，PM</w:t>
            </w:r>
            <w:r>
              <w:rPr>
                <w:rFonts w:hint="default" w:ascii="Times New Roman" w:hAnsi="Times New Roman" w:eastAsia="宋体" w:cs="Times New Roman"/>
                <w:color w:val="auto"/>
                <w:sz w:val="24"/>
                <w:szCs w:val="24"/>
                <w:vertAlign w:val="subscript"/>
              </w:rPr>
              <w:t>2.5</w:t>
            </w:r>
            <w:r>
              <w:rPr>
                <w:rFonts w:hint="default" w:ascii="Times New Roman" w:hAnsi="Times New Roman" w:eastAsia="宋体" w:cs="Times New Roman"/>
                <w:color w:val="auto"/>
                <w:sz w:val="24"/>
                <w:szCs w:val="24"/>
              </w:rPr>
              <w:t>、O</w:t>
            </w:r>
            <w:r>
              <w:rPr>
                <w:rFonts w:hint="default" w:ascii="Times New Roman" w:hAnsi="Times New Roman" w:eastAsia="宋体" w:cs="Times New Roman"/>
                <w:color w:val="auto"/>
                <w:sz w:val="24"/>
                <w:szCs w:val="24"/>
                <w:vertAlign w:val="subscript"/>
              </w:rPr>
              <w:t>3</w:t>
            </w:r>
            <w:r>
              <w:rPr>
                <w:rFonts w:hint="default" w:ascii="Times New Roman" w:hAnsi="Times New Roman" w:eastAsia="宋体" w:cs="Times New Roman"/>
                <w:color w:val="auto"/>
                <w:sz w:val="24"/>
                <w:szCs w:val="24"/>
              </w:rPr>
              <w:t>日最大8小时滑动平均值第90百分位数不能满足《环境空气质量标准》（GB3095-2026）过</w:t>
            </w:r>
            <w:r>
              <w:rPr>
                <w:rFonts w:hint="eastAsia" w:ascii="Times New Roman" w:hAnsi="Times New Roman" w:eastAsia="宋体" w:cs="Times New Roman"/>
                <w:color w:val="auto"/>
                <w:sz w:val="24"/>
                <w:szCs w:val="24"/>
                <w:lang w:val="en-US" w:eastAsia="zh-CN"/>
              </w:rPr>
              <w:t>渡</w:t>
            </w:r>
            <w:r>
              <w:rPr>
                <w:rFonts w:hint="default" w:ascii="Times New Roman" w:hAnsi="Times New Roman" w:eastAsia="宋体" w:cs="Times New Roman"/>
                <w:color w:val="auto"/>
                <w:sz w:val="24"/>
                <w:szCs w:val="24"/>
              </w:rPr>
              <w:t>阶段二级标准，因此区域属于不达标区。海安市根据2026年4月13日发布的《中共海安市委海安市人民政府2026年生态文明建设工作意见》（海委〔2026〕19号），聚焦大气污染管控，部署以下五大重点任务：（一）深化工业源废气污染防治。加强源头防控，落实产业结构调整指导目录，严控高排放项目盲目上马，鼓励印染、家具等行业转型升级；（二）推进移动源尾气综合治理。持续推进高排放车辆淘汰工作，实现国三及以下排放标准柴油货车应汰尽汰，鼓励国四排放标准柴油货车和国二排放标准非道路移动机械提前退出，基本消除非道路移动机械“冒黑烟”现象。实施“绿色车轮”计划，加快推进公共领域车辆电动化，鼓励出租车行业使用新能源汽车；（三）落实面源污染精细化管控。依法科学实施秸秆禁烧管控，高效运行秸秆收储体系，持续提升秸秆“五化”综合利用水平，确保秸秆综合利用率稳定保持在95%以上；（四）全面压降扬尘污染影响。优化城市保洁模式，推广“机械化为主、人工为辅”的组合作业方式，落实“一区域一方案”，分环节、分时段、定频次开展保洁，扩大机械化清扫范围，推动环境卫生质量标准全面统一化、制度化；（五）科学应对重污染天气应急管控。严格执行《海安市重污染天气应急预案》，健全污染过程应急响应机制，确保应急减排清单覆盖全市所有涉气企业。采取上述措施后，预计2026年PM</w:t>
            </w:r>
            <w:r>
              <w:rPr>
                <w:rFonts w:hint="default" w:ascii="Times New Roman" w:hAnsi="Times New Roman" w:eastAsia="宋体" w:cs="Times New Roman"/>
                <w:color w:val="auto"/>
                <w:sz w:val="24"/>
                <w:szCs w:val="24"/>
                <w:vertAlign w:val="subscript"/>
              </w:rPr>
              <w:t>2.5</w:t>
            </w:r>
            <w:r>
              <w:rPr>
                <w:rFonts w:hint="default" w:ascii="Times New Roman" w:hAnsi="Times New Roman" w:eastAsia="宋体" w:cs="Times New Roman"/>
                <w:color w:val="auto"/>
                <w:sz w:val="24"/>
                <w:szCs w:val="24"/>
              </w:rPr>
              <w:t>、O</w:t>
            </w:r>
            <w:r>
              <w:rPr>
                <w:rFonts w:hint="default" w:ascii="Times New Roman" w:hAnsi="Times New Roman" w:eastAsia="宋体" w:cs="Times New Roman"/>
                <w:color w:val="auto"/>
                <w:sz w:val="24"/>
                <w:szCs w:val="24"/>
                <w:vertAlign w:val="subscript"/>
              </w:rPr>
              <w:t>3</w:t>
            </w:r>
            <w:r>
              <w:rPr>
                <w:rFonts w:hint="default" w:ascii="Times New Roman" w:hAnsi="Times New Roman" w:eastAsia="宋体" w:cs="Times New Roman"/>
                <w:color w:val="auto"/>
                <w:sz w:val="24"/>
                <w:szCs w:val="24"/>
              </w:rPr>
              <w:t>超标情况将得到显著改善。</w:t>
            </w:r>
          </w:p>
          <w:p w14:paraId="564F4989">
            <w:pPr>
              <w:pStyle w:val="66"/>
              <w:ind w:firstLine="480"/>
              <w:rPr>
                <w:color w:val="auto"/>
                <w:sz w:val="24"/>
                <w:szCs w:val="24"/>
              </w:rPr>
            </w:pPr>
            <w:r>
              <w:rPr>
                <w:color w:val="auto"/>
                <w:sz w:val="24"/>
                <w:szCs w:val="24"/>
              </w:rPr>
              <w:t>本项目TSP引用《海安海太铸造有限公司大型海洋装备铸件生产项目环境影响报告表》中的监测数据，监测时间为2024年3月15日-17日，监测点位江苏弘盛新材料股份有限公司位于本项目</w:t>
            </w:r>
            <w:r>
              <w:rPr>
                <w:rFonts w:hint="eastAsia"/>
                <w:color w:val="auto"/>
                <w:sz w:val="24"/>
                <w:szCs w:val="24"/>
              </w:rPr>
              <w:t>西南侧约750m。</w:t>
            </w:r>
            <w:r>
              <w:rPr>
                <w:color w:val="auto"/>
                <w:sz w:val="24"/>
                <w:szCs w:val="24"/>
              </w:rPr>
              <w:t>根据监测结果</w:t>
            </w:r>
            <w:r>
              <w:rPr>
                <w:rFonts w:hint="eastAsia"/>
                <w:color w:val="auto"/>
                <w:sz w:val="24"/>
                <w:szCs w:val="24"/>
              </w:rPr>
              <w:t>，</w:t>
            </w:r>
            <w:r>
              <w:rPr>
                <w:color w:val="auto"/>
                <w:sz w:val="24"/>
                <w:szCs w:val="24"/>
              </w:rPr>
              <w:t>建设项目周边</w:t>
            </w:r>
            <w:r>
              <w:rPr>
                <w:rFonts w:hint="eastAsia"/>
                <w:color w:val="auto"/>
                <w:sz w:val="24"/>
                <w:szCs w:val="24"/>
              </w:rPr>
              <w:t>TSP</w:t>
            </w:r>
            <w:r>
              <w:rPr>
                <w:color w:val="auto"/>
                <w:sz w:val="24"/>
                <w:szCs w:val="24"/>
              </w:rPr>
              <w:t>浓度满足相关环境质量标准。</w:t>
            </w:r>
          </w:p>
          <w:p w14:paraId="400637E1">
            <w:pPr>
              <w:pStyle w:val="66"/>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本项目</w:t>
            </w:r>
            <w:r>
              <w:rPr>
                <w:rFonts w:hint="eastAsia" w:cs="Times New Roman"/>
                <w:color w:val="auto"/>
                <w:sz w:val="24"/>
                <w:szCs w:val="24"/>
                <w:lang w:val="en-US" w:eastAsia="zh-CN"/>
              </w:rPr>
              <w:t>仅有生活污水外排</w:t>
            </w:r>
            <w:r>
              <w:rPr>
                <w:rFonts w:hint="default" w:ascii="Times New Roman" w:hAnsi="Times New Roman" w:eastAsia="宋体" w:cs="Times New Roman"/>
                <w:color w:val="auto"/>
                <w:sz w:val="24"/>
                <w:szCs w:val="24"/>
              </w:rPr>
              <w:t>，无生产废水排放</w:t>
            </w:r>
            <w:r>
              <w:rPr>
                <w:rFonts w:hint="eastAsia" w:cs="Times New Roman"/>
                <w:color w:val="auto"/>
                <w:sz w:val="24"/>
                <w:szCs w:val="24"/>
                <w:lang w:val="en-US" w:eastAsia="zh-CN"/>
              </w:rPr>
              <w:t>。本项目</w:t>
            </w:r>
            <w:r>
              <w:rPr>
                <w:rFonts w:hint="default" w:ascii="Times New Roman" w:hAnsi="Times New Roman" w:eastAsia="宋体" w:cs="Times New Roman"/>
                <w:color w:val="auto"/>
                <w:sz w:val="24"/>
                <w:szCs w:val="24"/>
              </w:rPr>
              <w:t>产生的生活污水经化粪池处理后，接管鹰泰水务海安有限公司处理，尾水达标排入栟茶运河。</w:t>
            </w:r>
            <w:r>
              <w:rPr>
                <w:rFonts w:hint="default" w:ascii="Times New Roman" w:hAnsi="Times New Roman" w:eastAsia="宋体" w:cs="Times New Roman"/>
                <w:color w:val="auto"/>
                <w:sz w:val="24"/>
                <w:szCs w:val="24"/>
                <w:lang w:val="en-US" w:eastAsia="zh-CN"/>
              </w:rPr>
              <w:t>根据《南通市生态环境状况公报》（2025年），南通市共有16个国家考核断面，均达到省定考核要求，其中15个断面水质达到或优于《地表水环境质量标准》（GB3838-2002）Ⅲ类标准。55个省考以上断面中九圩港桥、聚南大桥、营船港闸、通吕二号桥等19个断面水质符合Ⅱ类标准，孙窑大桥、勇敢大桥、东方大道桥、永怡路桥等35个断面水质符合Ⅲ类标准；无V类和劣V类断面。南通市境内主要内河中，焦港河、通吕运河、如海运河、九圩港河、通启运河、新江海河、通扬运河、新通扬运河、栟茶运河、如泰运河、遥望港水质基本达到Ⅲ类标准。</w:t>
            </w:r>
          </w:p>
          <w:p w14:paraId="363AFB1C">
            <w:pPr>
              <w:pStyle w:val="66"/>
              <w:rPr>
                <w:rFonts w:hint="eastAsia"/>
                <w:color w:val="auto"/>
                <w:sz w:val="24"/>
                <w:szCs w:val="24"/>
              </w:rPr>
            </w:pPr>
            <w:r>
              <w:rPr>
                <w:rFonts w:hint="eastAsia"/>
                <w:color w:val="auto"/>
                <w:sz w:val="24"/>
                <w:szCs w:val="24"/>
              </w:rPr>
              <w:t>根据《南通市生态环境状况公报》（202</w:t>
            </w:r>
            <w:r>
              <w:rPr>
                <w:rFonts w:hint="eastAsia"/>
                <w:color w:val="auto"/>
                <w:sz w:val="24"/>
                <w:szCs w:val="24"/>
                <w:lang w:val="en-US" w:eastAsia="zh-CN"/>
              </w:rPr>
              <w:t>5</w:t>
            </w:r>
            <w:r>
              <w:rPr>
                <w:rFonts w:hint="eastAsia"/>
                <w:color w:val="auto"/>
                <w:sz w:val="24"/>
                <w:szCs w:val="24"/>
              </w:rPr>
              <w:t>年），202</w:t>
            </w:r>
            <w:r>
              <w:rPr>
                <w:rFonts w:hint="eastAsia"/>
                <w:color w:val="auto"/>
                <w:sz w:val="24"/>
                <w:szCs w:val="24"/>
                <w:lang w:val="en-US" w:eastAsia="zh-CN"/>
              </w:rPr>
              <w:t>5</w:t>
            </w:r>
            <w:r>
              <w:rPr>
                <w:rFonts w:hint="eastAsia"/>
                <w:color w:val="auto"/>
                <w:sz w:val="24"/>
                <w:szCs w:val="24"/>
              </w:rPr>
              <w:t>年海安市城区昼夜间等效声级值均符合相应标准。</w:t>
            </w:r>
          </w:p>
          <w:p w14:paraId="36BCB3B6">
            <w:pPr>
              <w:pStyle w:val="66"/>
              <w:rPr>
                <w:color w:val="auto"/>
                <w:sz w:val="24"/>
                <w:szCs w:val="24"/>
              </w:rPr>
            </w:pPr>
            <w:r>
              <w:rPr>
                <w:rFonts w:hint="eastAsia"/>
                <w:color w:val="auto"/>
                <w:sz w:val="24"/>
                <w:szCs w:val="24"/>
              </w:rPr>
              <w:t>本项目主要污染物为废气、废水、噪声及固废等，运营期采取相应的污染防治措施后，各类污染物的排放不会改变项目所在地的环境质量现状，本项目的建设满足环境质量底线标准要求。</w:t>
            </w:r>
          </w:p>
          <w:p w14:paraId="301AB196">
            <w:pPr>
              <w:pStyle w:val="66"/>
              <w:rPr>
                <w:color w:val="auto"/>
                <w:sz w:val="24"/>
                <w:szCs w:val="24"/>
              </w:rPr>
            </w:pPr>
            <w:r>
              <w:rPr>
                <w:color w:val="auto"/>
                <w:sz w:val="24"/>
                <w:szCs w:val="24"/>
              </w:rPr>
              <w:t>（3）资源利用上线</w:t>
            </w:r>
          </w:p>
          <w:p w14:paraId="58DD17B5">
            <w:pPr>
              <w:pStyle w:val="66"/>
              <w:rPr>
                <w:color w:val="auto"/>
                <w:sz w:val="24"/>
                <w:szCs w:val="24"/>
              </w:rPr>
            </w:pPr>
            <w:r>
              <w:rPr>
                <w:color w:val="auto"/>
                <w:sz w:val="24"/>
                <w:szCs w:val="24"/>
              </w:rPr>
              <w:t>项目用水由当地的自来水部门供给，用电来自当地供电网，本项目的用水、用电不会对供应单位产生负担。本项目选址位于</w:t>
            </w:r>
            <w:r>
              <w:rPr>
                <w:rFonts w:hint="eastAsia"/>
                <w:color w:val="auto"/>
                <w:sz w:val="24"/>
                <w:szCs w:val="24"/>
              </w:rPr>
              <w:t>江苏省海安高新技术产业开发区田庄村18组</w:t>
            </w:r>
            <w:r>
              <w:rPr>
                <w:color w:val="auto"/>
                <w:sz w:val="24"/>
                <w:szCs w:val="24"/>
              </w:rPr>
              <w:t>，用地性质为工业用地，符合海安市相关规划要求。因此本项目不会超出资源利用上线。</w:t>
            </w:r>
          </w:p>
          <w:p w14:paraId="5F5AF176">
            <w:pPr>
              <w:pStyle w:val="66"/>
              <w:rPr>
                <w:color w:val="auto"/>
                <w:sz w:val="24"/>
                <w:szCs w:val="24"/>
              </w:rPr>
            </w:pPr>
            <w:r>
              <w:rPr>
                <w:color w:val="auto"/>
                <w:sz w:val="24"/>
                <w:szCs w:val="24"/>
              </w:rPr>
              <w:t>（4）环境准入负面清单</w:t>
            </w:r>
          </w:p>
          <w:p w14:paraId="3B37D0D9">
            <w:pPr>
              <w:pStyle w:val="66"/>
              <w:rPr>
                <w:color w:val="auto"/>
                <w:sz w:val="24"/>
                <w:szCs w:val="24"/>
              </w:rPr>
            </w:pPr>
            <w:r>
              <w:rPr>
                <w:rFonts w:hint="eastAsia"/>
                <w:color w:val="auto"/>
                <w:sz w:val="24"/>
                <w:szCs w:val="24"/>
              </w:rPr>
              <w:t>本项目不属于《江苏省“两高”项目管理目录（202</w:t>
            </w:r>
            <w:r>
              <w:rPr>
                <w:rFonts w:hint="eastAsia"/>
                <w:color w:val="auto"/>
                <w:sz w:val="24"/>
                <w:szCs w:val="24"/>
                <w:lang w:val="en-US" w:eastAsia="zh-CN"/>
              </w:rPr>
              <w:t>5</w:t>
            </w:r>
            <w:r>
              <w:rPr>
                <w:rFonts w:hint="eastAsia"/>
                <w:color w:val="auto"/>
                <w:sz w:val="24"/>
                <w:szCs w:val="24"/>
              </w:rPr>
              <w:t>年版）》（苏发改规发〔202</w:t>
            </w:r>
            <w:r>
              <w:rPr>
                <w:rFonts w:hint="eastAsia"/>
                <w:color w:val="auto"/>
                <w:sz w:val="24"/>
                <w:szCs w:val="24"/>
                <w:lang w:val="en-US" w:eastAsia="zh-CN"/>
              </w:rPr>
              <w:t>5</w:t>
            </w:r>
            <w:r>
              <w:rPr>
                <w:rFonts w:hint="eastAsia"/>
                <w:color w:val="auto"/>
                <w:sz w:val="24"/>
                <w:szCs w:val="24"/>
              </w:rPr>
              <w:t>〕4号），不属于《长江经济带发展负面清单指南（试行，2022年版）》（长江办〔2022〕7号）、《&lt;长江经济带发展负面清单指南（试行，2022年版）&gt;江苏省实施细则》（苏长江办〔2022〕55号）、《市场准入负面清单（202</w:t>
            </w:r>
            <w:r>
              <w:rPr>
                <w:rFonts w:hint="eastAsia"/>
                <w:color w:val="auto"/>
                <w:sz w:val="24"/>
                <w:szCs w:val="24"/>
                <w:lang w:val="en-US" w:eastAsia="zh-CN"/>
              </w:rPr>
              <w:t>5</w:t>
            </w:r>
            <w:r>
              <w:rPr>
                <w:rFonts w:hint="eastAsia"/>
                <w:color w:val="auto"/>
                <w:sz w:val="24"/>
                <w:szCs w:val="24"/>
              </w:rPr>
              <w:t>年版）》中禁止类项目，也不属于《环境保护综合名录》（2021年版）中的“高污染、高环境风险”产品名录</w:t>
            </w:r>
            <w:r>
              <w:rPr>
                <w:rFonts w:hint="eastAsia"/>
                <w:color w:val="auto"/>
                <w:sz w:val="24"/>
                <w:szCs w:val="24"/>
                <w:lang w:eastAsia="zh-CN"/>
              </w:rPr>
              <w:t>，</w:t>
            </w:r>
            <w:r>
              <w:rPr>
                <w:rFonts w:hint="eastAsia"/>
                <w:color w:val="auto"/>
                <w:sz w:val="24"/>
                <w:szCs w:val="24"/>
              </w:rPr>
              <w:t>不属于《外商投资准入特别管理措施（负面清单）（2024 年版）》中纳入特别管理的行业。</w:t>
            </w:r>
          </w:p>
          <w:p w14:paraId="1DDB3219">
            <w:pPr>
              <w:pStyle w:val="66"/>
              <w:rPr>
                <w:color w:val="auto"/>
                <w:sz w:val="24"/>
                <w:szCs w:val="24"/>
              </w:rPr>
            </w:pPr>
            <w:r>
              <w:rPr>
                <w:rFonts w:hint="eastAsia"/>
                <w:color w:val="auto"/>
                <w:sz w:val="24"/>
                <w:szCs w:val="24"/>
              </w:rPr>
              <w:t>①</w:t>
            </w:r>
            <w:r>
              <w:rPr>
                <w:color w:val="auto"/>
                <w:sz w:val="24"/>
                <w:szCs w:val="24"/>
              </w:rPr>
              <w:t>本项目</w:t>
            </w:r>
            <w:r>
              <w:rPr>
                <w:rFonts w:hint="eastAsia"/>
                <w:color w:val="auto"/>
                <w:sz w:val="24"/>
                <w:szCs w:val="24"/>
              </w:rPr>
              <w:t>与</w:t>
            </w:r>
            <w:r>
              <w:rPr>
                <w:color w:val="auto"/>
                <w:sz w:val="24"/>
                <w:szCs w:val="24"/>
              </w:rPr>
              <w:t>《关于印发</w:t>
            </w:r>
            <w:r>
              <w:rPr>
                <w:rFonts w:hint="eastAsia"/>
                <w:color w:val="auto"/>
                <w:sz w:val="24"/>
                <w:szCs w:val="24"/>
              </w:rPr>
              <w:t>〈</w:t>
            </w:r>
            <w:r>
              <w:rPr>
                <w:color w:val="auto"/>
                <w:sz w:val="24"/>
                <w:szCs w:val="24"/>
              </w:rPr>
              <w:t>长江经济带发展负面清单指南</w:t>
            </w:r>
            <w:r>
              <w:rPr>
                <w:rFonts w:hint="eastAsia"/>
                <w:color w:val="auto"/>
                <w:sz w:val="24"/>
                <w:szCs w:val="24"/>
              </w:rPr>
              <w:t>〉</w:t>
            </w:r>
            <w:r>
              <w:rPr>
                <w:color w:val="auto"/>
                <w:sz w:val="24"/>
                <w:szCs w:val="24"/>
              </w:rPr>
              <w:t>（试行</w:t>
            </w:r>
            <w:r>
              <w:rPr>
                <w:rFonts w:hint="eastAsia"/>
                <w:color w:val="auto"/>
                <w:sz w:val="24"/>
                <w:szCs w:val="24"/>
              </w:rPr>
              <w:t>，2022年版本</w:t>
            </w:r>
            <w:r>
              <w:rPr>
                <w:color w:val="auto"/>
                <w:sz w:val="24"/>
                <w:szCs w:val="24"/>
              </w:rPr>
              <w:t>）的通知》（长江办</w:t>
            </w:r>
            <w:r>
              <w:rPr>
                <w:rFonts w:hint="eastAsia"/>
                <w:color w:val="auto"/>
                <w:sz w:val="24"/>
                <w:szCs w:val="24"/>
              </w:rPr>
              <w:t>〔</w:t>
            </w:r>
            <w:r>
              <w:rPr>
                <w:color w:val="auto"/>
                <w:sz w:val="24"/>
                <w:szCs w:val="24"/>
              </w:rPr>
              <w:t>20</w:t>
            </w:r>
            <w:r>
              <w:rPr>
                <w:rFonts w:hint="eastAsia"/>
                <w:color w:val="auto"/>
                <w:sz w:val="24"/>
                <w:szCs w:val="24"/>
              </w:rPr>
              <w:t>22〕7</w:t>
            </w:r>
            <w:r>
              <w:rPr>
                <w:color w:val="auto"/>
                <w:sz w:val="24"/>
                <w:szCs w:val="24"/>
              </w:rPr>
              <w:t>号</w:t>
            </w:r>
            <w:r>
              <w:rPr>
                <w:rFonts w:hint="eastAsia"/>
                <w:color w:val="auto"/>
                <w:sz w:val="24"/>
                <w:szCs w:val="24"/>
              </w:rPr>
              <w:t>，2022年1月19日</w:t>
            </w:r>
            <w:r>
              <w:rPr>
                <w:color w:val="auto"/>
                <w:sz w:val="24"/>
                <w:szCs w:val="24"/>
              </w:rPr>
              <w:t>）</w:t>
            </w:r>
            <w:r>
              <w:rPr>
                <w:rFonts w:hint="eastAsia"/>
                <w:color w:val="auto"/>
                <w:sz w:val="24"/>
                <w:szCs w:val="24"/>
              </w:rPr>
              <w:t>相符性分析</w:t>
            </w:r>
            <w:r>
              <w:rPr>
                <w:color w:val="auto"/>
                <w:sz w:val="24"/>
                <w:szCs w:val="24"/>
              </w:rPr>
              <w:t>。</w:t>
            </w:r>
          </w:p>
          <w:p w14:paraId="05424C9F">
            <w:pPr>
              <w:adjustRightInd w:val="0"/>
              <w:snapToGrid w:val="0"/>
              <w:jc w:val="center"/>
              <w:rPr>
                <w:b/>
                <w:bCs/>
                <w:color w:val="auto"/>
                <w:sz w:val="24"/>
                <w:szCs w:val="24"/>
              </w:rPr>
            </w:pPr>
            <w:r>
              <w:rPr>
                <w:b/>
                <w:bCs/>
                <w:color w:val="auto"/>
                <w:sz w:val="24"/>
                <w:szCs w:val="24"/>
              </w:rPr>
              <w:t>表</w:t>
            </w:r>
            <w:r>
              <w:rPr>
                <w:rFonts w:hint="eastAsia"/>
                <w:b/>
                <w:bCs/>
                <w:color w:val="auto"/>
                <w:sz w:val="24"/>
                <w:szCs w:val="24"/>
              </w:rPr>
              <w:t>1-</w:t>
            </w:r>
            <w:r>
              <w:rPr>
                <w:rFonts w:hint="eastAsia"/>
                <w:b/>
                <w:bCs/>
                <w:color w:val="auto"/>
                <w:sz w:val="24"/>
                <w:szCs w:val="24"/>
                <w:lang w:val="en-US" w:eastAsia="zh-CN"/>
              </w:rPr>
              <w:t>3</w:t>
            </w:r>
            <w:r>
              <w:rPr>
                <w:rFonts w:hint="eastAsia"/>
                <w:b/>
                <w:bCs/>
                <w:color w:val="auto"/>
                <w:sz w:val="24"/>
                <w:szCs w:val="24"/>
              </w:rPr>
              <w:t xml:space="preserve"> </w:t>
            </w:r>
            <w:r>
              <w:rPr>
                <w:b/>
                <w:bCs/>
                <w:color w:val="auto"/>
                <w:sz w:val="24"/>
                <w:szCs w:val="24"/>
              </w:rPr>
              <w:t>本项目与</w:t>
            </w:r>
            <w:r>
              <w:rPr>
                <w:rFonts w:hint="eastAsia"/>
                <w:b/>
                <w:bCs/>
                <w:color w:val="auto"/>
                <w:sz w:val="24"/>
                <w:szCs w:val="24"/>
              </w:rPr>
              <w:t>长江办〔2022〕7号文件</w:t>
            </w:r>
            <w:r>
              <w:rPr>
                <w:b/>
                <w:bCs/>
                <w:color w:val="auto"/>
                <w:sz w:val="24"/>
                <w:szCs w:val="24"/>
              </w:rPr>
              <w:t>相符性分析</w:t>
            </w:r>
          </w:p>
          <w:tbl>
            <w:tblPr>
              <w:tblStyle w:val="26"/>
              <w:tblW w:w="4996"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527"/>
              <w:gridCol w:w="3509"/>
              <w:gridCol w:w="2621"/>
              <w:gridCol w:w="790"/>
            </w:tblGrid>
            <w:tr w14:paraId="6E3DFF6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54" w:type="pct"/>
                  <w:vAlign w:val="center"/>
                </w:tcPr>
                <w:p w14:paraId="000DC74F">
                  <w:pPr>
                    <w:snapToGrid w:val="0"/>
                    <w:jc w:val="center"/>
                    <w:rPr>
                      <w:b/>
                      <w:bCs/>
                      <w:color w:val="auto"/>
                      <w:sz w:val="21"/>
                      <w:szCs w:val="21"/>
                    </w:rPr>
                  </w:pPr>
                  <w:r>
                    <w:rPr>
                      <w:b/>
                      <w:bCs/>
                      <w:color w:val="auto"/>
                      <w:sz w:val="21"/>
                      <w:szCs w:val="21"/>
                    </w:rPr>
                    <w:t>序号</w:t>
                  </w:r>
                </w:p>
              </w:tc>
              <w:tc>
                <w:tcPr>
                  <w:tcW w:w="2355" w:type="pct"/>
                  <w:vAlign w:val="center"/>
                </w:tcPr>
                <w:p w14:paraId="24C57FA6">
                  <w:pPr>
                    <w:snapToGrid w:val="0"/>
                    <w:jc w:val="center"/>
                    <w:rPr>
                      <w:b/>
                      <w:bCs/>
                      <w:color w:val="auto"/>
                      <w:sz w:val="21"/>
                      <w:szCs w:val="21"/>
                    </w:rPr>
                  </w:pPr>
                  <w:r>
                    <w:rPr>
                      <w:b/>
                      <w:bCs/>
                      <w:color w:val="auto"/>
                      <w:sz w:val="21"/>
                      <w:szCs w:val="21"/>
                    </w:rPr>
                    <w:t>指南要求</w:t>
                  </w:r>
                </w:p>
              </w:tc>
              <w:tc>
                <w:tcPr>
                  <w:tcW w:w="1759" w:type="pct"/>
                  <w:vAlign w:val="center"/>
                </w:tcPr>
                <w:p w14:paraId="06ABD4CA">
                  <w:pPr>
                    <w:snapToGrid w:val="0"/>
                    <w:jc w:val="center"/>
                    <w:rPr>
                      <w:b/>
                      <w:bCs/>
                      <w:color w:val="auto"/>
                      <w:sz w:val="21"/>
                      <w:szCs w:val="21"/>
                    </w:rPr>
                  </w:pPr>
                  <w:r>
                    <w:rPr>
                      <w:b/>
                      <w:bCs/>
                      <w:color w:val="auto"/>
                      <w:sz w:val="21"/>
                      <w:szCs w:val="21"/>
                    </w:rPr>
                    <w:t>本项目情况</w:t>
                  </w:r>
                </w:p>
              </w:tc>
              <w:tc>
                <w:tcPr>
                  <w:tcW w:w="530" w:type="pct"/>
                  <w:vAlign w:val="center"/>
                </w:tcPr>
                <w:p w14:paraId="563DA77A">
                  <w:pPr>
                    <w:snapToGrid w:val="0"/>
                    <w:jc w:val="center"/>
                    <w:rPr>
                      <w:b/>
                      <w:bCs/>
                      <w:color w:val="auto"/>
                      <w:sz w:val="21"/>
                      <w:szCs w:val="21"/>
                    </w:rPr>
                  </w:pPr>
                  <w:r>
                    <w:rPr>
                      <w:rFonts w:hint="eastAsia"/>
                      <w:b/>
                      <w:bCs/>
                      <w:color w:val="auto"/>
                      <w:sz w:val="21"/>
                      <w:szCs w:val="21"/>
                    </w:rPr>
                    <w:t>是否</w:t>
                  </w:r>
                </w:p>
                <w:p w14:paraId="6B0E1D08">
                  <w:pPr>
                    <w:snapToGrid w:val="0"/>
                    <w:jc w:val="center"/>
                    <w:rPr>
                      <w:b/>
                      <w:bCs/>
                      <w:color w:val="auto"/>
                      <w:sz w:val="21"/>
                      <w:szCs w:val="21"/>
                    </w:rPr>
                  </w:pPr>
                  <w:r>
                    <w:rPr>
                      <w:rFonts w:hint="eastAsia"/>
                      <w:b/>
                      <w:bCs/>
                      <w:color w:val="auto"/>
                      <w:sz w:val="21"/>
                      <w:szCs w:val="21"/>
                    </w:rPr>
                    <w:t>相符</w:t>
                  </w:r>
                </w:p>
              </w:tc>
            </w:tr>
            <w:tr w14:paraId="7CF2FAC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54" w:type="pct"/>
                  <w:vAlign w:val="center"/>
                </w:tcPr>
                <w:p w14:paraId="28CA7C8B">
                  <w:pPr>
                    <w:jc w:val="center"/>
                    <w:rPr>
                      <w:color w:val="auto"/>
                      <w:sz w:val="21"/>
                      <w:szCs w:val="21"/>
                    </w:rPr>
                  </w:pPr>
                  <w:r>
                    <w:rPr>
                      <w:color w:val="auto"/>
                      <w:sz w:val="21"/>
                      <w:szCs w:val="21"/>
                    </w:rPr>
                    <w:t>1</w:t>
                  </w:r>
                </w:p>
              </w:tc>
              <w:tc>
                <w:tcPr>
                  <w:tcW w:w="2355" w:type="pct"/>
                  <w:vAlign w:val="center"/>
                </w:tcPr>
                <w:p w14:paraId="65E51CE5">
                  <w:pPr>
                    <w:jc w:val="center"/>
                    <w:rPr>
                      <w:color w:val="auto"/>
                      <w:sz w:val="21"/>
                      <w:szCs w:val="21"/>
                    </w:rPr>
                  </w:pPr>
                  <w:r>
                    <w:rPr>
                      <w:color w:val="auto"/>
                      <w:sz w:val="21"/>
                      <w:szCs w:val="21"/>
                    </w:rPr>
                    <w:t>禁止建设不符合全国和省级港口布局规划以及港口总体规划的码头项目，禁止建设不符合《长江干线过江通道布局规划》的过江通道项目。</w:t>
                  </w:r>
                </w:p>
              </w:tc>
              <w:tc>
                <w:tcPr>
                  <w:tcW w:w="1759" w:type="pct"/>
                  <w:vAlign w:val="center"/>
                </w:tcPr>
                <w:p w14:paraId="294F5200">
                  <w:pPr>
                    <w:jc w:val="center"/>
                    <w:rPr>
                      <w:color w:val="auto"/>
                      <w:sz w:val="21"/>
                      <w:szCs w:val="21"/>
                    </w:rPr>
                  </w:pPr>
                  <w:r>
                    <w:rPr>
                      <w:color w:val="auto"/>
                      <w:sz w:val="21"/>
                      <w:szCs w:val="21"/>
                    </w:rPr>
                    <w:t>本项目</w:t>
                  </w:r>
                  <w:r>
                    <w:rPr>
                      <w:rFonts w:hint="eastAsia"/>
                      <w:color w:val="auto"/>
                      <w:sz w:val="21"/>
                      <w:szCs w:val="21"/>
                    </w:rPr>
                    <w:t>属于[C3534]饲料生产专用设备制造</w:t>
                  </w:r>
                  <w:r>
                    <w:rPr>
                      <w:color w:val="auto"/>
                      <w:sz w:val="21"/>
                      <w:szCs w:val="21"/>
                    </w:rPr>
                    <w:t>，不属于码头、过江通道项目。</w:t>
                  </w:r>
                </w:p>
              </w:tc>
              <w:tc>
                <w:tcPr>
                  <w:tcW w:w="530" w:type="pct"/>
                  <w:vAlign w:val="center"/>
                </w:tcPr>
                <w:p w14:paraId="3D18A30C">
                  <w:pPr>
                    <w:jc w:val="center"/>
                    <w:rPr>
                      <w:color w:val="auto"/>
                      <w:sz w:val="21"/>
                      <w:szCs w:val="21"/>
                    </w:rPr>
                  </w:pPr>
                  <w:r>
                    <w:rPr>
                      <w:color w:val="auto"/>
                      <w:sz w:val="21"/>
                      <w:szCs w:val="21"/>
                    </w:rPr>
                    <w:t>相符</w:t>
                  </w:r>
                </w:p>
              </w:tc>
            </w:tr>
            <w:tr w14:paraId="3D68AD5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54" w:type="pct"/>
                  <w:vAlign w:val="center"/>
                </w:tcPr>
                <w:p w14:paraId="3B048FE0">
                  <w:pPr>
                    <w:jc w:val="center"/>
                    <w:rPr>
                      <w:color w:val="auto"/>
                      <w:sz w:val="21"/>
                      <w:szCs w:val="21"/>
                    </w:rPr>
                  </w:pPr>
                  <w:r>
                    <w:rPr>
                      <w:color w:val="auto"/>
                      <w:sz w:val="21"/>
                      <w:szCs w:val="21"/>
                    </w:rPr>
                    <w:t>2</w:t>
                  </w:r>
                </w:p>
              </w:tc>
              <w:tc>
                <w:tcPr>
                  <w:tcW w:w="2355" w:type="pct"/>
                  <w:vAlign w:val="center"/>
                </w:tcPr>
                <w:p w14:paraId="472CDD13">
                  <w:pPr>
                    <w:jc w:val="center"/>
                    <w:rPr>
                      <w:color w:val="auto"/>
                      <w:sz w:val="21"/>
                      <w:szCs w:val="21"/>
                    </w:rPr>
                  </w:pPr>
                  <w:r>
                    <w:rPr>
                      <w:color w:val="auto"/>
                      <w:sz w:val="21"/>
                      <w:szCs w:val="21"/>
                    </w:rPr>
                    <w:t>禁止在自然保护区核心区、缓冲区的岸线和河段范围内投资建设旅游和生产经营项目。禁止在风景名胜区核心景区的岸线和河段范围内投资建设与风景名胜资源保护无关的项目。</w:t>
                  </w:r>
                </w:p>
              </w:tc>
              <w:tc>
                <w:tcPr>
                  <w:tcW w:w="1759" w:type="pct"/>
                  <w:vAlign w:val="center"/>
                </w:tcPr>
                <w:p w14:paraId="6157878C">
                  <w:pPr>
                    <w:jc w:val="center"/>
                    <w:rPr>
                      <w:color w:val="auto"/>
                      <w:sz w:val="21"/>
                      <w:szCs w:val="21"/>
                    </w:rPr>
                  </w:pPr>
                  <w:r>
                    <w:rPr>
                      <w:color w:val="auto"/>
                      <w:sz w:val="21"/>
                      <w:szCs w:val="21"/>
                    </w:rPr>
                    <w:t>本项目</w:t>
                  </w:r>
                  <w:r>
                    <w:rPr>
                      <w:rFonts w:hint="eastAsia"/>
                      <w:color w:val="auto"/>
                      <w:sz w:val="21"/>
                      <w:szCs w:val="21"/>
                    </w:rPr>
                    <w:t>位于江苏省海安高新技术产业开发区田庄村18组</w:t>
                  </w:r>
                  <w:r>
                    <w:rPr>
                      <w:color w:val="auto"/>
                      <w:sz w:val="21"/>
                      <w:szCs w:val="21"/>
                    </w:rPr>
                    <w:t>，不在自然保护区核心区、缓冲区的岸线和河段范围内，不在国家级和省级风景名胜区核心景区的岸线和河段范围内。</w:t>
                  </w:r>
                </w:p>
              </w:tc>
              <w:tc>
                <w:tcPr>
                  <w:tcW w:w="530" w:type="pct"/>
                  <w:vAlign w:val="center"/>
                </w:tcPr>
                <w:p w14:paraId="106841F9">
                  <w:pPr>
                    <w:jc w:val="center"/>
                    <w:rPr>
                      <w:color w:val="auto"/>
                      <w:sz w:val="21"/>
                      <w:szCs w:val="21"/>
                    </w:rPr>
                  </w:pPr>
                  <w:r>
                    <w:rPr>
                      <w:color w:val="auto"/>
                      <w:sz w:val="21"/>
                      <w:szCs w:val="21"/>
                    </w:rPr>
                    <w:t>相符</w:t>
                  </w:r>
                </w:p>
              </w:tc>
            </w:tr>
            <w:tr w14:paraId="7FC5184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54" w:type="pct"/>
                  <w:vAlign w:val="center"/>
                </w:tcPr>
                <w:p w14:paraId="3E0E1773">
                  <w:pPr>
                    <w:jc w:val="center"/>
                    <w:rPr>
                      <w:color w:val="auto"/>
                      <w:sz w:val="21"/>
                      <w:szCs w:val="21"/>
                    </w:rPr>
                  </w:pPr>
                  <w:r>
                    <w:rPr>
                      <w:color w:val="auto"/>
                      <w:sz w:val="21"/>
                      <w:szCs w:val="21"/>
                    </w:rPr>
                    <w:t>3</w:t>
                  </w:r>
                </w:p>
              </w:tc>
              <w:tc>
                <w:tcPr>
                  <w:tcW w:w="2355" w:type="pct"/>
                  <w:vAlign w:val="center"/>
                </w:tcPr>
                <w:p w14:paraId="7E5345F6">
                  <w:pPr>
                    <w:jc w:val="center"/>
                    <w:rPr>
                      <w:color w:val="auto"/>
                      <w:sz w:val="21"/>
                      <w:szCs w:val="21"/>
                    </w:rPr>
                  </w:pPr>
                  <w:r>
                    <w:rPr>
                      <w:color w:val="auto"/>
                      <w:sz w:val="21"/>
                      <w:szCs w:val="21"/>
                    </w:rPr>
                    <w:t>禁止在饮用水水源一级保护区的岸线和河段范围内新建、改建、扩建与</w:t>
                  </w:r>
                  <w:r>
                    <w:rPr>
                      <w:rFonts w:hint="eastAsia"/>
                      <w:color w:val="auto"/>
                      <w:sz w:val="21"/>
                      <w:szCs w:val="21"/>
                    </w:rPr>
                    <w:t>供水</w:t>
                  </w:r>
                  <w:r>
                    <w:rPr>
                      <w:color w:val="auto"/>
                      <w:sz w:val="21"/>
                      <w:szCs w:val="21"/>
                    </w:rPr>
                    <w:t>设施和保护水源无关的项目，以及网箱养殖、畜禽养殖、旅游等可能污染饮用水水体的投资建设项目。禁止在饮用水水源二级保护区的岸线和河段范围内新建、改建、扩建排放污染物的投资建设项目。</w:t>
                  </w:r>
                </w:p>
              </w:tc>
              <w:tc>
                <w:tcPr>
                  <w:tcW w:w="1759" w:type="pct"/>
                  <w:vAlign w:val="center"/>
                </w:tcPr>
                <w:p w14:paraId="0D058AC1">
                  <w:pPr>
                    <w:jc w:val="center"/>
                    <w:rPr>
                      <w:color w:val="auto"/>
                      <w:sz w:val="21"/>
                      <w:szCs w:val="21"/>
                    </w:rPr>
                  </w:pPr>
                  <w:r>
                    <w:rPr>
                      <w:color w:val="auto"/>
                      <w:sz w:val="21"/>
                      <w:szCs w:val="21"/>
                    </w:rPr>
                    <w:t>本项目</w:t>
                  </w:r>
                  <w:r>
                    <w:rPr>
                      <w:rFonts w:hint="eastAsia"/>
                      <w:color w:val="auto"/>
                      <w:sz w:val="21"/>
                      <w:szCs w:val="21"/>
                    </w:rPr>
                    <w:t>位于江苏省海安高新技术产业开发区田庄村18组</w:t>
                  </w:r>
                  <w:r>
                    <w:rPr>
                      <w:color w:val="auto"/>
                      <w:sz w:val="21"/>
                      <w:szCs w:val="21"/>
                    </w:rPr>
                    <w:t>，不在饮用水水源一级保护区的岸线和河段范围内，不在饮用水水源二级保护区的岸线和河段范围内。</w:t>
                  </w:r>
                </w:p>
              </w:tc>
              <w:tc>
                <w:tcPr>
                  <w:tcW w:w="530" w:type="pct"/>
                  <w:vAlign w:val="center"/>
                </w:tcPr>
                <w:p w14:paraId="4037B901">
                  <w:pPr>
                    <w:jc w:val="center"/>
                    <w:rPr>
                      <w:color w:val="auto"/>
                      <w:sz w:val="21"/>
                      <w:szCs w:val="21"/>
                    </w:rPr>
                  </w:pPr>
                  <w:r>
                    <w:rPr>
                      <w:color w:val="auto"/>
                      <w:sz w:val="21"/>
                      <w:szCs w:val="21"/>
                    </w:rPr>
                    <w:t>相符</w:t>
                  </w:r>
                </w:p>
              </w:tc>
            </w:tr>
            <w:tr w14:paraId="7A21D69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54" w:type="pct"/>
                  <w:vAlign w:val="center"/>
                </w:tcPr>
                <w:p w14:paraId="28283B22">
                  <w:pPr>
                    <w:jc w:val="center"/>
                    <w:rPr>
                      <w:color w:val="auto"/>
                      <w:sz w:val="21"/>
                      <w:szCs w:val="21"/>
                    </w:rPr>
                  </w:pPr>
                  <w:r>
                    <w:rPr>
                      <w:color w:val="auto"/>
                      <w:sz w:val="21"/>
                      <w:szCs w:val="21"/>
                    </w:rPr>
                    <w:t>4</w:t>
                  </w:r>
                </w:p>
              </w:tc>
              <w:tc>
                <w:tcPr>
                  <w:tcW w:w="2355" w:type="pct"/>
                  <w:vAlign w:val="center"/>
                </w:tcPr>
                <w:p w14:paraId="10484867">
                  <w:pPr>
                    <w:jc w:val="center"/>
                    <w:rPr>
                      <w:color w:val="auto"/>
                      <w:sz w:val="21"/>
                      <w:szCs w:val="21"/>
                    </w:rPr>
                  </w:pPr>
                  <w:r>
                    <w:rPr>
                      <w:color w:val="auto"/>
                      <w:sz w:val="21"/>
                      <w:szCs w:val="21"/>
                    </w:rPr>
                    <w:t>禁止在水产种质资源保护区的岸线和河段范围内新建围湖造田、围海造地或围填海等投资建设项目。禁止在国家湿地公园的岸线和河段范围内挖沙、采矿，以及任何不符合主体功能定位的投资建设项目。</w:t>
                  </w:r>
                </w:p>
              </w:tc>
              <w:tc>
                <w:tcPr>
                  <w:tcW w:w="1759" w:type="pct"/>
                  <w:vAlign w:val="center"/>
                </w:tcPr>
                <w:p w14:paraId="6F2FAE94">
                  <w:pPr>
                    <w:jc w:val="center"/>
                    <w:rPr>
                      <w:color w:val="auto"/>
                      <w:sz w:val="21"/>
                      <w:szCs w:val="21"/>
                    </w:rPr>
                  </w:pPr>
                  <w:r>
                    <w:rPr>
                      <w:color w:val="auto"/>
                      <w:sz w:val="21"/>
                      <w:szCs w:val="21"/>
                    </w:rPr>
                    <w:t>本项目</w:t>
                  </w:r>
                  <w:r>
                    <w:rPr>
                      <w:rFonts w:hint="eastAsia"/>
                      <w:color w:val="auto"/>
                      <w:sz w:val="21"/>
                      <w:szCs w:val="21"/>
                    </w:rPr>
                    <w:t>位于江苏省海安高新技术产业开发区田庄村18组</w:t>
                  </w:r>
                  <w:r>
                    <w:rPr>
                      <w:color w:val="auto"/>
                      <w:sz w:val="21"/>
                      <w:szCs w:val="21"/>
                    </w:rPr>
                    <w:t>，不在水产种质资源保护区的岸线和河段范围内、不在国家湿地公园的岸线和河段范围内。</w:t>
                  </w:r>
                </w:p>
              </w:tc>
              <w:tc>
                <w:tcPr>
                  <w:tcW w:w="530" w:type="pct"/>
                  <w:vAlign w:val="center"/>
                </w:tcPr>
                <w:p w14:paraId="051773B6">
                  <w:pPr>
                    <w:jc w:val="center"/>
                    <w:rPr>
                      <w:color w:val="auto"/>
                      <w:sz w:val="21"/>
                      <w:szCs w:val="21"/>
                    </w:rPr>
                  </w:pPr>
                  <w:r>
                    <w:rPr>
                      <w:color w:val="auto"/>
                      <w:sz w:val="21"/>
                      <w:szCs w:val="21"/>
                    </w:rPr>
                    <w:t>相符</w:t>
                  </w:r>
                </w:p>
              </w:tc>
            </w:tr>
            <w:tr w14:paraId="29E75C4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54" w:type="pct"/>
                  <w:vAlign w:val="center"/>
                </w:tcPr>
                <w:p w14:paraId="237917A1">
                  <w:pPr>
                    <w:jc w:val="center"/>
                    <w:rPr>
                      <w:color w:val="auto"/>
                      <w:sz w:val="21"/>
                      <w:szCs w:val="21"/>
                    </w:rPr>
                  </w:pPr>
                  <w:r>
                    <w:rPr>
                      <w:color w:val="auto"/>
                      <w:sz w:val="21"/>
                      <w:szCs w:val="21"/>
                    </w:rPr>
                    <w:t>5</w:t>
                  </w:r>
                </w:p>
              </w:tc>
              <w:tc>
                <w:tcPr>
                  <w:tcW w:w="2355" w:type="pct"/>
                  <w:vAlign w:val="center"/>
                </w:tcPr>
                <w:p w14:paraId="6114C324">
                  <w:pPr>
                    <w:jc w:val="center"/>
                    <w:rPr>
                      <w:color w:val="auto"/>
                      <w:sz w:val="21"/>
                      <w:szCs w:val="21"/>
                    </w:rPr>
                  </w:pPr>
                  <w:r>
                    <w:rPr>
                      <w:color w:val="auto"/>
                      <w:sz w:val="21"/>
                      <w:szCs w:val="21"/>
                    </w:rPr>
                    <w:t>禁止违法利用、占用长江流域河湖岸线。禁止在《长江岸线保护和开发利用总体规划》划定的岸线保护区和保留区内投资建设除事关公共安全及公众利益的防洪护岸、河道治理、供水、生态环境保护、航道整治、国家重要基础设施以外的项目。禁止在《全国重要江河湖泊水功能区划》划定的河段及湖泊保护区、保留区内投资建设不利于水资源及自然生态保护项目。</w:t>
                  </w:r>
                </w:p>
              </w:tc>
              <w:tc>
                <w:tcPr>
                  <w:tcW w:w="1759" w:type="pct"/>
                  <w:vAlign w:val="center"/>
                </w:tcPr>
                <w:p w14:paraId="59EF80CF">
                  <w:pPr>
                    <w:jc w:val="center"/>
                    <w:rPr>
                      <w:color w:val="auto"/>
                      <w:sz w:val="21"/>
                      <w:szCs w:val="21"/>
                    </w:rPr>
                  </w:pPr>
                  <w:r>
                    <w:rPr>
                      <w:color w:val="auto"/>
                      <w:sz w:val="21"/>
                      <w:szCs w:val="21"/>
                    </w:rPr>
                    <w:t>本项目不在长江流域河湖岸线内，不在《长江岸线保护和开发利用总体规划》划定的岸线保护区和保留区内，不在《全国重要江河湖泊水功能区划》划定的河段及湖泊保护区、保留区内。</w:t>
                  </w:r>
                </w:p>
              </w:tc>
              <w:tc>
                <w:tcPr>
                  <w:tcW w:w="530" w:type="pct"/>
                  <w:vAlign w:val="center"/>
                </w:tcPr>
                <w:p w14:paraId="580CD90D">
                  <w:pPr>
                    <w:jc w:val="center"/>
                    <w:rPr>
                      <w:color w:val="auto"/>
                      <w:sz w:val="21"/>
                      <w:szCs w:val="21"/>
                    </w:rPr>
                  </w:pPr>
                  <w:r>
                    <w:rPr>
                      <w:color w:val="auto"/>
                      <w:sz w:val="21"/>
                      <w:szCs w:val="21"/>
                    </w:rPr>
                    <w:t>相符</w:t>
                  </w:r>
                </w:p>
              </w:tc>
            </w:tr>
            <w:tr w14:paraId="42AF9B6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54" w:type="pct"/>
                  <w:vAlign w:val="center"/>
                </w:tcPr>
                <w:p w14:paraId="7108BFD4">
                  <w:pPr>
                    <w:jc w:val="center"/>
                    <w:rPr>
                      <w:color w:val="auto"/>
                      <w:sz w:val="21"/>
                      <w:szCs w:val="21"/>
                    </w:rPr>
                  </w:pPr>
                  <w:r>
                    <w:rPr>
                      <w:color w:val="auto"/>
                      <w:sz w:val="21"/>
                      <w:szCs w:val="21"/>
                    </w:rPr>
                    <w:t>6</w:t>
                  </w:r>
                </w:p>
              </w:tc>
              <w:tc>
                <w:tcPr>
                  <w:tcW w:w="2355" w:type="pct"/>
                  <w:vAlign w:val="center"/>
                </w:tcPr>
                <w:p w14:paraId="642D16DC">
                  <w:pPr>
                    <w:jc w:val="center"/>
                    <w:rPr>
                      <w:color w:val="auto"/>
                      <w:sz w:val="21"/>
                      <w:szCs w:val="21"/>
                    </w:rPr>
                  </w:pPr>
                  <w:r>
                    <w:rPr>
                      <w:color w:val="auto"/>
                      <w:sz w:val="21"/>
                      <w:szCs w:val="21"/>
                    </w:rPr>
                    <w:t>禁止未经许可在长江干支流及湖泊新设、改设或扩大排污口。</w:t>
                  </w:r>
                </w:p>
              </w:tc>
              <w:tc>
                <w:tcPr>
                  <w:tcW w:w="1759" w:type="pct"/>
                  <w:vAlign w:val="center"/>
                </w:tcPr>
                <w:p w14:paraId="4667F81B">
                  <w:pPr>
                    <w:jc w:val="center"/>
                    <w:rPr>
                      <w:color w:val="auto"/>
                      <w:sz w:val="21"/>
                      <w:szCs w:val="21"/>
                    </w:rPr>
                  </w:pPr>
                  <w:r>
                    <w:rPr>
                      <w:color w:val="auto"/>
                      <w:sz w:val="21"/>
                      <w:szCs w:val="21"/>
                    </w:rPr>
                    <w:t>本项目不在长江干支流及湖泊新设、改设或扩大排污口。</w:t>
                  </w:r>
                </w:p>
              </w:tc>
              <w:tc>
                <w:tcPr>
                  <w:tcW w:w="530" w:type="pct"/>
                  <w:vAlign w:val="center"/>
                </w:tcPr>
                <w:p w14:paraId="633A95BB">
                  <w:pPr>
                    <w:jc w:val="center"/>
                    <w:rPr>
                      <w:color w:val="auto"/>
                      <w:sz w:val="21"/>
                      <w:szCs w:val="21"/>
                    </w:rPr>
                  </w:pPr>
                  <w:r>
                    <w:rPr>
                      <w:color w:val="auto"/>
                      <w:sz w:val="21"/>
                      <w:szCs w:val="21"/>
                    </w:rPr>
                    <w:t>相符</w:t>
                  </w:r>
                </w:p>
              </w:tc>
            </w:tr>
            <w:tr w14:paraId="2421B2F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54" w:type="pct"/>
                  <w:vAlign w:val="center"/>
                </w:tcPr>
                <w:p w14:paraId="20659896">
                  <w:pPr>
                    <w:jc w:val="center"/>
                    <w:rPr>
                      <w:color w:val="auto"/>
                      <w:sz w:val="21"/>
                      <w:szCs w:val="21"/>
                    </w:rPr>
                  </w:pPr>
                  <w:r>
                    <w:rPr>
                      <w:color w:val="auto"/>
                      <w:sz w:val="21"/>
                      <w:szCs w:val="21"/>
                    </w:rPr>
                    <w:t>7</w:t>
                  </w:r>
                </w:p>
              </w:tc>
              <w:tc>
                <w:tcPr>
                  <w:tcW w:w="2355" w:type="pct"/>
                  <w:vAlign w:val="center"/>
                </w:tcPr>
                <w:p w14:paraId="68D69016">
                  <w:pPr>
                    <w:jc w:val="center"/>
                    <w:rPr>
                      <w:color w:val="auto"/>
                      <w:sz w:val="21"/>
                      <w:szCs w:val="21"/>
                    </w:rPr>
                  </w:pPr>
                  <w:r>
                    <w:rPr>
                      <w:color w:val="auto"/>
                      <w:sz w:val="21"/>
                      <w:szCs w:val="21"/>
                    </w:rPr>
                    <w:t>禁止在“一江一口两湖七河”和332个水生生物保护区开展生产性捕捞。</w:t>
                  </w:r>
                </w:p>
              </w:tc>
              <w:tc>
                <w:tcPr>
                  <w:tcW w:w="1759" w:type="pct"/>
                  <w:vAlign w:val="center"/>
                </w:tcPr>
                <w:p w14:paraId="5F19D1AA">
                  <w:pPr>
                    <w:jc w:val="center"/>
                    <w:rPr>
                      <w:color w:val="auto"/>
                      <w:sz w:val="21"/>
                      <w:szCs w:val="21"/>
                    </w:rPr>
                  </w:pPr>
                  <w:r>
                    <w:rPr>
                      <w:color w:val="auto"/>
                      <w:sz w:val="21"/>
                      <w:szCs w:val="21"/>
                    </w:rPr>
                    <w:t>本项目不在</w:t>
                  </w:r>
                  <w:r>
                    <w:rPr>
                      <w:rFonts w:hint="eastAsia" w:ascii="宋体" w:hAnsi="宋体" w:eastAsia="宋体" w:cs="宋体"/>
                      <w:color w:val="auto"/>
                      <w:sz w:val="21"/>
                      <w:szCs w:val="21"/>
                    </w:rPr>
                    <w:t>“一江一口两湖七河”</w:t>
                  </w:r>
                  <w:r>
                    <w:rPr>
                      <w:color w:val="auto"/>
                      <w:sz w:val="21"/>
                      <w:szCs w:val="21"/>
                    </w:rPr>
                    <w:t>和332个水生生物保护区内。</w:t>
                  </w:r>
                </w:p>
              </w:tc>
              <w:tc>
                <w:tcPr>
                  <w:tcW w:w="530" w:type="pct"/>
                  <w:vAlign w:val="center"/>
                </w:tcPr>
                <w:p w14:paraId="3B5D59AB">
                  <w:pPr>
                    <w:jc w:val="center"/>
                    <w:rPr>
                      <w:color w:val="auto"/>
                      <w:sz w:val="21"/>
                      <w:szCs w:val="21"/>
                    </w:rPr>
                  </w:pPr>
                  <w:r>
                    <w:rPr>
                      <w:color w:val="auto"/>
                      <w:sz w:val="21"/>
                      <w:szCs w:val="21"/>
                    </w:rPr>
                    <w:t>相符</w:t>
                  </w:r>
                </w:p>
              </w:tc>
            </w:tr>
            <w:tr w14:paraId="6BD7B48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54" w:type="pct"/>
                  <w:vAlign w:val="center"/>
                </w:tcPr>
                <w:p w14:paraId="49BC3DCB">
                  <w:pPr>
                    <w:jc w:val="center"/>
                    <w:rPr>
                      <w:color w:val="auto"/>
                      <w:sz w:val="21"/>
                      <w:szCs w:val="21"/>
                    </w:rPr>
                  </w:pPr>
                  <w:r>
                    <w:rPr>
                      <w:color w:val="auto"/>
                      <w:sz w:val="21"/>
                      <w:szCs w:val="21"/>
                    </w:rPr>
                    <w:t>8</w:t>
                  </w:r>
                </w:p>
              </w:tc>
              <w:tc>
                <w:tcPr>
                  <w:tcW w:w="2355" w:type="pct"/>
                  <w:vAlign w:val="center"/>
                </w:tcPr>
                <w:p w14:paraId="4D387617">
                  <w:pPr>
                    <w:jc w:val="center"/>
                    <w:rPr>
                      <w:color w:val="auto"/>
                      <w:sz w:val="21"/>
                      <w:szCs w:val="21"/>
                    </w:rPr>
                  </w:pPr>
                  <w:r>
                    <w:rPr>
                      <w:color w:val="auto"/>
                      <w:sz w:val="21"/>
                      <w:szCs w:val="21"/>
                    </w:rPr>
                    <w:t>禁止在长江干支流、重要湖泊岸线一公里范围内新建、扩建化工园区和化工项目。禁止在长江干流岸线三公里范围内和重要支流岸线一公里范围内新建、改建、扩建尾矿库、冶炼渣库和磷石膏库，以提升安全、生态环境保护水平为目的的改建除外。</w:t>
                  </w:r>
                </w:p>
              </w:tc>
              <w:tc>
                <w:tcPr>
                  <w:tcW w:w="1759" w:type="pct"/>
                  <w:vAlign w:val="center"/>
                </w:tcPr>
                <w:p w14:paraId="434EB8E8">
                  <w:pPr>
                    <w:jc w:val="center"/>
                    <w:rPr>
                      <w:color w:val="auto"/>
                      <w:sz w:val="21"/>
                      <w:szCs w:val="21"/>
                    </w:rPr>
                  </w:pPr>
                  <w:r>
                    <w:rPr>
                      <w:color w:val="auto"/>
                      <w:sz w:val="21"/>
                      <w:szCs w:val="21"/>
                    </w:rPr>
                    <w:t>本项目不在长江干支流、重要湖泊岸线一公里范围内，不在长江干流岸线三公里范围内和重要支流岸线一公里范围内，不属于化工园区、化工项目、尾矿库、冶炼渣库和磷石膏库项目。</w:t>
                  </w:r>
                </w:p>
              </w:tc>
              <w:tc>
                <w:tcPr>
                  <w:tcW w:w="530" w:type="pct"/>
                  <w:vAlign w:val="center"/>
                </w:tcPr>
                <w:p w14:paraId="2B8FD52D">
                  <w:pPr>
                    <w:jc w:val="center"/>
                    <w:rPr>
                      <w:color w:val="auto"/>
                      <w:sz w:val="21"/>
                      <w:szCs w:val="21"/>
                    </w:rPr>
                  </w:pPr>
                  <w:r>
                    <w:rPr>
                      <w:color w:val="auto"/>
                      <w:sz w:val="21"/>
                      <w:szCs w:val="21"/>
                    </w:rPr>
                    <w:t>相符</w:t>
                  </w:r>
                </w:p>
              </w:tc>
            </w:tr>
            <w:tr w14:paraId="306DAC7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54" w:type="pct"/>
                  <w:vAlign w:val="center"/>
                </w:tcPr>
                <w:p w14:paraId="63AD17E8">
                  <w:pPr>
                    <w:jc w:val="center"/>
                    <w:rPr>
                      <w:color w:val="auto"/>
                      <w:sz w:val="21"/>
                      <w:szCs w:val="21"/>
                    </w:rPr>
                  </w:pPr>
                  <w:r>
                    <w:rPr>
                      <w:color w:val="auto"/>
                      <w:sz w:val="21"/>
                      <w:szCs w:val="21"/>
                    </w:rPr>
                    <w:t>9</w:t>
                  </w:r>
                </w:p>
              </w:tc>
              <w:tc>
                <w:tcPr>
                  <w:tcW w:w="2355" w:type="pct"/>
                  <w:vAlign w:val="center"/>
                </w:tcPr>
                <w:p w14:paraId="5CE43F8F">
                  <w:pPr>
                    <w:jc w:val="center"/>
                    <w:rPr>
                      <w:color w:val="auto"/>
                      <w:sz w:val="21"/>
                      <w:szCs w:val="21"/>
                    </w:rPr>
                  </w:pPr>
                  <w:r>
                    <w:rPr>
                      <w:color w:val="auto"/>
                      <w:sz w:val="21"/>
                      <w:szCs w:val="21"/>
                    </w:rPr>
                    <w:t>禁止在合规园区外新建、扩建钢铁、石化、化工、焦化、建材、有色、制浆造纸等高污染项目。</w:t>
                  </w:r>
                </w:p>
              </w:tc>
              <w:tc>
                <w:tcPr>
                  <w:tcW w:w="1759" w:type="pct"/>
                  <w:vAlign w:val="center"/>
                </w:tcPr>
                <w:p w14:paraId="15437DAC">
                  <w:pPr>
                    <w:jc w:val="center"/>
                    <w:rPr>
                      <w:color w:val="auto"/>
                      <w:sz w:val="21"/>
                      <w:szCs w:val="21"/>
                    </w:rPr>
                  </w:pPr>
                  <w:r>
                    <w:rPr>
                      <w:color w:val="auto"/>
                      <w:sz w:val="21"/>
                      <w:szCs w:val="21"/>
                    </w:rPr>
                    <w:t>本项目不属于钢铁、石化、化工、焦化、建材、有色、制浆造纸等高污染项目。</w:t>
                  </w:r>
                </w:p>
              </w:tc>
              <w:tc>
                <w:tcPr>
                  <w:tcW w:w="530" w:type="pct"/>
                  <w:vAlign w:val="center"/>
                </w:tcPr>
                <w:p w14:paraId="6B0CF1D5">
                  <w:pPr>
                    <w:jc w:val="center"/>
                    <w:rPr>
                      <w:color w:val="auto"/>
                      <w:sz w:val="21"/>
                      <w:szCs w:val="21"/>
                    </w:rPr>
                  </w:pPr>
                  <w:r>
                    <w:rPr>
                      <w:color w:val="auto"/>
                      <w:sz w:val="21"/>
                      <w:szCs w:val="21"/>
                    </w:rPr>
                    <w:t>相符</w:t>
                  </w:r>
                </w:p>
              </w:tc>
            </w:tr>
            <w:tr w14:paraId="3CCE21F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54" w:type="pct"/>
                  <w:vAlign w:val="center"/>
                </w:tcPr>
                <w:p w14:paraId="1F0C7377">
                  <w:pPr>
                    <w:jc w:val="center"/>
                    <w:rPr>
                      <w:color w:val="auto"/>
                      <w:sz w:val="21"/>
                      <w:szCs w:val="21"/>
                    </w:rPr>
                  </w:pPr>
                  <w:r>
                    <w:rPr>
                      <w:color w:val="auto"/>
                      <w:sz w:val="21"/>
                      <w:szCs w:val="21"/>
                    </w:rPr>
                    <w:t>10</w:t>
                  </w:r>
                </w:p>
              </w:tc>
              <w:tc>
                <w:tcPr>
                  <w:tcW w:w="2355" w:type="pct"/>
                  <w:vAlign w:val="center"/>
                </w:tcPr>
                <w:p w14:paraId="74CDCDE8">
                  <w:pPr>
                    <w:jc w:val="center"/>
                    <w:rPr>
                      <w:color w:val="auto"/>
                      <w:sz w:val="21"/>
                      <w:szCs w:val="21"/>
                    </w:rPr>
                  </w:pPr>
                  <w:r>
                    <w:rPr>
                      <w:color w:val="auto"/>
                      <w:sz w:val="21"/>
                      <w:szCs w:val="21"/>
                    </w:rPr>
                    <w:t>禁止新建、扩建不符合国家石化、现代煤化工等产业布局规划的项目。</w:t>
                  </w:r>
                </w:p>
              </w:tc>
              <w:tc>
                <w:tcPr>
                  <w:tcW w:w="1759" w:type="pct"/>
                  <w:vAlign w:val="center"/>
                </w:tcPr>
                <w:p w14:paraId="7098413E">
                  <w:pPr>
                    <w:jc w:val="center"/>
                    <w:rPr>
                      <w:color w:val="auto"/>
                      <w:sz w:val="21"/>
                      <w:szCs w:val="21"/>
                    </w:rPr>
                  </w:pPr>
                  <w:r>
                    <w:rPr>
                      <w:color w:val="auto"/>
                      <w:sz w:val="21"/>
                      <w:szCs w:val="21"/>
                    </w:rPr>
                    <w:t>本项目不属于不符合国家石化、现代煤化工等产业布局规划的项目。</w:t>
                  </w:r>
                </w:p>
              </w:tc>
              <w:tc>
                <w:tcPr>
                  <w:tcW w:w="530" w:type="pct"/>
                  <w:vAlign w:val="center"/>
                </w:tcPr>
                <w:p w14:paraId="340F53BF">
                  <w:pPr>
                    <w:jc w:val="center"/>
                    <w:rPr>
                      <w:color w:val="auto"/>
                      <w:sz w:val="21"/>
                      <w:szCs w:val="21"/>
                    </w:rPr>
                  </w:pPr>
                  <w:r>
                    <w:rPr>
                      <w:color w:val="auto"/>
                      <w:sz w:val="21"/>
                      <w:szCs w:val="21"/>
                    </w:rPr>
                    <w:t>相符</w:t>
                  </w:r>
                </w:p>
              </w:tc>
            </w:tr>
            <w:tr w14:paraId="4EF93A3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54" w:type="pct"/>
                  <w:vAlign w:val="center"/>
                </w:tcPr>
                <w:p w14:paraId="461BB8A0">
                  <w:pPr>
                    <w:jc w:val="center"/>
                    <w:rPr>
                      <w:color w:val="auto"/>
                      <w:sz w:val="21"/>
                      <w:szCs w:val="21"/>
                    </w:rPr>
                  </w:pPr>
                  <w:r>
                    <w:rPr>
                      <w:color w:val="auto"/>
                      <w:sz w:val="21"/>
                      <w:szCs w:val="21"/>
                    </w:rPr>
                    <w:t>11</w:t>
                  </w:r>
                </w:p>
              </w:tc>
              <w:tc>
                <w:tcPr>
                  <w:tcW w:w="2355" w:type="pct"/>
                  <w:vAlign w:val="center"/>
                </w:tcPr>
                <w:p w14:paraId="5E3C34CB">
                  <w:pPr>
                    <w:jc w:val="center"/>
                    <w:rPr>
                      <w:color w:val="auto"/>
                      <w:sz w:val="21"/>
                      <w:szCs w:val="21"/>
                    </w:rPr>
                  </w:pPr>
                  <w:r>
                    <w:rPr>
                      <w:color w:val="auto"/>
                      <w:sz w:val="21"/>
                      <w:szCs w:val="21"/>
                    </w:rPr>
                    <w:t>禁止新建、扩建法律法规和相关政策明令禁止的落后产能项目。禁止新建、扩建不符合国家产能置换要求的严重过剩产能行业的项目。禁止新建、扩建不符合要求的高耗能高排放项目。</w:t>
                  </w:r>
                </w:p>
              </w:tc>
              <w:tc>
                <w:tcPr>
                  <w:tcW w:w="1759" w:type="pct"/>
                  <w:vAlign w:val="center"/>
                </w:tcPr>
                <w:p w14:paraId="67FD6B84">
                  <w:pPr>
                    <w:jc w:val="center"/>
                    <w:rPr>
                      <w:color w:val="auto"/>
                      <w:sz w:val="21"/>
                      <w:szCs w:val="21"/>
                    </w:rPr>
                  </w:pPr>
                  <w:r>
                    <w:rPr>
                      <w:color w:val="auto"/>
                      <w:sz w:val="21"/>
                      <w:szCs w:val="21"/>
                    </w:rPr>
                    <w:t>本项目不属于落后产能项目，不属于不符合国家产能置换要求的严重过剩产能行业的项目，不属于不符合要求的高耗能高排放项目。</w:t>
                  </w:r>
                </w:p>
              </w:tc>
              <w:tc>
                <w:tcPr>
                  <w:tcW w:w="530" w:type="pct"/>
                  <w:vAlign w:val="center"/>
                </w:tcPr>
                <w:p w14:paraId="5FC9BE89">
                  <w:pPr>
                    <w:jc w:val="center"/>
                    <w:rPr>
                      <w:color w:val="auto"/>
                      <w:sz w:val="21"/>
                      <w:szCs w:val="21"/>
                    </w:rPr>
                  </w:pPr>
                  <w:r>
                    <w:rPr>
                      <w:color w:val="auto"/>
                      <w:sz w:val="21"/>
                      <w:szCs w:val="21"/>
                    </w:rPr>
                    <w:t>相符</w:t>
                  </w:r>
                </w:p>
              </w:tc>
            </w:tr>
            <w:tr w14:paraId="34296CE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54" w:type="pct"/>
                  <w:vAlign w:val="center"/>
                </w:tcPr>
                <w:p w14:paraId="67E2D828">
                  <w:pPr>
                    <w:jc w:val="center"/>
                    <w:rPr>
                      <w:color w:val="auto"/>
                      <w:sz w:val="21"/>
                      <w:szCs w:val="21"/>
                    </w:rPr>
                  </w:pPr>
                  <w:r>
                    <w:rPr>
                      <w:color w:val="auto"/>
                      <w:sz w:val="21"/>
                      <w:szCs w:val="21"/>
                    </w:rPr>
                    <w:t>12</w:t>
                  </w:r>
                </w:p>
              </w:tc>
              <w:tc>
                <w:tcPr>
                  <w:tcW w:w="2355" w:type="pct"/>
                  <w:vAlign w:val="center"/>
                </w:tcPr>
                <w:p w14:paraId="17184450">
                  <w:pPr>
                    <w:jc w:val="center"/>
                    <w:rPr>
                      <w:color w:val="auto"/>
                      <w:sz w:val="21"/>
                      <w:szCs w:val="21"/>
                    </w:rPr>
                  </w:pPr>
                  <w:r>
                    <w:rPr>
                      <w:color w:val="auto"/>
                      <w:sz w:val="21"/>
                      <w:szCs w:val="21"/>
                    </w:rPr>
                    <w:t>法律法规及相关政策文件有更加严格规定的从其规定。</w:t>
                  </w:r>
                </w:p>
              </w:tc>
              <w:tc>
                <w:tcPr>
                  <w:tcW w:w="1759" w:type="pct"/>
                  <w:vAlign w:val="center"/>
                </w:tcPr>
                <w:p w14:paraId="4857E2C8">
                  <w:pPr>
                    <w:jc w:val="center"/>
                    <w:rPr>
                      <w:color w:val="auto"/>
                      <w:sz w:val="21"/>
                      <w:szCs w:val="21"/>
                    </w:rPr>
                  </w:pPr>
                  <w:r>
                    <w:rPr>
                      <w:color w:val="auto"/>
                      <w:sz w:val="21"/>
                      <w:szCs w:val="21"/>
                    </w:rPr>
                    <w:t>本项目符合相关法律法规及政策文件。</w:t>
                  </w:r>
                </w:p>
              </w:tc>
              <w:tc>
                <w:tcPr>
                  <w:tcW w:w="530" w:type="pct"/>
                  <w:vAlign w:val="center"/>
                </w:tcPr>
                <w:p w14:paraId="4D09F134">
                  <w:pPr>
                    <w:jc w:val="center"/>
                    <w:rPr>
                      <w:color w:val="auto"/>
                      <w:sz w:val="21"/>
                      <w:szCs w:val="21"/>
                    </w:rPr>
                  </w:pPr>
                  <w:r>
                    <w:rPr>
                      <w:color w:val="auto"/>
                      <w:sz w:val="21"/>
                      <w:szCs w:val="21"/>
                    </w:rPr>
                    <w:t>相符</w:t>
                  </w:r>
                </w:p>
              </w:tc>
            </w:tr>
          </w:tbl>
          <w:p w14:paraId="4DA40F18">
            <w:pPr>
              <w:spacing w:line="360" w:lineRule="auto"/>
              <w:ind w:firstLine="480" w:firstLineChars="200"/>
              <w:rPr>
                <w:color w:val="auto"/>
                <w:sz w:val="24"/>
                <w:szCs w:val="24"/>
              </w:rPr>
            </w:pPr>
            <w:r>
              <w:rPr>
                <w:rFonts w:hint="eastAsia"/>
                <w:color w:val="auto"/>
                <w:sz w:val="24"/>
                <w:szCs w:val="24"/>
              </w:rPr>
              <w:t>②本项目与《〈长江经济带发展负面清单指南（试行）2022年版〉江苏省实施细则》（苏长江办发〔2022〕55号）相符性分析。</w:t>
            </w:r>
          </w:p>
          <w:p w14:paraId="504F6B67">
            <w:pPr>
              <w:tabs>
                <w:tab w:val="left" w:pos="3960"/>
              </w:tabs>
              <w:jc w:val="center"/>
              <w:rPr>
                <w:b/>
                <w:bCs/>
                <w:color w:val="auto"/>
                <w:sz w:val="24"/>
                <w:szCs w:val="24"/>
              </w:rPr>
            </w:pPr>
            <w:r>
              <w:rPr>
                <w:b/>
                <w:bCs/>
                <w:color w:val="auto"/>
                <w:sz w:val="24"/>
                <w:szCs w:val="24"/>
              </w:rPr>
              <w:t>表</w:t>
            </w:r>
            <w:r>
              <w:rPr>
                <w:rFonts w:hint="eastAsia"/>
                <w:b/>
                <w:bCs/>
                <w:color w:val="auto"/>
                <w:sz w:val="24"/>
                <w:szCs w:val="24"/>
              </w:rPr>
              <w:t>1-</w:t>
            </w:r>
            <w:r>
              <w:rPr>
                <w:rFonts w:hint="eastAsia"/>
                <w:b/>
                <w:bCs/>
                <w:color w:val="auto"/>
                <w:sz w:val="24"/>
                <w:szCs w:val="24"/>
                <w:lang w:val="en-US" w:eastAsia="zh-CN"/>
              </w:rPr>
              <w:t>4</w:t>
            </w:r>
            <w:r>
              <w:rPr>
                <w:rFonts w:hint="eastAsia"/>
                <w:b/>
                <w:bCs/>
                <w:color w:val="auto"/>
                <w:sz w:val="24"/>
                <w:szCs w:val="24"/>
              </w:rPr>
              <w:t xml:space="preserve"> </w:t>
            </w:r>
            <w:r>
              <w:rPr>
                <w:b/>
                <w:bCs/>
                <w:color w:val="auto"/>
                <w:sz w:val="24"/>
                <w:szCs w:val="24"/>
              </w:rPr>
              <w:t>本项目与</w:t>
            </w:r>
            <w:r>
              <w:rPr>
                <w:rFonts w:hint="eastAsia"/>
                <w:b/>
                <w:bCs/>
                <w:color w:val="auto"/>
                <w:sz w:val="24"/>
                <w:szCs w:val="24"/>
              </w:rPr>
              <w:t>苏长江办发〔2022〕55号文件</w:t>
            </w:r>
            <w:r>
              <w:rPr>
                <w:b/>
                <w:bCs/>
                <w:color w:val="auto"/>
                <w:sz w:val="24"/>
                <w:szCs w:val="24"/>
              </w:rPr>
              <w:t>相符性分析</w:t>
            </w:r>
          </w:p>
          <w:tbl>
            <w:tblPr>
              <w:tblStyle w:val="27"/>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534"/>
              <w:gridCol w:w="486"/>
              <w:gridCol w:w="3338"/>
              <w:gridCol w:w="2374"/>
              <w:gridCol w:w="720"/>
            </w:tblGrid>
            <w:tr w14:paraId="531A1B6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58" w:type="pct"/>
                  <w:tcBorders>
                    <w:tl2br w:val="nil"/>
                    <w:tr2bl w:val="nil"/>
                  </w:tcBorders>
                  <w:vAlign w:val="center"/>
                </w:tcPr>
                <w:p w14:paraId="6DCFD093">
                  <w:pPr>
                    <w:pStyle w:val="34"/>
                    <w:spacing w:before="24" w:after="24"/>
                    <w:rPr>
                      <w:rFonts w:ascii="Times New Roman" w:hAnsi="Times New Roman" w:eastAsia="宋体"/>
                      <w:b/>
                      <w:bCs/>
                      <w:color w:val="auto"/>
                      <w:sz w:val="21"/>
                      <w:szCs w:val="21"/>
                    </w:rPr>
                  </w:pPr>
                  <w:r>
                    <w:rPr>
                      <w:rFonts w:ascii="Times New Roman" w:hAnsi="Times New Roman" w:eastAsia="宋体"/>
                      <w:b/>
                      <w:bCs/>
                      <w:color w:val="auto"/>
                      <w:sz w:val="21"/>
                      <w:szCs w:val="21"/>
                    </w:rPr>
                    <w:t>序号</w:t>
                  </w:r>
                </w:p>
              </w:tc>
              <w:tc>
                <w:tcPr>
                  <w:tcW w:w="2565" w:type="pct"/>
                  <w:gridSpan w:val="2"/>
                  <w:tcBorders>
                    <w:tl2br w:val="nil"/>
                    <w:tr2bl w:val="nil"/>
                  </w:tcBorders>
                  <w:vAlign w:val="center"/>
                </w:tcPr>
                <w:p w14:paraId="42A34338">
                  <w:pPr>
                    <w:pStyle w:val="34"/>
                    <w:spacing w:before="24" w:after="24"/>
                    <w:rPr>
                      <w:rFonts w:ascii="Times New Roman" w:hAnsi="Times New Roman" w:eastAsia="宋体"/>
                      <w:b/>
                      <w:bCs/>
                      <w:color w:val="auto"/>
                      <w:sz w:val="21"/>
                      <w:szCs w:val="21"/>
                    </w:rPr>
                  </w:pPr>
                  <w:r>
                    <w:rPr>
                      <w:rFonts w:ascii="Times New Roman" w:hAnsi="Times New Roman" w:eastAsia="宋体"/>
                      <w:b/>
                      <w:bCs/>
                      <w:color w:val="auto"/>
                      <w:sz w:val="21"/>
                      <w:szCs w:val="21"/>
                    </w:rPr>
                    <w:t>管控条款</w:t>
                  </w:r>
                </w:p>
              </w:tc>
              <w:tc>
                <w:tcPr>
                  <w:tcW w:w="1592" w:type="pct"/>
                  <w:tcBorders>
                    <w:tl2br w:val="nil"/>
                    <w:tr2bl w:val="nil"/>
                  </w:tcBorders>
                  <w:vAlign w:val="center"/>
                </w:tcPr>
                <w:p w14:paraId="30762788">
                  <w:pPr>
                    <w:pStyle w:val="34"/>
                    <w:spacing w:before="24" w:after="24"/>
                    <w:rPr>
                      <w:rFonts w:ascii="Times New Roman" w:hAnsi="Times New Roman" w:eastAsia="宋体"/>
                      <w:b/>
                      <w:bCs/>
                      <w:color w:val="auto"/>
                      <w:sz w:val="21"/>
                      <w:szCs w:val="21"/>
                    </w:rPr>
                  </w:pPr>
                  <w:r>
                    <w:rPr>
                      <w:rFonts w:ascii="Times New Roman" w:hAnsi="Times New Roman" w:eastAsia="宋体"/>
                      <w:b/>
                      <w:bCs/>
                      <w:color w:val="auto"/>
                      <w:sz w:val="21"/>
                      <w:szCs w:val="21"/>
                    </w:rPr>
                    <w:t>本项目情况</w:t>
                  </w:r>
                </w:p>
              </w:tc>
              <w:tc>
                <w:tcPr>
                  <w:tcW w:w="483" w:type="pct"/>
                  <w:tcBorders>
                    <w:tl2br w:val="nil"/>
                    <w:tr2bl w:val="nil"/>
                  </w:tcBorders>
                  <w:vAlign w:val="center"/>
                </w:tcPr>
                <w:p w14:paraId="728BA113">
                  <w:pPr>
                    <w:pStyle w:val="34"/>
                    <w:spacing w:before="24" w:after="24"/>
                    <w:rPr>
                      <w:rFonts w:ascii="Times New Roman" w:hAnsi="Times New Roman" w:eastAsia="宋体"/>
                      <w:b/>
                      <w:bCs/>
                      <w:color w:val="auto"/>
                      <w:sz w:val="21"/>
                      <w:szCs w:val="21"/>
                    </w:rPr>
                  </w:pPr>
                  <w:r>
                    <w:rPr>
                      <w:rFonts w:hint="eastAsia" w:ascii="Times New Roman" w:hAnsi="Times New Roman" w:eastAsia="宋体"/>
                      <w:b/>
                      <w:bCs/>
                      <w:color w:val="auto"/>
                      <w:sz w:val="21"/>
                      <w:szCs w:val="21"/>
                    </w:rPr>
                    <w:t>是否相符</w:t>
                  </w:r>
                </w:p>
              </w:tc>
            </w:tr>
            <w:tr w14:paraId="2FAF7D8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58" w:type="pct"/>
                  <w:tcBorders>
                    <w:tl2br w:val="nil"/>
                    <w:tr2bl w:val="nil"/>
                  </w:tcBorders>
                  <w:vAlign w:val="center"/>
                </w:tcPr>
                <w:p w14:paraId="34A76D21">
                  <w:pPr>
                    <w:jc w:val="center"/>
                    <w:rPr>
                      <w:color w:val="auto"/>
                      <w:sz w:val="21"/>
                      <w:szCs w:val="21"/>
                    </w:rPr>
                  </w:pPr>
                  <w:r>
                    <w:rPr>
                      <w:color w:val="auto"/>
                      <w:sz w:val="21"/>
                      <w:szCs w:val="21"/>
                    </w:rPr>
                    <w:t>1</w:t>
                  </w:r>
                </w:p>
              </w:tc>
              <w:tc>
                <w:tcPr>
                  <w:tcW w:w="326" w:type="pct"/>
                  <w:vMerge w:val="restart"/>
                  <w:tcBorders>
                    <w:tl2br w:val="nil"/>
                    <w:tr2bl w:val="nil"/>
                  </w:tcBorders>
                  <w:vAlign w:val="center"/>
                </w:tcPr>
                <w:p w14:paraId="164C3B77">
                  <w:pPr>
                    <w:jc w:val="center"/>
                    <w:rPr>
                      <w:color w:val="auto"/>
                      <w:sz w:val="21"/>
                      <w:szCs w:val="21"/>
                    </w:rPr>
                  </w:pPr>
                  <w:r>
                    <w:rPr>
                      <w:color w:val="auto"/>
                      <w:sz w:val="21"/>
                      <w:szCs w:val="21"/>
                    </w:rPr>
                    <w:t>一、河段利用与岸线开发</w:t>
                  </w:r>
                </w:p>
              </w:tc>
              <w:tc>
                <w:tcPr>
                  <w:tcW w:w="2239" w:type="pct"/>
                  <w:tcBorders>
                    <w:tl2br w:val="nil"/>
                    <w:tr2bl w:val="nil"/>
                  </w:tcBorders>
                  <w:vAlign w:val="center"/>
                </w:tcPr>
                <w:p w14:paraId="3F3A3550">
                  <w:pPr>
                    <w:jc w:val="center"/>
                    <w:rPr>
                      <w:color w:val="auto"/>
                      <w:sz w:val="21"/>
                      <w:szCs w:val="21"/>
                    </w:rPr>
                  </w:pPr>
                  <w:r>
                    <w:rPr>
                      <w:color w:val="auto"/>
                      <w:sz w:val="21"/>
                      <w:szCs w:val="21"/>
                    </w:rPr>
                    <w:t>1</w:t>
                  </w:r>
                  <w:r>
                    <w:rPr>
                      <w:rFonts w:hint="eastAsia"/>
                      <w:color w:val="auto"/>
                      <w:sz w:val="21"/>
                      <w:szCs w:val="21"/>
                    </w:rPr>
                    <w:t>、</w:t>
                  </w:r>
                  <w:r>
                    <w:rPr>
                      <w:color w:val="auto"/>
                      <w:sz w:val="21"/>
                      <w:szCs w:val="21"/>
                    </w:rPr>
                    <w:t>禁止建设不符合国家港口布局规划和《江苏省沿江沿海港口布局规划</w:t>
                  </w:r>
                  <w:r>
                    <w:rPr>
                      <w:rFonts w:hint="eastAsia"/>
                      <w:color w:val="auto"/>
                      <w:sz w:val="21"/>
                      <w:szCs w:val="21"/>
                    </w:rPr>
                    <w:t>（</w:t>
                  </w:r>
                  <w:r>
                    <w:rPr>
                      <w:color w:val="auto"/>
                      <w:sz w:val="21"/>
                      <w:szCs w:val="21"/>
                    </w:rPr>
                    <w:t>2015-2030年）》《江苏省内河港口布局规划</w:t>
                  </w:r>
                  <w:r>
                    <w:rPr>
                      <w:rFonts w:hint="eastAsia"/>
                      <w:color w:val="auto"/>
                      <w:sz w:val="21"/>
                      <w:szCs w:val="21"/>
                    </w:rPr>
                    <w:t>（</w:t>
                  </w:r>
                  <w:r>
                    <w:rPr>
                      <w:color w:val="auto"/>
                      <w:sz w:val="21"/>
                      <w:szCs w:val="21"/>
                    </w:rPr>
                    <w:t>2017-2035年</w:t>
                  </w:r>
                  <w:r>
                    <w:rPr>
                      <w:rFonts w:hint="eastAsia"/>
                      <w:color w:val="auto"/>
                      <w:sz w:val="21"/>
                      <w:szCs w:val="21"/>
                    </w:rPr>
                    <w:t>）</w:t>
                  </w:r>
                  <w:r>
                    <w:rPr>
                      <w:color w:val="auto"/>
                      <w:sz w:val="21"/>
                      <w:szCs w:val="21"/>
                    </w:rPr>
                    <w:t>》以及我省有关港口总体规划的码头项目，禁止建设未纳入《长江干线过江通道布局规划》的过江通道项目。</w:t>
                  </w:r>
                </w:p>
              </w:tc>
              <w:tc>
                <w:tcPr>
                  <w:tcW w:w="1592" w:type="pct"/>
                  <w:tcBorders>
                    <w:tl2br w:val="nil"/>
                    <w:tr2bl w:val="nil"/>
                  </w:tcBorders>
                  <w:vAlign w:val="center"/>
                </w:tcPr>
                <w:p w14:paraId="5734E237">
                  <w:pPr>
                    <w:jc w:val="center"/>
                    <w:rPr>
                      <w:color w:val="auto"/>
                      <w:sz w:val="21"/>
                      <w:szCs w:val="21"/>
                    </w:rPr>
                  </w:pPr>
                  <w:r>
                    <w:rPr>
                      <w:color w:val="auto"/>
                      <w:sz w:val="21"/>
                      <w:szCs w:val="21"/>
                    </w:rPr>
                    <w:t>本项目不属于码头、过江通道项目。</w:t>
                  </w:r>
                </w:p>
              </w:tc>
              <w:tc>
                <w:tcPr>
                  <w:tcW w:w="483" w:type="pct"/>
                  <w:tcBorders>
                    <w:tl2br w:val="nil"/>
                    <w:tr2bl w:val="nil"/>
                  </w:tcBorders>
                  <w:vAlign w:val="center"/>
                </w:tcPr>
                <w:p w14:paraId="4339B3C2">
                  <w:pPr>
                    <w:jc w:val="center"/>
                    <w:rPr>
                      <w:color w:val="auto"/>
                      <w:sz w:val="21"/>
                      <w:szCs w:val="21"/>
                    </w:rPr>
                  </w:pPr>
                  <w:r>
                    <w:rPr>
                      <w:color w:val="auto"/>
                      <w:sz w:val="21"/>
                      <w:szCs w:val="21"/>
                    </w:rPr>
                    <w:t>相符</w:t>
                  </w:r>
                </w:p>
              </w:tc>
            </w:tr>
            <w:tr w14:paraId="46F1895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58" w:type="pct"/>
                  <w:tcBorders>
                    <w:tl2br w:val="nil"/>
                    <w:tr2bl w:val="nil"/>
                  </w:tcBorders>
                  <w:vAlign w:val="center"/>
                </w:tcPr>
                <w:p w14:paraId="638E1103">
                  <w:pPr>
                    <w:jc w:val="center"/>
                    <w:rPr>
                      <w:color w:val="auto"/>
                      <w:sz w:val="21"/>
                      <w:szCs w:val="21"/>
                    </w:rPr>
                  </w:pPr>
                  <w:r>
                    <w:rPr>
                      <w:rFonts w:hint="eastAsia"/>
                      <w:color w:val="auto"/>
                      <w:sz w:val="21"/>
                      <w:szCs w:val="21"/>
                    </w:rPr>
                    <w:t>2</w:t>
                  </w:r>
                </w:p>
              </w:tc>
              <w:tc>
                <w:tcPr>
                  <w:tcW w:w="326" w:type="pct"/>
                  <w:vMerge w:val="continue"/>
                  <w:tcBorders>
                    <w:tl2br w:val="nil"/>
                    <w:tr2bl w:val="nil"/>
                  </w:tcBorders>
                  <w:vAlign w:val="center"/>
                </w:tcPr>
                <w:p w14:paraId="34506CEF">
                  <w:pPr>
                    <w:jc w:val="center"/>
                    <w:rPr>
                      <w:color w:val="auto"/>
                      <w:sz w:val="21"/>
                      <w:szCs w:val="21"/>
                    </w:rPr>
                  </w:pPr>
                </w:p>
              </w:tc>
              <w:tc>
                <w:tcPr>
                  <w:tcW w:w="2239" w:type="pct"/>
                  <w:tcBorders>
                    <w:tl2br w:val="nil"/>
                    <w:tr2bl w:val="nil"/>
                  </w:tcBorders>
                  <w:vAlign w:val="center"/>
                </w:tcPr>
                <w:p w14:paraId="531B4C45">
                  <w:pPr>
                    <w:jc w:val="center"/>
                    <w:rPr>
                      <w:color w:val="auto"/>
                      <w:sz w:val="21"/>
                      <w:szCs w:val="21"/>
                    </w:rPr>
                  </w:pPr>
                  <w:r>
                    <w:rPr>
                      <w:color w:val="auto"/>
                      <w:sz w:val="21"/>
                      <w:szCs w:val="21"/>
                    </w:rPr>
                    <w:t>2</w:t>
                  </w:r>
                  <w:r>
                    <w:rPr>
                      <w:rFonts w:hint="eastAsia"/>
                      <w:color w:val="auto"/>
                      <w:sz w:val="21"/>
                      <w:szCs w:val="21"/>
                    </w:rPr>
                    <w:t>、</w:t>
                  </w:r>
                  <w:r>
                    <w:rPr>
                      <w:color w:val="auto"/>
                      <w:sz w:val="21"/>
                      <w:szCs w:val="21"/>
                    </w:rPr>
                    <w:t>严格执行《中华人民共和国自然保护区条例》，禁止在自然保护区核心区、缓冲区的岸线和河段范围内投资建设旅游和生产经营项目。严格执行《风景名胜区条例》《江苏省风景名胜区管理条例》，禁止在国家级和省级风景名胜区核心景区的岸线和河段范围内投资建设与风景名胜资源保护无关的项目。自然保护区、风景名胜区由省林业局会同有关方面界定并落实管控责任。</w:t>
                  </w:r>
                </w:p>
              </w:tc>
              <w:tc>
                <w:tcPr>
                  <w:tcW w:w="1592" w:type="pct"/>
                  <w:tcBorders>
                    <w:tl2br w:val="nil"/>
                    <w:tr2bl w:val="nil"/>
                  </w:tcBorders>
                  <w:vAlign w:val="center"/>
                </w:tcPr>
                <w:p w14:paraId="22AC5B4E">
                  <w:pPr>
                    <w:jc w:val="center"/>
                    <w:rPr>
                      <w:color w:val="auto"/>
                      <w:sz w:val="21"/>
                      <w:szCs w:val="21"/>
                    </w:rPr>
                  </w:pPr>
                  <w:r>
                    <w:rPr>
                      <w:rFonts w:hint="eastAsia" w:ascii="宋体" w:hAnsi="宋体" w:eastAsia="宋体" w:cs="宋体"/>
                      <w:color w:val="auto"/>
                      <w:sz w:val="21"/>
                      <w:szCs w:val="21"/>
                    </w:rPr>
                    <w:t>本项目不属于自然保护区核心区、缓冲区的岸线和河段范围，不属于国家级和省级风景名胜区核心景区的岸线和河段范围。</w:t>
                  </w:r>
                </w:p>
              </w:tc>
              <w:tc>
                <w:tcPr>
                  <w:tcW w:w="483" w:type="pct"/>
                  <w:tcBorders>
                    <w:tl2br w:val="nil"/>
                    <w:tr2bl w:val="nil"/>
                  </w:tcBorders>
                  <w:vAlign w:val="center"/>
                </w:tcPr>
                <w:p w14:paraId="0806AB9B">
                  <w:pPr>
                    <w:jc w:val="center"/>
                    <w:rPr>
                      <w:color w:val="auto"/>
                      <w:sz w:val="21"/>
                      <w:szCs w:val="21"/>
                    </w:rPr>
                  </w:pPr>
                  <w:r>
                    <w:rPr>
                      <w:color w:val="auto"/>
                      <w:sz w:val="21"/>
                      <w:szCs w:val="21"/>
                    </w:rPr>
                    <w:t>相符</w:t>
                  </w:r>
                </w:p>
              </w:tc>
            </w:tr>
            <w:tr w14:paraId="39A92F8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58" w:type="pct"/>
                  <w:tcBorders>
                    <w:tl2br w:val="nil"/>
                    <w:tr2bl w:val="nil"/>
                  </w:tcBorders>
                  <w:vAlign w:val="center"/>
                </w:tcPr>
                <w:p w14:paraId="5C5DFC2E">
                  <w:pPr>
                    <w:jc w:val="center"/>
                    <w:rPr>
                      <w:color w:val="auto"/>
                      <w:sz w:val="21"/>
                      <w:szCs w:val="21"/>
                    </w:rPr>
                  </w:pPr>
                  <w:r>
                    <w:rPr>
                      <w:rFonts w:hint="eastAsia"/>
                      <w:color w:val="auto"/>
                      <w:sz w:val="21"/>
                      <w:szCs w:val="21"/>
                    </w:rPr>
                    <w:t>3</w:t>
                  </w:r>
                </w:p>
              </w:tc>
              <w:tc>
                <w:tcPr>
                  <w:tcW w:w="326" w:type="pct"/>
                  <w:vMerge w:val="continue"/>
                  <w:tcBorders>
                    <w:tl2br w:val="nil"/>
                    <w:tr2bl w:val="nil"/>
                  </w:tcBorders>
                  <w:vAlign w:val="center"/>
                </w:tcPr>
                <w:p w14:paraId="0F7C4602">
                  <w:pPr>
                    <w:jc w:val="center"/>
                    <w:rPr>
                      <w:color w:val="auto"/>
                      <w:sz w:val="21"/>
                      <w:szCs w:val="21"/>
                    </w:rPr>
                  </w:pPr>
                </w:p>
              </w:tc>
              <w:tc>
                <w:tcPr>
                  <w:tcW w:w="2239" w:type="pct"/>
                  <w:tcBorders>
                    <w:tl2br w:val="nil"/>
                    <w:tr2bl w:val="nil"/>
                  </w:tcBorders>
                  <w:vAlign w:val="center"/>
                </w:tcPr>
                <w:p w14:paraId="34BE3060">
                  <w:pPr>
                    <w:jc w:val="center"/>
                    <w:rPr>
                      <w:color w:val="auto"/>
                      <w:sz w:val="21"/>
                      <w:szCs w:val="21"/>
                    </w:rPr>
                  </w:pPr>
                  <w:r>
                    <w:rPr>
                      <w:color w:val="auto"/>
                      <w:sz w:val="21"/>
                      <w:szCs w:val="21"/>
                    </w:rPr>
                    <w:t>3</w:t>
                  </w:r>
                  <w:r>
                    <w:rPr>
                      <w:rFonts w:hint="eastAsia"/>
                      <w:color w:val="auto"/>
                      <w:sz w:val="21"/>
                      <w:szCs w:val="21"/>
                    </w:rPr>
                    <w:t>、</w:t>
                  </w:r>
                  <w:r>
                    <w:rPr>
                      <w:color w:val="auto"/>
                      <w:sz w:val="21"/>
                      <w:szCs w:val="21"/>
                    </w:rPr>
                    <w:t>严格执行《中华人民共和国水污染防治法》《江苏省人民代表大会常务委员会关于加强饮用水源地保护的决定》《江苏省水污染防治条例》，禁止在饮用水水源一级保护区的岸线和河段范围内新建、改建、扩建与供水设施和保护水源无关的项目，以及网箱养殖、畜禽养殖、旅游等可能污染饮用水水体的投资建设项目</w:t>
                  </w:r>
                  <w:r>
                    <w:rPr>
                      <w:rFonts w:hint="eastAsia"/>
                      <w:color w:val="auto"/>
                      <w:sz w:val="21"/>
                      <w:szCs w:val="21"/>
                    </w:rPr>
                    <w:t>；</w:t>
                  </w:r>
                  <w:r>
                    <w:rPr>
                      <w:color w:val="auto"/>
                      <w:sz w:val="21"/>
                      <w:szCs w:val="21"/>
                    </w:rPr>
                    <w:t>禁止在饮用水水源二级保护区的岸线和河段范围内新建、改建、扩建排放污染物的投资建设项目</w:t>
                  </w:r>
                  <w:r>
                    <w:rPr>
                      <w:rFonts w:hint="eastAsia"/>
                      <w:color w:val="auto"/>
                      <w:sz w:val="21"/>
                      <w:szCs w:val="21"/>
                    </w:rPr>
                    <w:t>；</w:t>
                  </w:r>
                  <w:r>
                    <w:rPr>
                      <w:color w:val="auto"/>
                      <w:sz w:val="21"/>
                      <w:szCs w:val="21"/>
                    </w:rPr>
                    <w:t>禁止在饮用水水源准保护区的岸线和河段范围内新建、扩建对水体污染严重的投资建设项目，改建项目应当消减排污量。饮用水水源一级保护区、二级保护区、准保护区由省生态环境厅会同水利等有关方面界定并落实管控责任。</w:t>
                  </w:r>
                </w:p>
              </w:tc>
              <w:tc>
                <w:tcPr>
                  <w:tcW w:w="1592" w:type="pct"/>
                  <w:tcBorders>
                    <w:tl2br w:val="nil"/>
                    <w:tr2bl w:val="nil"/>
                  </w:tcBorders>
                  <w:vAlign w:val="center"/>
                </w:tcPr>
                <w:p w14:paraId="20B11CAA">
                  <w:pPr>
                    <w:jc w:val="center"/>
                    <w:rPr>
                      <w:color w:val="auto"/>
                      <w:sz w:val="21"/>
                      <w:szCs w:val="21"/>
                    </w:rPr>
                  </w:pPr>
                  <w:r>
                    <w:rPr>
                      <w:rFonts w:hint="eastAsia"/>
                      <w:color w:val="auto"/>
                      <w:sz w:val="21"/>
                      <w:szCs w:val="21"/>
                    </w:rPr>
                    <w:t>本项目不属于</w:t>
                  </w:r>
                  <w:r>
                    <w:rPr>
                      <w:color w:val="auto"/>
                      <w:sz w:val="21"/>
                      <w:szCs w:val="21"/>
                    </w:rPr>
                    <w:t>饮用水水源一级保护区的岸线和河段范围</w:t>
                  </w:r>
                  <w:r>
                    <w:rPr>
                      <w:rFonts w:hint="eastAsia"/>
                      <w:color w:val="auto"/>
                      <w:sz w:val="21"/>
                      <w:szCs w:val="21"/>
                    </w:rPr>
                    <w:t>、</w:t>
                  </w:r>
                  <w:r>
                    <w:rPr>
                      <w:color w:val="auto"/>
                      <w:sz w:val="21"/>
                      <w:szCs w:val="21"/>
                    </w:rPr>
                    <w:t>饮用水水源二级保护区的岸线和河段范围</w:t>
                  </w:r>
                  <w:r>
                    <w:rPr>
                      <w:rFonts w:hint="eastAsia"/>
                      <w:color w:val="auto"/>
                      <w:sz w:val="21"/>
                      <w:szCs w:val="21"/>
                    </w:rPr>
                    <w:t>、</w:t>
                  </w:r>
                  <w:r>
                    <w:rPr>
                      <w:color w:val="auto"/>
                      <w:sz w:val="21"/>
                      <w:szCs w:val="21"/>
                    </w:rPr>
                    <w:t>饮用水水源准保护区的岸线和河段范围</w:t>
                  </w:r>
                  <w:r>
                    <w:rPr>
                      <w:rFonts w:hint="eastAsia"/>
                      <w:color w:val="auto"/>
                      <w:sz w:val="21"/>
                      <w:szCs w:val="21"/>
                    </w:rPr>
                    <w:t>。</w:t>
                  </w:r>
                </w:p>
              </w:tc>
              <w:tc>
                <w:tcPr>
                  <w:tcW w:w="483" w:type="pct"/>
                  <w:tcBorders>
                    <w:tl2br w:val="nil"/>
                    <w:tr2bl w:val="nil"/>
                  </w:tcBorders>
                  <w:vAlign w:val="center"/>
                </w:tcPr>
                <w:p w14:paraId="332CBF65">
                  <w:pPr>
                    <w:jc w:val="center"/>
                    <w:rPr>
                      <w:color w:val="auto"/>
                      <w:sz w:val="21"/>
                      <w:szCs w:val="21"/>
                    </w:rPr>
                  </w:pPr>
                  <w:r>
                    <w:rPr>
                      <w:color w:val="auto"/>
                      <w:sz w:val="21"/>
                      <w:szCs w:val="21"/>
                    </w:rPr>
                    <w:t>相符</w:t>
                  </w:r>
                </w:p>
              </w:tc>
            </w:tr>
            <w:tr w14:paraId="098EC58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58" w:type="pct"/>
                  <w:tcBorders>
                    <w:tl2br w:val="nil"/>
                    <w:tr2bl w:val="nil"/>
                  </w:tcBorders>
                  <w:vAlign w:val="center"/>
                </w:tcPr>
                <w:p w14:paraId="767B965F">
                  <w:pPr>
                    <w:jc w:val="center"/>
                    <w:rPr>
                      <w:color w:val="auto"/>
                      <w:sz w:val="21"/>
                      <w:szCs w:val="21"/>
                    </w:rPr>
                  </w:pPr>
                  <w:r>
                    <w:rPr>
                      <w:rFonts w:hint="eastAsia"/>
                      <w:color w:val="auto"/>
                      <w:sz w:val="21"/>
                      <w:szCs w:val="21"/>
                    </w:rPr>
                    <w:t>4</w:t>
                  </w:r>
                </w:p>
              </w:tc>
              <w:tc>
                <w:tcPr>
                  <w:tcW w:w="326" w:type="pct"/>
                  <w:vMerge w:val="continue"/>
                  <w:tcBorders>
                    <w:tl2br w:val="nil"/>
                    <w:tr2bl w:val="nil"/>
                  </w:tcBorders>
                  <w:vAlign w:val="center"/>
                </w:tcPr>
                <w:p w14:paraId="48D2B05A">
                  <w:pPr>
                    <w:jc w:val="center"/>
                    <w:rPr>
                      <w:color w:val="auto"/>
                      <w:sz w:val="21"/>
                      <w:szCs w:val="21"/>
                    </w:rPr>
                  </w:pPr>
                </w:p>
              </w:tc>
              <w:tc>
                <w:tcPr>
                  <w:tcW w:w="2239" w:type="pct"/>
                  <w:tcBorders>
                    <w:tl2br w:val="nil"/>
                    <w:tr2bl w:val="nil"/>
                  </w:tcBorders>
                  <w:vAlign w:val="center"/>
                </w:tcPr>
                <w:p w14:paraId="4D3FFD67">
                  <w:pPr>
                    <w:jc w:val="center"/>
                    <w:rPr>
                      <w:color w:val="auto"/>
                      <w:sz w:val="21"/>
                      <w:szCs w:val="21"/>
                    </w:rPr>
                  </w:pPr>
                  <w:r>
                    <w:rPr>
                      <w:color w:val="auto"/>
                      <w:sz w:val="21"/>
                      <w:szCs w:val="21"/>
                    </w:rPr>
                    <w:t>4</w:t>
                  </w:r>
                  <w:r>
                    <w:rPr>
                      <w:rFonts w:hint="eastAsia"/>
                      <w:color w:val="auto"/>
                      <w:sz w:val="21"/>
                      <w:szCs w:val="21"/>
                    </w:rPr>
                    <w:t>、</w:t>
                  </w:r>
                  <w:r>
                    <w:rPr>
                      <w:color w:val="auto"/>
                      <w:sz w:val="21"/>
                      <w:szCs w:val="21"/>
                    </w:rPr>
                    <w:t>严格执行《水产种质资源保护区管理暂行办法》，禁止在国家级和省级水产种质资源保护区的岸线和河段范围内新建围湖造田、围海造地或围填海等投资建设项目。严格执行《中华人民共和国湿地保护法》《江苏省湿地保护条例》，禁止在国家湿地公园的岸线和河段范围内挖沙、采矿，以及任何不符合主体功能定位的投资建设项目。水产种质资源保护区、国家湿地公园分别由省农业农村厅、省林业局会同有关方面界定并落实管控责任。</w:t>
                  </w:r>
                </w:p>
              </w:tc>
              <w:tc>
                <w:tcPr>
                  <w:tcW w:w="1592" w:type="pct"/>
                  <w:tcBorders>
                    <w:tl2br w:val="nil"/>
                    <w:tr2bl w:val="nil"/>
                  </w:tcBorders>
                  <w:vAlign w:val="center"/>
                </w:tcPr>
                <w:p w14:paraId="6DAFA1B8">
                  <w:pPr>
                    <w:jc w:val="center"/>
                    <w:rPr>
                      <w:color w:val="auto"/>
                      <w:sz w:val="21"/>
                      <w:szCs w:val="21"/>
                    </w:rPr>
                  </w:pPr>
                  <w:r>
                    <w:rPr>
                      <w:rFonts w:hint="eastAsia"/>
                      <w:color w:val="auto"/>
                      <w:sz w:val="21"/>
                      <w:szCs w:val="21"/>
                    </w:rPr>
                    <w:t>本项目不属于</w:t>
                  </w:r>
                  <w:r>
                    <w:rPr>
                      <w:color w:val="auto"/>
                      <w:sz w:val="21"/>
                      <w:szCs w:val="21"/>
                    </w:rPr>
                    <w:t>国家级和省级水产种质资源保护区的岸线和河段范围</w:t>
                  </w:r>
                  <w:r>
                    <w:rPr>
                      <w:rFonts w:hint="eastAsia"/>
                      <w:color w:val="auto"/>
                      <w:sz w:val="21"/>
                      <w:szCs w:val="21"/>
                    </w:rPr>
                    <w:t>、</w:t>
                  </w:r>
                  <w:r>
                    <w:rPr>
                      <w:color w:val="auto"/>
                      <w:sz w:val="21"/>
                      <w:szCs w:val="21"/>
                    </w:rPr>
                    <w:t>国家湿地公园的岸线和河段范围</w:t>
                  </w:r>
                  <w:r>
                    <w:rPr>
                      <w:rFonts w:hint="eastAsia"/>
                      <w:color w:val="auto"/>
                      <w:sz w:val="21"/>
                      <w:szCs w:val="21"/>
                    </w:rPr>
                    <w:t>。</w:t>
                  </w:r>
                </w:p>
              </w:tc>
              <w:tc>
                <w:tcPr>
                  <w:tcW w:w="483" w:type="pct"/>
                  <w:tcBorders>
                    <w:tl2br w:val="nil"/>
                    <w:tr2bl w:val="nil"/>
                  </w:tcBorders>
                  <w:vAlign w:val="center"/>
                </w:tcPr>
                <w:p w14:paraId="71C8D2EB">
                  <w:pPr>
                    <w:jc w:val="center"/>
                    <w:rPr>
                      <w:color w:val="auto"/>
                      <w:sz w:val="21"/>
                      <w:szCs w:val="21"/>
                    </w:rPr>
                  </w:pPr>
                  <w:r>
                    <w:rPr>
                      <w:color w:val="auto"/>
                      <w:sz w:val="21"/>
                      <w:szCs w:val="21"/>
                    </w:rPr>
                    <w:t>相符</w:t>
                  </w:r>
                </w:p>
              </w:tc>
            </w:tr>
            <w:tr w14:paraId="2199AD1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58" w:type="pct"/>
                  <w:tcBorders>
                    <w:tl2br w:val="nil"/>
                    <w:tr2bl w:val="nil"/>
                  </w:tcBorders>
                  <w:vAlign w:val="center"/>
                </w:tcPr>
                <w:p w14:paraId="393AC10F">
                  <w:pPr>
                    <w:jc w:val="center"/>
                    <w:rPr>
                      <w:color w:val="auto"/>
                      <w:sz w:val="21"/>
                      <w:szCs w:val="21"/>
                    </w:rPr>
                  </w:pPr>
                  <w:r>
                    <w:rPr>
                      <w:rFonts w:hint="eastAsia"/>
                      <w:color w:val="auto"/>
                      <w:sz w:val="21"/>
                      <w:szCs w:val="21"/>
                    </w:rPr>
                    <w:t>5</w:t>
                  </w:r>
                </w:p>
              </w:tc>
              <w:tc>
                <w:tcPr>
                  <w:tcW w:w="326" w:type="pct"/>
                  <w:vMerge w:val="continue"/>
                  <w:tcBorders>
                    <w:tl2br w:val="nil"/>
                    <w:tr2bl w:val="nil"/>
                  </w:tcBorders>
                  <w:vAlign w:val="center"/>
                </w:tcPr>
                <w:p w14:paraId="0796525C">
                  <w:pPr>
                    <w:jc w:val="center"/>
                    <w:rPr>
                      <w:color w:val="auto"/>
                      <w:sz w:val="21"/>
                      <w:szCs w:val="21"/>
                    </w:rPr>
                  </w:pPr>
                </w:p>
              </w:tc>
              <w:tc>
                <w:tcPr>
                  <w:tcW w:w="2239" w:type="pct"/>
                  <w:tcBorders>
                    <w:tl2br w:val="nil"/>
                    <w:tr2bl w:val="nil"/>
                  </w:tcBorders>
                  <w:vAlign w:val="center"/>
                </w:tcPr>
                <w:p w14:paraId="4BACCA64">
                  <w:pPr>
                    <w:jc w:val="center"/>
                    <w:rPr>
                      <w:color w:val="auto"/>
                      <w:sz w:val="21"/>
                      <w:szCs w:val="21"/>
                    </w:rPr>
                  </w:pPr>
                  <w:r>
                    <w:rPr>
                      <w:color w:val="auto"/>
                      <w:sz w:val="21"/>
                      <w:szCs w:val="21"/>
                    </w:rPr>
                    <w:t>5</w:t>
                  </w:r>
                  <w:r>
                    <w:rPr>
                      <w:rFonts w:hint="eastAsia"/>
                      <w:color w:val="auto"/>
                      <w:sz w:val="21"/>
                      <w:szCs w:val="21"/>
                    </w:rPr>
                    <w:t>、</w:t>
                  </w:r>
                  <w:r>
                    <w:rPr>
                      <w:color w:val="auto"/>
                      <w:sz w:val="21"/>
                      <w:szCs w:val="21"/>
                    </w:rPr>
                    <w:t>禁止违法利用、占用长江流域河湖岸线。禁止在《长江岸线保护和开发利用总体规划》划定的岸线保护区和保留区内投资建设除事关公共安全及公众利益的防洪护岸、河道治理、供水、生态环境保护、航道整治、国家重要基础设施以外的项目。长江干支流基础设施项目应按照《长江岸线保护和开发利用总体规划》和生态环境保护、岸线保护等要求，按规定开展项目前期论证并办理相关手续。禁止在《全国重要江河湖泊水功能区划》划定的河段及湖泊保护区、保留区内投资建设不利于水资源及自然生态保护的项目。</w:t>
                  </w:r>
                </w:p>
              </w:tc>
              <w:tc>
                <w:tcPr>
                  <w:tcW w:w="1592" w:type="pct"/>
                  <w:tcBorders>
                    <w:tl2br w:val="nil"/>
                    <w:tr2bl w:val="nil"/>
                  </w:tcBorders>
                  <w:vAlign w:val="center"/>
                </w:tcPr>
                <w:p w14:paraId="300AC47F">
                  <w:pPr>
                    <w:jc w:val="center"/>
                    <w:rPr>
                      <w:color w:val="auto"/>
                      <w:sz w:val="21"/>
                      <w:szCs w:val="21"/>
                    </w:rPr>
                  </w:pPr>
                  <w:r>
                    <w:rPr>
                      <w:rFonts w:hint="eastAsia"/>
                      <w:color w:val="auto"/>
                      <w:sz w:val="21"/>
                      <w:szCs w:val="21"/>
                    </w:rPr>
                    <w:t>本项目不属于</w:t>
                  </w:r>
                  <w:r>
                    <w:rPr>
                      <w:color w:val="auto"/>
                      <w:sz w:val="21"/>
                      <w:szCs w:val="21"/>
                    </w:rPr>
                    <w:t>《长江岸线保护和开发利用总体规划》划定的岸线保护区和保留区</w:t>
                  </w:r>
                  <w:r>
                    <w:rPr>
                      <w:rFonts w:hint="eastAsia"/>
                      <w:color w:val="auto"/>
                      <w:sz w:val="21"/>
                      <w:szCs w:val="21"/>
                    </w:rPr>
                    <w:t>、</w:t>
                  </w:r>
                  <w:r>
                    <w:rPr>
                      <w:color w:val="auto"/>
                      <w:sz w:val="21"/>
                      <w:szCs w:val="21"/>
                    </w:rPr>
                    <w:t>《全国重要江河湖泊水功能区划》划定的河段及湖泊保护区、保留区</w:t>
                  </w:r>
                  <w:r>
                    <w:rPr>
                      <w:rFonts w:hint="eastAsia"/>
                      <w:color w:val="auto"/>
                      <w:sz w:val="21"/>
                      <w:szCs w:val="21"/>
                    </w:rPr>
                    <w:t>。</w:t>
                  </w:r>
                </w:p>
              </w:tc>
              <w:tc>
                <w:tcPr>
                  <w:tcW w:w="483" w:type="pct"/>
                  <w:tcBorders>
                    <w:tl2br w:val="nil"/>
                    <w:tr2bl w:val="nil"/>
                  </w:tcBorders>
                  <w:vAlign w:val="center"/>
                </w:tcPr>
                <w:p w14:paraId="447C6C77">
                  <w:pPr>
                    <w:jc w:val="center"/>
                    <w:rPr>
                      <w:color w:val="auto"/>
                      <w:sz w:val="21"/>
                      <w:szCs w:val="21"/>
                    </w:rPr>
                  </w:pPr>
                  <w:r>
                    <w:rPr>
                      <w:color w:val="auto"/>
                      <w:sz w:val="21"/>
                      <w:szCs w:val="21"/>
                    </w:rPr>
                    <w:t>相符</w:t>
                  </w:r>
                </w:p>
              </w:tc>
            </w:tr>
            <w:tr w14:paraId="4F95EBF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58" w:type="pct"/>
                  <w:tcBorders>
                    <w:tl2br w:val="nil"/>
                    <w:tr2bl w:val="nil"/>
                  </w:tcBorders>
                  <w:vAlign w:val="center"/>
                </w:tcPr>
                <w:p w14:paraId="28A36365">
                  <w:pPr>
                    <w:jc w:val="center"/>
                    <w:rPr>
                      <w:color w:val="auto"/>
                      <w:sz w:val="21"/>
                      <w:szCs w:val="21"/>
                    </w:rPr>
                  </w:pPr>
                  <w:r>
                    <w:rPr>
                      <w:rFonts w:hint="eastAsia"/>
                      <w:color w:val="auto"/>
                      <w:sz w:val="21"/>
                      <w:szCs w:val="21"/>
                    </w:rPr>
                    <w:t>6</w:t>
                  </w:r>
                </w:p>
              </w:tc>
              <w:tc>
                <w:tcPr>
                  <w:tcW w:w="326" w:type="pct"/>
                  <w:vMerge w:val="continue"/>
                  <w:tcBorders>
                    <w:tl2br w:val="nil"/>
                    <w:tr2bl w:val="nil"/>
                  </w:tcBorders>
                  <w:vAlign w:val="center"/>
                </w:tcPr>
                <w:p w14:paraId="10C15A6E">
                  <w:pPr>
                    <w:jc w:val="center"/>
                    <w:rPr>
                      <w:color w:val="auto"/>
                      <w:sz w:val="21"/>
                      <w:szCs w:val="21"/>
                    </w:rPr>
                  </w:pPr>
                </w:p>
              </w:tc>
              <w:tc>
                <w:tcPr>
                  <w:tcW w:w="2239" w:type="pct"/>
                  <w:tcBorders>
                    <w:tl2br w:val="nil"/>
                    <w:tr2bl w:val="nil"/>
                  </w:tcBorders>
                  <w:vAlign w:val="center"/>
                </w:tcPr>
                <w:p w14:paraId="25E375FF">
                  <w:pPr>
                    <w:jc w:val="center"/>
                    <w:rPr>
                      <w:color w:val="auto"/>
                      <w:sz w:val="21"/>
                      <w:szCs w:val="21"/>
                    </w:rPr>
                  </w:pPr>
                  <w:r>
                    <w:rPr>
                      <w:color w:val="auto"/>
                      <w:sz w:val="21"/>
                      <w:szCs w:val="21"/>
                    </w:rPr>
                    <w:t>6</w:t>
                  </w:r>
                  <w:r>
                    <w:rPr>
                      <w:rFonts w:hint="eastAsia"/>
                      <w:color w:val="auto"/>
                      <w:sz w:val="21"/>
                      <w:szCs w:val="21"/>
                    </w:rPr>
                    <w:t>、</w:t>
                  </w:r>
                  <w:r>
                    <w:rPr>
                      <w:color w:val="auto"/>
                      <w:sz w:val="21"/>
                      <w:szCs w:val="21"/>
                    </w:rPr>
                    <w:t>禁止未经许可在长江干支流及湖泊新设、改设或扩大排污口。</w:t>
                  </w:r>
                </w:p>
              </w:tc>
              <w:tc>
                <w:tcPr>
                  <w:tcW w:w="1592" w:type="pct"/>
                  <w:tcBorders>
                    <w:tl2br w:val="nil"/>
                    <w:tr2bl w:val="nil"/>
                  </w:tcBorders>
                  <w:vAlign w:val="center"/>
                </w:tcPr>
                <w:p w14:paraId="3C38C313">
                  <w:pPr>
                    <w:jc w:val="center"/>
                    <w:rPr>
                      <w:color w:val="auto"/>
                      <w:sz w:val="21"/>
                      <w:szCs w:val="21"/>
                    </w:rPr>
                  </w:pPr>
                  <w:r>
                    <w:rPr>
                      <w:rFonts w:hint="eastAsia"/>
                      <w:color w:val="auto"/>
                      <w:sz w:val="21"/>
                      <w:szCs w:val="21"/>
                    </w:rPr>
                    <w:t>本项目不</w:t>
                  </w:r>
                  <w:r>
                    <w:rPr>
                      <w:color w:val="auto"/>
                      <w:sz w:val="21"/>
                      <w:szCs w:val="21"/>
                    </w:rPr>
                    <w:t>新设、改设或扩大排污口</w:t>
                  </w:r>
                  <w:r>
                    <w:rPr>
                      <w:rFonts w:hint="eastAsia"/>
                      <w:color w:val="auto"/>
                      <w:sz w:val="21"/>
                      <w:szCs w:val="21"/>
                    </w:rPr>
                    <w:t>。</w:t>
                  </w:r>
                </w:p>
              </w:tc>
              <w:tc>
                <w:tcPr>
                  <w:tcW w:w="483" w:type="pct"/>
                  <w:tcBorders>
                    <w:tl2br w:val="nil"/>
                    <w:tr2bl w:val="nil"/>
                  </w:tcBorders>
                  <w:vAlign w:val="center"/>
                </w:tcPr>
                <w:p w14:paraId="4D12C981">
                  <w:pPr>
                    <w:jc w:val="center"/>
                    <w:rPr>
                      <w:color w:val="auto"/>
                      <w:sz w:val="21"/>
                      <w:szCs w:val="21"/>
                    </w:rPr>
                  </w:pPr>
                  <w:r>
                    <w:rPr>
                      <w:color w:val="auto"/>
                      <w:sz w:val="21"/>
                      <w:szCs w:val="21"/>
                    </w:rPr>
                    <w:t>相符</w:t>
                  </w:r>
                </w:p>
              </w:tc>
            </w:tr>
            <w:tr w14:paraId="167C4B7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58" w:type="pct"/>
                  <w:tcBorders>
                    <w:tl2br w:val="nil"/>
                    <w:tr2bl w:val="nil"/>
                  </w:tcBorders>
                  <w:vAlign w:val="center"/>
                </w:tcPr>
                <w:p w14:paraId="65F9573D">
                  <w:pPr>
                    <w:jc w:val="center"/>
                    <w:rPr>
                      <w:color w:val="auto"/>
                      <w:sz w:val="21"/>
                      <w:szCs w:val="21"/>
                    </w:rPr>
                  </w:pPr>
                  <w:r>
                    <w:rPr>
                      <w:rFonts w:hint="eastAsia"/>
                      <w:color w:val="auto"/>
                      <w:sz w:val="21"/>
                      <w:szCs w:val="21"/>
                    </w:rPr>
                    <w:t>7</w:t>
                  </w:r>
                </w:p>
              </w:tc>
              <w:tc>
                <w:tcPr>
                  <w:tcW w:w="326" w:type="pct"/>
                  <w:vMerge w:val="restart"/>
                  <w:tcBorders>
                    <w:tl2br w:val="nil"/>
                    <w:tr2bl w:val="nil"/>
                  </w:tcBorders>
                  <w:vAlign w:val="center"/>
                </w:tcPr>
                <w:p w14:paraId="20E931CE">
                  <w:pPr>
                    <w:jc w:val="center"/>
                    <w:rPr>
                      <w:color w:val="auto"/>
                      <w:sz w:val="21"/>
                      <w:szCs w:val="21"/>
                    </w:rPr>
                  </w:pPr>
                  <w:r>
                    <w:rPr>
                      <w:color w:val="auto"/>
                      <w:sz w:val="21"/>
                      <w:szCs w:val="21"/>
                    </w:rPr>
                    <w:t>二、区域活动</w:t>
                  </w:r>
                </w:p>
              </w:tc>
              <w:tc>
                <w:tcPr>
                  <w:tcW w:w="2239" w:type="pct"/>
                  <w:tcBorders>
                    <w:tl2br w:val="nil"/>
                    <w:tr2bl w:val="nil"/>
                  </w:tcBorders>
                  <w:vAlign w:val="center"/>
                </w:tcPr>
                <w:p w14:paraId="5CFAF44D">
                  <w:pPr>
                    <w:jc w:val="center"/>
                    <w:rPr>
                      <w:color w:val="auto"/>
                      <w:sz w:val="21"/>
                      <w:szCs w:val="21"/>
                    </w:rPr>
                  </w:pPr>
                  <w:r>
                    <w:rPr>
                      <w:color w:val="auto"/>
                      <w:sz w:val="21"/>
                      <w:szCs w:val="21"/>
                    </w:rPr>
                    <w:t>7</w:t>
                  </w:r>
                  <w:r>
                    <w:rPr>
                      <w:rFonts w:hint="eastAsia"/>
                      <w:color w:val="auto"/>
                      <w:sz w:val="21"/>
                      <w:szCs w:val="21"/>
                    </w:rPr>
                    <w:t>、</w:t>
                  </w:r>
                  <w:r>
                    <w:rPr>
                      <w:color w:val="auto"/>
                      <w:sz w:val="21"/>
                      <w:szCs w:val="21"/>
                    </w:rPr>
                    <w:t>禁止长江干流、长江口、34个列入《率先全面禁捕的长江流域水生生物保护区名录》的水生生物保护区以及省规定</w:t>
                  </w:r>
                  <w:r>
                    <w:rPr>
                      <w:rFonts w:hint="eastAsia"/>
                      <w:color w:val="auto"/>
                      <w:sz w:val="21"/>
                      <w:szCs w:val="21"/>
                    </w:rPr>
                    <w:t>的其他</w:t>
                  </w:r>
                  <w:r>
                    <w:rPr>
                      <w:color w:val="auto"/>
                      <w:sz w:val="21"/>
                      <w:szCs w:val="21"/>
                    </w:rPr>
                    <w:t>禁渔水域开展生产性捕捞。</w:t>
                  </w:r>
                </w:p>
              </w:tc>
              <w:tc>
                <w:tcPr>
                  <w:tcW w:w="1592" w:type="pct"/>
                  <w:tcBorders>
                    <w:tl2br w:val="nil"/>
                    <w:tr2bl w:val="nil"/>
                  </w:tcBorders>
                  <w:vAlign w:val="center"/>
                </w:tcPr>
                <w:p w14:paraId="08D8CC95">
                  <w:pPr>
                    <w:jc w:val="center"/>
                    <w:rPr>
                      <w:color w:val="auto"/>
                      <w:sz w:val="21"/>
                      <w:szCs w:val="21"/>
                    </w:rPr>
                  </w:pPr>
                  <w:r>
                    <w:rPr>
                      <w:rFonts w:hint="eastAsia"/>
                      <w:color w:val="auto"/>
                      <w:sz w:val="21"/>
                      <w:szCs w:val="21"/>
                    </w:rPr>
                    <w:t>本项目不涉及</w:t>
                  </w:r>
                  <w:r>
                    <w:rPr>
                      <w:color w:val="auto"/>
                      <w:sz w:val="21"/>
                      <w:szCs w:val="21"/>
                    </w:rPr>
                    <w:t>生产性捕捞</w:t>
                  </w:r>
                  <w:r>
                    <w:rPr>
                      <w:rFonts w:hint="eastAsia"/>
                      <w:color w:val="auto"/>
                      <w:sz w:val="21"/>
                      <w:szCs w:val="21"/>
                    </w:rPr>
                    <w:t>。</w:t>
                  </w:r>
                </w:p>
              </w:tc>
              <w:tc>
                <w:tcPr>
                  <w:tcW w:w="483" w:type="pct"/>
                  <w:tcBorders>
                    <w:tl2br w:val="nil"/>
                    <w:tr2bl w:val="nil"/>
                  </w:tcBorders>
                  <w:vAlign w:val="center"/>
                </w:tcPr>
                <w:p w14:paraId="2AFD4E40">
                  <w:pPr>
                    <w:jc w:val="center"/>
                    <w:rPr>
                      <w:color w:val="auto"/>
                      <w:sz w:val="21"/>
                      <w:szCs w:val="21"/>
                    </w:rPr>
                  </w:pPr>
                  <w:r>
                    <w:rPr>
                      <w:color w:val="auto"/>
                      <w:sz w:val="21"/>
                      <w:szCs w:val="21"/>
                    </w:rPr>
                    <w:t>相符</w:t>
                  </w:r>
                </w:p>
              </w:tc>
            </w:tr>
            <w:tr w14:paraId="5295C01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58" w:type="pct"/>
                  <w:tcBorders>
                    <w:tl2br w:val="nil"/>
                    <w:tr2bl w:val="nil"/>
                  </w:tcBorders>
                  <w:vAlign w:val="center"/>
                </w:tcPr>
                <w:p w14:paraId="3FB8FF51">
                  <w:pPr>
                    <w:jc w:val="center"/>
                    <w:rPr>
                      <w:color w:val="auto"/>
                      <w:sz w:val="21"/>
                      <w:szCs w:val="21"/>
                    </w:rPr>
                  </w:pPr>
                  <w:r>
                    <w:rPr>
                      <w:rFonts w:hint="eastAsia"/>
                      <w:color w:val="auto"/>
                      <w:sz w:val="21"/>
                      <w:szCs w:val="21"/>
                    </w:rPr>
                    <w:t>8</w:t>
                  </w:r>
                </w:p>
              </w:tc>
              <w:tc>
                <w:tcPr>
                  <w:tcW w:w="326" w:type="pct"/>
                  <w:vMerge w:val="continue"/>
                  <w:tcBorders>
                    <w:tl2br w:val="nil"/>
                    <w:tr2bl w:val="nil"/>
                  </w:tcBorders>
                  <w:vAlign w:val="center"/>
                </w:tcPr>
                <w:p w14:paraId="225461B7">
                  <w:pPr>
                    <w:jc w:val="center"/>
                    <w:rPr>
                      <w:color w:val="auto"/>
                      <w:sz w:val="21"/>
                      <w:szCs w:val="21"/>
                    </w:rPr>
                  </w:pPr>
                </w:p>
              </w:tc>
              <w:tc>
                <w:tcPr>
                  <w:tcW w:w="2239" w:type="pct"/>
                  <w:tcBorders>
                    <w:tl2br w:val="nil"/>
                    <w:tr2bl w:val="nil"/>
                  </w:tcBorders>
                  <w:vAlign w:val="center"/>
                </w:tcPr>
                <w:p w14:paraId="4B210FF7">
                  <w:pPr>
                    <w:jc w:val="center"/>
                    <w:rPr>
                      <w:color w:val="auto"/>
                      <w:sz w:val="21"/>
                      <w:szCs w:val="21"/>
                    </w:rPr>
                  </w:pPr>
                  <w:r>
                    <w:rPr>
                      <w:color w:val="auto"/>
                      <w:sz w:val="21"/>
                      <w:szCs w:val="21"/>
                    </w:rPr>
                    <w:t>8</w:t>
                  </w:r>
                  <w:r>
                    <w:rPr>
                      <w:rFonts w:hint="eastAsia"/>
                      <w:color w:val="auto"/>
                      <w:sz w:val="21"/>
                      <w:szCs w:val="21"/>
                    </w:rPr>
                    <w:t>、</w:t>
                  </w:r>
                  <w:r>
                    <w:rPr>
                      <w:color w:val="auto"/>
                      <w:sz w:val="21"/>
                      <w:szCs w:val="21"/>
                    </w:rPr>
                    <w:t>禁止在距离长江干支流岸线一公里范围内新建、扩建化工园区和化工项目。长江干支流一公里按照长江干支流岸线边界</w:t>
                  </w:r>
                  <w:r>
                    <w:rPr>
                      <w:rFonts w:hint="eastAsia"/>
                      <w:color w:val="auto"/>
                      <w:sz w:val="21"/>
                      <w:szCs w:val="21"/>
                    </w:rPr>
                    <w:t>（</w:t>
                  </w:r>
                  <w:r>
                    <w:rPr>
                      <w:color w:val="auto"/>
                      <w:sz w:val="21"/>
                      <w:szCs w:val="21"/>
                    </w:rPr>
                    <w:t>即水利部门河道管理范围边界）向陆域纵深一公里执行。</w:t>
                  </w:r>
                </w:p>
              </w:tc>
              <w:tc>
                <w:tcPr>
                  <w:tcW w:w="1592" w:type="pct"/>
                  <w:tcBorders>
                    <w:tl2br w:val="nil"/>
                    <w:tr2bl w:val="nil"/>
                  </w:tcBorders>
                  <w:vAlign w:val="center"/>
                </w:tcPr>
                <w:p w14:paraId="056A1AB9">
                  <w:pPr>
                    <w:jc w:val="center"/>
                    <w:rPr>
                      <w:color w:val="auto"/>
                      <w:sz w:val="21"/>
                      <w:szCs w:val="21"/>
                    </w:rPr>
                  </w:pPr>
                  <w:r>
                    <w:rPr>
                      <w:rFonts w:hint="eastAsia"/>
                      <w:color w:val="auto"/>
                      <w:sz w:val="21"/>
                      <w:szCs w:val="21"/>
                    </w:rPr>
                    <w:t>本项目不属于</w:t>
                  </w:r>
                  <w:r>
                    <w:rPr>
                      <w:color w:val="auto"/>
                      <w:sz w:val="21"/>
                      <w:szCs w:val="21"/>
                    </w:rPr>
                    <w:t>化工项目</w:t>
                  </w:r>
                  <w:r>
                    <w:rPr>
                      <w:rFonts w:hint="eastAsia"/>
                      <w:color w:val="auto"/>
                      <w:sz w:val="21"/>
                      <w:szCs w:val="21"/>
                    </w:rPr>
                    <w:t>。</w:t>
                  </w:r>
                </w:p>
              </w:tc>
              <w:tc>
                <w:tcPr>
                  <w:tcW w:w="483" w:type="pct"/>
                  <w:tcBorders>
                    <w:tl2br w:val="nil"/>
                    <w:tr2bl w:val="nil"/>
                  </w:tcBorders>
                  <w:vAlign w:val="center"/>
                </w:tcPr>
                <w:p w14:paraId="0317219D">
                  <w:pPr>
                    <w:jc w:val="center"/>
                    <w:rPr>
                      <w:color w:val="auto"/>
                      <w:sz w:val="21"/>
                      <w:szCs w:val="21"/>
                    </w:rPr>
                  </w:pPr>
                  <w:r>
                    <w:rPr>
                      <w:color w:val="auto"/>
                      <w:sz w:val="21"/>
                      <w:szCs w:val="21"/>
                    </w:rPr>
                    <w:t>相符</w:t>
                  </w:r>
                </w:p>
              </w:tc>
            </w:tr>
            <w:tr w14:paraId="48E32B0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58" w:type="pct"/>
                  <w:tcBorders>
                    <w:tl2br w:val="nil"/>
                    <w:tr2bl w:val="nil"/>
                  </w:tcBorders>
                  <w:vAlign w:val="center"/>
                </w:tcPr>
                <w:p w14:paraId="1EEAA98A">
                  <w:pPr>
                    <w:jc w:val="center"/>
                    <w:rPr>
                      <w:color w:val="auto"/>
                      <w:sz w:val="21"/>
                      <w:szCs w:val="21"/>
                    </w:rPr>
                  </w:pPr>
                  <w:r>
                    <w:rPr>
                      <w:rFonts w:hint="eastAsia"/>
                      <w:color w:val="auto"/>
                      <w:sz w:val="21"/>
                      <w:szCs w:val="21"/>
                    </w:rPr>
                    <w:t>9</w:t>
                  </w:r>
                </w:p>
              </w:tc>
              <w:tc>
                <w:tcPr>
                  <w:tcW w:w="326" w:type="pct"/>
                  <w:vMerge w:val="continue"/>
                  <w:tcBorders>
                    <w:tl2br w:val="nil"/>
                    <w:tr2bl w:val="nil"/>
                  </w:tcBorders>
                  <w:vAlign w:val="center"/>
                </w:tcPr>
                <w:p w14:paraId="1D3C92A0">
                  <w:pPr>
                    <w:jc w:val="center"/>
                    <w:rPr>
                      <w:color w:val="auto"/>
                      <w:sz w:val="21"/>
                      <w:szCs w:val="21"/>
                    </w:rPr>
                  </w:pPr>
                </w:p>
              </w:tc>
              <w:tc>
                <w:tcPr>
                  <w:tcW w:w="2239" w:type="pct"/>
                  <w:tcBorders>
                    <w:tl2br w:val="nil"/>
                    <w:tr2bl w:val="nil"/>
                  </w:tcBorders>
                  <w:vAlign w:val="center"/>
                </w:tcPr>
                <w:p w14:paraId="438655C9">
                  <w:pPr>
                    <w:jc w:val="center"/>
                    <w:rPr>
                      <w:color w:val="auto"/>
                      <w:sz w:val="21"/>
                      <w:szCs w:val="21"/>
                    </w:rPr>
                  </w:pPr>
                  <w:r>
                    <w:rPr>
                      <w:color w:val="auto"/>
                      <w:sz w:val="21"/>
                      <w:szCs w:val="21"/>
                    </w:rPr>
                    <w:t>9</w:t>
                  </w:r>
                  <w:r>
                    <w:rPr>
                      <w:rFonts w:hint="eastAsia"/>
                      <w:color w:val="auto"/>
                      <w:sz w:val="21"/>
                      <w:szCs w:val="21"/>
                    </w:rPr>
                    <w:t>、</w:t>
                  </w:r>
                  <w:r>
                    <w:rPr>
                      <w:color w:val="auto"/>
                      <w:sz w:val="21"/>
                      <w:szCs w:val="21"/>
                    </w:rPr>
                    <w:t>禁止在长江干流岸线三公里范围内新建、改建、扩建尾矿库、冶炼渣库和磷石膏库，以提升安全、生态环境保护水平为目的的改建除外。</w:t>
                  </w:r>
                </w:p>
              </w:tc>
              <w:tc>
                <w:tcPr>
                  <w:tcW w:w="1592" w:type="pct"/>
                  <w:tcBorders>
                    <w:tl2br w:val="nil"/>
                    <w:tr2bl w:val="nil"/>
                  </w:tcBorders>
                  <w:vAlign w:val="center"/>
                </w:tcPr>
                <w:p w14:paraId="6C5FDCE0">
                  <w:pPr>
                    <w:jc w:val="center"/>
                    <w:rPr>
                      <w:color w:val="auto"/>
                      <w:sz w:val="21"/>
                      <w:szCs w:val="21"/>
                    </w:rPr>
                  </w:pPr>
                  <w:r>
                    <w:rPr>
                      <w:rFonts w:hint="eastAsia"/>
                      <w:color w:val="auto"/>
                      <w:sz w:val="21"/>
                      <w:szCs w:val="21"/>
                    </w:rPr>
                    <w:t>本项目不涉及</w:t>
                  </w:r>
                  <w:r>
                    <w:rPr>
                      <w:color w:val="auto"/>
                      <w:sz w:val="21"/>
                      <w:szCs w:val="21"/>
                    </w:rPr>
                    <w:t>尾矿库、冶炼渣库和磷石膏库</w:t>
                  </w:r>
                  <w:r>
                    <w:rPr>
                      <w:rFonts w:hint="eastAsia"/>
                      <w:color w:val="auto"/>
                      <w:sz w:val="21"/>
                      <w:szCs w:val="21"/>
                    </w:rPr>
                    <w:t>。</w:t>
                  </w:r>
                </w:p>
              </w:tc>
              <w:tc>
                <w:tcPr>
                  <w:tcW w:w="483" w:type="pct"/>
                  <w:tcBorders>
                    <w:tl2br w:val="nil"/>
                    <w:tr2bl w:val="nil"/>
                  </w:tcBorders>
                  <w:vAlign w:val="center"/>
                </w:tcPr>
                <w:p w14:paraId="1121FCD2">
                  <w:pPr>
                    <w:jc w:val="center"/>
                    <w:rPr>
                      <w:color w:val="auto"/>
                      <w:sz w:val="21"/>
                      <w:szCs w:val="21"/>
                    </w:rPr>
                  </w:pPr>
                  <w:r>
                    <w:rPr>
                      <w:color w:val="auto"/>
                      <w:sz w:val="21"/>
                      <w:szCs w:val="21"/>
                    </w:rPr>
                    <w:t>相符</w:t>
                  </w:r>
                </w:p>
              </w:tc>
            </w:tr>
            <w:tr w14:paraId="318F578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58" w:type="pct"/>
                  <w:tcBorders>
                    <w:tl2br w:val="nil"/>
                    <w:tr2bl w:val="nil"/>
                  </w:tcBorders>
                  <w:vAlign w:val="center"/>
                </w:tcPr>
                <w:p w14:paraId="70761BAE">
                  <w:pPr>
                    <w:jc w:val="center"/>
                    <w:rPr>
                      <w:color w:val="auto"/>
                      <w:sz w:val="21"/>
                      <w:szCs w:val="21"/>
                    </w:rPr>
                  </w:pPr>
                  <w:r>
                    <w:rPr>
                      <w:rFonts w:hint="eastAsia"/>
                      <w:color w:val="auto"/>
                      <w:sz w:val="21"/>
                      <w:szCs w:val="21"/>
                    </w:rPr>
                    <w:t>10</w:t>
                  </w:r>
                </w:p>
              </w:tc>
              <w:tc>
                <w:tcPr>
                  <w:tcW w:w="326" w:type="pct"/>
                  <w:vMerge w:val="continue"/>
                  <w:tcBorders>
                    <w:tl2br w:val="nil"/>
                    <w:tr2bl w:val="nil"/>
                  </w:tcBorders>
                  <w:vAlign w:val="center"/>
                </w:tcPr>
                <w:p w14:paraId="7F08159D">
                  <w:pPr>
                    <w:jc w:val="center"/>
                    <w:rPr>
                      <w:color w:val="auto"/>
                      <w:sz w:val="21"/>
                      <w:szCs w:val="21"/>
                    </w:rPr>
                  </w:pPr>
                </w:p>
              </w:tc>
              <w:tc>
                <w:tcPr>
                  <w:tcW w:w="2239" w:type="pct"/>
                  <w:tcBorders>
                    <w:tl2br w:val="nil"/>
                    <w:tr2bl w:val="nil"/>
                  </w:tcBorders>
                  <w:vAlign w:val="center"/>
                </w:tcPr>
                <w:p w14:paraId="558F2EF5">
                  <w:pPr>
                    <w:jc w:val="center"/>
                    <w:rPr>
                      <w:color w:val="auto"/>
                      <w:sz w:val="21"/>
                      <w:szCs w:val="21"/>
                    </w:rPr>
                  </w:pPr>
                  <w:r>
                    <w:rPr>
                      <w:color w:val="auto"/>
                      <w:sz w:val="21"/>
                      <w:szCs w:val="21"/>
                    </w:rPr>
                    <w:t>10</w:t>
                  </w:r>
                  <w:r>
                    <w:rPr>
                      <w:rFonts w:hint="eastAsia"/>
                      <w:color w:val="auto"/>
                      <w:sz w:val="21"/>
                      <w:szCs w:val="21"/>
                    </w:rPr>
                    <w:t>、</w:t>
                  </w:r>
                  <w:r>
                    <w:rPr>
                      <w:color w:val="auto"/>
                      <w:sz w:val="21"/>
                      <w:szCs w:val="21"/>
                    </w:rPr>
                    <w:t>禁止在太湖流域一、二、三级保护区内开展《江苏省太湖水污染防治条例》禁止的投资建设活动。</w:t>
                  </w:r>
                </w:p>
              </w:tc>
              <w:tc>
                <w:tcPr>
                  <w:tcW w:w="1592" w:type="pct"/>
                  <w:tcBorders>
                    <w:tl2br w:val="nil"/>
                    <w:tr2bl w:val="nil"/>
                  </w:tcBorders>
                  <w:vAlign w:val="center"/>
                </w:tcPr>
                <w:p w14:paraId="397C0691">
                  <w:pPr>
                    <w:jc w:val="center"/>
                    <w:rPr>
                      <w:color w:val="auto"/>
                      <w:sz w:val="21"/>
                      <w:szCs w:val="21"/>
                    </w:rPr>
                  </w:pPr>
                  <w:r>
                    <w:rPr>
                      <w:rFonts w:hint="eastAsia"/>
                      <w:color w:val="auto"/>
                      <w:sz w:val="21"/>
                      <w:szCs w:val="21"/>
                    </w:rPr>
                    <w:t>本项目不属于</w:t>
                  </w:r>
                  <w:r>
                    <w:rPr>
                      <w:color w:val="auto"/>
                      <w:sz w:val="21"/>
                      <w:szCs w:val="21"/>
                    </w:rPr>
                    <w:t>《江苏省太湖水污染防治条例》禁止的投资建设活动</w:t>
                  </w:r>
                  <w:r>
                    <w:rPr>
                      <w:rFonts w:hint="eastAsia"/>
                      <w:color w:val="auto"/>
                      <w:sz w:val="21"/>
                      <w:szCs w:val="21"/>
                    </w:rPr>
                    <w:t>。</w:t>
                  </w:r>
                </w:p>
              </w:tc>
              <w:tc>
                <w:tcPr>
                  <w:tcW w:w="483" w:type="pct"/>
                  <w:tcBorders>
                    <w:tl2br w:val="nil"/>
                    <w:tr2bl w:val="nil"/>
                  </w:tcBorders>
                  <w:vAlign w:val="center"/>
                </w:tcPr>
                <w:p w14:paraId="06781C81">
                  <w:pPr>
                    <w:jc w:val="center"/>
                    <w:rPr>
                      <w:color w:val="auto"/>
                      <w:sz w:val="21"/>
                      <w:szCs w:val="21"/>
                    </w:rPr>
                  </w:pPr>
                  <w:r>
                    <w:rPr>
                      <w:color w:val="auto"/>
                      <w:sz w:val="21"/>
                      <w:szCs w:val="21"/>
                    </w:rPr>
                    <w:t>相符</w:t>
                  </w:r>
                </w:p>
              </w:tc>
            </w:tr>
            <w:tr w14:paraId="69FF9CC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58" w:type="pct"/>
                  <w:tcBorders>
                    <w:tl2br w:val="nil"/>
                    <w:tr2bl w:val="nil"/>
                  </w:tcBorders>
                  <w:vAlign w:val="center"/>
                </w:tcPr>
                <w:p w14:paraId="1EDDE4E2">
                  <w:pPr>
                    <w:jc w:val="center"/>
                    <w:rPr>
                      <w:color w:val="auto"/>
                      <w:sz w:val="21"/>
                      <w:szCs w:val="21"/>
                    </w:rPr>
                  </w:pPr>
                  <w:r>
                    <w:rPr>
                      <w:rFonts w:hint="eastAsia"/>
                      <w:color w:val="auto"/>
                      <w:sz w:val="21"/>
                      <w:szCs w:val="21"/>
                    </w:rPr>
                    <w:t>11</w:t>
                  </w:r>
                </w:p>
              </w:tc>
              <w:tc>
                <w:tcPr>
                  <w:tcW w:w="326" w:type="pct"/>
                  <w:vMerge w:val="continue"/>
                  <w:tcBorders>
                    <w:tl2br w:val="nil"/>
                    <w:tr2bl w:val="nil"/>
                  </w:tcBorders>
                  <w:vAlign w:val="center"/>
                </w:tcPr>
                <w:p w14:paraId="4ED0C85F">
                  <w:pPr>
                    <w:jc w:val="center"/>
                    <w:rPr>
                      <w:color w:val="auto"/>
                      <w:sz w:val="21"/>
                      <w:szCs w:val="21"/>
                    </w:rPr>
                  </w:pPr>
                </w:p>
              </w:tc>
              <w:tc>
                <w:tcPr>
                  <w:tcW w:w="2239" w:type="pct"/>
                  <w:tcBorders>
                    <w:tl2br w:val="nil"/>
                    <w:tr2bl w:val="nil"/>
                  </w:tcBorders>
                  <w:vAlign w:val="center"/>
                </w:tcPr>
                <w:p w14:paraId="6389AF54">
                  <w:pPr>
                    <w:jc w:val="center"/>
                    <w:rPr>
                      <w:color w:val="auto"/>
                      <w:sz w:val="21"/>
                      <w:szCs w:val="21"/>
                    </w:rPr>
                  </w:pPr>
                  <w:r>
                    <w:rPr>
                      <w:color w:val="auto"/>
                      <w:sz w:val="21"/>
                      <w:szCs w:val="21"/>
                    </w:rPr>
                    <w:t>11</w:t>
                  </w:r>
                  <w:r>
                    <w:rPr>
                      <w:rFonts w:hint="eastAsia"/>
                      <w:color w:val="auto"/>
                      <w:sz w:val="21"/>
                      <w:szCs w:val="21"/>
                    </w:rPr>
                    <w:t>、</w:t>
                  </w:r>
                  <w:r>
                    <w:rPr>
                      <w:color w:val="auto"/>
                      <w:sz w:val="21"/>
                      <w:szCs w:val="21"/>
                    </w:rPr>
                    <w:t>禁止在沿江地区新建、扩建未纳入国家和省布局规划的燃煤发电项目。</w:t>
                  </w:r>
                </w:p>
              </w:tc>
              <w:tc>
                <w:tcPr>
                  <w:tcW w:w="1592" w:type="pct"/>
                  <w:tcBorders>
                    <w:tl2br w:val="nil"/>
                    <w:tr2bl w:val="nil"/>
                  </w:tcBorders>
                  <w:vAlign w:val="center"/>
                </w:tcPr>
                <w:p w14:paraId="64FAE852">
                  <w:pPr>
                    <w:jc w:val="center"/>
                    <w:rPr>
                      <w:color w:val="auto"/>
                      <w:sz w:val="21"/>
                      <w:szCs w:val="21"/>
                    </w:rPr>
                  </w:pPr>
                  <w:r>
                    <w:rPr>
                      <w:rFonts w:hint="eastAsia"/>
                      <w:color w:val="auto"/>
                      <w:sz w:val="21"/>
                      <w:szCs w:val="21"/>
                    </w:rPr>
                    <w:t>本项目不属于</w:t>
                  </w:r>
                  <w:r>
                    <w:rPr>
                      <w:color w:val="auto"/>
                      <w:sz w:val="21"/>
                      <w:szCs w:val="21"/>
                    </w:rPr>
                    <w:t>燃煤发电项目</w:t>
                  </w:r>
                  <w:r>
                    <w:rPr>
                      <w:rFonts w:hint="eastAsia"/>
                      <w:color w:val="auto"/>
                      <w:sz w:val="21"/>
                      <w:szCs w:val="21"/>
                    </w:rPr>
                    <w:t>。</w:t>
                  </w:r>
                </w:p>
              </w:tc>
              <w:tc>
                <w:tcPr>
                  <w:tcW w:w="483" w:type="pct"/>
                  <w:tcBorders>
                    <w:tl2br w:val="nil"/>
                    <w:tr2bl w:val="nil"/>
                  </w:tcBorders>
                  <w:vAlign w:val="center"/>
                </w:tcPr>
                <w:p w14:paraId="57C34837">
                  <w:pPr>
                    <w:jc w:val="center"/>
                    <w:rPr>
                      <w:color w:val="auto"/>
                      <w:sz w:val="21"/>
                      <w:szCs w:val="21"/>
                    </w:rPr>
                  </w:pPr>
                  <w:r>
                    <w:rPr>
                      <w:color w:val="auto"/>
                      <w:sz w:val="21"/>
                      <w:szCs w:val="21"/>
                    </w:rPr>
                    <w:t>相符</w:t>
                  </w:r>
                </w:p>
              </w:tc>
            </w:tr>
            <w:tr w14:paraId="157B7FA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58" w:type="pct"/>
                  <w:tcBorders>
                    <w:tl2br w:val="nil"/>
                    <w:tr2bl w:val="nil"/>
                  </w:tcBorders>
                  <w:vAlign w:val="center"/>
                </w:tcPr>
                <w:p w14:paraId="59D3DDA2">
                  <w:pPr>
                    <w:jc w:val="center"/>
                    <w:rPr>
                      <w:color w:val="auto"/>
                      <w:sz w:val="21"/>
                      <w:szCs w:val="21"/>
                    </w:rPr>
                  </w:pPr>
                  <w:r>
                    <w:rPr>
                      <w:rFonts w:hint="eastAsia"/>
                      <w:color w:val="auto"/>
                      <w:sz w:val="21"/>
                      <w:szCs w:val="21"/>
                    </w:rPr>
                    <w:t>12</w:t>
                  </w:r>
                </w:p>
              </w:tc>
              <w:tc>
                <w:tcPr>
                  <w:tcW w:w="326" w:type="pct"/>
                  <w:vMerge w:val="continue"/>
                  <w:tcBorders>
                    <w:tl2br w:val="nil"/>
                    <w:tr2bl w:val="nil"/>
                  </w:tcBorders>
                  <w:vAlign w:val="center"/>
                </w:tcPr>
                <w:p w14:paraId="24E62913">
                  <w:pPr>
                    <w:jc w:val="center"/>
                    <w:rPr>
                      <w:color w:val="auto"/>
                      <w:sz w:val="21"/>
                      <w:szCs w:val="21"/>
                    </w:rPr>
                  </w:pPr>
                </w:p>
              </w:tc>
              <w:tc>
                <w:tcPr>
                  <w:tcW w:w="2239" w:type="pct"/>
                  <w:tcBorders>
                    <w:tl2br w:val="nil"/>
                    <w:tr2bl w:val="nil"/>
                  </w:tcBorders>
                  <w:vAlign w:val="center"/>
                </w:tcPr>
                <w:p w14:paraId="1E870D66">
                  <w:pPr>
                    <w:jc w:val="center"/>
                    <w:rPr>
                      <w:color w:val="auto"/>
                      <w:sz w:val="21"/>
                      <w:szCs w:val="21"/>
                    </w:rPr>
                  </w:pPr>
                  <w:r>
                    <w:rPr>
                      <w:color w:val="auto"/>
                      <w:sz w:val="21"/>
                      <w:szCs w:val="21"/>
                    </w:rPr>
                    <w:t>12</w:t>
                  </w:r>
                  <w:r>
                    <w:rPr>
                      <w:rFonts w:hint="eastAsia"/>
                      <w:color w:val="auto"/>
                      <w:sz w:val="21"/>
                      <w:szCs w:val="21"/>
                    </w:rPr>
                    <w:t>、</w:t>
                  </w:r>
                  <w:r>
                    <w:rPr>
                      <w:color w:val="auto"/>
                      <w:sz w:val="21"/>
                      <w:szCs w:val="21"/>
                    </w:rPr>
                    <w:t>禁止在合规园区外新建、扩建钢铁、石化、化工、焦化、建材、有色、制浆造纸等高污染项目。合规园区名录按照《〈长江经济带发展负面清单指南（试行，2022年版</w:t>
                  </w:r>
                  <w:r>
                    <w:rPr>
                      <w:rFonts w:hint="eastAsia"/>
                      <w:color w:val="auto"/>
                      <w:sz w:val="21"/>
                      <w:szCs w:val="21"/>
                    </w:rPr>
                    <w:t>）</w:t>
                  </w:r>
                  <w:r>
                    <w:rPr>
                      <w:color w:val="auto"/>
                      <w:sz w:val="21"/>
                      <w:szCs w:val="21"/>
                    </w:rPr>
                    <w:t>〉江苏省实施细则合规园区名录》执行。</w:t>
                  </w:r>
                </w:p>
              </w:tc>
              <w:tc>
                <w:tcPr>
                  <w:tcW w:w="1592" w:type="pct"/>
                  <w:tcBorders>
                    <w:tl2br w:val="nil"/>
                    <w:tr2bl w:val="nil"/>
                  </w:tcBorders>
                  <w:vAlign w:val="center"/>
                </w:tcPr>
                <w:p w14:paraId="6B6C0681">
                  <w:pPr>
                    <w:jc w:val="center"/>
                    <w:rPr>
                      <w:color w:val="auto"/>
                      <w:sz w:val="21"/>
                      <w:szCs w:val="21"/>
                    </w:rPr>
                  </w:pPr>
                  <w:r>
                    <w:rPr>
                      <w:color w:val="auto"/>
                      <w:sz w:val="21"/>
                      <w:szCs w:val="21"/>
                    </w:rPr>
                    <w:t>本项目</w:t>
                  </w:r>
                  <w:r>
                    <w:rPr>
                      <w:rFonts w:hint="eastAsia"/>
                      <w:color w:val="auto"/>
                      <w:sz w:val="21"/>
                      <w:szCs w:val="21"/>
                    </w:rPr>
                    <w:t>位于江苏省海安高新技术产业开发区田庄村18组，不属于</w:t>
                  </w:r>
                  <w:r>
                    <w:rPr>
                      <w:color w:val="auto"/>
                      <w:sz w:val="21"/>
                      <w:szCs w:val="21"/>
                    </w:rPr>
                    <w:t>钢铁、石化、化工、焦化、建材、有色、制浆造纸等高污染项目</w:t>
                  </w:r>
                  <w:r>
                    <w:rPr>
                      <w:rFonts w:hint="eastAsia"/>
                      <w:color w:val="auto"/>
                      <w:sz w:val="21"/>
                      <w:szCs w:val="21"/>
                    </w:rPr>
                    <w:t>。</w:t>
                  </w:r>
                </w:p>
              </w:tc>
              <w:tc>
                <w:tcPr>
                  <w:tcW w:w="483" w:type="pct"/>
                  <w:tcBorders>
                    <w:tl2br w:val="nil"/>
                    <w:tr2bl w:val="nil"/>
                  </w:tcBorders>
                  <w:vAlign w:val="center"/>
                </w:tcPr>
                <w:p w14:paraId="6DE90CE3">
                  <w:pPr>
                    <w:jc w:val="center"/>
                    <w:rPr>
                      <w:color w:val="auto"/>
                      <w:sz w:val="21"/>
                      <w:szCs w:val="21"/>
                    </w:rPr>
                  </w:pPr>
                  <w:r>
                    <w:rPr>
                      <w:color w:val="auto"/>
                      <w:sz w:val="21"/>
                      <w:szCs w:val="21"/>
                    </w:rPr>
                    <w:t>相符</w:t>
                  </w:r>
                </w:p>
              </w:tc>
            </w:tr>
            <w:tr w14:paraId="53FF83C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58" w:type="pct"/>
                  <w:tcBorders>
                    <w:tl2br w:val="nil"/>
                    <w:tr2bl w:val="nil"/>
                  </w:tcBorders>
                  <w:vAlign w:val="center"/>
                </w:tcPr>
                <w:p w14:paraId="68AA1534">
                  <w:pPr>
                    <w:jc w:val="center"/>
                    <w:rPr>
                      <w:color w:val="auto"/>
                      <w:sz w:val="21"/>
                      <w:szCs w:val="21"/>
                    </w:rPr>
                  </w:pPr>
                  <w:r>
                    <w:rPr>
                      <w:rFonts w:hint="eastAsia"/>
                      <w:color w:val="auto"/>
                      <w:sz w:val="21"/>
                      <w:szCs w:val="21"/>
                    </w:rPr>
                    <w:t>13</w:t>
                  </w:r>
                </w:p>
              </w:tc>
              <w:tc>
                <w:tcPr>
                  <w:tcW w:w="326" w:type="pct"/>
                  <w:vMerge w:val="continue"/>
                  <w:tcBorders>
                    <w:tl2br w:val="nil"/>
                    <w:tr2bl w:val="nil"/>
                  </w:tcBorders>
                  <w:vAlign w:val="center"/>
                </w:tcPr>
                <w:p w14:paraId="1E838DB0">
                  <w:pPr>
                    <w:jc w:val="center"/>
                    <w:rPr>
                      <w:color w:val="auto"/>
                      <w:sz w:val="21"/>
                      <w:szCs w:val="21"/>
                    </w:rPr>
                  </w:pPr>
                </w:p>
              </w:tc>
              <w:tc>
                <w:tcPr>
                  <w:tcW w:w="2239" w:type="pct"/>
                  <w:tcBorders>
                    <w:tl2br w:val="nil"/>
                    <w:tr2bl w:val="nil"/>
                  </w:tcBorders>
                  <w:vAlign w:val="center"/>
                </w:tcPr>
                <w:p w14:paraId="525FC9CA">
                  <w:pPr>
                    <w:jc w:val="center"/>
                    <w:rPr>
                      <w:color w:val="auto"/>
                      <w:sz w:val="21"/>
                      <w:szCs w:val="21"/>
                    </w:rPr>
                  </w:pPr>
                  <w:r>
                    <w:rPr>
                      <w:color w:val="auto"/>
                      <w:sz w:val="21"/>
                      <w:szCs w:val="21"/>
                    </w:rPr>
                    <w:t>13</w:t>
                  </w:r>
                  <w:r>
                    <w:rPr>
                      <w:rFonts w:hint="eastAsia"/>
                      <w:color w:val="auto"/>
                      <w:sz w:val="21"/>
                      <w:szCs w:val="21"/>
                    </w:rPr>
                    <w:t>、</w:t>
                  </w:r>
                  <w:r>
                    <w:rPr>
                      <w:color w:val="auto"/>
                      <w:sz w:val="21"/>
                      <w:szCs w:val="21"/>
                    </w:rPr>
                    <w:t>禁止在取消化工定位的园区</w:t>
                  </w:r>
                  <w:r>
                    <w:rPr>
                      <w:rFonts w:hint="eastAsia"/>
                      <w:color w:val="auto"/>
                      <w:sz w:val="21"/>
                      <w:szCs w:val="21"/>
                    </w:rPr>
                    <w:t>（</w:t>
                  </w:r>
                  <w:r>
                    <w:rPr>
                      <w:color w:val="auto"/>
                      <w:sz w:val="21"/>
                      <w:szCs w:val="21"/>
                    </w:rPr>
                    <w:t>集中区</w:t>
                  </w:r>
                  <w:r>
                    <w:rPr>
                      <w:rFonts w:hint="eastAsia"/>
                      <w:color w:val="auto"/>
                      <w:sz w:val="21"/>
                      <w:szCs w:val="21"/>
                    </w:rPr>
                    <w:t>）</w:t>
                  </w:r>
                  <w:r>
                    <w:rPr>
                      <w:color w:val="auto"/>
                      <w:sz w:val="21"/>
                      <w:szCs w:val="21"/>
                    </w:rPr>
                    <w:t>内新建化工项目。</w:t>
                  </w:r>
                </w:p>
              </w:tc>
              <w:tc>
                <w:tcPr>
                  <w:tcW w:w="1592" w:type="pct"/>
                  <w:tcBorders>
                    <w:tl2br w:val="nil"/>
                    <w:tr2bl w:val="nil"/>
                  </w:tcBorders>
                  <w:vAlign w:val="center"/>
                </w:tcPr>
                <w:p w14:paraId="5B2E269A">
                  <w:pPr>
                    <w:jc w:val="center"/>
                    <w:rPr>
                      <w:color w:val="auto"/>
                      <w:sz w:val="21"/>
                      <w:szCs w:val="21"/>
                    </w:rPr>
                  </w:pPr>
                  <w:r>
                    <w:rPr>
                      <w:rFonts w:hint="eastAsia"/>
                      <w:color w:val="auto"/>
                      <w:sz w:val="21"/>
                      <w:szCs w:val="21"/>
                    </w:rPr>
                    <w:t>本项目不属于</w:t>
                  </w:r>
                  <w:r>
                    <w:rPr>
                      <w:color w:val="auto"/>
                      <w:sz w:val="21"/>
                      <w:szCs w:val="21"/>
                    </w:rPr>
                    <w:t>化工项目。</w:t>
                  </w:r>
                </w:p>
              </w:tc>
              <w:tc>
                <w:tcPr>
                  <w:tcW w:w="483" w:type="pct"/>
                  <w:tcBorders>
                    <w:tl2br w:val="nil"/>
                    <w:tr2bl w:val="nil"/>
                  </w:tcBorders>
                  <w:vAlign w:val="center"/>
                </w:tcPr>
                <w:p w14:paraId="3D3DBD3B">
                  <w:pPr>
                    <w:jc w:val="center"/>
                    <w:rPr>
                      <w:color w:val="auto"/>
                      <w:sz w:val="21"/>
                      <w:szCs w:val="21"/>
                    </w:rPr>
                  </w:pPr>
                  <w:r>
                    <w:rPr>
                      <w:color w:val="auto"/>
                      <w:sz w:val="21"/>
                      <w:szCs w:val="21"/>
                    </w:rPr>
                    <w:t>相符</w:t>
                  </w:r>
                </w:p>
              </w:tc>
            </w:tr>
            <w:tr w14:paraId="074D431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58" w:type="pct"/>
                  <w:tcBorders>
                    <w:tl2br w:val="nil"/>
                    <w:tr2bl w:val="nil"/>
                  </w:tcBorders>
                  <w:vAlign w:val="center"/>
                </w:tcPr>
                <w:p w14:paraId="4564F201">
                  <w:pPr>
                    <w:jc w:val="center"/>
                    <w:rPr>
                      <w:color w:val="auto"/>
                      <w:sz w:val="21"/>
                      <w:szCs w:val="21"/>
                    </w:rPr>
                  </w:pPr>
                  <w:r>
                    <w:rPr>
                      <w:rFonts w:hint="eastAsia"/>
                      <w:color w:val="auto"/>
                      <w:sz w:val="21"/>
                      <w:szCs w:val="21"/>
                    </w:rPr>
                    <w:t>14</w:t>
                  </w:r>
                </w:p>
              </w:tc>
              <w:tc>
                <w:tcPr>
                  <w:tcW w:w="326" w:type="pct"/>
                  <w:vMerge w:val="continue"/>
                  <w:tcBorders>
                    <w:tl2br w:val="nil"/>
                    <w:tr2bl w:val="nil"/>
                  </w:tcBorders>
                  <w:vAlign w:val="center"/>
                </w:tcPr>
                <w:p w14:paraId="0E8CCAA5">
                  <w:pPr>
                    <w:jc w:val="center"/>
                    <w:rPr>
                      <w:color w:val="auto"/>
                      <w:sz w:val="21"/>
                      <w:szCs w:val="21"/>
                    </w:rPr>
                  </w:pPr>
                </w:p>
              </w:tc>
              <w:tc>
                <w:tcPr>
                  <w:tcW w:w="2239" w:type="pct"/>
                  <w:tcBorders>
                    <w:tl2br w:val="nil"/>
                    <w:tr2bl w:val="nil"/>
                  </w:tcBorders>
                  <w:vAlign w:val="center"/>
                </w:tcPr>
                <w:p w14:paraId="4A0FB312">
                  <w:pPr>
                    <w:jc w:val="center"/>
                    <w:rPr>
                      <w:color w:val="auto"/>
                      <w:sz w:val="21"/>
                      <w:szCs w:val="21"/>
                    </w:rPr>
                  </w:pPr>
                  <w:r>
                    <w:rPr>
                      <w:color w:val="auto"/>
                      <w:sz w:val="21"/>
                      <w:szCs w:val="21"/>
                    </w:rPr>
                    <w:t>14</w:t>
                  </w:r>
                  <w:r>
                    <w:rPr>
                      <w:rFonts w:hint="eastAsia"/>
                      <w:color w:val="auto"/>
                      <w:sz w:val="21"/>
                      <w:szCs w:val="21"/>
                    </w:rPr>
                    <w:t>、</w:t>
                  </w:r>
                  <w:r>
                    <w:rPr>
                      <w:color w:val="auto"/>
                      <w:sz w:val="21"/>
                      <w:szCs w:val="21"/>
                    </w:rPr>
                    <w:t>禁止在化工企业周边建设不符合安全距离规定的劳动密集型的非化工项目和其他人员密集的公共设施项目。</w:t>
                  </w:r>
                </w:p>
              </w:tc>
              <w:tc>
                <w:tcPr>
                  <w:tcW w:w="1592" w:type="pct"/>
                  <w:tcBorders>
                    <w:tl2br w:val="nil"/>
                    <w:tr2bl w:val="nil"/>
                  </w:tcBorders>
                  <w:vAlign w:val="center"/>
                </w:tcPr>
                <w:p w14:paraId="42763883">
                  <w:pPr>
                    <w:jc w:val="center"/>
                    <w:rPr>
                      <w:color w:val="auto"/>
                      <w:sz w:val="21"/>
                      <w:szCs w:val="21"/>
                    </w:rPr>
                  </w:pPr>
                  <w:r>
                    <w:rPr>
                      <w:rFonts w:hint="eastAsia"/>
                      <w:color w:val="auto"/>
                      <w:sz w:val="21"/>
                      <w:szCs w:val="21"/>
                    </w:rPr>
                    <w:t>本项目</w:t>
                  </w:r>
                  <w:r>
                    <w:rPr>
                      <w:color w:val="auto"/>
                      <w:sz w:val="21"/>
                      <w:szCs w:val="21"/>
                    </w:rPr>
                    <w:t>周边</w:t>
                  </w:r>
                  <w:r>
                    <w:rPr>
                      <w:rFonts w:hint="eastAsia"/>
                      <w:color w:val="auto"/>
                      <w:sz w:val="21"/>
                      <w:szCs w:val="21"/>
                    </w:rPr>
                    <w:t>无</w:t>
                  </w:r>
                  <w:r>
                    <w:rPr>
                      <w:color w:val="auto"/>
                      <w:sz w:val="21"/>
                      <w:szCs w:val="21"/>
                    </w:rPr>
                    <w:t>化工企业</w:t>
                  </w:r>
                  <w:r>
                    <w:rPr>
                      <w:rFonts w:hint="eastAsia"/>
                      <w:color w:val="auto"/>
                      <w:sz w:val="21"/>
                      <w:szCs w:val="21"/>
                    </w:rPr>
                    <w:t>。</w:t>
                  </w:r>
                </w:p>
              </w:tc>
              <w:tc>
                <w:tcPr>
                  <w:tcW w:w="483" w:type="pct"/>
                  <w:tcBorders>
                    <w:tl2br w:val="nil"/>
                    <w:tr2bl w:val="nil"/>
                  </w:tcBorders>
                  <w:vAlign w:val="center"/>
                </w:tcPr>
                <w:p w14:paraId="4D182DAD">
                  <w:pPr>
                    <w:jc w:val="center"/>
                    <w:rPr>
                      <w:color w:val="auto"/>
                      <w:sz w:val="21"/>
                      <w:szCs w:val="21"/>
                    </w:rPr>
                  </w:pPr>
                  <w:r>
                    <w:rPr>
                      <w:color w:val="auto"/>
                      <w:sz w:val="21"/>
                      <w:szCs w:val="21"/>
                    </w:rPr>
                    <w:t>相符</w:t>
                  </w:r>
                </w:p>
              </w:tc>
            </w:tr>
            <w:tr w14:paraId="6595670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58" w:type="pct"/>
                  <w:tcBorders>
                    <w:tl2br w:val="nil"/>
                    <w:tr2bl w:val="nil"/>
                  </w:tcBorders>
                  <w:vAlign w:val="center"/>
                </w:tcPr>
                <w:p w14:paraId="4E9753EE">
                  <w:pPr>
                    <w:jc w:val="center"/>
                    <w:rPr>
                      <w:color w:val="auto"/>
                      <w:sz w:val="21"/>
                      <w:szCs w:val="21"/>
                    </w:rPr>
                  </w:pPr>
                  <w:r>
                    <w:rPr>
                      <w:rFonts w:hint="eastAsia"/>
                      <w:color w:val="auto"/>
                      <w:sz w:val="21"/>
                      <w:szCs w:val="21"/>
                    </w:rPr>
                    <w:t>15</w:t>
                  </w:r>
                </w:p>
              </w:tc>
              <w:tc>
                <w:tcPr>
                  <w:tcW w:w="326" w:type="pct"/>
                  <w:vMerge w:val="restart"/>
                  <w:tcBorders>
                    <w:tl2br w:val="nil"/>
                    <w:tr2bl w:val="nil"/>
                  </w:tcBorders>
                  <w:vAlign w:val="center"/>
                </w:tcPr>
                <w:p w14:paraId="23CF04DC">
                  <w:pPr>
                    <w:jc w:val="center"/>
                    <w:rPr>
                      <w:color w:val="auto"/>
                      <w:sz w:val="21"/>
                      <w:szCs w:val="21"/>
                    </w:rPr>
                  </w:pPr>
                  <w:r>
                    <w:rPr>
                      <w:color w:val="auto"/>
                      <w:sz w:val="21"/>
                      <w:szCs w:val="21"/>
                    </w:rPr>
                    <w:t>三、产业发展</w:t>
                  </w:r>
                </w:p>
              </w:tc>
              <w:tc>
                <w:tcPr>
                  <w:tcW w:w="2239" w:type="pct"/>
                  <w:tcBorders>
                    <w:tl2br w:val="nil"/>
                    <w:tr2bl w:val="nil"/>
                  </w:tcBorders>
                  <w:vAlign w:val="center"/>
                </w:tcPr>
                <w:p w14:paraId="2EBD753B">
                  <w:pPr>
                    <w:jc w:val="center"/>
                    <w:rPr>
                      <w:color w:val="auto"/>
                      <w:sz w:val="21"/>
                      <w:szCs w:val="21"/>
                    </w:rPr>
                  </w:pPr>
                  <w:r>
                    <w:rPr>
                      <w:color w:val="auto"/>
                      <w:sz w:val="21"/>
                      <w:szCs w:val="21"/>
                    </w:rPr>
                    <w:t>15</w:t>
                  </w:r>
                  <w:r>
                    <w:rPr>
                      <w:rFonts w:hint="eastAsia"/>
                      <w:color w:val="auto"/>
                      <w:sz w:val="21"/>
                      <w:szCs w:val="21"/>
                    </w:rPr>
                    <w:t>、</w:t>
                  </w:r>
                  <w:r>
                    <w:rPr>
                      <w:color w:val="auto"/>
                      <w:sz w:val="21"/>
                      <w:szCs w:val="21"/>
                    </w:rPr>
                    <w:t>禁止新建、扩建不符合国家和省产业政策的尿素、磷铵、电石、烧碱、聚氯乙烯、纯碱等行业新增产能项目。</w:t>
                  </w:r>
                </w:p>
              </w:tc>
              <w:tc>
                <w:tcPr>
                  <w:tcW w:w="1592" w:type="pct"/>
                  <w:tcBorders>
                    <w:tl2br w:val="nil"/>
                    <w:tr2bl w:val="nil"/>
                  </w:tcBorders>
                  <w:vAlign w:val="center"/>
                </w:tcPr>
                <w:p w14:paraId="2C1EE197">
                  <w:pPr>
                    <w:jc w:val="center"/>
                    <w:rPr>
                      <w:color w:val="auto"/>
                      <w:sz w:val="21"/>
                      <w:szCs w:val="21"/>
                    </w:rPr>
                  </w:pPr>
                  <w:r>
                    <w:rPr>
                      <w:rFonts w:hint="eastAsia"/>
                      <w:color w:val="auto"/>
                      <w:sz w:val="21"/>
                      <w:szCs w:val="21"/>
                    </w:rPr>
                    <w:t>本项目不属于</w:t>
                  </w:r>
                  <w:r>
                    <w:rPr>
                      <w:color w:val="auto"/>
                      <w:sz w:val="21"/>
                      <w:szCs w:val="21"/>
                    </w:rPr>
                    <w:t>尿素、磷铵、电石、烧碱、聚氯乙烯、纯碱等行业新增产能项目</w:t>
                  </w:r>
                  <w:r>
                    <w:rPr>
                      <w:rFonts w:hint="eastAsia"/>
                      <w:color w:val="auto"/>
                      <w:sz w:val="21"/>
                      <w:szCs w:val="21"/>
                    </w:rPr>
                    <w:t>。</w:t>
                  </w:r>
                </w:p>
              </w:tc>
              <w:tc>
                <w:tcPr>
                  <w:tcW w:w="483" w:type="pct"/>
                  <w:tcBorders>
                    <w:tl2br w:val="nil"/>
                    <w:tr2bl w:val="nil"/>
                  </w:tcBorders>
                  <w:vAlign w:val="center"/>
                </w:tcPr>
                <w:p w14:paraId="6614ABAE">
                  <w:pPr>
                    <w:jc w:val="center"/>
                    <w:rPr>
                      <w:color w:val="auto"/>
                      <w:sz w:val="21"/>
                      <w:szCs w:val="21"/>
                    </w:rPr>
                  </w:pPr>
                  <w:r>
                    <w:rPr>
                      <w:color w:val="auto"/>
                      <w:sz w:val="21"/>
                      <w:szCs w:val="21"/>
                    </w:rPr>
                    <w:t>相符</w:t>
                  </w:r>
                </w:p>
              </w:tc>
            </w:tr>
            <w:tr w14:paraId="195640C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58" w:type="pct"/>
                  <w:tcBorders>
                    <w:tl2br w:val="nil"/>
                    <w:tr2bl w:val="nil"/>
                  </w:tcBorders>
                  <w:vAlign w:val="center"/>
                </w:tcPr>
                <w:p w14:paraId="714876D2">
                  <w:pPr>
                    <w:jc w:val="center"/>
                    <w:rPr>
                      <w:color w:val="auto"/>
                      <w:sz w:val="21"/>
                      <w:szCs w:val="21"/>
                    </w:rPr>
                  </w:pPr>
                  <w:r>
                    <w:rPr>
                      <w:rFonts w:hint="eastAsia"/>
                      <w:color w:val="auto"/>
                      <w:sz w:val="21"/>
                      <w:szCs w:val="21"/>
                    </w:rPr>
                    <w:t>16</w:t>
                  </w:r>
                </w:p>
              </w:tc>
              <w:tc>
                <w:tcPr>
                  <w:tcW w:w="326" w:type="pct"/>
                  <w:vMerge w:val="continue"/>
                  <w:tcBorders>
                    <w:tl2br w:val="nil"/>
                    <w:tr2bl w:val="nil"/>
                  </w:tcBorders>
                  <w:vAlign w:val="center"/>
                </w:tcPr>
                <w:p w14:paraId="3FEF1275">
                  <w:pPr>
                    <w:jc w:val="center"/>
                    <w:rPr>
                      <w:color w:val="auto"/>
                      <w:sz w:val="21"/>
                      <w:szCs w:val="21"/>
                    </w:rPr>
                  </w:pPr>
                </w:p>
              </w:tc>
              <w:tc>
                <w:tcPr>
                  <w:tcW w:w="2239" w:type="pct"/>
                  <w:tcBorders>
                    <w:tl2br w:val="nil"/>
                    <w:tr2bl w:val="nil"/>
                  </w:tcBorders>
                  <w:vAlign w:val="center"/>
                </w:tcPr>
                <w:p w14:paraId="0C13C78D">
                  <w:pPr>
                    <w:jc w:val="center"/>
                    <w:rPr>
                      <w:color w:val="auto"/>
                      <w:sz w:val="21"/>
                      <w:szCs w:val="21"/>
                    </w:rPr>
                  </w:pPr>
                  <w:r>
                    <w:rPr>
                      <w:color w:val="auto"/>
                      <w:sz w:val="21"/>
                      <w:szCs w:val="21"/>
                    </w:rPr>
                    <w:t>16</w:t>
                  </w:r>
                  <w:r>
                    <w:rPr>
                      <w:rFonts w:hint="eastAsia"/>
                      <w:color w:val="auto"/>
                      <w:sz w:val="21"/>
                      <w:szCs w:val="21"/>
                    </w:rPr>
                    <w:t>、</w:t>
                  </w:r>
                  <w:r>
                    <w:rPr>
                      <w:color w:val="auto"/>
                      <w:sz w:val="21"/>
                      <w:szCs w:val="21"/>
                    </w:rPr>
                    <w:t>禁止新建、改建、扩建高毒、高残留以及对环境影响大的农药原药</w:t>
                  </w:r>
                  <w:r>
                    <w:rPr>
                      <w:rFonts w:hint="eastAsia"/>
                      <w:color w:val="auto"/>
                      <w:sz w:val="21"/>
                      <w:szCs w:val="21"/>
                    </w:rPr>
                    <w:t>（</w:t>
                  </w:r>
                  <w:r>
                    <w:rPr>
                      <w:color w:val="auto"/>
                      <w:sz w:val="21"/>
                      <w:szCs w:val="21"/>
                    </w:rPr>
                    <w:t>化学合成类</w:t>
                  </w:r>
                  <w:r>
                    <w:rPr>
                      <w:rFonts w:hint="eastAsia"/>
                      <w:color w:val="auto"/>
                      <w:sz w:val="21"/>
                      <w:szCs w:val="21"/>
                    </w:rPr>
                    <w:t>）</w:t>
                  </w:r>
                  <w:r>
                    <w:rPr>
                      <w:color w:val="auto"/>
                      <w:sz w:val="21"/>
                      <w:szCs w:val="21"/>
                    </w:rPr>
                    <w:t>项目，禁止新建、扩建不符合国家和省产业政策的农药、医药和染料中间体化工项目。</w:t>
                  </w:r>
                </w:p>
              </w:tc>
              <w:tc>
                <w:tcPr>
                  <w:tcW w:w="1592" w:type="pct"/>
                  <w:tcBorders>
                    <w:tl2br w:val="nil"/>
                    <w:tr2bl w:val="nil"/>
                  </w:tcBorders>
                  <w:vAlign w:val="center"/>
                </w:tcPr>
                <w:p w14:paraId="4A434EC0">
                  <w:pPr>
                    <w:jc w:val="center"/>
                    <w:rPr>
                      <w:color w:val="auto"/>
                      <w:sz w:val="21"/>
                      <w:szCs w:val="21"/>
                    </w:rPr>
                  </w:pPr>
                  <w:r>
                    <w:rPr>
                      <w:rFonts w:hint="eastAsia"/>
                      <w:color w:val="auto"/>
                      <w:sz w:val="21"/>
                      <w:szCs w:val="21"/>
                    </w:rPr>
                    <w:t>本项目不属于</w:t>
                  </w:r>
                  <w:r>
                    <w:rPr>
                      <w:color w:val="auto"/>
                      <w:sz w:val="21"/>
                      <w:szCs w:val="21"/>
                    </w:rPr>
                    <w:t>农药原药</w:t>
                  </w:r>
                  <w:r>
                    <w:rPr>
                      <w:rFonts w:hint="eastAsia"/>
                      <w:color w:val="auto"/>
                      <w:sz w:val="21"/>
                      <w:szCs w:val="21"/>
                    </w:rPr>
                    <w:t>（</w:t>
                  </w:r>
                  <w:r>
                    <w:rPr>
                      <w:color w:val="auto"/>
                      <w:sz w:val="21"/>
                      <w:szCs w:val="21"/>
                    </w:rPr>
                    <w:t>化学合成类</w:t>
                  </w:r>
                  <w:r>
                    <w:rPr>
                      <w:rFonts w:hint="eastAsia"/>
                      <w:color w:val="auto"/>
                      <w:sz w:val="21"/>
                      <w:szCs w:val="21"/>
                    </w:rPr>
                    <w:t>）</w:t>
                  </w:r>
                  <w:r>
                    <w:rPr>
                      <w:color w:val="auto"/>
                      <w:sz w:val="21"/>
                      <w:szCs w:val="21"/>
                    </w:rPr>
                    <w:t>项目</w:t>
                  </w:r>
                  <w:r>
                    <w:rPr>
                      <w:rFonts w:hint="eastAsia"/>
                      <w:color w:val="auto"/>
                      <w:sz w:val="21"/>
                      <w:szCs w:val="21"/>
                    </w:rPr>
                    <w:t>、</w:t>
                  </w:r>
                  <w:r>
                    <w:rPr>
                      <w:color w:val="auto"/>
                      <w:sz w:val="21"/>
                      <w:szCs w:val="21"/>
                    </w:rPr>
                    <w:t>农药、医药和染料中间体化工项目</w:t>
                  </w:r>
                  <w:r>
                    <w:rPr>
                      <w:rFonts w:hint="eastAsia"/>
                      <w:color w:val="auto"/>
                      <w:sz w:val="21"/>
                      <w:szCs w:val="21"/>
                    </w:rPr>
                    <w:t>。</w:t>
                  </w:r>
                </w:p>
              </w:tc>
              <w:tc>
                <w:tcPr>
                  <w:tcW w:w="483" w:type="pct"/>
                  <w:tcBorders>
                    <w:tl2br w:val="nil"/>
                    <w:tr2bl w:val="nil"/>
                  </w:tcBorders>
                  <w:vAlign w:val="center"/>
                </w:tcPr>
                <w:p w14:paraId="53DCB8B3">
                  <w:pPr>
                    <w:jc w:val="center"/>
                    <w:rPr>
                      <w:color w:val="auto"/>
                      <w:sz w:val="21"/>
                      <w:szCs w:val="21"/>
                    </w:rPr>
                  </w:pPr>
                  <w:r>
                    <w:rPr>
                      <w:color w:val="auto"/>
                      <w:sz w:val="21"/>
                      <w:szCs w:val="21"/>
                    </w:rPr>
                    <w:t>相符</w:t>
                  </w:r>
                </w:p>
              </w:tc>
            </w:tr>
            <w:tr w14:paraId="0755215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58" w:type="pct"/>
                  <w:tcBorders>
                    <w:tl2br w:val="nil"/>
                    <w:tr2bl w:val="nil"/>
                  </w:tcBorders>
                  <w:vAlign w:val="center"/>
                </w:tcPr>
                <w:p w14:paraId="334EC940">
                  <w:pPr>
                    <w:jc w:val="center"/>
                    <w:rPr>
                      <w:color w:val="auto"/>
                      <w:sz w:val="21"/>
                      <w:szCs w:val="21"/>
                    </w:rPr>
                  </w:pPr>
                  <w:r>
                    <w:rPr>
                      <w:rFonts w:hint="eastAsia"/>
                      <w:color w:val="auto"/>
                      <w:sz w:val="21"/>
                      <w:szCs w:val="21"/>
                    </w:rPr>
                    <w:t>17</w:t>
                  </w:r>
                </w:p>
              </w:tc>
              <w:tc>
                <w:tcPr>
                  <w:tcW w:w="326" w:type="pct"/>
                  <w:vMerge w:val="continue"/>
                  <w:tcBorders>
                    <w:tl2br w:val="nil"/>
                    <w:tr2bl w:val="nil"/>
                  </w:tcBorders>
                  <w:vAlign w:val="center"/>
                </w:tcPr>
                <w:p w14:paraId="180B5961">
                  <w:pPr>
                    <w:jc w:val="center"/>
                    <w:rPr>
                      <w:color w:val="auto"/>
                      <w:sz w:val="21"/>
                      <w:szCs w:val="21"/>
                    </w:rPr>
                  </w:pPr>
                </w:p>
              </w:tc>
              <w:tc>
                <w:tcPr>
                  <w:tcW w:w="2239" w:type="pct"/>
                  <w:tcBorders>
                    <w:tl2br w:val="nil"/>
                    <w:tr2bl w:val="nil"/>
                  </w:tcBorders>
                  <w:vAlign w:val="center"/>
                </w:tcPr>
                <w:p w14:paraId="3E65F499">
                  <w:pPr>
                    <w:jc w:val="center"/>
                    <w:rPr>
                      <w:color w:val="auto"/>
                      <w:sz w:val="21"/>
                      <w:szCs w:val="21"/>
                    </w:rPr>
                  </w:pPr>
                  <w:r>
                    <w:rPr>
                      <w:color w:val="auto"/>
                      <w:sz w:val="21"/>
                      <w:szCs w:val="21"/>
                    </w:rPr>
                    <w:t>17</w:t>
                  </w:r>
                  <w:r>
                    <w:rPr>
                      <w:rFonts w:hint="eastAsia"/>
                      <w:color w:val="auto"/>
                      <w:sz w:val="21"/>
                      <w:szCs w:val="21"/>
                    </w:rPr>
                    <w:t>、</w:t>
                  </w:r>
                  <w:r>
                    <w:rPr>
                      <w:color w:val="auto"/>
                      <w:sz w:val="21"/>
                      <w:szCs w:val="21"/>
                    </w:rPr>
                    <w:t>禁止新建、扩建不符合国家石化、现代煤化工等产业布局规划的项目，禁止新建独立焦化项目。</w:t>
                  </w:r>
                </w:p>
              </w:tc>
              <w:tc>
                <w:tcPr>
                  <w:tcW w:w="1592" w:type="pct"/>
                  <w:tcBorders>
                    <w:tl2br w:val="nil"/>
                    <w:tr2bl w:val="nil"/>
                  </w:tcBorders>
                  <w:vAlign w:val="center"/>
                </w:tcPr>
                <w:p w14:paraId="1F9FE428">
                  <w:pPr>
                    <w:jc w:val="center"/>
                    <w:rPr>
                      <w:color w:val="auto"/>
                      <w:sz w:val="21"/>
                      <w:szCs w:val="21"/>
                    </w:rPr>
                  </w:pPr>
                  <w:r>
                    <w:rPr>
                      <w:rFonts w:hint="eastAsia"/>
                      <w:color w:val="auto"/>
                      <w:sz w:val="21"/>
                      <w:szCs w:val="21"/>
                    </w:rPr>
                    <w:t>本项目不属于</w:t>
                  </w:r>
                  <w:r>
                    <w:rPr>
                      <w:color w:val="auto"/>
                      <w:sz w:val="21"/>
                      <w:szCs w:val="21"/>
                    </w:rPr>
                    <w:t>独立焦化项目</w:t>
                  </w:r>
                  <w:r>
                    <w:rPr>
                      <w:rFonts w:hint="eastAsia"/>
                      <w:color w:val="auto"/>
                      <w:sz w:val="21"/>
                      <w:szCs w:val="21"/>
                    </w:rPr>
                    <w:t>。</w:t>
                  </w:r>
                </w:p>
              </w:tc>
              <w:tc>
                <w:tcPr>
                  <w:tcW w:w="483" w:type="pct"/>
                  <w:tcBorders>
                    <w:tl2br w:val="nil"/>
                    <w:tr2bl w:val="nil"/>
                  </w:tcBorders>
                  <w:vAlign w:val="center"/>
                </w:tcPr>
                <w:p w14:paraId="34CF1547">
                  <w:pPr>
                    <w:jc w:val="center"/>
                    <w:rPr>
                      <w:color w:val="auto"/>
                      <w:sz w:val="21"/>
                      <w:szCs w:val="21"/>
                    </w:rPr>
                  </w:pPr>
                  <w:r>
                    <w:rPr>
                      <w:color w:val="auto"/>
                      <w:sz w:val="21"/>
                      <w:szCs w:val="21"/>
                    </w:rPr>
                    <w:t>相符</w:t>
                  </w:r>
                </w:p>
              </w:tc>
            </w:tr>
            <w:tr w14:paraId="43E41EB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58" w:type="pct"/>
                  <w:tcBorders>
                    <w:tl2br w:val="nil"/>
                    <w:tr2bl w:val="nil"/>
                  </w:tcBorders>
                  <w:vAlign w:val="center"/>
                </w:tcPr>
                <w:p w14:paraId="704AB689">
                  <w:pPr>
                    <w:jc w:val="center"/>
                    <w:rPr>
                      <w:color w:val="auto"/>
                      <w:sz w:val="21"/>
                      <w:szCs w:val="21"/>
                    </w:rPr>
                  </w:pPr>
                  <w:r>
                    <w:rPr>
                      <w:rFonts w:hint="eastAsia"/>
                      <w:color w:val="auto"/>
                      <w:sz w:val="21"/>
                      <w:szCs w:val="21"/>
                    </w:rPr>
                    <w:t>18</w:t>
                  </w:r>
                </w:p>
              </w:tc>
              <w:tc>
                <w:tcPr>
                  <w:tcW w:w="326" w:type="pct"/>
                  <w:vMerge w:val="continue"/>
                  <w:tcBorders>
                    <w:tl2br w:val="nil"/>
                    <w:tr2bl w:val="nil"/>
                  </w:tcBorders>
                  <w:vAlign w:val="center"/>
                </w:tcPr>
                <w:p w14:paraId="0971109A">
                  <w:pPr>
                    <w:jc w:val="center"/>
                    <w:rPr>
                      <w:color w:val="auto"/>
                      <w:sz w:val="21"/>
                      <w:szCs w:val="21"/>
                    </w:rPr>
                  </w:pPr>
                </w:p>
              </w:tc>
              <w:tc>
                <w:tcPr>
                  <w:tcW w:w="2239" w:type="pct"/>
                  <w:tcBorders>
                    <w:tl2br w:val="nil"/>
                    <w:tr2bl w:val="nil"/>
                  </w:tcBorders>
                  <w:vAlign w:val="center"/>
                </w:tcPr>
                <w:p w14:paraId="5220EA43">
                  <w:pPr>
                    <w:jc w:val="center"/>
                    <w:rPr>
                      <w:color w:val="auto"/>
                      <w:sz w:val="21"/>
                      <w:szCs w:val="21"/>
                    </w:rPr>
                  </w:pPr>
                  <w:r>
                    <w:rPr>
                      <w:color w:val="auto"/>
                      <w:sz w:val="21"/>
                      <w:szCs w:val="21"/>
                    </w:rPr>
                    <w:t>18</w:t>
                  </w:r>
                  <w:r>
                    <w:rPr>
                      <w:rFonts w:hint="eastAsia"/>
                      <w:color w:val="auto"/>
                      <w:sz w:val="21"/>
                      <w:szCs w:val="21"/>
                    </w:rPr>
                    <w:t>、</w:t>
                  </w:r>
                  <w:r>
                    <w:rPr>
                      <w:color w:val="auto"/>
                      <w:sz w:val="21"/>
                      <w:szCs w:val="21"/>
                    </w:rPr>
                    <w:t>禁止新建、扩建国家《产业结构调整指导目录》</w:t>
                  </w:r>
                  <w:r>
                    <w:rPr>
                      <w:rFonts w:hint="eastAsia"/>
                      <w:color w:val="auto"/>
                      <w:sz w:val="21"/>
                      <w:szCs w:val="21"/>
                    </w:rPr>
                    <w:t>、</w:t>
                  </w:r>
                  <w:r>
                    <w:rPr>
                      <w:color w:val="auto"/>
                      <w:sz w:val="21"/>
                      <w:szCs w:val="21"/>
                    </w:rPr>
                    <w:t>《江苏省产业结构调整限制、淘汰和禁止目录》明确的限制类、淘汰类、禁止类项目，法律法规和相关政策明令禁止的落后产能项目，以及明令淘汰的安全生产落后工艺及装备项目。</w:t>
                  </w:r>
                </w:p>
              </w:tc>
              <w:tc>
                <w:tcPr>
                  <w:tcW w:w="1592" w:type="pct"/>
                  <w:tcBorders>
                    <w:tl2br w:val="nil"/>
                    <w:tr2bl w:val="nil"/>
                  </w:tcBorders>
                  <w:vAlign w:val="center"/>
                </w:tcPr>
                <w:p w14:paraId="009B28A2">
                  <w:pPr>
                    <w:jc w:val="center"/>
                    <w:rPr>
                      <w:color w:val="auto"/>
                      <w:sz w:val="21"/>
                      <w:szCs w:val="21"/>
                    </w:rPr>
                  </w:pPr>
                  <w:r>
                    <w:rPr>
                      <w:rFonts w:hint="eastAsia"/>
                      <w:color w:val="auto"/>
                      <w:sz w:val="21"/>
                      <w:szCs w:val="21"/>
                    </w:rPr>
                    <w:t>本项目不属于</w:t>
                  </w:r>
                  <w:r>
                    <w:rPr>
                      <w:color w:val="auto"/>
                      <w:sz w:val="21"/>
                      <w:szCs w:val="21"/>
                    </w:rPr>
                    <w:t>国家《产业结构调整指导目录》《江苏省产业结构调整限制、淘汰和禁止目录》明确的限制类、淘汰类、禁止类项目，法律法规和相关政策明令禁止的落后产能项目，以及明令淘汰的安全生产落后工艺及装备项目</w:t>
                  </w:r>
                  <w:r>
                    <w:rPr>
                      <w:rFonts w:hint="eastAsia"/>
                      <w:color w:val="auto"/>
                      <w:sz w:val="21"/>
                      <w:szCs w:val="21"/>
                    </w:rPr>
                    <w:t>。</w:t>
                  </w:r>
                </w:p>
              </w:tc>
              <w:tc>
                <w:tcPr>
                  <w:tcW w:w="483" w:type="pct"/>
                  <w:tcBorders>
                    <w:tl2br w:val="nil"/>
                    <w:tr2bl w:val="nil"/>
                  </w:tcBorders>
                  <w:vAlign w:val="center"/>
                </w:tcPr>
                <w:p w14:paraId="1C687078">
                  <w:pPr>
                    <w:jc w:val="center"/>
                    <w:rPr>
                      <w:color w:val="auto"/>
                      <w:sz w:val="21"/>
                      <w:szCs w:val="21"/>
                    </w:rPr>
                  </w:pPr>
                  <w:r>
                    <w:rPr>
                      <w:color w:val="auto"/>
                      <w:sz w:val="21"/>
                      <w:szCs w:val="21"/>
                    </w:rPr>
                    <w:t>相符</w:t>
                  </w:r>
                </w:p>
              </w:tc>
            </w:tr>
            <w:tr w14:paraId="543F885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58" w:type="pct"/>
                  <w:tcBorders>
                    <w:tl2br w:val="nil"/>
                    <w:tr2bl w:val="nil"/>
                  </w:tcBorders>
                  <w:vAlign w:val="center"/>
                </w:tcPr>
                <w:p w14:paraId="50C8C178">
                  <w:pPr>
                    <w:jc w:val="center"/>
                    <w:rPr>
                      <w:color w:val="auto"/>
                      <w:sz w:val="21"/>
                      <w:szCs w:val="21"/>
                    </w:rPr>
                  </w:pPr>
                  <w:r>
                    <w:rPr>
                      <w:rFonts w:hint="eastAsia"/>
                      <w:color w:val="auto"/>
                      <w:sz w:val="21"/>
                      <w:szCs w:val="21"/>
                    </w:rPr>
                    <w:t>19</w:t>
                  </w:r>
                </w:p>
              </w:tc>
              <w:tc>
                <w:tcPr>
                  <w:tcW w:w="326" w:type="pct"/>
                  <w:vMerge w:val="continue"/>
                  <w:tcBorders>
                    <w:tl2br w:val="nil"/>
                    <w:tr2bl w:val="nil"/>
                  </w:tcBorders>
                  <w:vAlign w:val="center"/>
                </w:tcPr>
                <w:p w14:paraId="46D2DA66">
                  <w:pPr>
                    <w:jc w:val="center"/>
                    <w:rPr>
                      <w:color w:val="auto"/>
                      <w:sz w:val="21"/>
                      <w:szCs w:val="21"/>
                    </w:rPr>
                  </w:pPr>
                </w:p>
              </w:tc>
              <w:tc>
                <w:tcPr>
                  <w:tcW w:w="2239" w:type="pct"/>
                  <w:tcBorders>
                    <w:tl2br w:val="nil"/>
                    <w:tr2bl w:val="nil"/>
                  </w:tcBorders>
                  <w:vAlign w:val="center"/>
                </w:tcPr>
                <w:p w14:paraId="1F6A8B69">
                  <w:pPr>
                    <w:jc w:val="center"/>
                    <w:rPr>
                      <w:color w:val="auto"/>
                      <w:sz w:val="21"/>
                      <w:szCs w:val="21"/>
                    </w:rPr>
                  </w:pPr>
                  <w:r>
                    <w:rPr>
                      <w:color w:val="auto"/>
                      <w:sz w:val="21"/>
                      <w:szCs w:val="21"/>
                    </w:rPr>
                    <w:t>19</w:t>
                  </w:r>
                  <w:r>
                    <w:rPr>
                      <w:rFonts w:hint="eastAsia"/>
                      <w:color w:val="auto"/>
                      <w:sz w:val="21"/>
                      <w:szCs w:val="21"/>
                    </w:rPr>
                    <w:t>、</w:t>
                  </w:r>
                  <w:r>
                    <w:rPr>
                      <w:color w:val="auto"/>
                      <w:sz w:val="21"/>
                      <w:szCs w:val="21"/>
                    </w:rPr>
                    <w:t>禁止新建、扩建不符合国家产能置换要求的严重过剩产能行业的项目。禁止新建、扩建不符合要求的高耗能高排放项目。</w:t>
                  </w:r>
                </w:p>
              </w:tc>
              <w:tc>
                <w:tcPr>
                  <w:tcW w:w="1592" w:type="pct"/>
                  <w:tcBorders>
                    <w:tl2br w:val="nil"/>
                    <w:tr2bl w:val="nil"/>
                  </w:tcBorders>
                  <w:vAlign w:val="center"/>
                </w:tcPr>
                <w:p w14:paraId="49101E27">
                  <w:pPr>
                    <w:jc w:val="center"/>
                    <w:rPr>
                      <w:color w:val="auto"/>
                      <w:sz w:val="21"/>
                      <w:szCs w:val="21"/>
                    </w:rPr>
                  </w:pPr>
                  <w:r>
                    <w:rPr>
                      <w:rFonts w:hint="eastAsia"/>
                      <w:color w:val="auto"/>
                      <w:sz w:val="21"/>
                      <w:szCs w:val="21"/>
                    </w:rPr>
                    <w:t>本项目不属于</w:t>
                  </w:r>
                  <w:r>
                    <w:rPr>
                      <w:color w:val="auto"/>
                      <w:sz w:val="21"/>
                      <w:szCs w:val="21"/>
                    </w:rPr>
                    <w:t>严重过剩产能行业的项目</w:t>
                  </w:r>
                  <w:r>
                    <w:rPr>
                      <w:rFonts w:hint="eastAsia"/>
                      <w:color w:val="auto"/>
                      <w:sz w:val="21"/>
                      <w:szCs w:val="21"/>
                    </w:rPr>
                    <w:t>、不属于</w:t>
                  </w:r>
                  <w:r>
                    <w:rPr>
                      <w:color w:val="auto"/>
                      <w:sz w:val="21"/>
                      <w:szCs w:val="21"/>
                    </w:rPr>
                    <w:t>高耗能高排放项目</w:t>
                  </w:r>
                  <w:r>
                    <w:rPr>
                      <w:rFonts w:hint="eastAsia"/>
                      <w:color w:val="auto"/>
                      <w:sz w:val="21"/>
                      <w:szCs w:val="21"/>
                    </w:rPr>
                    <w:t>。</w:t>
                  </w:r>
                </w:p>
              </w:tc>
              <w:tc>
                <w:tcPr>
                  <w:tcW w:w="483" w:type="pct"/>
                  <w:tcBorders>
                    <w:tl2br w:val="nil"/>
                    <w:tr2bl w:val="nil"/>
                  </w:tcBorders>
                  <w:vAlign w:val="center"/>
                </w:tcPr>
                <w:p w14:paraId="0E780DDC">
                  <w:pPr>
                    <w:jc w:val="center"/>
                    <w:rPr>
                      <w:color w:val="auto"/>
                      <w:sz w:val="21"/>
                      <w:szCs w:val="21"/>
                    </w:rPr>
                  </w:pPr>
                  <w:r>
                    <w:rPr>
                      <w:color w:val="auto"/>
                      <w:sz w:val="21"/>
                      <w:szCs w:val="21"/>
                    </w:rPr>
                    <w:t>相符</w:t>
                  </w:r>
                </w:p>
              </w:tc>
            </w:tr>
            <w:tr w14:paraId="6FAEDBE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58" w:type="pct"/>
                  <w:tcBorders>
                    <w:tl2br w:val="nil"/>
                    <w:tr2bl w:val="nil"/>
                  </w:tcBorders>
                  <w:vAlign w:val="center"/>
                </w:tcPr>
                <w:p w14:paraId="2E77C029">
                  <w:pPr>
                    <w:jc w:val="center"/>
                    <w:rPr>
                      <w:color w:val="auto"/>
                      <w:sz w:val="21"/>
                      <w:szCs w:val="21"/>
                    </w:rPr>
                  </w:pPr>
                  <w:r>
                    <w:rPr>
                      <w:rFonts w:hint="eastAsia"/>
                      <w:color w:val="auto"/>
                      <w:sz w:val="21"/>
                      <w:szCs w:val="21"/>
                    </w:rPr>
                    <w:t>20</w:t>
                  </w:r>
                </w:p>
              </w:tc>
              <w:tc>
                <w:tcPr>
                  <w:tcW w:w="326" w:type="pct"/>
                  <w:vMerge w:val="continue"/>
                  <w:tcBorders>
                    <w:tl2br w:val="nil"/>
                    <w:tr2bl w:val="nil"/>
                  </w:tcBorders>
                  <w:vAlign w:val="center"/>
                </w:tcPr>
                <w:p w14:paraId="52B3DE31">
                  <w:pPr>
                    <w:jc w:val="center"/>
                    <w:rPr>
                      <w:color w:val="auto"/>
                      <w:sz w:val="21"/>
                      <w:szCs w:val="21"/>
                    </w:rPr>
                  </w:pPr>
                </w:p>
              </w:tc>
              <w:tc>
                <w:tcPr>
                  <w:tcW w:w="2239" w:type="pct"/>
                  <w:tcBorders>
                    <w:tl2br w:val="nil"/>
                    <w:tr2bl w:val="nil"/>
                  </w:tcBorders>
                  <w:vAlign w:val="center"/>
                </w:tcPr>
                <w:p w14:paraId="7625EE0A">
                  <w:pPr>
                    <w:jc w:val="center"/>
                    <w:rPr>
                      <w:color w:val="auto"/>
                      <w:sz w:val="21"/>
                      <w:szCs w:val="21"/>
                    </w:rPr>
                  </w:pPr>
                  <w:r>
                    <w:rPr>
                      <w:color w:val="auto"/>
                      <w:sz w:val="21"/>
                      <w:szCs w:val="21"/>
                    </w:rPr>
                    <w:t>20</w:t>
                  </w:r>
                  <w:r>
                    <w:rPr>
                      <w:rFonts w:hint="eastAsia"/>
                      <w:color w:val="auto"/>
                      <w:sz w:val="21"/>
                      <w:szCs w:val="21"/>
                    </w:rPr>
                    <w:t>、</w:t>
                  </w:r>
                  <w:r>
                    <w:rPr>
                      <w:color w:val="auto"/>
                      <w:sz w:val="21"/>
                      <w:szCs w:val="21"/>
                    </w:rPr>
                    <w:t>法律法规及相关政策文件有更加严格规定的从其规定。</w:t>
                  </w:r>
                </w:p>
              </w:tc>
              <w:tc>
                <w:tcPr>
                  <w:tcW w:w="1592" w:type="pct"/>
                  <w:tcBorders>
                    <w:tl2br w:val="nil"/>
                    <w:tr2bl w:val="nil"/>
                  </w:tcBorders>
                  <w:vAlign w:val="center"/>
                </w:tcPr>
                <w:p w14:paraId="33EDE9B1">
                  <w:pPr>
                    <w:jc w:val="center"/>
                    <w:rPr>
                      <w:color w:val="auto"/>
                      <w:sz w:val="21"/>
                      <w:szCs w:val="21"/>
                    </w:rPr>
                  </w:pPr>
                  <w:r>
                    <w:rPr>
                      <w:rFonts w:hint="eastAsia"/>
                      <w:color w:val="auto"/>
                      <w:sz w:val="21"/>
                      <w:szCs w:val="21"/>
                    </w:rPr>
                    <w:t>本项目符合</w:t>
                  </w:r>
                  <w:r>
                    <w:rPr>
                      <w:color w:val="auto"/>
                      <w:sz w:val="21"/>
                      <w:szCs w:val="21"/>
                    </w:rPr>
                    <w:t>法律法规及相关政策文件</w:t>
                  </w:r>
                  <w:r>
                    <w:rPr>
                      <w:rFonts w:hint="eastAsia"/>
                      <w:color w:val="auto"/>
                      <w:sz w:val="21"/>
                      <w:szCs w:val="21"/>
                    </w:rPr>
                    <w:t>。</w:t>
                  </w:r>
                </w:p>
              </w:tc>
              <w:tc>
                <w:tcPr>
                  <w:tcW w:w="483" w:type="pct"/>
                  <w:tcBorders>
                    <w:tl2br w:val="nil"/>
                    <w:tr2bl w:val="nil"/>
                  </w:tcBorders>
                  <w:vAlign w:val="center"/>
                </w:tcPr>
                <w:p w14:paraId="2DC48A62">
                  <w:pPr>
                    <w:jc w:val="center"/>
                    <w:rPr>
                      <w:color w:val="auto"/>
                      <w:sz w:val="21"/>
                      <w:szCs w:val="21"/>
                    </w:rPr>
                  </w:pPr>
                  <w:r>
                    <w:rPr>
                      <w:color w:val="auto"/>
                      <w:sz w:val="21"/>
                      <w:szCs w:val="21"/>
                    </w:rPr>
                    <w:t>相符</w:t>
                  </w:r>
                </w:p>
              </w:tc>
            </w:tr>
          </w:tbl>
          <w:p w14:paraId="05B8CFE0">
            <w:pPr>
              <w:pStyle w:val="66"/>
              <w:rPr>
                <w:color w:val="auto"/>
                <w:sz w:val="24"/>
                <w:szCs w:val="24"/>
              </w:rPr>
            </w:pPr>
            <w:r>
              <w:rPr>
                <w:color w:val="auto"/>
                <w:sz w:val="24"/>
                <w:szCs w:val="24"/>
              </w:rPr>
              <w:t>（5）环境管控单元</w:t>
            </w:r>
          </w:p>
          <w:p w14:paraId="6605D597">
            <w:pPr>
              <w:spacing w:line="360" w:lineRule="auto"/>
              <w:ind w:firstLine="480" w:firstLineChars="200"/>
              <w:rPr>
                <w:rFonts w:hint="default" w:eastAsia="宋体"/>
                <w:color w:val="auto"/>
                <w:sz w:val="24"/>
                <w:szCs w:val="24"/>
                <w:lang w:val="en-US" w:eastAsia="zh-CN"/>
              </w:rPr>
            </w:pPr>
            <w:r>
              <w:rPr>
                <w:rFonts w:hint="eastAsia" w:eastAsia="宋体"/>
                <w:color w:val="auto"/>
                <w:sz w:val="24"/>
                <w:szCs w:val="24"/>
                <w:lang w:eastAsia="zh-CN"/>
              </w:rPr>
              <w:t>根据《江苏省2023年度生态环境分区管控动态更新成果》(2024年6月13日)</w:t>
            </w:r>
            <w:r>
              <w:rPr>
                <w:rFonts w:hint="eastAsia"/>
                <w:color w:val="auto"/>
                <w:sz w:val="24"/>
                <w:szCs w:val="24"/>
                <w:lang w:eastAsia="zh-CN"/>
              </w:rPr>
              <w:t>、《南通市生态环境分区管控方案动态更新成果（2023年）》、《江苏省生态环境分区管控实施方案》（苏政办发〔2025〕1号）、《关于进一步深化生态环境分区管控制度改革及应用三年工作方案（2025-2027年）》</w:t>
            </w:r>
            <w:r>
              <w:rPr>
                <w:rFonts w:hint="eastAsia" w:eastAsia="宋体"/>
                <w:color w:val="auto"/>
                <w:sz w:val="24"/>
                <w:szCs w:val="24"/>
                <w:lang w:eastAsia="zh-CN"/>
              </w:rPr>
              <w:t>，查询“</w:t>
            </w:r>
            <w:r>
              <w:rPr>
                <w:rFonts w:hint="eastAsia"/>
                <w:color w:val="auto"/>
                <w:sz w:val="24"/>
                <w:szCs w:val="24"/>
                <w:lang w:val="en-US" w:eastAsia="zh-CN"/>
              </w:rPr>
              <w:t>南通市</w:t>
            </w:r>
            <w:r>
              <w:rPr>
                <w:rFonts w:hint="eastAsia" w:eastAsia="宋体"/>
                <w:color w:val="auto"/>
                <w:sz w:val="24"/>
                <w:szCs w:val="24"/>
                <w:lang w:eastAsia="zh-CN"/>
              </w:rPr>
              <w:t>生态环境分区管控”系统，本项目位于江苏省海安高新技术产业开发区田庄村18组，属于</w:t>
            </w:r>
            <w:r>
              <w:rPr>
                <w:rFonts w:hint="eastAsia"/>
                <w:color w:val="auto"/>
                <w:sz w:val="24"/>
                <w:szCs w:val="24"/>
                <w:lang w:val="en-US" w:eastAsia="zh-CN"/>
              </w:rPr>
              <w:t>海安高新区技术产业开发区</w:t>
            </w:r>
            <w:r>
              <w:rPr>
                <w:rFonts w:hint="eastAsia" w:eastAsia="宋体"/>
                <w:color w:val="auto"/>
                <w:sz w:val="24"/>
                <w:szCs w:val="24"/>
                <w:lang w:eastAsia="zh-CN"/>
              </w:rPr>
              <w:t>，为重点管控单元。符合《江苏省2023年度生态环境分区管控动态更新成果》(2024年6月13日)</w:t>
            </w:r>
            <w:r>
              <w:rPr>
                <w:rFonts w:hint="eastAsia"/>
                <w:color w:val="auto"/>
                <w:sz w:val="24"/>
                <w:szCs w:val="24"/>
                <w:lang w:eastAsia="zh-CN"/>
              </w:rPr>
              <w:t>、《南通市生态环境分区管控方案动态更新成果（2023年）》</w:t>
            </w:r>
            <w:r>
              <w:rPr>
                <w:rFonts w:hint="eastAsia" w:eastAsia="宋体"/>
                <w:color w:val="auto"/>
                <w:sz w:val="24"/>
                <w:szCs w:val="24"/>
                <w:lang w:eastAsia="zh-CN"/>
              </w:rPr>
              <w:t>的相关要求，</w:t>
            </w:r>
            <w:r>
              <w:rPr>
                <w:rFonts w:hint="eastAsia"/>
                <w:color w:val="auto"/>
                <w:sz w:val="24"/>
                <w:szCs w:val="24"/>
                <w:lang w:val="en-US" w:eastAsia="zh-CN"/>
              </w:rPr>
              <w:t>生态</w:t>
            </w:r>
            <w:r>
              <w:rPr>
                <w:rFonts w:hint="eastAsia" w:eastAsia="宋体"/>
                <w:color w:val="auto"/>
                <w:sz w:val="24"/>
                <w:szCs w:val="24"/>
                <w:lang w:eastAsia="zh-CN"/>
              </w:rPr>
              <w:t>环境</w:t>
            </w:r>
            <w:r>
              <w:rPr>
                <w:rFonts w:hint="eastAsia"/>
                <w:color w:val="auto"/>
                <w:sz w:val="24"/>
                <w:szCs w:val="24"/>
                <w:lang w:val="en-US" w:eastAsia="zh-CN"/>
              </w:rPr>
              <w:t>分区</w:t>
            </w:r>
            <w:r>
              <w:rPr>
                <w:rFonts w:hint="eastAsia" w:eastAsia="宋体"/>
                <w:color w:val="auto"/>
                <w:sz w:val="24"/>
                <w:szCs w:val="24"/>
                <w:lang w:eastAsia="zh-CN"/>
              </w:rPr>
              <w:t>管控单元图见附图</w:t>
            </w:r>
            <w:r>
              <w:rPr>
                <w:rFonts w:hint="eastAsia"/>
                <w:color w:val="auto"/>
                <w:sz w:val="24"/>
                <w:szCs w:val="24"/>
                <w:lang w:val="en-US" w:eastAsia="zh-CN"/>
              </w:rPr>
              <w:t>4</w:t>
            </w:r>
            <w:r>
              <w:rPr>
                <w:rFonts w:hint="eastAsia" w:eastAsia="宋体"/>
                <w:color w:val="auto"/>
                <w:sz w:val="24"/>
                <w:szCs w:val="24"/>
                <w:lang w:eastAsia="zh-CN"/>
              </w:rPr>
              <w:t>。</w:t>
            </w:r>
          </w:p>
          <w:p w14:paraId="45469167">
            <w:pPr>
              <w:spacing w:line="360" w:lineRule="auto"/>
              <w:ind w:firstLine="480" w:firstLineChars="200"/>
              <w:rPr>
                <w:color w:val="auto"/>
                <w:sz w:val="24"/>
                <w:szCs w:val="24"/>
              </w:rPr>
            </w:pPr>
            <w:r>
              <w:rPr>
                <w:rFonts w:hint="eastAsia"/>
                <w:color w:val="auto"/>
                <w:sz w:val="24"/>
                <w:szCs w:val="24"/>
              </w:rPr>
              <w:t>本项目生活污水经化粪池处理后接管至鹰泰水务海安有限公司处理，处理后的达标尾水排入栟茶运河，不存在农业面源污染。本项目废气主要为制粒粉尘</w:t>
            </w:r>
            <w:r>
              <w:rPr>
                <w:rFonts w:hint="eastAsia"/>
                <w:color w:val="auto"/>
                <w:sz w:val="24"/>
                <w:szCs w:val="24"/>
                <w:lang w:eastAsia="zh-CN"/>
              </w:rPr>
              <w:t>、</w:t>
            </w:r>
            <w:r>
              <w:rPr>
                <w:rFonts w:hint="eastAsia"/>
                <w:color w:val="auto"/>
                <w:sz w:val="24"/>
                <w:szCs w:val="24"/>
              </w:rPr>
              <w:t>配料粉尘</w:t>
            </w:r>
            <w:r>
              <w:rPr>
                <w:rFonts w:hint="eastAsia"/>
                <w:color w:val="auto"/>
                <w:sz w:val="24"/>
                <w:szCs w:val="24"/>
                <w:lang w:eastAsia="zh-CN"/>
              </w:rPr>
              <w:t>、</w:t>
            </w:r>
            <w:r>
              <w:rPr>
                <w:rFonts w:hint="eastAsia"/>
                <w:color w:val="auto"/>
                <w:sz w:val="24"/>
                <w:szCs w:val="24"/>
              </w:rPr>
              <w:t>切削液废气</w:t>
            </w:r>
            <w:r>
              <w:rPr>
                <w:rFonts w:hint="eastAsia"/>
                <w:color w:val="auto"/>
                <w:sz w:val="24"/>
                <w:szCs w:val="24"/>
                <w:lang w:eastAsia="zh-CN"/>
              </w:rPr>
              <w:t>、</w:t>
            </w:r>
            <w:r>
              <w:rPr>
                <w:rFonts w:hint="eastAsia"/>
                <w:color w:val="auto"/>
                <w:sz w:val="24"/>
                <w:szCs w:val="24"/>
              </w:rPr>
              <w:t>危废贮存废气</w:t>
            </w:r>
            <w:r>
              <w:rPr>
                <w:rFonts w:hint="eastAsia"/>
                <w:color w:val="auto"/>
                <w:sz w:val="24"/>
                <w:szCs w:val="24"/>
                <w:lang w:eastAsia="zh-CN"/>
              </w:rPr>
              <w:t>、</w:t>
            </w:r>
            <w:r>
              <w:rPr>
                <w:rFonts w:hint="eastAsia"/>
                <w:color w:val="auto"/>
                <w:sz w:val="24"/>
                <w:szCs w:val="24"/>
              </w:rPr>
              <w:t>废水处理废气，制粒粉尘</w:t>
            </w:r>
            <w:r>
              <w:rPr>
                <w:rFonts w:hint="eastAsia"/>
                <w:color w:val="auto"/>
                <w:sz w:val="24"/>
                <w:szCs w:val="24"/>
                <w:lang w:val="en-US" w:eastAsia="zh-CN"/>
              </w:rPr>
              <w:t>经</w:t>
            </w:r>
            <w:r>
              <w:rPr>
                <w:rFonts w:hint="eastAsia"/>
                <w:color w:val="auto"/>
                <w:sz w:val="24"/>
                <w:szCs w:val="24"/>
              </w:rPr>
              <w:t>布袋除尘器</w:t>
            </w:r>
            <w:r>
              <w:rPr>
                <w:rFonts w:hint="eastAsia"/>
                <w:color w:val="auto"/>
                <w:sz w:val="24"/>
                <w:szCs w:val="24"/>
                <w:lang w:val="en-US" w:eastAsia="zh-CN"/>
              </w:rPr>
              <w:t>处理后通过15m高排气筒排放（DA001），配料粉尘经移动式布袋除尘器处理后无组织达标排放，</w:t>
            </w:r>
            <w:r>
              <w:rPr>
                <w:rFonts w:hint="eastAsia"/>
                <w:color w:val="auto"/>
                <w:sz w:val="24"/>
                <w:szCs w:val="24"/>
              </w:rPr>
              <w:t>切削液废气</w:t>
            </w:r>
            <w:r>
              <w:rPr>
                <w:rFonts w:hint="eastAsia"/>
                <w:color w:val="auto"/>
                <w:sz w:val="24"/>
                <w:szCs w:val="24"/>
                <w:lang w:eastAsia="zh-CN"/>
              </w:rPr>
              <w:t>、</w:t>
            </w:r>
            <w:r>
              <w:rPr>
                <w:rFonts w:hint="eastAsia"/>
                <w:color w:val="auto"/>
                <w:sz w:val="24"/>
                <w:szCs w:val="24"/>
              </w:rPr>
              <w:t>危废贮存废气</w:t>
            </w:r>
            <w:r>
              <w:rPr>
                <w:rFonts w:hint="eastAsia"/>
                <w:color w:val="auto"/>
                <w:sz w:val="24"/>
                <w:szCs w:val="24"/>
                <w:lang w:eastAsia="zh-CN"/>
              </w:rPr>
              <w:t>、</w:t>
            </w:r>
            <w:r>
              <w:rPr>
                <w:rFonts w:hint="eastAsia"/>
                <w:color w:val="auto"/>
                <w:sz w:val="24"/>
                <w:szCs w:val="24"/>
              </w:rPr>
              <w:t>废水处理废气</w:t>
            </w:r>
            <w:r>
              <w:rPr>
                <w:rFonts w:hint="eastAsia"/>
                <w:color w:val="auto"/>
                <w:sz w:val="24"/>
                <w:szCs w:val="24"/>
                <w:lang w:val="en-US" w:eastAsia="zh-CN"/>
              </w:rPr>
              <w:t>量极小，无组织达标排放</w:t>
            </w:r>
            <w:r>
              <w:rPr>
                <w:rFonts w:hint="eastAsia"/>
                <w:color w:val="auto"/>
                <w:sz w:val="24"/>
                <w:szCs w:val="24"/>
              </w:rPr>
              <w:t>。</w:t>
            </w:r>
            <w:r>
              <w:rPr>
                <w:color w:val="auto"/>
                <w:sz w:val="24"/>
                <w:szCs w:val="24"/>
              </w:rPr>
              <w:t>设备运行噪声采取隔声减振等措施后达标排放。固废实现零排放。运营期采取相应的污染防治措施后，各类污染物的排放不会改变区域环境功能区质量要求，能维持环境功能区质量现状。</w:t>
            </w:r>
          </w:p>
          <w:p w14:paraId="04EA734D">
            <w:pPr>
              <w:adjustRightInd w:val="0"/>
              <w:snapToGrid w:val="0"/>
              <w:spacing w:line="360" w:lineRule="auto"/>
              <w:ind w:firstLine="482" w:firstLineChars="200"/>
              <w:rPr>
                <w:b/>
                <w:bCs/>
                <w:color w:val="auto"/>
                <w:sz w:val="24"/>
                <w:szCs w:val="24"/>
              </w:rPr>
            </w:pPr>
            <w:r>
              <w:rPr>
                <w:b/>
                <w:bCs/>
                <w:color w:val="auto"/>
                <w:sz w:val="24"/>
                <w:szCs w:val="24"/>
              </w:rPr>
              <w:t>2、与《江苏省通榆河水污染防治条例》相符性分析</w:t>
            </w:r>
          </w:p>
          <w:p w14:paraId="590C2578">
            <w:pPr>
              <w:pStyle w:val="66"/>
              <w:rPr>
                <w:color w:val="auto"/>
                <w:sz w:val="24"/>
                <w:szCs w:val="24"/>
              </w:rPr>
            </w:pPr>
            <w:r>
              <w:rPr>
                <w:rFonts w:hint="eastAsia"/>
                <w:color w:val="auto"/>
                <w:sz w:val="24"/>
                <w:szCs w:val="24"/>
              </w:rPr>
              <w:t>本项目与《江苏省通榆河水污染防治条例》相符性分析：根据《江苏省通榆河水污染防治条例》（2012年1月12日江苏省第十一届人民代表大会常务委员会第二十六次会议通过，2018年修改）的规定，通榆河实行分级保护，划分为三级保护区。通榆河，南起南通长江北岸，北至连云港市赣榆县，包括焦港河，以及新沂河南偏泓、盐河、八一河、引水河、沭南航道、沭北航道、蔷薇河、青龙大沟、龙北干渠相关河段；主要供水河道，包括蔷薇河、三阳河、卤汀河、泰东河、新通扬运河、引江河、如泰运河、如海运河。通榆河及其两侧各一公里、主要供水河道及其两侧各一公里区域为通榆河一级保护区；新沂河南偏泓、盐河和斗龙港、新洋港、黄沙港、射阳河、车路河、沂南小河、沭新河等与通榆河平交的主要河道上溯五公里以及沿岸两侧各一公里区域为通榆河二级保护区；其他与通榆河平交的河道上溯五公里以及沿岸两侧各一公里区域为通榆河三级保护区。</w:t>
            </w:r>
          </w:p>
          <w:p w14:paraId="616C397A">
            <w:pPr>
              <w:pStyle w:val="66"/>
              <w:rPr>
                <w:color w:val="auto"/>
                <w:sz w:val="24"/>
                <w:szCs w:val="24"/>
              </w:rPr>
            </w:pPr>
            <w:r>
              <w:rPr>
                <w:rFonts w:hint="eastAsia"/>
                <w:color w:val="auto"/>
                <w:sz w:val="24"/>
                <w:szCs w:val="24"/>
              </w:rPr>
              <w:t>根据《江苏省通榆河水污染防治条例》，本项目位于江苏省海安高新技术产业开发区田庄村18组，不属于通榆河保护区范围，选址符合《江苏省通榆河水污染防治条例》要求。</w:t>
            </w:r>
          </w:p>
          <w:p w14:paraId="2557ACE9">
            <w:pPr>
              <w:pStyle w:val="66"/>
              <w:ind w:firstLine="422"/>
              <w:rPr>
                <w:b/>
                <w:bCs/>
                <w:color w:val="auto"/>
                <w:sz w:val="24"/>
                <w:szCs w:val="24"/>
              </w:rPr>
            </w:pPr>
            <w:r>
              <w:rPr>
                <w:rFonts w:hint="eastAsia"/>
                <w:b/>
                <w:bCs/>
                <w:color w:val="auto"/>
                <w:sz w:val="24"/>
                <w:szCs w:val="24"/>
              </w:rPr>
              <w:t>3</w:t>
            </w:r>
            <w:r>
              <w:rPr>
                <w:b/>
                <w:bCs/>
                <w:color w:val="auto"/>
                <w:sz w:val="24"/>
                <w:szCs w:val="24"/>
              </w:rPr>
              <w:t>、与产业政策相符性</w:t>
            </w:r>
          </w:p>
          <w:p w14:paraId="47D058F8">
            <w:pPr>
              <w:spacing w:line="360" w:lineRule="auto"/>
              <w:ind w:firstLine="480" w:firstLineChars="200"/>
              <w:rPr>
                <w:color w:val="auto"/>
                <w:sz w:val="24"/>
                <w:szCs w:val="24"/>
              </w:rPr>
            </w:pPr>
            <w:r>
              <w:rPr>
                <w:color w:val="auto"/>
                <w:sz w:val="24"/>
                <w:szCs w:val="24"/>
              </w:rPr>
              <w:t>本项目</w:t>
            </w:r>
            <w:r>
              <w:rPr>
                <w:rFonts w:hint="eastAsia"/>
                <w:color w:val="auto"/>
                <w:sz w:val="24"/>
                <w:szCs w:val="24"/>
              </w:rPr>
              <w:t>已于202</w:t>
            </w:r>
            <w:r>
              <w:rPr>
                <w:rFonts w:hint="eastAsia"/>
                <w:color w:val="auto"/>
                <w:sz w:val="24"/>
                <w:szCs w:val="24"/>
                <w:lang w:val="en-US" w:eastAsia="zh-CN"/>
              </w:rPr>
              <w:t>6年3月10日</w:t>
            </w:r>
            <w:r>
              <w:rPr>
                <w:rFonts w:hint="eastAsia"/>
                <w:color w:val="auto"/>
                <w:sz w:val="24"/>
                <w:szCs w:val="24"/>
              </w:rPr>
              <w:t>在江苏省海安高新技术产业开发区管理委员会备案</w:t>
            </w:r>
            <w:r>
              <w:rPr>
                <w:color w:val="auto"/>
                <w:sz w:val="24"/>
                <w:szCs w:val="24"/>
              </w:rPr>
              <w:t>，项目代码</w:t>
            </w:r>
            <w:r>
              <w:rPr>
                <w:rFonts w:hint="eastAsia"/>
                <w:color w:val="auto"/>
                <w:sz w:val="24"/>
                <w:szCs w:val="24"/>
              </w:rPr>
              <w:t>：2508-320666-89-01-150100</w:t>
            </w:r>
            <w:r>
              <w:rPr>
                <w:color w:val="auto"/>
                <w:sz w:val="24"/>
                <w:szCs w:val="24"/>
              </w:rPr>
              <w:t>，备案证号：</w:t>
            </w:r>
            <w:r>
              <w:rPr>
                <w:rFonts w:hint="eastAsia"/>
                <w:color w:val="auto"/>
                <w:sz w:val="24"/>
                <w:szCs w:val="24"/>
              </w:rPr>
              <w:t>海高行审备〔2026〕44号，本项目</w:t>
            </w:r>
            <w:r>
              <w:rPr>
                <w:color w:val="auto"/>
                <w:sz w:val="24"/>
                <w:szCs w:val="24"/>
              </w:rPr>
              <w:t>为国民经济行业类别中的</w:t>
            </w:r>
            <w:r>
              <w:rPr>
                <w:rFonts w:hint="eastAsia"/>
                <w:color w:val="auto"/>
                <w:sz w:val="24"/>
                <w:szCs w:val="24"/>
              </w:rPr>
              <w:t>[C3534]饲料生产专用设备制造</w:t>
            </w:r>
            <w:r>
              <w:rPr>
                <w:color w:val="auto"/>
                <w:sz w:val="24"/>
                <w:szCs w:val="24"/>
              </w:rPr>
              <w:t>，</w:t>
            </w:r>
            <w:r>
              <w:rPr>
                <w:rFonts w:hint="eastAsia"/>
                <w:color w:val="auto"/>
                <w:sz w:val="24"/>
                <w:szCs w:val="24"/>
              </w:rPr>
              <w:t>对照国家和地方产业政策，本项目不属于国家《产业结构调整指导目录(2024年本)》中淘汰和限制类项目，不属于</w:t>
            </w:r>
            <w:r>
              <w:rPr>
                <w:rFonts w:hint="eastAsia"/>
                <w:color w:val="auto"/>
                <w:sz w:val="24"/>
                <w:szCs w:val="24"/>
                <w:lang w:eastAsia="zh-CN"/>
              </w:rPr>
              <w:t>《江苏省“两高”项目管理目录（202</w:t>
            </w:r>
            <w:r>
              <w:rPr>
                <w:rFonts w:hint="eastAsia"/>
                <w:color w:val="auto"/>
                <w:sz w:val="24"/>
                <w:szCs w:val="24"/>
                <w:lang w:val="en-US" w:eastAsia="zh-CN"/>
              </w:rPr>
              <w:t>5</w:t>
            </w:r>
            <w:r>
              <w:rPr>
                <w:rFonts w:hint="eastAsia"/>
                <w:color w:val="auto"/>
                <w:sz w:val="24"/>
                <w:szCs w:val="24"/>
                <w:lang w:eastAsia="zh-CN"/>
              </w:rPr>
              <w:t>年版）》（苏发改规发〔202</w:t>
            </w:r>
            <w:r>
              <w:rPr>
                <w:rFonts w:hint="eastAsia"/>
                <w:color w:val="auto"/>
                <w:sz w:val="24"/>
                <w:szCs w:val="24"/>
                <w:lang w:val="en-US" w:eastAsia="zh-CN"/>
              </w:rPr>
              <w:t>5</w:t>
            </w:r>
            <w:r>
              <w:rPr>
                <w:rFonts w:hint="eastAsia"/>
                <w:color w:val="auto"/>
                <w:sz w:val="24"/>
                <w:szCs w:val="24"/>
                <w:lang w:eastAsia="zh-CN"/>
              </w:rPr>
              <w:t>〕4号），不属于</w:t>
            </w:r>
            <w:r>
              <w:rPr>
                <w:rFonts w:hint="eastAsia"/>
                <w:color w:val="auto"/>
                <w:sz w:val="24"/>
                <w:szCs w:val="24"/>
              </w:rPr>
              <w:t>《南通市工业结构调整指导目录》(2007年版）中限制、淘汰类项目，不属于《外商投资准入特别管理措施（负面清单）（2024 年版）》中纳入特别管理的行业</w:t>
            </w:r>
            <w:r>
              <w:rPr>
                <w:rFonts w:hint="eastAsia"/>
                <w:color w:val="auto"/>
                <w:sz w:val="24"/>
                <w:szCs w:val="24"/>
                <w:lang w:eastAsia="zh-CN"/>
              </w:rPr>
              <w:t>，</w:t>
            </w:r>
            <w:r>
              <w:rPr>
                <w:rFonts w:hint="eastAsia"/>
                <w:color w:val="auto"/>
                <w:sz w:val="24"/>
                <w:szCs w:val="24"/>
              </w:rPr>
              <w:t>符合相关产业政策</w:t>
            </w:r>
            <w:r>
              <w:rPr>
                <w:color w:val="auto"/>
                <w:sz w:val="24"/>
                <w:szCs w:val="24"/>
              </w:rPr>
              <w:t>。</w:t>
            </w:r>
          </w:p>
          <w:p w14:paraId="12D293F2">
            <w:pPr>
              <w:spacing w:line="360" w:lineRule="auto"/>
              <w:ind w:firstLine="480" w:firstLineChars="200"/>
              <w:rPr>
                <w:color w:val="auto"/>
                <w:sz w:val="24"/>
                <w:szCs w:val="24"/>
              </w:rPr>
            </w:pPr>
            <w:r>
              <w:rPr>
                <w:rFonts w:hint="eastAsia"/>
                <w:color w:val="auto"/>
                <w:sz w:val="24"/>
                <w:szCs w:val="24"/>
              </w:rPr>
              <w:t>本项目为[C3534]饲料生产专用设备制造，对照《环境保护综合名录（2021年版）》，不在“高污染、高环境风险”产品名录内</w:t>
            </w:r>
            <w:r>
              <w:rPr>
                <w:rFonts w:hint="eastAsia"/>
                <w:color w:val="auto"/>
                <w:sz w:val="24"/>
                <w:szCs w:val="24"/>
                <w:lang w:eastAsia="zh-CN"/>
              </w:rPr>
              <w:t>；</w:t>
            </w:r>
            <w:r>
              <w:rPr>
                <w:rFonts w:hint="eastAsia"/>
                <w:color w:val="auto"/>
                <w:sz w:val="24"/>
                <w:szCs w:val="24"/>
                <w:lang w:val="en-US" w:eastAsia="zh-CN"/>
              </w:rPr>
              <w:t>对照《战略性新兴产业分类（2018）》，不在战略性新兴产业、重点产品和服务目录中，</w:t>
            </w:r>
            <w:r>
              <w:rPr>
                <w:rFonts w:hint="eastAsia"/>
                <w:color w:val="auto"/>
                <w:sz w:val="24"/>
                <w:szCs w:val="24"/>
              </w:rPr>
              <w:t>符合文件要求。</w:t>
            </w:r>
          </w:p>
          <w:p w14:paraId="7F6B95ED">
            <w:pPr>
              <w:widowControl w:val="0"/>
              <w:adjustRightInd w:val="0"/>
              <w:snapToGrid w:val="0"/>
              <w:spacing w:line="360" w:lineRule="auto"/>
              <w:ind w:firstLine="482" w:firstLineChars="200"/>
              <w:jc w:val="both"/>
              <w:rPr>
                <w:rFonts w:hint="default" w:ascii="Times New Roman" w:hAnsi="Times New Roman" w:eastAsia="宋体" w:cs="Times New Roman"/>
                <w:b/>
                <w:bCs/>
                <w:color w:val="auto"/>
                <w:kern w:val="2"/>
                <w:sz w:val="24"/>
                <w:szCs w:val="24"/>
                <w:lang w:val="en-US" w:eastAsia="zh-CN" w:bidi="ar"/>
              </w:rPr>
            </w:pPr>
            <w:r>
              <w:rPr>
                <w:rFonts w:hint="eastAsia" w:ascii="Times New Roman" w:hAnsi="Times New Roman" w:eastAsia="宋体" w:cs="Times New Roman"/>
                <w:b/>
                <w:bCs/>
                <w:color w:val="auto"/>
                <w:kern w:val="2"/>
                <w:sz w:val="24"/>
                <w:szCs w:val="24"/>
                <w:lang w:val="en-US" w:eastAsia="zh-CN" w:bidi="ar"/>
              </w:rPr>
              <w:t>4</w:t>
            </w:r>
            <w:r>
              <w:rPr>
                <w:rFonts w:hint="default" w:ascii="Times New Roman" w:hAnsi="Times New Roman" w:eastAsia="宋体" w:cs="Times New Roman"/>
                <w:b/>
                <w:bCs/>
                <w:color w:val="auto"/>
                <w:kern w:val="2"/>
                <w:sz w:val="24"/>
                <w:szCs w:val="24"/>
                <w:lang w:val="en-US" w:eastAsia="zh-CN" w:bidi="ar"/>
              </w:rPr>
              <w:t>、本项目与挥发性有机物相关文件相符性分析</w:t>
            </w:r>
          </w:p>
          <w:p w14:paraId="5003B508">
            <w:pPr>
              <w:widowControl w:val="0"/>
              <w:adjustRightInd w:val="0"/>
              <w:snapToGrid w:val="0"/>
              <w:spacing w:line="360" w:lineRule="auto"/>
              <w:ind w:firstLine="482" w:firstLineChars="200"/>
              <w:jc w:val="both"/>
              <w:rPr>
                <w:rFonts w:hint="default" w:ascii="Times New Roman" w:hAnsi="Times New Roman" w:eastAsia="宋体" w:cs="Times New Roman"/>
                <w:b/>
                <w:bCs/>
                <w:color w:val="auto"/>
                <w:kern w:val="2"/>
                <w:sz w:val="24"/>
                <w:szCs w:val="24"/>
                <w:lang w:val="en-US" w:eastAsia="zh-CN" w:bidi="ar"/>
              </w:rPr>
            </w:pPr>
            <w:r>
              <w:rPr>
                <w:rFonts w:hint="default" w:ascii="Times New Roman" w:hAnsi="Times New Roman" w:eastAsia="宋体" w:cs="Times New Roman"/>
                <w:b/>
                <w:bCs/>
                <w:color w:val="auto"/>
                <w:kern w:val="2"/>
                <w:sz w:val="24"/>
                <w:szCs w:val="24"/>
                <w:lang w:val="en-US" w:eastAsia="zh-CN" w:bidi="ar"/>
              </w:rPr>
              <w:t>①本项目与《江苏省挥发性有机物污染防治管理办法》（省政府令第119号）相符性分析。</w:t>
            </w:r>
          </w:p>
          <w:p w14:paraId="104360B6">
            <w:pPr>
              <w:widowControl w:val="0"/>
              <w:adjustRightInd/>
              <w:snapToGrid/>
              <w:spacing w:line="240" w:lineRule="auto"/>
              <w:ind w:firstLine="0" w:firstLineChars="0"/>
              <w:jc w:val="center"/>
              <w:textAlignment w:val="auto"/>
              <w:rPr>
                <w:rFonts w:hint="default" w:ascii="Times New Roman" w:hAnsi="Times New Roman" w:eastAsia="宋体" w:cs="Times New Roman"/>
                <w:b/>
                <w:color w:val="auto"/>
                <w:spacing w:val="-10"/>
                <w:kern w:val="0"/>
                <w:sz w:val="24"/>
                <w:szCs w:val="24"/>
                <w:lang w:val="en-US" w:eastAsia="zh-CN" w:bidi="ar"/>
              </w:rPr>
            </w:pPr>
          </w:p>
          <w:p w14:paraId="083824C0">
            <w:pPr>
              <w:widowControl w:val="0"/>
              <w:adjustRightInd/>
              <w:snapToGrid/>
              <w:spacing w:line="240" w:lineRule="auto"/>
              <w:ind w:firstLine="0" w:firstLineChars="0"/>
              <w:jc w:val="center"/>
              <w:textAlignment w:val="auto"/>
              <w:rPr>
                <w:rFonts w:hint="default" w:ascii="Times New Roman" w:hAnsi="Times New Roman" w:eastAsia="宋体" w:cs="Times New Roman"/>
                <w:b/>
                <w:color w:val="auto"/>
                <w:spacing w:val="-10"/>
                <w:kern w:val="0"/>
                <w:sz w:val="24"/>
                <w:szCs w:val="24"/>
                <w:lang w:val="en-US" w:eastAsia="zh-CN" w:bidi="ar"/>
              </w:rPr>
            </w:pPr>
            <w:r>
              <w:rPr>
                <w:rFonts w:hint="default" w:ascii="Times New Roman" w:hAnsi="Times New Roman" w:eastAsia="宋体" w:cs="Times New Roman"/>
                <w:b/>
                <w:color w:val="auto"/>
                <w:spacing w:val="-10"/>
                <w:kern w:val="0"/>
                <w:sz w:val="24"/>
                <w:szCs w:val="24"/>
                <w:lang w:val="en-US" w:eastAsia="zh-CN" w:bidi="ar"/>
              </w:rPr>
              <w:t>表1-</w:t>
            </w:r>
            <w:r>
              <w:rPr>
                <w:rFonts w:hint="eastAsia" w:cs="Times New Roman"/>
                <w:b/>
                <w:color w:val="auto"/>
                <w:spacing w:val="-10"/>
                <w:kern w:val="0"/>
                <w:sz w:val="24"/>
                <w:szCs w:val="24"/>
                <w:lang w:val="en-US" w:eastAsia="zh-CN" w:bidi="ar"/>
              </w:rPr>
              <w:t>5</w:t>
            </w:r>
            <w:r>
              <w:rPr>
                <w:rFonts w:hint="eastAsia" w:ascii="Times New Roman" w:hAnsi="Times New Roman" w:eastAsia="宋体" w:cs="Times New Roman"/>
                <w:b/>
                <w:color w:val="auto"/>
                <w:spacing w:val="-10"/>
                <w:kern w:val="0"/>
                <w:sz w:val="24"/>
                <w:szCs w:val="24"/>
                <w:lang w:val="en-US" w:eastAsia="zh-CN" w:bidi="ar"/>
              </w:rPr>
              <w:t xml:space="preserve"> </w:t>
            </w:r>
            <w:r>
              <w:rPr>
                <w:rFonts w:hint="default" w:ascii="Times New Roman" w:hAnsi="Times New Roman" w:eastAsia="宋体" w:cs="Times New Roman"/>
                <w:b/>
                <w:color w:val="auto"/>
                <w:spacing w:val="-10"/>
                <w:kern w:val="0"/>
                <w:sz w:val="24"/>
                <w:szCs w:val="24"/>
                <w:lang w:val="en-US" w:eastAsia="zh-CN" w:bidi="ar"/>
              </w:rPr>
              <w:t>本项目与省政府令第119号文相符性分析</w:t>
            </w:r>
          </w:p>
          <w:tbl>
            <w:tblPr>
              <w:tblStyle w:val="26"/>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461"/>
              <w:gridCol w:w="2347"/>
              <w:gridCol w:w="642"/>
            </w:tblGrid>
            <w:tr w14:paraId="54708C4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993" w:type="pct"/>
                  <w:tcBorders>
                    <w:top w:val="single" w:color="auto" w:sz="12" w:space="0"/>
                    <w:left w:val="nil"/>
                    <w:bottom w:val="single" w:color="auto" w:sz="4" w:space="0"/>
                    <w:right w:val="single" w:color="auto" w:sz="4" w:space="0"/>
                  </w:tcBorders>
                  <w:vAlign w:val="center"/>
                </w:tcPr>
                <w:p w14:paraId="42858245">
                  <w:pPr>
                    <w:jc w:val="center"/>
                    <w:rPr>
                      <w:rFonts w:ascii="Times New Roman" w:hAnsi="Times New Roman" w:eastAsia="宋体" w:cs="Times New Roman"/>
                      <w:b/>
                      <w:bCs/>
                      <w:color w:val="auto"/>
                      <w:kern w:val="0"/>
                      <w:sz w:val="21"/>
                      <w:szCs w:val="21"/>
                    </w:rPr>
                  </w:pPr>
                  <w:r>
                    <w:rPr>
                      <w:rFonts w:ascii="Times New Roman" w:hAnsi="Times New Roman" w:eastAsia="宋体" w:cs="Times New Roman"/>
                      <w:b/>
                      <w:bCs/>
                      <w:color w:val="auto"/>
                      <w:sz w:val="21"/>
                      <w:szCs w:val="21"/>
                    </w:rPr>
                    <w:t>省政府令第119号</w:t>
                  </w:r>
                  <w:r>
                    <w:rPr>
                      <w:rFonts w:hint="eastAsia" w:ascii="Times New Roman" w:hAnsi="Times New Roman" w:eastAsia="宋体" w:cs="Times New Roman"/>
                      <w:b/>
                      <w:bCs/>
                      <w:color w:val="auto"/>
                      <w:sz w:val="21"/>
                      <w:szCs w:val="21"/>
                    </w:rPr>
                    <w:t>要求</w:t>
                  </w:r>
                </w:p>
              </w:tc>
              <w:tc>
                <w:tcPr>
                  <w:tcW w:w="1574" w:type="pct"/>
                  <w:tcBorders>
                    <w:top w:val="single" w:color="auto" w:sz="12" w:space="0"/>
                    <w:left w:val="single" w:color="auto" w:sz="4" w:space="0"/>
                    <w:bottom w:val="single" w:color="auto" w:sz="4" w:space="0"/>
                    <w:right w:val="single" w:color="auto" w:sz="4" w:space="0"/>
                  </w:tcBorders>
                  <w:vAlign w:val="center"/>
                </w:tcPr>
                <w:p w14:paraId="591446B9">
                  <w:pPr>
                    <w:jc w:val="center"/>
                    <w:rPr>
                      <w:rFonts w:ascii="Times New Roman" w:hAnsi="Times New Roman" w:eastAsia="宋体" w:cs="Times New Roman"/>
                      <w:b/>
                      <w:bCs/>
                      <w:color w:val="auto"/>
                      <w:sz w:val="21"/>
                      <w:szCs w:val="21"/>
                    </w:rPr>
                  </w:pPr>
                  <w:r>
                    <w:rPr>
                      <w:rFonts w:ascii="Times New Roman" w:hAnsi="Times New Roman" w:eastAsia="宋体" w:cs="Times New Roman"/>
                      <w:b/>
                      <w:bCs/>
                      <w:color w:val="auto"/>
                      <w:sz w:val="21"/>
                      <w:szCs w:val="21"/>
                    </w:rPr>
                    <w:t>本项目</w:t>
                  </w:r>
                  <w:r>
                    <w:rPr>
                      <w:rFonts w:hint="eastAsia" w:ascii="Times New Roman" w:hAnsi="Times New Roman" w:eastAsia="宋体" w:cs="Times New Roman"/>
                      <w:b/>
                      <w:bCs/>
                      <w:color w:val="auto"/>
                      <w:sz w:val="21"/>
                      <w:szCs w:val="21"/>
                    </w:rPr>
                    <w:t>情况</w:t>
                  </w:r>
                </w:p>
              </w:tc>
              <w:tc>
                <w:tcPr>
                  <w:tcW w:w="431" w:type="pct"/>
                  <w:tcBorders>
                    <w:top w:val="single" w:color="auto" w:sz="12" w:space="0"/>
                    <w:left w:val="single" w:color="auto" w:sz="4" w:space="0"/>
                    <w:bottom w:val="single" w:color="auto" w:sz="4" w:space="0"/>
                    <w:right w:val="nil"/>
                  </w:tcBorders>
                  <w:vAlign w:val="center"/>
                </w:tcPr>
                <w:p w14:paraId="06A323DE">
                  <w:pPr>
                    <w:jc w:val="center"/>
                    <w:rPr>
                      <w:rFonts w:ascii="Times New Roman" w:hAnsi="Times New Roman" w:eastAsia="宋体" w:cs="Times New Roman"/>
                      <w:b/>
                      <w:bCs/>
                      <w:color w:val="auto"/>
                      <w:sz w:val="21"/>
                      <w:szCs w:val="21"/>
                    </w:rPr>
                  </w:pPr>
                  <w:r>
                    <w:rPr>
                      <w:rFonts w:ascii="Times New Roman" w:hAnsi="Times New Roman" w:eastAsia="宋体" w:cs="Times New Roman"/>
                      <w:b/>
                      <w:bCs/>
                      <w:color w:val="auto"/>
                      <w:sz w:val="21"/>
                      <w:szCs w:val="21"/>
                    </w:rPr>
                    <w:t>是否</w:t>
                  </w:r>
                </w:p>
                <w:p w14:paraId="58E03F81">
                  <w:pPr>
                    <w:jc w:val="center"/>
                    <w:rPr>
                      <w:rFonts w:ascii="Times New Roman" w:hAnsi="Times New Roman" w:eastAsia="宋体" w:cs="Times New Roman"/>
                      <w:b/>
                      <w:bCs/>
                      <w:color w:val="auto"/>
                      <w:sz w:val="21"/>
                      <w:szCs w:val="21"/>
                    </w:rPr>
                  </w:pPr>
                  <w:r>
                    <w:rPr>
                      <w:rFonts w:ascii="Times New Roman" w:hAnsi="Times New Roman" w:eastAsia="宋体" w:cs="Times New Roman"/>
                      <w:b/>
                      <w:bCs/>
                      <w:color w:val="auto"/>
                      <w:sz w:val="21"/>
                      <w:szCs w:val="21"/>
                    </w:rPr>
                    <w:t>相符</w:t>
                  </w:r>
                </w:p>
              </w:tc>
            </w:tr>
            <w:tr w14:paraId="6408667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993" w:type="pct"/>
                  <w:tcBorders>
                    <w:top w:val="single" w:color="auto" w:sz="4" w:space="0"/>
                    <w:left w:val="nil"/>
                    <w:bottom w:val="single" w:color="auto" w:sz="4" w:space="0"/>
                    <w:right w:val="single" w:color="auto" w:sz="4" w:space="0"/>
                  </w:tcBorders>
                  <w:vAlign w:val="center"/>
                </w:tcPr>
                <w:p w14:paraId="4A19EF0A">
                  <w:pPr>
                    <w:jc w:val="center"/>
                    <w:rPr>
                      <w:rFonts w:ascii="Times New Roman" w:hAnsi="Times New Roman" w:eastAsia="宋体" w:cs="Times New Roman"/>
                      <w:color w:val="auto"/>
                      <w:kern w:val="0"/>
                      <w:sz w:val="21"/>
                      <w:szCs w:val="21"/>
                    </w:rPr>
                  </w:pPr>
                  <w:r>
                    <w:rPr>
                      <w:rFonts w:ascii="Times New Roman" w:hAnsi="Times New Roman" w:eastAsia="宋体" w:cs="Times New Roman"/>
                      <w:color w:val="auto"/>
                      <w:sz w:val="21"/>
                      <w:szCs w:val="21"/>
                    </w:rPr>
                    <w:t>新建、改建、</w:t>
                  </w:r>
                  <w:r>
                    <w:rPr>
                      <w:rFonts w:hint="eastAsia" w:ascii="Times New Roman" w:hAnsi="Times New Roman" w:eastAsia="宋体" w:cs="Times New Roman"/>
                      <w:color w:val="auto"/>
                      <w:sz w:val="21"/>
                      <w:szCs w:val="21"/>
                    </w:rPr>
                    <w:t>建设</w:t>
                  </w:r>
                  <w:r>
                    <w:rPr>
                      <w:rFonts w:ascii="Times New Roman" w:hAnsi="Times New Roman" w:eastAsia="宋体" w:cs="Times New Roman"/>
                      <w:color w:val="auto"/>
                      <w:sz w:val="21"/>
                      <w:szCs w:val="21"/>
                    </w:rPr>
                    <w:t>排放挥发性有机物的建设项目，应当依法进行环境影响评价。新增挥发性有机物排放总量指标的不足部分，可以依照有关规定通过排污权交易取得。建设项目的环境影响评价文件未经审查或者审查后未予批准的，建设单位不得开工建设。</w:t>
                  </w:r>
                </w:p>
              </w:tc>
              <w:tc>
                <w:tcPr>
                  <w:tcW w:w="1574" w:type="pct"/>
                  <w:tcBorders>
                    <w:top w:val="single" w:color="auto" w:sz="4" w:space="0"/>
                    <w:left w:val="single" w:color="auto" w:sz="4" w:space="0"/>
                    <w:bottom w:val="single" w:color="auto" w:sz="4" w:space="0"/>
                    <w:right w:val="single" w:color="auto" w:sz="4" w:space="0"/>
                  </w:tcBorders>
                  <w:vAlign w:val="center"/>
                </w:tcPr>
                <w:p w14:paraId="26D1503B">
                  <w:pPr>
                    <w:jc w:val="center"/>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sz w:val="21"/>
                      <w:szCs w:val="21"/>
                      <w:lang w:val="en-US" w:eastAsia="zh-CN"/>
                    </w:rPr>
                    <w:t>本</w:t>
                  </w:r>
                  <w:r>
                    <w:rPr>
                      <w:rFonts w:ascii="Times New Roman" w:hAnsi="Times New Roman" w:eastAsia="宋体" w:cs="Times New Roman"/>
                      <w:color w:val="auto"/>
                      <w:sz w:val="21"/>
                      <w:szCs w:val="21"/>
                    </w:rPr>
                    <w:t>项目</w:t>
                  </w:r>
                  <w:r>
                    <w:rPr>
                      <w:rFonts w:hint="eastAsia" w:ascii="Times New Roman" w:hAnsi="Times New Roman" w:eastAsia="宋体" w:cs="Times New Roman"/>
                      <w:color w:val="auto"/>
                      <w:sz w:val="21"/>
                      <w:szCs w:val="21"/>
                    </w:rPr>
                    <w:t>目前</w:t>
                  </w:r>
                  <w:r>
                    <w:rPr>
                      <w:rFonts w:hint="eastAsia" w:ascii="Times New Roman" w:hAnsi="Times New Roman" w:eastAsia="宋体" w:cs="Times New Roman"/>
                      <w:color w:val="auto"/>
                      <w:sz w:val="21"/>
                      <w:szCs w:val="21"/>
                      <w:lang w:eastAsia="zh-CN"/>
                    </w:rPr>
                    <w:t>尚未</w:t>
                  </w:r>
                  <w:r>
                    <w:rPr>
                      <w:rFonts w:hint="eastAsia" w:ascii="Times New Roman" w:hAnsi="Times New Roman" w:eastAsia="宋体" w:cs="Times New Roman"/>
                      <w:color w:val="auto"/>
                      <w:sz w:val="21"/>
                      <w:szCs w:val="21"/>
                    </w:rPr>
                    <w:t>建成营运，待环境影响评价文件审查批准后</w:t>
                  </w:r>
                  <w:r>
                    <w:rPr>
                      <w:rFonts w:hint="eastAsia" w:cs="Times New Roman"/>
                      <w:color w:val="auto"/>
                      <w:sz w:val="21"/>
                      <w:szCs w:val="21"/>
                      <w:lang w:eastAsia="zh-CN"/>
                    </w:rPr>
                    <w:t>方可</w:t>
                  </w:r>
                  <w:r>
                    <w:rPr>
                      <w:rFonts w:hint="eastAsia" w:ascii="Times New Roman" w:hAnsi="Times New Roman" w:eastAsia="宋体" w:cs="Times New Roman"/>
                      <w:color w:val="auto"/>
                      <w:sz w:val="21"/>
                      <w:szCs w:val="21"/>
                    </w:rPr>
                    <w:t>开工建设</w:t>
                  </w:r>
                  <w:r>
                    <w:rPr>
                      <w:rFonts w:ascii="Times New Roman" w:hAnsi="Times New Roman" w:eastAsia="宋体" w:cs="Times New Roman"/>
                      <w:color w:val="auto"/>
                      <w:sz w:val="21"/>
                      <w:szCs w:val="21"/>
                    </w:rPr>
                    <w:t>。</w:t>
                  </w:r>
                </w:p>
              </w:tc>
              <w:tc>
                <w:tcPr>
                  <w:tcW w:w="431" w:type="pct"/>
                  <w:tcBorders>
                    <w:top w:val="single" w:color="auto" w:sz="4" w:space="0"/>
                    <w:left w:val="single" w:color="auto" w:sz="4" w:space="0"/>
                    <w:bottom w:val="single" w:color="auto" w:sz="4" w:space="0"/>
                    <w:right w:val="nil"/>
                  </w:tcBorders>
                  <w:vAlign w:val="center"/>
                </w:tcPr>
                <w:p w14:paraId="2C72BED0">
                  <w:pPr>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相符</w:t>
                  </w:r>
                </w:p>
              </w:tc>
            </w:tr>
            <w:tr w14:paraId="21AD495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993" w:type="pct"/>
                  <w:tcBorders>
                    <w:top w:val="single" w:color="auto" w:sz="4" w:space="0"/>
                    <w:left w:val="nil"/>
                    <w:bottom w:val="single" w:color="auto" w:sz="4" w:space="0"/>
                    <w:right w:val="single" w:color="auto" w:sz="4" w:space="0"/>
                  </w:tcBorders>
                  <w:vAlign w:val="center"/>
                </w:tcPr>
                <w:p w14:paraId="7FF5472D">
                  <w:pPr>
                    <w:jc w:val="center"/>
                    <w:rPr>
                      <w:rFonts w:ascii="Times New Roman" w:hAnsi="Times New Roman" w:eastAsia="宋体" w:cs="Times New Roman"/>
                      <w:color w:val="auto"/>
                      <w:kern w:val="0"/>
                      <w:sz w:val="21"/>
                      <w:szCs w:val="21"/>
                    </w:rPr>
                  </w:pPr>
                  <w:r>
                    <w:rPr>
                      <w:rFonts w:ascii="Times New Roman" w:hAnsi="Times New Roman" w:eastAsia="宋体" w:cs="Times New Roman"/>
                      <w:color w:val="auto"/>
                      <w:sz w:val="21"/>
                      <w:szCs w:val="21"/>
                    </w:rPr>
                    <w:t>排放挥发性有机物的生产经营者应当履行防治挥发性有机物污染的义务，根据国家和省相关标准以及防治技术指南，采用挥发性有机物污染控制技术，规范操作规程，组织生产经营管理，确保挥发性有机物的排放符合相应的排放标准。</w:t>
                  </w:r>
                </w:p>
              </w:tc>
              <w:tc>
                <w:tcPr>
                  <w:tcW w:w="1574" w:type="pct"/>
                  <w:tcBorders>
                    <w:top w:val="single" w:color="auto" w:sz="4" w:space="0"/>
                    <w:left w:val="single" w:color="auto" w:sz="4" w:space="0"/>
                    <w:bottom w:val="single" w:color="auto" w:sz="4" w:space="0"/>
                    <w:right w:val="single" w:color="auto" w:sz="4" w:space="0"/>
                  </w:tcBorders>
                  <w:vAlign w:val="center"/>
                </w:tcPr>
                <w:p w14:paraId="4F640EE1">
                  <w:pPr>
                    <w:jc w:val="center"/>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sz w:val="21"/>
                      <w:szCs w:val="21"/>
                      <w:lang w:val="en-US" w:eastAsia="zh-CN"/>
                    </w:rPr>
                    <w:t>本</w:t>
                  </w:r>
                  <w:r>
                    <w:rPr>
                      <w:rFonts w:ascii="Times New Roman" w:hAnsi="Times New Roman" w:eastAsia="宋体" w:cs="Times New Roman"/>
                      <w:color w:val="auto"/>
                      <w:kern w:val="0"/>
                      <w:sz w:val="21"/>
                      <w:szCs w:val="21"/>
                    </w:rPr>
                    <w:t>项目根据国家和省相关标准以及防治技术指南，</w:t>
                  </w:r>
                  <w:r>
                    <w:rPr>
                      <w:rFonts w:ascii="Times New Roman" w:hAnsi="Times New Roman" w:eastAsia="宋体" w:cs="Times New Roman"/>
                      <w:color w:val="auto"/>
                      <w:sz w:val="21"/>
                      <w:szCs w:val="21"/>
                    </w:rPr>
                    <w:t>有机废气</w:t>
                  </w:r>
                  <w:r>
                    <w:rPr>
                      <w:rFonts w:hint="eastAsia" w:ascii="Times New Roman" w:hAnsi="Times New Roman" w:eastAsia="宋体" w:cs="Times New Roman"/>
                      <w:color w:val="auto"/>
                      <w:sz w:val="21"/>
                      <w:szCs w:val="21"/>
                    </w:rPr>
                    <w:t>排放满足相关排放标准要求。</w:t>
                  </w:r>
                </w:p>
              </w:tc>
              <w:tc>
                <w:tcPr>
                  <w:tcW w:w="431" w:type="pct"/>
                  <w:tcBorders>
                    <w:top w:val="single" w:color="auto" w:sz="4" w:space="0"/>
                    <w:left w:val="single" w:color="auto" w:sz="4" w:space="0"/>
                    <w:bottom w:val="single" w:color="auto" w:sz="4" w:space="0"/>
                    <w:right w:val="nil"/>
                  </w:tcBorders>
                  <w:vAlign w:val="center"/>
                </w:tcPr>
                <w:p w14:paraId="0554A208">
                  <w:pPr>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相符</w:t>
                  </w:r>
                </w:p>
              </w:tc>
            </w:tr>
            <w:tr w14:paraId="5A0501B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993" w:type="pct"/>
                  <w:tcBorders>
                    <w:top w:val="single" w:color="auto" w:sz="4" w:space="0"/>
                    <w:left w:val="nil"/>
                    <w:bottom w:val="single" w:color="auto" w:sz="4" w:space="0"/>
                    <w:right w:val="single" w:color="auto" w:sz="4" w:space="0"/>
                  </w:tcBorders>
                  <w:vAlign w:val="center"/>
                </w:tcPr>
                <w:p w14:paraId="1B090715">
                  <w:pPr>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挥发性有机物排放应当在排污许可分类管理名录规定的时限内按照排污许可证载明的要求进行；禁止无证排污或者不按证排污。排污许可证核发机关应当根据挥发性有机物排放标准、总量控制指标、环境影响评价文件以及相关批复要求等，依法合理确定挥发性有机物的排放种类、浓度以及排放量。</w:t>
                  </w:r>
                </w:p>
              </w:tc>
              <w:tc>
                <w:tcPr>
                  <w:tcW w:w="1574" w:type="pct"/>
                  <w:tcBorders>
                    <w:top w:val="single" w:color="auto" w:sz="4" w:space="0"/>
                    <w:left w:val="single" w:color="auto" w:sz="4" w:space="0"/>
                    <w:bottom w:val="single" w:color="auto" w:sz="4" w:space="0"/>
                    <w:right w:val="single" w:color="auto" w:sz="4" w:space="0"/>
                  </w:tcBorders>
                  <w:vAlign w:val="center"/>
                </w:tcPr>
                <w:p w14:paraId="4436E698">
                  <w:pPr>
                    <w:jc w:val="center"/>
                    <w:rPr>
                      <w:rFonts w:ascii="Times New Roman" w:hAnsi="Times New Roman" w:eastAsia="宋体" w:cs="Times New Roman"/>
                      <w:snapToGrid w:val="0"/>
                      <w:color w:val="auto"/>
                      <w:kern w:val="0"/>
                      <w:sz w:val="21"/>
                      <w:szCs w:val="21"/>
                    </w:rPr>
                  </w:pPr>
                  <w:r>
                    <w:rPr>
                      <w:rFonts w:hint="eastAsia" w:ascii="Times New Roman" w:hAnsi="Times New Roman" w:eastAsia="宋体" w:cs="Times New Roman"/>
                      <w:color w:val="auto"/>
                      <w:sz w:val="21"/>
                      <w:szCs w:val="21"/>
                      <w:lang w:val="en-US" w:eastAsia="zh-CN"/>
                    </w:rPr>
                    <w:t>本</w:t>
                  </w:r>
                  <w:r>
                    <w:rPr>
                      <w:rFonts w:ascii="Times New Roman" w:hAnsi="Times New Roman" w:eastAsia="宋体" w:cs="Times New Roman"/>
                      <w:color w:val="auto"/>
                      <w:sz w:val="21"/>
                      <w:szCs w:val="21"/>
                    </w:rPr>
                    <w:t>项目</w:t>
                  </w:r>
                  <w:r>
                    <w:rPr>
                      <w:rFonts w:ascii="Times New Roman" w:hAnsi="Times New Roman" w:eastAsia="宋体" w:cs="Times New Roman"/>
                      <w:color w:val="auto"/>
                      <w:kern w:val="0"/>
                      <w:sz w:val="21"/>
                      <w:szCs w:val="21"/>
                    </w:rPr>
                    <w:t>建成后挥发性有机物排放将在排污许可分类管理名录规定的时限内按照</w:t>
                  </w:r>
                  <w:r>
                    <w:rPr>
                      <w:rFonts w:hint="eastAsia" w:ascii="Times New Roman" w:hAnsi="Times New Roman" w:eastAsia="宋体" w:cs="Times New Roman"/>
                      <w:color w:val="auto"/>
                      <w:kern w:val="0"/>
                      <w:sz w:val="21"/>
                      <w:szCs w:val="21"/>
                    </w:rPr>
                    <w:t>相关</w:t>
                  </w:r>
                  <w:r>
                    <w:rPr>
                      <w:rFonts w:ascii="Times New Roman" w:hAnsi="Times New Roman" w:eastAsia="宋体" w:cs="Times New Roman"/>
                      <w:color w:val="auto"/>
                      <w:kern w:val="0"/>
                      <w:sz w:val="21"/>
                      <w:szCs w:val="21"/>
                    </w:rPr>
                    <w:t>要求进行。</w:t>
                  </w:r>
                </w:p>
              </w:tc>
              <w:tc>
                <w:tcPr>
                  <w:tcW w:w="431" w:type="pct"/>
                  <w:tcBorders>
                    <w:top w:val="single" w:color="auto" w:sz="4" w:space="0"/>
                    <w:left w:val="single" w:color="auto" w:sz="4" w:space="0"/>
                    <w:bottom w:val="single" w:color="auto" w:sz="4" w:space="0"/>
                    <w:right w:val="nil"/>
                  </w:tcBorders>
                  <w:vAlign w:val="center"/>
                </w:tcPr>
                <w:p w14:paraId="3950424E">
                  <w:pPr>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相符</w:t>
                  </w:r>
                </w:p>
              </w:tc>
            </w:tr>
            <w:tr w14:paraId="6277D98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993" w:type="pct"/>
                  <w:tcBorders>
                    <w:top w:val="single" w:color="auto" w:sz="4" w:space="0"/>
                    <w:left w:val="nil"/>
                    <w:bottom w:val="single" w:color="auto" w:sz="4" w:space="0"/>
                    <w:right w:val="single" w:color="auto" w:sz="4" w:space="0"/>
                  </w:tcBorders>
                  <w:vAlign w:val="center"/>
                </w:tcPr>
                <w:p w14:paraId="16770C19">
                  <w:pPr>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挥发性有机物排放单位应当按照有关规定和监测规范自行或者委托有关监测机构对其排放的挥发性有机物进行监测，记录、保存监测数据，并按照规定向社会公开。监测数据应当真实、可靠，保存时间不得少于3年。</w:t>
                  </w:r>
                </w:p>
              </w:tc>
              <w:tc>
                <w:tcPr>
                  <w:tcW w:w="1574" w:type="pct"/>
                  <w:tcBorders>
                    <w:top w:val="single" w:color="auto" w:sz="4" w:space="0"/>
                    <w:left w:val="single" w:color="auto" w:sz="4" w:space="0"/>
                    <w:bottom w:val="single" w:color="auto" w:sz="4" w:space="0"/>
                    <w:right w:val="single" w:color="auto" w:sz="4" w:space="0"/>
                  </w:tcBorders>
                  <w:vAlign w:val="center"/>
                </w:tcPr>
                <w:p w14:paraId="12FD9A9E">
                  <w:pPr>
                    <w:jc w:val="center"/>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sz w:val="21"/>
                      <w:szCs w:val="21"/>
                      <w:lang w:val="en-US" w:eastAsia="zh-CN"/>
                    </w:rPr>
                    <w:t>本</w:t>
                  </w:r>
                  <w:r>
                    <w:rPr>
                      <w:rFonts w:ascii="Times New Roman" w:hAnsi="Times New Roman" w:eastAsia="宋体" w:cs="Times New Roman"/>
                      <w:color w:val="auto"/>
                      <w:kern w:val="0"/>
                      <w:sz w:val="21"/>
                      <w:szCs w:val="21"/>
                    </w:rPr>
                    <w:t>项目制定了运营期</w:t>
                  </w:r>
                  <w:r>
                    <w:rPr>
                      <w:rFonts w:hint="eastAsia" w:ascii="Times New Roman" w:hAnsi="Times New Roman" w:eastAsia="宋体" w:cs="Times New Roman"/>
                      <w:color w:val="auto"/>
                      <w:kern w:val="0"/>
                      <w:sz w:val="21"/>
                      <w:szCs w:val="21"/>
                    </w:rPr>
                    <w:t>自行</w:t>
                  </w:r>
                  <w:r>
                    <w:rPr>
                      <w:rFonts w:ascii="Times New Roman" w:hAnsi="Times New Roman" w:eastAsia="宋体" w:cs="Times New Roman"/>
                      <w:color w:val="auto"/>
                      <w:kern w:val="0"/>
                      <w:sz w:val="21"/>
                      <w:szCs w:val="21"/>
                    </w:rPr>
                    <w:t>监测</w:t>
                  </w:r>
                  <w:r>
                    <w:rPr>
                      <w:rFonts w:hint="eastAsia" w:ascii="Times New Roman" w:hAnsi="Times New Roman" w:eastAsia="宋体" w:cs="Times New Roman"/>
                      <w:color w:val="auto"/>
                      <w:kern w:val="0"/>
                      <w:sz w:val="21"/>
                      <w:szCs w:val="21"/>
                    </w:rPr>
                    <w:t>计划</w:t>
                  </w:r>
                  <w:r>
                    <w:rPr>
                      <w:rFonts w:ascii="Times New Roman" w:hAnsi="Times New Roman" w:eastAsia="宋体" w:cs="Times New Roman"/>
                      <w:color w:val="auto"/>
                      <w:kern w:val="0"/>
                      <w:sz w:val="21"/>
                      <w:szCs w:val="21"/>
                    </w:rPr>
                    <w:t>，委托监测机构进行例行监测，</w:t>
                  </w:r>
                  <w:r>
                    <w:rPr>
                      <w:rFonts w:hint="eastAsia" w:cs="Times New Roman"/>
                      <w:color w:val="auto"/>
                      <w:kern w:val="0"/>
                      <w:sz w:val="21"/>
                      <w:szCs w:val="21"/>
                      <w:lang w:eastAsia="zh-CN"/>
                    </w:rPr>
                    <w:t>并</w:t>
                  </w:r>
                  <w:r>
                    <w:rPr>
                      <w:rFonts w:ascii="Times New Roman" w:hAnsi="Times New Roman" w:eastAsia="宋体" w:cs="Times New Roman"/>
                      <w:color w:val="auto"/>
                      <w:kern w:val="0"/>
                      <w:sz w:val="21"/>
                      <w:szCs w:val="21"/>
                    </w:rPr>
                    <w:t>按照规定向社会公开</w:t>
                  </w:r>
                  <w:r>
                    <w:rPr>
                      <w:rFonts w:hint="eastAsia" w:ascii="Times New Roman" w:hAnsi="Times New Roman" w:eastAsia="宋体" w:cs="Times New Roman"/>
                      <w:color w:val="auto"/>
                      <w:kern w:val="0"/>
                      <w:sz w:val="21"/>
                      <w:szCs w:val="21"/>
                    </w:rPr>
                    <w:t>，</w:t>
                  </w:r>
                  <w:r>
                    <w:rPr>
                      <w:rFonts w:ascii="Times New Roman" w:hAnsi="Times New Roman" w:eastAsia="宋体" w:cs="Times New Roman"/>
                      <w:color w:val="auto"/>
                      <w:sz w:val="21"/>
                      <w:szCs w:val="21"/>
                    </w:rPr>
                    <w:t>记录、保存监测数据不少于3年</w:t>
                  </w:r>
                  <w:r>
                    <w:rPr>
                      <w:rFonts w:ascii="Times New Roman" w:hAnsi="Times New Roman" w:eastAsia="宋体" w:cs="Times New Roman"/>
                      <w:color w:val="auto"/>
                      <w:kern w:val="0"/>
                      <w:sz w:val="21"/>
                      <w:szCs w:val="21"/>
                    </w:rPr>
                    <w:t>。</w:t>
                  </w:r>
                </w:p>
              </w:tc>
              <w:tc>
                <w:tcPr>
                  <w:tcW w:w="431" w:type="pct"/>
                  <w:tcBorders>
                    <w:top w:val="single" w:color="auto" w:sz="4" w:space="0"/>
                    <w:left w:val="single" w:color="auto" w:sz="4" w:space="0"/>
                    <w:bottom w:val="single" w:color="auto" w:sz="4" w:space="0"/>
                    <w:right w:val="nil"/>
                  </w:tcBorders>
                  <w:vAlign w:val="center"/>
                </w:tcPr>
                <w:p w14:paraId="3E2AF2FD">
                  <w:pPr>
                    <w:jc w:val="center"/>
                    <w:rPr>
                      <w:rFonts w:ascii="Times New Roman" w:hAnsi="Times New Roman" w:eastAsia="宋体" w:cs="Times New Roman"/>
                      <w:color w:val="auto"/>
                      <w:kern w:val="0"/>
                      <w:sz w:val="21"/>
                      <w:szCs w:val="21"/>
                    </w:rPr>
                  </w:pPr>
                  <w:r>
                    <w:rPr>
                      <w:rFonts w:ascii="Times New Roman" w:hAnsi="Times New Roman" w:eastAsia="宋体" w:cs="Times New Roman"/>
                      <w:color w:val="auto"/>
                      <w:sz w:val="21"/>
                      <w:szCs w:val="21"/>
                    </w:rPr>
                    <w:t>相符</w:t>
                  </w:r>
                </w:p>
              </w:tc>
            </w:tr>
            <w:tr w14:paraId="22CE514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993" w:type="pct"/>
                  <w:tcBorders>
                    <w:top w:val="single" w:color="auto" w:sz="4" w:space="0"/>
                    <w:left w:val="nil"/>
                    <w:bottom w:val="single" w:color="auto" w:sz="4" w:space="0"/>
                    <w:right w:val="single" w:color="auto" w:sz="4" w:space="0"/>
                  </w:tcBorders>
                  <w:vAlign w:val="center"/>
                </w:tcPr>
                <w:p w14:paraId="7630CBD9">
                  <w:pPr>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挥发性有机物排放重点单位应当按照有关规定和监测规范安装挥发性有机物自动监测设备，与环境保护主管部门的监控系统联网，保证其正常运行和数据传输，并按照规定如实向社会公开相关数据和信息，接受社会监督。挥发性有机物排放重点单位名录由环境保护主管部门定期公布。</w:t>
                  </w:r>
                </w:p>
              </w:tc>
              <w:tc>
                <w:tcPr>
                  <w:tcW w:w="1574" w:type="pct"/>
                  <w:tcBorders>
                    <w:top w:val="single" w:color="auto" w:sz="4" w:space="0"/>
                    <w:left w:val="single" w:color="auto" w:sz="4" w:space="0"/>
                    <w:bottom w:val="single" w:color="auto" w:sz="4" w:space="0"/>
                    <w:right w:val="single" w:color="auto" w:sz="4" w:space="0"/>
                  </w:tcBorders>
                  <w:vAlign w:val="center"/>
                </w:tcPr>
                <w:p w14:paraId="0CAE758A">
                  <w:pPr>
                    <w:jc w:val="center"/>
                    <w:rPr>
                      <w:rFonts w:ascii="Times New Roman" w:hAnsi="Times New Roman" w:eastAsia="宋体" w:cs="Times New Roman"/>
                      <w:color w:val="auto"/>
                      <w:kern w:val="0"/>
                      <w:sz w:val="21"/>
                      <w:szCs w:val="21"/>
                    </w:rPr>
                  </w:pPr>
                  <w:r>
                    <w:rPr>
                      <w:rFonts w:ascii="Times New Roman" w:hAnsi="Times New Roman" w:eastAsia="宋体" w:cs="Times New Roman"/>
                      <w:color w:val="auto"/>
                      <w:kern w:val="0"/>
                      <w:sz w:val="21"/>
                      <w:szCs w:val="21"/>
                    </w:rPr>
                    <w:t>本企业不属于挥发性有机物排放重点单位。</w:t>
                  </w:r>
                </w:p>
              </w:tc>
              <w:tc>
                <w:tcPr>
                  <w:tcW w:w="431" w:type="pct"/>
                  <w:tcBorders>
                    <w:top w:val="single" w:color="auto" w:sz="4" w:space="0"/>
                    <w:left w:val="single" w:color="auto" w:sz="4" w:space="0"/>
                    <w:bottom w:val="single" w:color="auto" w:sz="4" w:space="0"/>
                    <w:right w:val="nil"/>
                  </w:tcBorders>
                  <w:vAlign w:val="center"/>
                </w:tcPr>
                <w:p w14:paraId="19FB5FDD">
                  <w:pPr>
                    <w:jc w:val="center"/>
                    <w:rPr>
                      <w:rFonts w:ascii="Times New Roman" w:hAnsi="Times New Roman" w:eastAsia="宋体" w:cs="Times New Roman"/>
                      <w:color w:val="auto"/>
                      <w:kern w:val="0"/>
                      <w:sz w:val="21"/>
                      <w:szCs w:val="21"/>
                    </w:rPr>
                  </w:pPr>
                  <w:r>
                    <w:rPr>
                      <w:rFonts w:ascii="Times New Roman" w:hAnsi="Times New Roman" w:eastAsia="宋体" w:cs="Times New Roman"/>
                      <w:color w:val="auto"/>
                      <w:sz w:val="21"/>
                      <w:szCs w:val="21"/>
                    </w:rPr>
                    <w:t>相符</w:t>
                  </w:r>
                </w:p>
              </w:tc>
            </w:tr>
            <w:tr w14:paraId="0C3B37D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993" w:type="pct"/>
                  <w:tcBorders>
                    <w:top w:val="single" w:color="auto" w:sz="4" w:space="0"/>
                    <w:left w:val="nil"/>
                    <w:bottom w:val="single" w:color="auto" w:sz="12" w:space="0"/>
                    <w:right w:val="single" w:color="auto" w:sz="4" w:space="0"/>
                  </w:tcBorders>
                  <w:vAlign w:val="center"/>
                </w:tcPr>
                <w:p w14:paraId="435A936E">
                  <w:pPr>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产生挥发性有机物废气的生产经营活动应当在密闭空间或者密闭设备中进行。生产场所、生产设备应当按照环境保护和安全生产等要求设计、安装和有效运行挥发性有机物回收或者净化设施；固体废物、废水、废气处理系统产生的废气应当收集和处理；含有挥发性有机物的物料应当密闭储存、运输、装卸，禁止敞口和露天放置。无法在密闭空间进行的生产经营活动应当采取有效措施，减少挥发性有机物排放量。</w:t>
                  </w:r>
                </w:p>
              </w:tc>
              <w:tc>
                <w:tcPr>
                  <w:tcW w:w="1574" w:type="pct"/>
                  <w:tcBorders>
                    <w:top w:val="single" w:color="auto" w:sz="4" w:space="0"/>
                    <w:left w:val="single" w:color="auto" w:sz="4" w:space="0"/>
                    <w:bottom w:val="single" w:color="auto" w:sz="12" w:space="0"/>
                    <w:right w:val="single" w:color="auto" w:sz="4" w:space="0"/>
                  </w:tcBorders>
                  <w:vAlign w:val="center"/>
                </w:tcPr>
                <w:p w14:paraId="65A7D15C">
                  <w:pPr>
                    <w:adjustRightInd w:val="0"/>
                    <w:snapToGrid w:val="0"/>
                    <w:jc w:val="center"/>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sz w:val="21"/>
                      <w:szCs w:val="21"/>
                    </w:rPr>
                    <w:t>本项目所用物料及危险废物均采用密闭包装储存，原料储存、转移和输送过程不会产生有机废气。</w:t>
                  </w:r>
                </w:p>
              </w:tc>
              <w:tc>
                <w:tcPr>
                  <w:tcW w:w="431" w:type="pct"/>
                  <w:tcBorders>
                    <w:top w:val="single" w:color="auto" w:sz="4" w:space="0"/>
                    <w:left w:val="single" w:color="auto" w:sz="4" w:space="0"/>
                    <w:bottom w:val="single" w:color="auto" w:sz="12" w:space="0"/>
                    <w:right w:val="nil"/>
                  </w:tcBorders>
                  <w:vAlign w:val="center"/>
                </w:tcPr>
                <w:p w14:paraId="29A62951">
                  <w:pPr>
                    <w:jc w:val="center"/>
                    <w:rPr>
                      <w:rFonts w:ascii="Times New Roman" w:hAnsi="Times New Roman" w:eastAsia="宋体" w:cs="Times New Roman"/>
                      <w:color w:val="auto"/>
                      <w:kern w:val="0"/>
                      <w:sz w:val="21"/>
                      <w:szCs w:val="21"/>
                    </w:rPr>
                  </w:pPr>
                  <w:r>
                    <w:rPr>
                      <w:rFonts w:ascii="Times New Roman" w:hAnsi="Times New Roman" w:eastAsia="宋体" w:cs="Times New Roman"/>
                      <w:color w:val="auto"/>
                      <w:sz w:val="21"/>
                      <w:szCs w:val="21"/>
                    </w:rPr>
                    <w:t>相符</w:t>
                  </w:r>
                </w:p>
              </w:tc>
            </w:tr>
          </w:tbl>
          <w:p w14:paraId="157C0695">
            <w:pPr>
              <w:adjustRightInd w:val="0"/>
              <w:snapToGrid w:val="0"/>
              <w:spacing w:line="360" w:lineRule="auto"/>
              <w:ind w:firstLine="480"/>
              <w:rPr>
                <w:rFonts w:ascii="Times New Roman" w:hAnsi="Times New Roman" w:eastAsia="宋体" w:cs="Times New Roman"/>
                <w:color w:val="auto"/>
                <w:sz w:val="24"/>
                <w:szCs w:val="24"/>
              </w:rPr>
            </w:pPr>
            <w:r>
              <w:rPr>
                <w:rFonts w:ascii="Times New Roman" w:hAnsi="Times New Roman" w:eastAsia="宋体" w:cs="Times New Roman"/>
                <w:color w:val="auto"/>
                <w:sz w:val="24"/>
                <w:szCs w:val="24"/>
              </w:rPr>
              <w:t>由</w:t>
            </w:r>
            <w:r>
              <w:rPr>
                <w:rFonts w:hint="eastAsia" w:ascii="Times New Roman" w:hAnsi="Times New Roman" w:eastAsia="宋体" w:cs="Times New Roman"/>
                <w:color w:val="auto"/>
                <w:sz w:val="24"/>
                <w:szCs w:val="24"/>
              </w:rPr>
              <w:t>上表</w:t>
            </w:r>
            <w:r>
              <w:rPr>
                <w:rFonts w:ascii="Times New Roman" w:hAnsi="Times New Roman" w:eastAsia="宋体" w:cs="Times New Roman"/>
                <w:color w:val="auto"/>
                <w:sz w:val="24"/>
                <w:szCs w:val="24"/>
              </w:rPr>
              <w:t>可知，本项目的建设基本符合《江苏省挥发性有机物污染防治管理办法》（省政府令第119号）的相关规定。</w:t>
            </w:r>
          </w:p>
          <w:p w14:paraId="7635C8E7">
            <w:pPr>
              <w:spacing w:line="360" w:lineRule="auto"/>
              <w:ind w:firstLine="480"/>
              <w:rPr>
                <w:rFonts w:ascii="Times New Roman" w:hAnsi="Times New Roman" w:eastAsia="宋体" w:cs="Times New Roman"/>
                <w:b/>
                <w:bCs/>
                <w:color w:val="auto"/>
                <w:kern w:val="0"/>
                <w:sz w:val="24"/>
                <w:szCs w:val="24"/>
              </w:rPr>
            </w:pPr>
            <w:r>
              <w:rPr>
                <w:rFonts w:hint="eastAsia" w:cs="Times New Roman"/>
                <w:b/>
                <w:bCs/>
                <w:color w:val="auto"/>
                <w:kern w:val="0"/>
                <w:sz w:val="24"/>
                <w:szCs w:val="24"/>
                <w:lang w:val="en-US" w:eastAsia="zh-CN"/>
              </w:rPr>
              <w:t>②</w:t>
            </w:r>
            <w:r>
              <w:rPr>
                <w:rFonts w:hint="eastAsia" w:ascii="Times New Roman" w:hAnsi="Times New Roman" w:eastAsia="宋体" w:cs="Times New Roman"/>
                <w:b/>
                <w:bCs/>
                <w:color w:val="auto"/>
                <w:kern w:val="0"/>
                <w:sz w:val="24"/>
                <w:szCs w:val="24"/>
              </w:rPr>
              <w:t>与《关于印发&lt;深入打好重污染天气消除、臭氧污染防治和柴油货车污染治理攻坚战行动方案&gt;的通知》(环大气〔2022〕68号)相符性分析</w:t>
            </w:r>
          </w:p>
          <w:p w14:paraId="2809C6AF">
            <w:pPr>
              <w:widowControl w:val="0"/>
              <w:adjustRightInd/>
              <w:snapToGrid/>
              <w:spacing w:line="240" w:lineRule="auto"/>
              <w:ind w:firstLine="0" w:firstLineChars="0"/>
              <w:jc w:val="center"/>
              <w:textAlignment w:val="auto"/>
              <w:rPr>
                <w:rFonts w:hint="default" w:ascii="Times New Roman" w:hAnsi="Times New Roman" w:eastAsia="宋体" w:cs="Times New Roman"/>
                <w:b/>
                <w:color w:val="auto"/>
                <w:spacing w:val="-10"/>
                <w:kern w:val="0"/>
                <w:sz w:val="24"/>
                <w:szCs w:val="24"/>
                <w:lang w:val="en-US" w:eastAsia="zh-CN" w:bidi="ar"/>
              </w:rPr>
            </w:pPr>
            <w:r>
              <w:rPr>
                <w:rFonts w:hint="default" w:ascii="Times New Roman" w:hAnsi="Times New Roman" w:eastAsia="宋体" w:cs="Times New Roman"/>
                <w:b/>
                <w:color w:val="auto"/>
                <w:spacing w:val="-10"/>
                <w:kern w:val="0"/>
                <w:sz w:val="24"/>
                <w:szCs w:val="24"/>
                <w:lang w:val="en-US" w:eastAsia="zh-CN" w:bidi="ar"/>
              </w:rPr>
              <w:t>表1-</w:t>
            </w:r>
            <w:r>
              <w:rPr>
                <w:rFonts w:hint="eastAsia" w:cs="Times New Roman"/>
                <w:b/>
                <w:color w:val="auto"/>
                <w:spacing w:val="-10"/>
                <w:kern w:val="0"/>
                <w:sz w:val="24"/>
                <w:szCs w:val="24"/>
                <w:lang w:val="en-US" w:eastAsia="zh-CN" w:bidi="ar"/>
              </w:rPr>
              <w:t>6</w:t>
            </w:r>
            <w:r>
              <w:rPr>
                <w:rFonts w:hint="eastAsia" w:ascii="Times New Roman" w:hAnsi="Times New Roman" w:eastAsia="宋体" w:cs="Times New Roman"/>
                <w:b/>
                <w:color w:val="auto"/>
                <w:spacing w:val="-10"/>
                <w:kern w:val="0"/>
                <w:sz w:val="24"/>
                <w:szCs w:val="24"/>
                <w:lang w:val="en-US" w:eastAsia="zh-CN" w:bidi="ar"/>
              </w:rPr>
              <w:t xml:space="preserve"> </w:t>
            </w:r>
            <w:r>
              <w:rPr>
                <w:rFonts w:hint="default" w:ascii="Times New Roman" w:hAnsi="Times New Roman" w:eastAsia="宋体" w:cs="Times New Roman"/>
                <w:b/>
                <w:color w:val="auto"/>
                <w:spacing w:val="-10"/>
                <w:kern w:val="0"/>
                <w:sz w:val="24"/>
                <w:szCs w:val="24"/>
                <w:lang w:val="en-US" w:eastAsia="zh-CN" w:bidi="ar"/>
              </w:rPr>
              <w:t>本项目与</w:t>
            </w:r>
            <w:r>
              <w:rPr>
                <w:rFonts w:hint="default" w:ascii="Times New Roman" w:hAnsi="Times New Roman" w:eastAsia="宋体" w:cs="Times New Roman"/>
                <w:b/>
                <w:bCs/>
                <w:color w:val="auto"/>
                <w:spacing w:val="-10"/>
                <w:kern w:val="0"/>
                <w:sz w:val="24"/>
                <w:szCs w:val="24"/>
                <w:lang w:val="en-US" w:eastAsia="zh-CN" w:bidi="ar"/>
              </w:rPr>
              <w:t>环大气〔2022〕68号文</w:t>
            </w:r>
            <w:r>
              <w:rPr>
                <w:rFonts w:hint="default" w:ascii="Times New Roman" w:hAnsi="Times New Roman" w:eastAsia="宋体" w:cs="Times New Roman"/>
                <w:b/>
                <w:color w:val="auto"/>
                <w:spacing w:val="-10"/>
                <w:kern w:val="0"/>
                <w:sz w:val="24"/>
                <w:szCs w:val="24"/>
                <w:lang w:val="en-US" w:eastAsia="zh-CN" w:bidi="ar"/>
              </w:rPr>
              <w:t>相符性分析</w:t>
            </w:r>
            <w:r>
              <w:rPr>
                <w:rFonts w:hint="eastAsia" w:ascii="Times New Roman" w:hAnsi="Times New Roman" w:eastAsia="宋体" w:cs="Times New Roman"/>
                <w:b/>
                <w:color w:val="auto"/>
                <w:spacing w:val="-10"/>
                <w:kern w:val="0"/>
                <w:sz w:val="24"/>
                <w:szCs w:val="24"/>
                <w:lang w:val="en-US" w:eastAsia="zh-CN" w:bidi="ar"/>
              </w:rPr>
              <w:t>表</w:t>
            </w:r>
          </w:p>
          <w:tbl>
            <w:tblPr>
              <w:tblStyle w:val="26"/>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734"/>
              <w:gridCol w:w="2716"/>
            </w:tblGrid>
            <w:tr w14:paraId="2B66B1B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177" w:type="pct"/>
                  <w:tcBorders>
                    <w:tl2br w:val="nil"/>
                    <w:tr2bl w:val="nil"/>
                  </w:tcBorders>
                  <w:vAlign w:val="center"/>
                </w:tcPr>
                <w:p w14:paraId="210D2058">
                  <w:pPr>
                    <w:bidi/>
                    <w:jc w:val="center"/>
                    <w:rPr>
                      <w:rFonts w:ascii="Times New Roman" w:hAnsi="Times New Roman" w:eastAsia="宋体" w:cs="Times New Roman"/>
                      <w:b/>
                      <w:color w:val="auto"/>
                      <w:sz w:val="21"/>
                      <w:szCs w:val="21"/>
                    </w:rPr>
                  </w:pPr>
                  <w:r>
                    <w:rPr>
                      <w:rFonts w:ascii="Times New Roman" w:hAnsi="Times New Roman" w:eastAsia="宋体" w:cs="Times New Roman"/>
                      <w:b/>
                      <w:color w:val="auto"/>
                      <w:sz w:val="21"/>
                      <w:szCs w:val="21"/>
                    </w:rPr>
                    <w:t>文件</w:t>
                  </w:r>
                  <w:r>
                    <w:rPr>
                      <w:rFonts w:hint="eastAsia" w:ascii="Times New Roman" w:hAnsi="Times New Roman" w:eastAsia="宋体" w:cs="Times New Roman"/>
                      <w:b/>
                      <w:color w:val="auto"/>
                      <w:sz w:val="21"/>
                      <w:szCs w:val="21"/>
                    </w:rPr>
                    <w:t>中相关</w:t>
                  </w:r>
                  <w:r>
                    <w:rPr>
                      <w:rFonts w:ascii="Times New Roman" w:hAnsi="Times New Roman" w:eastAsia="宋体" w:cs="Times New Roman"/>
                      <w:b/>
                      <w:color w:val="auto"/>
                      <w:sz w:val="21"/>
                      <w:szCs w:val="21"/>
                    </w:rPr>
                    <w:t>要求</w:t>
                  </w:r>
                </w:p>
              </w:tc>
              <w:tc>
                <w:tcPr>
                  <w:tcW w:w="1822" w:type="pct"/>
                  <w:tcBorders>
                    <w:tl2br w:val="nil"/>
                    <w:tr2bl w:val="nil"/>
                  </w:tcBorders>
                  <w:vAlign w:val="center"/>
                </w:tcPr>
                <w:p w14:paraId="6413EE16">
                  <w:pPr>
                    <w:bidi/>
                    <w:jc w:val="center"/>
                    <w:rPr>
                      <w:rFonts w:ascii="Times New Roman" w:hAnsi="Times New Roman" w:eastAsia="宋体" w:cs="Times New Roman"/>
                      <w:b/>
                      <w:color w:val="auto"/>
                      <w:sz w:val="21"/>
                      <w:szCs w:val="21"/>
                    </w:rPr>
                  </w:pPr>
                  <w:r>
                    <w:rPr>
                      <w:rFonts w:ascii="Times New Roman" w:hAnsi="Times New Roman" w:eastAsia="宋体" w:cs="Times New Roman"/>
                      <w:b/>
                      <w:color w:val="auto"/>
                      <w:sz w:val="21"/>
                      <w:szCs w:val="21"/>
                    </w:rPr>
                    <w:t>本项目情况</w:t>
                  </w:r>
                </w:p>
              </w:tc>
            </w:tr>
            <w:tr w14:paraId="53C9EAF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177" w:type="pct"/>
                  <w:tcBorders>
                    <w:tl2br w:val="nil"/>
                    <w:tr2bl w:val="nil"/>
                  </w:tcBorders>
                  <w:vAlign w:val="center"/>
                </w:tcPr>
                <w:p w14:paraId="04426F93">
                  <w:pPr>
                    <w:bidi/>
                    <w:jc w:val="center"/>
                    <w:rPr>
                      <w:rFonts w:ascii="Times New Roman" w:hAnsi="Times New Roman" w:eastAsia="宋体" w:cs="Times New Roman"/>
                      <w:b/>
                      <w:color w:val="auto"/>
                      <w:sz w:val="21"/>
                      <w:szCs w:val="21"/>
                    </w:rPr>
                  </w:pPr>
                  <w:r>
                    <w:rPr>
                      <w:rFonts w:ascii="Times New Roman" w:hAnsi="Times New Roman" w:eastAsia="宋体" w:cs="Times New Roman"/>
                      <w:b/>
                      <w:bCs/>
                      <w:color w:val="auto"/>
                      <w:sz w:val="21"/>
                      <w:szCs w:val="21"/>
                    </w:rPr>
                    <w:t>三、推进重点工程</w:t>
                  </w:r>
                </w:p>
              </w:tc>
              <w:tc>
                <w:tcPr>
                  <w:tcW w:w="1822" w:type="pct"/>
                  <w:vMerge w:val="restart"/>
                  <w:tcBorders>
                    <w:tl2br w:val="nil"/>
                    <w:tr2bl w:val="nil"/>
                  </w:tcBorders>
                  <w:vAlign w:val="center"/>
                </w:tcPr>
                <w:p w14:paraId="49D1D5D6">
                  <w:pPr>
                    <w:bidi/>
                    <w:jc w:val="center"/>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本项目不属于高耗能、高排放、低水平项目。本项目所用物料及危险废物均采用密闭包装储存，原料储存、转移和输送过程不会产生有机废气。本项目制粒粉尘经布袋除尘器处理后通过15m高排气筒排放（DA001），配料粉尘经移动式布袋除尘器处理后无组织达标排放，切削液废气、危废贮存废气、废水处理废气量极小，无组织达标排放</w:t>
                  </w:r>
                  <w:r>
                    <w:rPr>
                      <w:rFonts w:hint="eastAsia" w:cs="Times New Roman"/>
                      <w:color w:val="auto"/>
                      <w:kern w:val="0"/>
                      <w:sz w:val="21"/>
                      <w:szCs w:val="21"/>
                      <w:lang w:eastAsia="zh-CN"/>
                    </w:rPr>
                    <w:t>，</w:t>
                  </w:r>
                  <w:r>
                    <w:rPr>
                      <w:rFonts w:hint="eastAsia" w:ascii="Times New Roman" w:hAnsi="Times New Roman" w:eastAsia="宋体" w:cs="Times New Roman"/>
                      <w:color w:val="auto"/>
                      <w:kern w:val="0"/>
                      <w:sz w:val="21"/>
                      <w:szCs w:val="21"/>
                    </w:rPr>
                    <w:t>废气排放满足《大气污染物综合排放标准》（DB32/4041-2021）</w:t>
                  </w:r>
                  <w:r>
                    <w:rPr>
                      <w:rFonts w:hint="eastAsia"/>
                      <w:color w:val="auto"/>
                      <w:lang w:eastAsia="zh-CN"/>
                    </w:rPr>
                    <w:t>、《恶臭污染物排放标准》（GB14554-93）</w:t>
                  </w:r>
                  <w:r>
                    <w:rPr>
                      <w:rFonts w:hint="eastAsia" w:ascii="Times New Roman" w:hAnsi="Times New Roman" w:eastAsia="宋体" w:cs="Times New Roman"/>
                      <w:color w:val="auto"/>
                      <w:kern w:val="0"/>
                      <w:sz w:val="21"/>
                      <w:szCs w:val="21"/>
                    </w:rPr>
                    <w:t>中相关要求。</w:t>
                  </w:r>
                </w:p>
              </w:tc>
            </w:tr>
            <w:tr w14:paraId="392BA8B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177" w:type="pct"/>
                  <w:tcBorders>
                    <w:tl2br w:val="nil"/>
                    <w:tr2bl w:val="nil"/>
                  </w:tcBorders>
                  <w:vAlign w:val="center"/>
                </w:tcPr>
                <w:p w14:paraId="1F81FAE1">
                  <w:pPr>
                    <w:bidi/>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统筹大气污染防治与“双碳”目标要求，开展大气减污降碳协同增效行动，将标志性战役任务措施与降碳措施一体谋划、一体推进，优化调整产业、能源、运输结构，从源头减少大气污染物和碳排放。促进产业绿色转型升级，坚决遏制高耗能、高排放、低水平项目盲目发展，开展传统产业集群升级改造。推动能源清洁低碳转型，开展分散、低效煤炭综合治理。构建绿色交通运输体系，加快推进“公转铁”“公转水”，提高机动车船和非道路移动机械绿色低碳水平。强化挥发性有机物（VOCs）、氮氧化物等多污染物协同减排，以石化、化工、涂装、制药、包装印刷和油品储运销等为重点，加强VOCs源头、过程、末端全流程治理；持续推进钢铁行业超低排放改造，出台焦化、水泥行业超低排放改造方案；开展低效治理设施全面提升改造工程。</w:t>
                  </w:r>
                </w:p>
              </w:tc>
              <w:tc>
                <w:tcPr>
                  <w:tcW w:w="1822" w:type="pct"/>
                  <w:vMerge w:val="continue"/>
                  <w:tcBorders>
                    <w:tl2br w:val="nil"/>
                    <w:tr2bl w:val="nil"/>
                  </w:tcBorders>
                  <w:vAlign w:val="center"/>
                </w:tcPr>
                <w:p w14:paraId="3EB75808">
                  <w:pPr>
                    <w:bidi/>
                    <w:jc w:val="center"/>
                    <w:rPr>
                      <w:rFonts w:ascii="Times New Roman" w:hAnsi="Times New Roman" w:eastAsia="宋体" w:cs="Times New Roman"/>
                      <w:color w:val="auto"/>
                      <w:kern w:val="0"/>
                      <w:sz w:val="21"/>
                      <w:szCs w:val="21"/>
                    </w:rPr>
                  </w:pPr>
                </w:p>
              </w:tc>
            </w:tr>
            <w:tr w14:paraId="192FB33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177" w:type="pct"/>
                  <w:tcBorders>
                    <w:tl2br w:val="nil"/>
                    <w:tr2bl w:val="nil"/>
                  </w:tcBorders>
                  <w:vAlign w:val="center"/>
                </w:tcPr>
                <w:p w14:paraId="6D94C7B3">
                  <w:pPr>
                    <w:bidi/>
                    <w:jc w:val="center"/>
                    <w:rPr>
                      <w:rFonts w:ascii="Times New Roman" w:hAnsi="Times New Roman" w:eastAsia="宋体" w:cs="Times New Roman"/>
                      <w:color w:val="auto"/>
                      <w:sz w:val="21"/>
                      <w:szCs w:val="21"/>
                    </w:rPr>
                  </w:pPr>
                  <w:r>
                    <w:rPr>
                      <w:rFonts w:hint="eastAsia" w:ascii="Times New Roman" w:hAnsi="Times New Roman" w:eastAsia="宋体" w:cs="Times New Roman"/>
                      <w:b/>
                      <w:bCs/>
                      <w:color w:val="auto"/>
                      <w:sz w:val="21"/>
                      <w:szCs w:val="21"/>
                    </w:rPr>
                    <w:t>附件1重污染天气消除攻坚行动方案</w:t>
                  </w:r>
                </w:p>
              </w:tc>
              <w:tc>
                <w:tcPr>
                  <w:tcW w:w="1822" w:type="pct"/>
                  <w:vMerge w:val="restart"/>
                  <w:tcBorders>
                    <w:tl2br w:val="nil"/>
                    <w:tr2bl w:val="nil"/>
                  </w:tcBorders>
                  <w:vAlign w:val="center"/>
                </w:tcPr>
                <w:p w14:paraId="5B1C5A9C">
                  <w:pPr>
                    <w:bidi/>
                    <w:jc w:val="center"/>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本项目不属于高耗能、高排放、低水平项目，项目建设符合国家产业规划、产业政策、“三线一单”等要求。</w:t>
                  </w:r>
                </w:p>
              </w:tc>
            </w:tr>
            <w:tr w14:paraId="74010AC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177" w:type="pct"/>
                  <w:tcBorders>
                    <w:tl2br w:val="nil"/>
                    <w:tr2bl w:val="nil"/>
                  </w:tcBorders>
                  <w:vAlign w:val="center"/>
                </w:tcPr>
                <w:p w14:paraId="6A5C20AB">
                  <w:pPr>
                    <w:bidi/>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坚决遏制高耗能、高排放、低水平项目盲目发展，严格落实国家产业规划、产业政策、“三线一单”、规划环评，以及产能置换、煤炭消费减量替代、区域污染物削减等要求，坚决叫停不符合要求的高耗能、高排放、低水平项目。</w:t>
                  </w:r>
                </w:p>
              </w:tc>
              <w:tc>
                <w:tcPr>
                  <w:tcW w:w="1822" w:type="pct"/>
                  <w:vMerge w:val="continue"/>
                  <w:tcBorders>
                    <w:tl2br w:val="nil"/>
                    <w:tr2bl w:val="nil"/>
                  </w:tcBorders>
                  <w:vAlign w:val="center"/>
                </w:tcPr>
                <w:p w14:paraId="7676CD97">
                  <w:pPr>
                    <w:bidi/>
                    <w:jc w:val="center"/>
                    <w:rPr>
                      <w:rFonts w:ascii="Times New Roman" w:hAnsi="Times New Roman" w:eastAsia="宋体" w:cs="Times New Roman"/>
                      <w:color w:val="auto"/>
                      <w:sz w:val="21"/>
                      <w:szCs w:val="21"/>
                    </w:rPr>
                  </w:pPr>
                </w:p>
              </w:tc>
            </w:tr>
            <w:tr w14:paraId="72FACE1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177" w:type="pct"/>
                  <w:tcBorders>
                    <w:tl2br w:val="nil"/>
                    <w:tr2bl w:val="nil"/>
                  </w:tcBorders>
                  <w:vAlign w:val="center"/>
                </w:tcPr>
                <w:p w14:paraId="3A72C146">
                  <w:pPr>
                    <w:bidi/>
                    <w:jc w:val="center"/>
                    <w:rPr>
                      <w:rFonts w:ascii="Times New Roman" w:hAnsi="Times New Roman" w:eastAsia="宋体" w:cs="Times New Roman"/>
                      <w:color w:val="auto"/>
                      <w:sz w:val="21"/>
                      <w:szCs w:val="21"/>
                    </w:rPr>
                  </w:pPr>
                  <w:r>
                    <w:rPr>
                      <w:rFonts w:hint="eastAsia" w:ascii="Times New Roman" w:hAnsi="Times New Roman" w:eastAsia="宋体" w:cs="Times New Roman"/>
                      <w:b/>
                      <w:bCs/>
                      <w:color w:val="auto"/>
                      <w:sz w:val="21"/>
                      <w:szCs w:val="21"/>
                    </w:rPr>
                    <w:t>附件2臭氧污染防治攻坚行动方案</w:t>
                  </w:r>
                </w:p>
              </w:tc>
              <w:tc>
                <w:tcPr>
                  <w:tcW w:w="1822" w:type="pct"/>
                  <w:vMerge w:val="restart"/>
                  <w:tcBorders>
                    <w:tl2br w:val="nil"/>
                    <w:tr2bl w:val="nil"/>
                  </w:tcBorders>
                  <w:vAlign w:val="center"/>
                </w:tcPr>
                <w:p w14:paraId="6AE6BDD8">
                  <w:pPr>
                    <w:wordWrap w:val="0"/>
                    <w:bidi/>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kern w:val="0"/>
                      <w:sz w:val="21"/>
                      <w:szCs w:val="21"/>
                    </w:rPr>
                    <w:t>本项目所用物料及危险废物均采用密闭包装储存，原料储存、转移和输送过程不会产生有机废气。本项目切削液废气、危废贮存废气量极小，无组织达标排放</w:t>
                  </w:r>
                  <w:r>
                    <w:rPr>
                      <w:rFonts w:hint="eastAsia" w:cs="Times New Roman"/>
                      <w:color w:val="auto"/>
                      <w:kern w:val="0"/>
                      <w:sz w:val="21"/>
                      <w:szCs w:val="21"/>
                      <w:lang w:eastAsia="zh-CN"/>
                    </w:rPr>
                    <w:t>，</w:t>
                  </w:r>
                  <w:r>
                    <w:rPr>
                      <w:rFonts w:hint="eastAsia" w:ascii="Times New Roman" w:hAnsi="Times New Roman" w:eastAsia="宋体" w:cs="Times New Roman"/>
                      <w:color w:val="auto"/>
                      <w:kern w:val="0"/>
                      <w:sz w:val="21"/>
                      <w:szCs w:val="21"/>
                    </w:rPr>
                    <w:t>废气排放满足《大气污染物综合排放标准》（DB32/4041-2021）中相关要求。</w:t>
                  </w:r>
                </w:p>
              </w:tc>
            </w:tr>
            <w:tr w14:paraId="25B3DB5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177" w:type="pct"/>
                  <w:tcBorders>
                    <w:tl2br w:val="nil"/>
                    <w:tr2bl w:val="nil"/>
                  </w:tcBorders>
                  <w:vAlign w:val="center"/>
                </w:tcPr>
                <w:p w14:paraId="42ABC8E7">
                  <w:pPr>
                    <w:widowControl/>
                    <w:bidi/>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坚持协同减排、源头防控，聚焦臭氧前体物VOCs和氮氧化物，加快推进含VOCs原辅材料源头替代，实施清洁能源替代，强化石化、化工、工业涂装、包装印刷等重点行业及油品储运销VOCs深度治理，加大锅炉、炉窑、移动源氮氧化物减排力度。</w:t>
                  </w:r>
                </w:p>
              </w:tc>
              <w:tc>
                <w:tcPr>
                  <w:tcW w:w="1822" w:type="pct"/>
                  <w:vMerge w:val="continue"/>
                  <w:tcBorders>
                    <w:tl2br w:val="nil"/>
                    <w:tr2bl w:val="nil"/>
                  </w:tcBorders>
                  <w:vAlign w:val="center"/>
                </w:tcPr>
                <w:p w14:paraId="5F1601C5">
                  <w:pPr>
                    <w:wordWrap w:val="0"/>
                    <w:bidi/>
                    <w:jc w:val="center"/>
                    <w:rPr>
                      <w:rFonts w:ascii="Times New Roman" w:hAnsi="Times New Roman" w:eastAsia="宋体" w:cs="Times New Roman"/>
                      <w:color w:val="auto"/>
                      <w:sz w:val="21"/>
                      <w:szCs w:val="21"/>
                    </w:rPr>
                  </w:pPr>
                </w:p>
              </w:tc>
            </w:tr>
            <w:tr w14:paraId="43E1063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177" w:type="pct"/>
                  <w:tcBorders>
                    <w:tl2br w:val="nil"/>
                    <w:tr2bl w:val="nil"/>
                  </w:tcBorders>
                  <w:vAlign w:val="center"/>
                </w:tcPr>
                <w:p w14:paraId="7A988F3E">
                  <w:pPr>
                    <w:bidi/>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加快实施低VOCs含量原辅材料替代。各地对溶剂型涂料、油墨、胶粘剂、清洗剂使用企业制定低VOCs含量原辅材料替代计划。全面推进汽车整车制造底漆、中涂、色漆使用低VOCs含量涂料；在木质家具、汽车零部件、工程机械、钢结构、船舶制造技术成熟的工艺环节，大力推广使用低VOCs含量涂料，重点区域、中央企业加大使用比例。在房屋建筑和市政工程中，全面推广使用低VOCs含量涂料和胶粘剂；重点区域、珠三角地区除特殊功能要求外的室内地坪施工、室外构筑物防护和城市道路交通标志基本使用低VOCs含量涂料。完善VOCs产品标准体系，建立低VOCs含量产品标识制度。</w:t>
                  </w:r>
                </w:p>
              </w:tc>
              <w:tc>
                <w:tcPr>
                  <w:tcW w:w="1822" w:type="pct"/>
                  <w:vMerge w:val="continue"/>
                  <w:tcBorders>
                    <w:tl2br w:val="nil"/>
                    <w:tr2bl w:val="nil"/>
                  </w:tcBorders>
                  <w:vAlign w:val="center"/>
                </w:tcPr>
                <w:p w14:paraId="67AEE8CD">
                  <w:pPr>
                    <w:bidi/>
                    <w:jc w:val="center"/>
                    <w:rPr>
                      <w:rFonts w:ascii="Times New Roman" w:hAnsi="Times New Roman" w:eastAsia="宋体" w:cs="Times New Roman"/>
                      <w:color w:val="auto"/>
                      <w:sz w:val="21"/>
                      <w:szCs w:val="21"/>
                    </w:rPr>
                  </w:pPr>
                </w:p>
              </w:tc>
            </w:tr>
            <w:tr w14:paraId="2991F32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177" w:type="pct"/>
                  <w:tcBorders>
                    <w:tl2br w:val="nil"/>
                    <w:tr2bl w:val="nil"/>
                  </w:tcBorders>
                  <w:vAlign w:val="center"/>
                </w:tcPr>
                <w:p w14:paraId="31FA20CC">
                  <w:pPr>
                    <w:bidi/>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强化VOCs无组织排放整治。各地全面排查含VOCs物料储存、转移和输送、设备与管线组件、敞开液面以及工艺过程等环节无组织排放情况，对达不到相关标准要求的开展整治。工业涂装、包装印刷等行业重点治理集气罩收集效果差、含VOCs原辅材料和废料储存环节无组织排放等问题</w:t>
                  </w:r>
                  <w:r>
                    <w:rPr>
                      <w:rFonts w:hint="eastAsia" w:ascii="Times New Roman" w:hAnsi="Times New Roman" w:eastAsia="宋体" w:cs="Times New Roman"/>
                      <w:color w:val="auto"/>
                      <w:sz w:val="21"/>
                      <w:szCs w:val="21"/>
                    </w:rPr>
                    <w:t>。</w:t>
                  </w:r>
                </w:p>
              </w:tc>
              <w:tc>
                <w:tcPr>
                  <w:tcW w:w="1822" w:type="pct"/>
                  <w:vMerge w:val="continue"/>
                  <w:tcBorders>
                    <w:tl2br w:val="nil"/>
                    <w:tr2bl w:val="nil"/>
                  </w:tcBorders>
                  <w:vAlign w:val="center"/>
                </w:tcPr>
                <w:p w14:paraId="104E329B">
                  <w:pPr>
                    <w:bidi/>
                    <w:jc w:val="center"/>
                    <w:rPr>
                      <w:rFonts w:ascii="Times New Roman" w:hAnsi="Times New Roman" w:eastAsia="宋体" w:cs="Times New Roman"/>
                      <w:color w:val="auto"/>
                      <w:sz w:val="21"/>
                      <w:szCs w:val="21"/>
                    </w:rPr>
                  </w:pPr>
                </w:p>
              </w:tc>
            </w:tr>
          </w:tbl>
          <w:p w14:paraId="2AA4D285">
            <w:pPr>
              <w:spacing w:line="360" w:lineRule="auto"/>
              <w:ind w:firstLine="480"/>
              <w:rPr>
                <w:rFonts w:ascii="Times New Roman" w:hAnsi="Times New Roman" w:eastAsia="宋体" w:cs="Times New Roman"/>
                <w:color w:val="auto"/>
                <w:kern w:val="0"/>
                <w:sz w:val="24"/>
                <w:szCs w:val="24"/>
              </w:rPr>
            </w:pPr>
            <w:r>
              <w:rPr>
                <w:rFonts w:hint="eastAsia" w:ascii="Times New Roman" w:hAnsi="Times New Roman" w:eastAsia="宋体" w:cs="Times New Roman"/>
                <w:color w:val="auto"/>
                <w:kern w:val="0"/>
                <w:sz w:val="24"/>
                <w:szCs w:val="24"/>
              </w:rPr>
              <w:t>由上表可知，本项目符合《关于印发&lt;深入打好重污染天气消除、臭氧污染防治和柴油货车污染治理攻坚战行动方案&gt;的通知》(环大气〔2022〕68号)中相关要求。</w:t>
            </w:r>
          </w:p>
          <w:p w14:paraId="29BC6FCB">
            <w:pPr>
              <w:widowControl w:val="0"/>
              <w:adjustRightInd/>
              <w:snapToGrid/>
              <w:spacing w:line="360" w:lineRule="auto"/>
              <w:ind w:left="1967" w:leftChars="200" w:hanging="1547" w:hangingChars="700"/>
              <w:jc w:val="both"/>
              <w:textAlignment w:val="auto"/>
              <w:rPr>
                <w:rFonts w:hint="default" w:ascii="Times New Roman" w:hAnsi="Times New Roman" w:eastAsia="宋体" w:cs="Times New Roman"/>
                <w:b/>
                <w:bCs/>
                <w:color w:val="auto"/>
                <w:spacing w:val="-10"/>
                <w:kern w:val="2"/>
                <w:sz w:val="24"/>
                <w:szCs w:val="24"/>
                <w:lang w:val="en-US" w:eastAsia="zh-CN" w:bidi="ar"/>
              </w:rPr>
            </w:pPr>
            <w:r>
              <w:rPr>
                <w:rFonts w:hint="eastAsia" w:ascii="Times New Roman" w:hAnsi="Times New Roman" w:eastAsia="宋体" w:cs="Times New Roman"/>
                <w:b/>
                <w:bCs/>
                <w:color w:val="auto"/>
                <w:spacing w:val="-10"/>
                <w:kern w:val="2"/>
                <w:sz w:val="24"/>
                <w:szCs w:val="24"/>
                <w:lang w:val="en-US" w:eastAsia="zh-CN" w:bidi="ar"/>
              </w:rPr>
              <w:t>5、其他相符性分析</w:t>
            </w:r>
          </w:p>
          <w:p w14:paraId="07A32460">
            <w:pPr>
              <w:widowControl w:val="0"/>
              <w:adjustRightInd/>
              <w:snapToGrid/>
              <w:spacing w:line="360" w:lineRule="auto"/>
              <w:ind w:firstLine="482" w:firstLineChars="200"/>
              <w:jc w:val="both"/>
              <w:textAlignment w:val="auto"/>
              <w:rPr>
                <w:rFonts w:hint="default" w:ascii="Times New Roman" w:hAnsi="Times New Roman" w:eastAsia="宋体" w:cs="Times New Roman"/>
                <w:b/>
                <w:bCs/>
                <w:color w:val="auto"/>
                <w:spacing w:val="0"/>
                <w:kern w:val="2"/>
                <w:sz w:val="24"/>
                <w:szCs w:val="24"/>
                <w:lang w:val="en-US" w:eastAsia="zh-CN" w:bidi="ar"/>
              </w:rPr>
            </w:pPr>
            <w:r>
              <w:rPr>
                <w:rFonts w:hint="eastAsia" w:ascii="Times New Roman" w:hAnsi="Times New Roman" w:eastAsia="宋体" w:cs="Times New Roman"/>
                <w:b/>
                <w:bCs/>
                <w:color w:val="auto"/>
                <w:spacing w:val="0"/>
                <w:kern w:val="2"/>
                <w:sz w:val="24"/>
                <w:szCs w:val="24"/>
                <w:lang w:val="en-US" w:eastAsia="zh-CN" w:bidi="ar"/>
              </w:rPr>
              <w:t>①本项目与</w:t>
            </w:r>
            <w:r>
              <w:rPr>
                <w:rFonts w:hint="default" w:ascii="Times New Roman" w:hAnsi="Times New Roman" w:eastAsia="宋体" w:cs="Times New Roman"/>
                <w:b/>
                <w:bCs/>
                <w:color w:val="auto"/>
                <w:spacing w:val="0"/>
                <w:kern w:val="2"/>
                <w:sz w:val="24"/>
                <w:szCs w:val="24"/>
                <w:lang w:val="en-US" w:eastAsia="zh-CN" w:bidi="ar"/>
              </w:rPr>
              <w:t>《关于加强高耗能、高排放建设项目生态环境源头防控的指导意见》（环环评〔2021〕45号）相符性分析</w:t>
            </w:r>
          </w:p>
          <w:p w14:paraId="4CC8FCE3">
            <w:pPr>
              <w:widowControl w:val="0"/>
              <w:adjustRightInd/>
              <w:snapToGrid/>
              <w:spacing w:line="240" w:lineRule="auto"/>
              <w:ind w:firstLine="0" w:firstLineChars="0"/>
              <w:jc w:val="center"/>
              <w:textAlignment w:val="auto"/>
              <w:rPr>
                <w:rFonts w:hint="default" w:ascii="Times New Roman" w:hAnsi="Times New Roman" w:eastAsia="宋体" w:cs="Times New Roman"/>
                <w:b/>
                <w:color w:val="auto"/>
                <w:spacing w:val="-10"/>
                <w:kern w:val="0"/>
                <w:sz w:val="24"/>
                <w:szCs w:val="24"/>
                <w:lang w:val="en-US" w:eastAsia="zh-CN" w:bidi="ar"/>
              </w:rPr>
            </w:pPr>
            <w:r>
              <w:rPr>
                <w:rFonts w:hint="default" w:ascii="Times New Roman" w:hAnsi="Times New Roman" w:eastAsia="宋体" w:cs="Times New Roman"/>
                <w:b/>
                <w:color w:val="auto"/>
                <w:spacing w:val="-10"/>
                <w:kern w:val="0"/>
                <w:sz w:val="24"/>
                <w:szCs w:val="24"/>
                <w:lang w:val="en-US" w:eastAsia="zh-CN" w:bidi="ar"/>
              </w:rPr>
              <w:t>表1-</w:t>
            </w:r>
            <w:r>
              <w:rPr>
                <w:rFonts w:hint="eastAsia" w:cs="Times New Roman"/>
                <w:b/>
                <w:color w:val="auto"/>
                <w:spacing w:val="-10"/>
                <w:kern w:val="0"/>
                <w:sz w:val="24"/>
                <w:szCs w:val="24"/>
                <w:lang w:val="en-US" w:eastAsia="zh-CN" w:bidi="ar"/>
              </w:rPr>
              <w:t xml:space="preserve">7 </w:t>
            </w:r>
            <w:r>
              <w:rPr>
                <w:rFonts w:hint="default" w:ascii="Times New Roman" w:hAnsi="Times New Roman" w:eastAsia="宋体" w:cs="Times New Roman"/>
                <w:b/>
                <w:color w:val="auto"/>
                <w:spacing w:val="-10"/>
                <w:kern w:val="0"/>
                <w:sz w:val="24"/>
                <w:szCs w:val="24"/>
                <w:lang w:val="en-US" w:eastAsia="zh-CN" w:bidi="ar"/>
              </w:rPr>
              <w:t>本项目与环环评〔2021〕45号文相符性分析</w:t>
            </w:r>
            <w:r>
              <w:rPr>
                <w:rFonts w:hint="eastAsia" w:ascii="Times New Roman" w:hAnsi="Times New Roman" w:eastAsia="宋体" w:cs="Times New Roman"/>
                <w:b/>
                <w:color w:val="auto"/>
                <w:spacing w:val="-10"/>
                <w:kern w:val="0"/>
                <w:sz w:val="24"/>
                <w:szCs w:val="24"/>
                <w:lang w:val="en-US" w:eastAsia="zh-CN" w:bidi="ar"/>
              </w:rPr>
              <w:t>表</w:t>
            </w:r>
          </w:p>
          <w:tbl>
            <w:tblPr>
              <w:tblStyle w:val="26"/>
              <w:tblW w:w="7572"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662"/>
              <w:gridCol w:w="2180"/>
              <w:gridCol w:w="730"/>
            </w:tblGrid>
            <w:tr w14:paraId="394E850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662" w:type="dxa"/>
                  <w:tcBorders>
                    <w:tl2br w:val="nil"/>
                    <w:tr2bl w:val="nil"/>
                  </w:tcBorders>
                  <w:vAlign w:val="center"/>
                </w:tcPr>
                <w:p w14:paraId="2BFA5CEC">
                  <w:pPr>
                    <w:adjustRightInd w:val="0"/>
                    <w:snapToGrid w:val="0"/>
                    <w:jc w:val="center"/>
                    <w:rPr>
                      <w:rFonts w:ascii="Times New Roman" w:hAnsi="Times New Roman" w:eastAsia="宋体" w:cs="Times New Roman"/>
                      <w:b/>
                      <w:bCs/>
                      <w:color w:val="auto"/>
                      <w:kern w:val="0"/>
                      <w:sz w:val="21"/>
                      <w:szCs w:val="21"/>
                    </w:rPr>
                  </w:pPr>
                  <w:r>
                    <w:rPr>
                      <w:rFonts w:ascii="Times New Roman" w:hAnsi="Times New Roman" w:eastAsia="宋体" w:cs="Times New Roman"/>
                      <w:b/>
                      <w:bCs/>
                      <w:color w:val="auto"/>
                      <w:sz w:val="21"/>
                      <w:szCs w:val="21"/>
                    </w:rPr>
                    <w:t>环环评〔2021〕45号</w:t>
                  </w:r>
                </w:p>
              </w:tc>
              <w:tc>
                <w:tcPr>
                  <w:tcW w:w="2180" w:type="dxa"/>
                  <w:tcBorders>
                    <w:tl2br w:val="nil"/>
                    <w:tr2bl w:val="nil"/>
                  </w:tcBorders>
                  <w:vAlign w:val="center"/>
                </w:tcPr>
                <w:p w14:paraId="56BB1C35">
                  <w:pPr>
                    <w:adjustRightInd w:val="0"/>
                    <w:snapToGrid w:val="0"/>
                    <w:jc w:val="center"/>
                    <w:rPr>
                      <w:rFonts w:ascii="Times New Roman" w:hAnsi="Times New Roman" w:eastAsia="宋体" w:cs="Times New Roman"/>
                      <w:b/>
                      <w:bCs/>
                      <w:color w:val="auto"/>
                      <w:sz w:val="21"/>
                      <w:szCs w:val="21"/>
                    </w:rPr>
                  </w:pPr>
                  <w:r>
                    <w:rPr>
                      <w:rFonts w:ascii="Times New Roman" w:hAnsi="Times New Roman" w:eastAsia="宋体" w:cs="Times New Roman"/>
                      <w:b/>
                      <w:bCs/>
                      <w:color w:val="auto"/>
                      <w:sz w:val="21"/>
                      <w:szCs w:val="21"/>
                    </w:rPr>
                    <w:t>本项目相符性分析</w:t>
                  </w:r>
                </w:p>
              </w:tc>
              <w:tc>
                <w:tcPr>
                  <w:tcW w:w="730" w:type="dxa"/>
                  <w:tcBorders>
                    <w:tl2br w:val="nil"/>
                    <w:tr2bl w:val="nil"/>
                  </w:tcBorders>
                  <w:vAlign w:val="center"/>
                </w:tcPr>
                <w:p w14:paraId="227DB9F8">
                  <w:pPr>
                    <w:adjustRightInd w:val="0"/>
                    <w:snapToGrid w:val="0"/>
                    <w:jc w:val="center"/>
                    <w:rPr>
                      <w:rFonts w:ascii="Times New Roman" w:hAnsi="Times New Roman" w:eastAsia="宋体" w:cs="Times New Roman"/>
                      <w:b/>
                      <w:bCs/>
                      <w:color w:val="auto"/>
                      <w:sz w:val="21"/>
                      <w:szCs w:val="21"/>
                    </w:rPr>
                  </w:pPr>
                  <w:r>
                    <w:rPr>
                      <w:rFonts w:ascii="Times New Roman" w:hAnsi="Times New Roman" w:eastAsia="宋体" w:cs="Times New Roman"/>
                      <w:b/>
                      <w:bCs/>
                      <w:color w:val="auto"/>
                      <w:sz w:val="21"/>
                      <w:szCs w:val="21"/>
                    </w:rPr>
                    <w:t>是否</w:t>
                  </w:r>
                </w:p>
                <w:p w14:paraId="422DED41">
                  <w:pPr>
                    <w:adjustRightInd w:val="0"/>
                    <w:snapToGrid w:val="0"/>
                    <w:jc w:val="center"/>
                    <w:rPr>
                      <w:rFonts w:ascii="Times New Roman" w:hAnsi="Times New Roman" w:eastAsia="宋体" w:cs="Times New Roman"/>
                      <w:b/>
                      <w:bCs/>
                      <w:color w:val="auto"/>
                      <w:sz w:val="21"/>
                      <w:szCs w:val="21"/>
                    </w:rPr>
                  </w:pPr>
                  <w:r>
                    <w:rPr>
                      <w:rFonts w:ascii="Times New Roman" w:hAnsi="Times New Roman" w:eastAsia="宋体" w:cs="Times New Roman"/>
                      <w:b/>
                      <w:bCs/>
                      <w:color w:val="auto"/>
                      <w:sz w:val="21"/>
                      <w:szCs w:val="21"/>
                    </w:rPr>
                    <w:t>相符</w:t>
                  </w:r>
                </w:p>
              </w:tc>
            </w:tr>
            <w:tr w14:paraId="3B68983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662" w:type="dxa"/>
                  <w:tcBorders>
                    <w:tl2br w:val="nil"/>
                    <w:tr2bl w:val="nil"/>
                  </w:tcBorders>
                  <w:vAlign w:val="center"/>
                </w:tcPr>
                <w:p w14:paraId="6A818A7E">
                  <w:pPr>
                    <w:adjustRightInd w:val="0"/>
                    <w:snapToGrid w:val="0"/>
                    <w:jc w:val="center"/>
                    <w:rPr>
                      <w:rFonts w:ascii="Times New Roman" w:hAnsi="Times New Roman" w:eastAsia="宋体" w:cs="Times New Roman"/>
                      <w:color w:val="auto"/>
                      <w:kern w:val="0"/>
                      <w:sz w:val="21"/>
                      <w:szCs w:val="21"/>
                    </w:rPr>
                  </w:pPr>
                  <w:r>
                    <w:rPr>
                      <w:rFonts w:ascii="Times New Roman" w:hAnsi="Times New Roman" w:eastAsia="宋体" w:cs="Times New Roman"/>
                      <w:color w:val="auto"/>
                      <w:kern w:val="0"/>
                      <w:sz w:val="21"/>
                      <w:szCs w:val="21"/>
                    </w:rPr>
                    <w:t>（一）深入实施“三线一单”。各级生态环境部门应加快推进“三线一单”成果在“两高”行业产业布局和结构调整、重大项目选址中的应用。地方生态环境部门组织“三线一单”地市落地细化及后续更新调整时，应在生态环境准入清单中深化“两高”项目环境准入及管控要求；承接钢铁、电解铝等产业转移地区应严格落实生态环境分区管控要求，将环境质量底线作为硬约束。</w:t>
                  </w:r>
                </w:p>
              </w:tc>
              <w:tc>
                <w:tcPr>
                  <w:tcW w:w="2180" w:type="dxa"/>
                  <w:tcBorders>
                    <w:tl2br w:val="nil"/>
                    <w:tr2bl w:val="nil"/>
                  </w:tcBorders>
                  <w:vAlign w:val="center"/>
                </w:tcPr>
                <w:p w14:paraId="3855A5CB">
                  <w:pPr>
                    <w:adjustRightInd w:val="0"/>
                    <w:snapToGrid w:val="0"/>
                    <w:jc w:val="center"/>
                    <w:rPr>
                      <w:rFonts w:ascii="Times New Roman" w:hAnsi="Times New Roman" w:eastAsia="宋体" w:cs="Times New Roman"/>
                      <w:color w:val="auto"/>
                      <w:kern w:val="0"/>
                      <w:sz w:val="21"/>
                      <w:szCs w:val="21"/>
                    </w:rPr>
                  </w:pPr>
                  <w:r>
                    <w:rPr>
                      <w:rFonts w:ascii="Times New Roman" w:hAnsi="Times New Roman" w:eastAsia="宋体" w:cs="Times New Roman"/>
                      <w:color w:val="auto"/>
                      <w:sz w:val="21"/>
                      <w:szCs w:val="21"/>
                    </w:rPr>
                    <w:t>与本项目距离最近的国家级生态红线区域为</w:t>
                  </w:r>
                  <w:r>
                    <w:rPr>
                      <w:rFonts w:hint="eastAsia" w:cs="Times New Roman"/>
                      <w:color w:val="auto"/>
                      <w:sz w:val="21"/>
                      <w:szCs w:val="21"/>
                      <w:lang w:val="en-US" w:eastAsia="zh-CN"/>
                    </w:rPr>
                    <w:t>北</w:t>
                  </w:r>
                  <w:r>
                    <w:rPr>
                      <w:rFonts w:hint="eastAsia" w:ascii="Times New Roman" w:hAnsi="Times New Roman" w:eastAsia="宋体" w:cs="Times New Roman"/>
                      <w:color w:val="auto"/>
                      <w:sz w:val="21"/>
                      <w:szCs w:val="21"/>
                    </w:rPr>
                    <w:t>侧的新通扬运河（海安）饮用水水源保护区，最近距离约5.51km；与本项目距离最近的生态空间管控区域为</w:t>
                  </w:r>
                  <w:r>
                    <w:rPr>
                      <w:rFonts w:hint="eastAsia" w:cs="Times New Roman"/>
                      <w:color w:val="auto"/>
                      <w:sz w:val="21"/>
                      <w:szCs w:val="21"/>
                      <w:lang w:val="en-US" w:eastAsia="zh-CN"/>
                    </w:rPr>
                    <w:t>北</w:t>
                  </w:r>
                  <w:r>
                    <w:rPr>
                      <w:rFonts w:hint="eastAsia" w:ascii="Times New Roman" w:hAnsi="Times New Roman" w:eastAsia="宋体" w:cs="Times New Roman"/>
                      <w:color w:val="auto"/>
                      <w:sz w:val="21"/>
                      <w:szCs w:val="21"/>
                    </w:rPr>
                    <w:t>侧的新通扬－通榆运河清水通道维护区，最近距离约</w:t>
                  </w:r>
                  <w:r>
                    <w:rPr>
                      <w:rFonts w:hint="eastAsia" w:ascii="Times New Roman" w:hAnsi="Times New Roman" w:eastAsia="宋体" w:cs="Times New Roman"/>
                      <w:color w:val="auto"/>
                      <w:sz w:val="21"/>
                      <w:szCs w:val="21"/>
                      <w:lang w:val="en-US" w:eastAsia="zh-CN"/>
                    </w:rPr>
                    <w:t>4.84k</w:t>
                  </w:r>
                  <w:r>
                    <w:rPr>
                      <w:rFonts w:hint="eastAsia" w:ascii="Times New Roman" w:hAnsi="Times New Roman" w:eastAsia="宋体" w:cs="Times New Roman"/>
                      <w:color w:val="auto"/>
                      <w:sz w:val="21"/>
                      <w:szCs w:val="21"/>
                    </w:rPr>
                    <w:t>m</w:t>
                  </w:r>
                  <w:r>
                    <w:rPr>
                      <w:rFonts w:ascii="Times New Roman" w:hAnsi="Times New Roman" w:eastAsia="宋体" w:cs="Times New Roman"/>
                      <w:color w:val="auto"/>
                      <w:sz w:val="21"/>
                      <w:szCs w:val="21"/>
                    </w:rPr>
                    <w:t>，故本项目不涉及生态红线。</w:t>
                  </w:r>
                  <w:r>
                    <w:rPr>
                      <w:rFonts w:hint="eastAsia" w:ascii="Times New Roman" w:hAnsi="Times New Roman" w:eastAsia="宋体" w:cs="Times New Roman"/>
                      <w:color w:val="auto"/>
                      <w:sz w:val="21"/>
                      <w:szCs w:val="21"/>
                    </w:rPr>
                    <w:t>根据前文分析，本项目不会突破环境质量底线，资源利用上线。</w:t>
                  </w:r>
                </w:p>
              </w:tc>
              <w:tc>
                <w:tcPr>
                  <w:tcW w:w="730" w:type="dxa"/>
                  <w:tcBorders>
                    <w:tl2br w:val="nil"/>
                    <w:tr2bl w:val="nil"/>
                  </w:tcBorders>
                  <w:vAlign w:val="center"/>
                </w:tcPr>
                <w:p w14:paraId="61D94A0C">
                  <w:pPr>
                    <w:adjustRightInd w:val="0"/>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相符</w:t>
                  </w:r>
                </w:p>
              </w:tc>
            </w:tr>
            <w:tr w14:paraId="4ABCE51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662" w:type="dxa"/>
                  <w:tcBorders>
                    <w:tl2br w:val="nil"/>
                    <w:tr2bl w:val="nil"/>
                  </w:tcBorders>
                  <w:vAlign w:val="center"/>
                </w:tcPr>
                <w:p w14:paraId="54BAD9C6">
                  <w:pPr>
                    <w:adjustRightInd w:val="0"/>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六）提升清洁生产和污染防治水平。新建、扩建“两高”项目应采用先进适用的工艺技术和装备，单位产品物耗、能耗、水耗等达到清洁生产先进水平，依法制定并严格落实防治土壤与地下水污染的措施。国家或地方已出台超低排放要求的“两高”行业建设项目应满足超低排放要求。鼓励使用清洁燃料，重点区域建设项目原则上不新建燃煤自备锅炉。鼓励重点区域高炉-转炉长流程钢铁企业转型为电炉短流程企业。大宗物料优先采用铁路、管道或水路运输，短途接驳优先使用新能源车辆运输。</w:t>
                  </w:r>
                </w:p>
              </w:tc>
              <w:tc>
                <w:tcPr>
                  <w:tcW w:w="2180" w:type="dxa"/>
                  <w:tcBorders>
                    <w:tl2br w:val="nil"/>
                    <w:tr2bl w:val="nil"/>
                  </w:tcBorders>
                  <w:vAlign w:val="center"/>
                </w:tcPr>
                <w:p w14:paraId="0F27A654">
                  <w:pPr>
                    <w:adjustRightInd w:val="0"/>
                    <w:snapToGrid w:val="0"/>
                    <w:jc w:val="center"/>
                    <w:rPr>
                      <w:rFonts w:ascii="Times New Roman" w:hAnsi="Times New Roman" w:eastAsia="宋体" w:cs="Times New Roman"/>
                      <w:color w:val="auto"/>
                      <w:kern w:val="0"/>
                      <w:sz w:val="21"/>
                      <w:szCs w:val="21"/>
                    </w:rPr>
                  </w:pPr>
                  <w:r>
                    <w:rPr>
                      <w:rFonts w:ascii="Times New Roman" w:hAnsi="Times New Roman" w:eastAsia="宋体" w:cs="Times New Roman"/>
                      <w:color w:val="auto"/>
                      <w:kern w:val="0"/>
                      <w:sz w:val="21"/>
                      <w:szCs w:val="21"/>
                    </w:rPr>
                    <w:t>本项目</w:t>
                  </w:r>
                  <w:r>
                    <w:rPr>
                      <w:rFonts w:hint="eastAsia" w:ascii="Times New Roman" w:hAnsi="Times New Roman" w:eastAsia="宋体" w:cs="Times New Roman"/>
                      <w:color w:val="auto"/>
                      <w:kern w:val="0"/>
                      <w:sz w:val="21"/>
                      <w:szCs w:val="21"/>
                    </w:rPr>
                    <w:t>不属于高耗能、高排放的“两高”企业，</w:t>
                  </w:r>
                  <w:r>
                    <w:rPr>
                      <w:rFonts w:hint="eastAsia" w:ascii="Times New Roman" w:hAnsi="Times New Roman" w:eastAsia="宋体" w:cs="Times New Roman"/>
                      <w:color w:val="auto"/>
                      <w:sz w:val="21"/>
                      <w:szCs w:val="21"/>
                    </w:rPr>
                    <w:t>使用电能，不新建燃煤锅炉、原辅料运输车辆优先选用</w:t>
                  </w:r>
                  <w:r>
                    <w:rPr>
                      <w:rFonts w:ascii="Times New Roman" w:hAnsi="Times New Roman" w:eastAsia="宋体" w:cs="Times New Roman"/>
                      <w:color w:val="auto"/>
                      <w:sz w:val="21"/>
                      <w:szCs w:val="21"/>
                    </w:rPr>
                    <w:t>新能源车辆</w:t>
                  </w:r>
                  <w:r>
                    <w:rPr>
                      <w:rFonts w:hint="eastAsia" w:ascii="Times New Roman" w:hAnsi="Times New Roman" w:eastAsia="宋体" w:cs="Times New Roman"/>
                      <w:color w:val="auto"/>
                      <w:sz w:val="21"/>
                      <w:szCs w:val="21"/>
                    </w:rPr>
                    <w:t>。</w:t>
                  </w:r>
                </w:p>
              </w:tc>
              <w:tc>
                <w:tcPr>
                  <w:tcW w:w="730" w:type="dxa"/>
                  <w:tcBorders>
                    <w:tl2br w:val="nil"/>
                    <w:tr2bl w:val="nil"/>
                  </w:tcBorders>
                  <w:vAlign w:val="center"/>
                </w:tcPr>
                <w:p w14:paraId="7FDF9D39">
                  <w:pPr>
                    <w:adjustRightInd w:val="0"/>
                    <w:snapToGrid w:val="0"/>
                    <w:jc w:val="center"/>
                    <w:rPr>
                      <w:rFonts w:ascii="Times New Roman" w:hAnsi="Times New Roman" w:eastAsia="宋体" w:cs="Times New Roman"/>
                      <w:color w:val="auto"/>
                      <w:kern w:val="0"/>
                      <w:sz w:val="21"/>
                      <w:szCs w:val="21"/>
                    </w:rPr>
                  </w:pPr>
                  <w:r>
                    <w:rPr>
                      <w:rFonts w:ascii="Times New Roman" w:hAnsi="Times New Roman" w:eastAsia="宋体" w:cs="Times New Roman"/>
                      <w:color w:val="auto"/>
                      <w:sz w:val="21"/>
                      <w:szCs w:val="21"/>
                    </w:rPr>
                    <w:t>相符</w:t>
                  </w:r>
                </w:p>
              </w:tc>
            </w:tr>
            <w:tr w14:paraId="5FF6020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662" w:type="dxa"/>
                  <w:tcBorders>
                    <w:tl2br w:val="nil"/>
                    <w:tr2bl w:val="nil"/>
                  </w:tcBorders>
                  <w:vAlign w:val="center"/>
                </w:tcPr>
                <w:p w14:paraId="7C101E54">
                  <w:pPr>
                    <w:adjustRightInd w:val="0"/>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八）加强排污许可证管理。地方生态环境部门和行政审批部门在“两高”企业排污许可证核发审查过程中，应全面核实环评及批复文件中各项生态环境保护措施及区域削减措施落实情况，对实行排污许可重点管理的“两高”企业加强现场核查，对不符合条件的依法不予许可。加强“两高”企业排污许可证质量和执行报告提交情况检查，督促企业做好台账记录、执行报告、自行监测、环境信息公开等工作。对于持有排污限期整改通知书或排污许可证中存在整改事项的“两高”企业，密切跟踪整改落实情况，发现未按期完成整改、存在无证排污行为的，依法从严查处。</w:t>
                  </w:r>
                </w:p>
              </w:tc>
              <w:tc>
                <w:tcPr>
                  <w:tcW w:w="2180" w:type="dxa"/>
                  <w:tcBorders>
                    <w:tl2br w:val="nil"/>
                    <w:tr2bl w:val="nil"/>
                  </w:tcBorders>
                  <w:vAlign w:val="center"/>
                </w:tcPr>
                <w:p w14:paraId="26EDCFBC">
                  <w:pPr>
                    <w:adjustRightInd w:val="0"/>
                    <w:snapToGrid w:val="0"/>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本项目</w:t>
                  </w:r>
                  <w:r>
                    <w:rPr>
                      <w:rFonts w:hint="eastAsia" w:ascii="Times New Roman" w:hAnsi="Times New Roman" w:eastAsia="宋体" w:cs="Times New Roman"/>
                      <w:color w:val="auto"/>
                      <w:kern w:val="0"/>
                      <w:sz w:val="21"/>
                      <w:szCs w:val="21"/>
                    </w:rPr>
                    <w:t>不属于高耗能、高排放的“两高”企业，</w:t>
                  </w:r>
                  <w:r>
                    <w:rPr>
                      <w:rFonts w:hint="eastAsia" w:ascii="Times New Roman" w:hAnsi="Times New Roman" w:eastAsia="宋体" w:cs="Times New Roman"/>
                      <w:color w:val="auto"/>
                      <w:sz w:val="21"/>
                      <w:szCs w:val="21"/>
                    </w:rPr>
                    <w:t>将及时</w:t>
                  </w:r>
                  <w:r>
                    <w:rPr>
                      <w:rFonts w:hint="eastAsia" w:ascii="Times New Roman" w:hAnsi="Times New Roman" w:eastAsia="宋体" w:cs="Times New Roman"/>
                      <w:color w:val="auto"/>
                      <w:sz w:val="21"/>
                      <w:szCs w:val="21"/>
                      <w:lang w:val="en-US" w:eastAsia="zh-CN"/>
                    </w:rPr>
                    <w:t>申领排污许可证</w:t>
                  </w:r>
                  <w:r>
                    <w:rPr>
                      <w:rFonts w:hint="eastAsia" w:ascii="Times New Roman" w:hAnsi="Times New Roman" w:eastAsia="宋体" w:cs="Times New Roman"/>
                      <w:color w:val="auto"/>
                      <w:sz w:val="21"/>
                      <w:szCs w:val="21"/>
                    </w:rPr>
                    <w:t>，做好自行监测及台账记录等环保管理工作。</w:t>
                  </w:r>
                </w:p>
              </w:tc>
              <w:tc>
                <w:tcPr>
                  <w:tcW w:w="730" w:type="dxa"/>
                  <w:tcBorders>
                    <w:tl2br w:val="nil"/>
                    <w:tr2bl w:val="nil"/>
                  </w:tcBorders>
                  <w:vAlign w:val="center"/>
                </w:tcPr>
                <w:p w14:paraId="60EE3A8E">
                  <w:pPr>
                    <w:adjustRightInd w:val="0"/>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相符</w:t>
                  </w:r>
                </w:p>
              </w:tc>
            </w:tr>
          </w:tbl>
          <w:p w14:paraId="2E58303A">
            <w:pPr>
              <w:widowControl w:val="0"/>
              <w:adjustRightInd/>
              <w:snapToGrid/>
              <w:spacing w:line="360" w:lineRule="auto"/>
              <w:ind w:firstLine="482" w:firstLineChars="200"/>
              <w:jc w:val="both"/>
              <w:textAlignment w:val="auto"/>
              <w:rPr>
                <w:rFonts w:hint="default" w:ascii="Times New Roman" w:hAnsi="Times New Roman" w:eastAsia="宋体" w:cs="Times New Roman"/>
                <w:b/>
                <w:bCs/>
                <w:color w:val="auto"/>
                <w:spacing w:val="0"/>
                <w:kern w:val="2"/>
                <w:sz w:val="24"/>
                <w:szCs w:val="24"/>
                <w:lang w:val="en-US" w:eastAsia="zh-CN" w:bidi="ar"/>
              </w:rPr>
            </w:pPr>
            <w:r>
              <w:rPr>
                <w:rFonts w:hint="eastAsia" w:ascii="Times New Roman" w:hAnsi="Times New Roman" w:eastAsia="宋体" w:cs="Times New Roman"/>
                <w:b/>
                <w:bCs/>
                <w:color w:val="auto"/>
                <w:spacing w:val="0"/>
                <w:kern w:val="2"/>
                <w:sz w:val="24"/>
                <w:szCs w:val="24"/>
                <w:lang w:val="en-US" w:eastAsia="zh-CN" w:bidi="ar"/>
              </w:rPr>
              <w:t>②与《市政府办公室关于印发南通市2023年深入打好污染防治攻坚战工作计划的通知》（通污防攻坚指办〔2023〕14号）相符性分析</w:t>
            </w:r>
          </w:p>
          <w:p w14:paraId="7280C89E">
            <w:pPr>
              <w:widowControl w:val="0"/>
              <w:adjustRightInd w:val="0"/>
              <w:snapToGrid w:val="0"/>
              <w:spacing w:line="240" w:lineRule="auto"/>
              <w:ind w:firstLine="0" w:firstLineChars="0"/>
              <w:jc w:val="center"/>
              <w:rPr>
                <w:rFonts w:hint="default" w:ascii="Times New Roman" w:hAnsi="Times New Roman" w:eastAsia="宋体" w:cs="Times New Roman"/>
                <w:b/>
                <w:color w:val="auto"/>
                <w:kern w:val="2"/>
                <w:sz w:val="24"/>
                <w:szCs w:val="24"/>
                <w:lang w:val="en-US" w:eastAsia="zh-CN" w:bidi="ar"/>
              </w:rPr>
            </w:pPr>
            <w:r>
              <w:rPr>
                <w:rFonts w:hint="eastAsia" w:ascii="Times New Roman" w:hAnsi="Times New Roman" w:eastAsia="宋体" w:cs="Times New Roman"/>
                <w:b/>
                <w:bCs/>
                <w:color w:val="auto"/>
                <w:kern w:val="2"/>
                <w:sz w:val="24"/>
                <w:szCs w:val="24"/>
                <w:lang w:val="en-US" w:eastAsia="zh-CN" w:bidi="ar"/>
              </w:rPr>
              <w:t>表1-</w:t>
            </w:r>
            <w:r>
              <w:rPr>
                <w:rFonts w:hint="eastAsia" w:cs="Times New Roman"/>
                <w:b/>
                <w:bCs/>
                <w:color w:val="auto"/>
                <w:kern w:val="2"/>
                <w:sz w:val="24"/>
                <w:szCs w:val="24"/>
                <w:lang w:val="en-US" w:eastAsia="zh-CN" w:bidi="ar"/>
              </w:rPr>
              <w:t>8</w:t>
            </w:r>
            <w:r>
              <w:rPr>
                <w:rFonts w:hint="eastAsia" w:ascii="Times New Roman" w:hAnsi="Times New Roman" w:eastAsia="宋体" w:cs="Times New Roman"/>
                <w:b/>
                <w:bCs/>
                <w:color w:val="auto"/>
                <w:kern w:val="2"/>
                <w:sz w:val="24"/>
                <w:szCs w:val="24"/>
                <w:lang w:val="en-US" w:eastAsia="zh-CN" w:bidi="ar"/>
              </w:rPr>
              <w:t xml:space="preserve"> </w:t>
            </w:r>
            <w:r>
              <w:rPr>
                <w:rFonts w:hint="eastAsia" w:ascii="Times New Roman" w:hAnsi="Times New Roman" w:eastAsia="宋体" w:cs="Times New Roman"/>
                <w:b/>
                <w:color w:val="auto"/>
                <w:kern w:val="2"/>
                <w:sz w:val="24"/>
                <w:szCs w:val="24"/>
                <w:lang w:val="en-US" w:eastAsia="zh-CN" w:bidi="ar"/>
              </w:rPr>
              <w:t>本项目与《市政府办公室关于印发南通市2023年深入打好污染防治攻坚战工作计划的通知》（通污防攻坚指办〔2023〕14号）相符性分析表</w:t>
            </w:r>
          </w:p>
          <w:tbl>
            <w:tblPr>
              <w:tblStyle w:val="27"/>
              <w:tblW w:w="4998" w:type="pct"/>
              <w:tblInd w:w="11" w:type="dxa"/>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640"/>
              <w:gridCol w:w="3611"/>
              <w:gridCol w:w="2461"/>
              <w:gridCol w:w="739"/>
            </w:tblGrid>
            <w:tr w14:paraId="385BEC57">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3" w:hRule="atLeast"/>
              </w:trPr>
              <w:tc>
                <w:tcPr>
                  <w:tcW w:w="429" w:type="pct"/>
                  <w:tcBorders>
                    <w:tl2br w:val="nil"/>
                    <w:tr2bl w:val="nil"/>
                  </w:tcBorders>
                  <w:vAlign w:val="center"/>
                </w:tcPr>
                <w:p w14:paraId="130314AE">
                  <w:pPr>
                    <w:snapToGrid w:val="0"/>
                    <w:jc w:val="center"/>
                    <w:rPr>
                      <w:rFonts w:ascii="Times New Roman" w:hAnsi="Times New Roman" w:eastAsia="宋体" w:cs="Times New Roman"/>
                      <w:color w:val="auto"/>
                      <w:sz w:val="21"/>
                      <w:szCs w:val="21"/>
                    </w:rPr>
                  </w:pPr>
                  <w:r>
                    <w:rPr>
                      <w:rFonts w:hint="eastAsia" w:ascii="Times New Roman" w:hAnsi="Times New Roman" w:eastAsia="宋体" w:cs="Times New Roman"/>
                      <w:b/>
                      <w:bCs/>
                      <w:color w:val="auto"/>
                      <w:sz w:val="21"/>
                      <w:szCs w:val="21"/>
                    </w:rPr>
                    <w:t>序号</w:t>
                  </w:r>
                </w:p>
              </w:tc>
              <w:tc>
                <w:tcPr>
                  <w:tcW w:w="2423" w:type="pct"/>
                  <w:tcBorders>
                    <w:tl2br w:val="nil"/>
                    <w:tr2bl w:val="nil"/>
                  </w:tcBorders>
                  <w:vAlign w:val="center"/>
                </w:tcPr>
                <w:p w14:paraId="61EA0670">
                  <w:pPr>
                    <w:snapToGrid w:val="0"/>
                    <w:jc w:val="center"/>
                    <w:rPr>
                      <w:rFonts w:ascii="Times New Roman" w:hAnsi="Times New Roman" w:eastAsia="宋体" w:cs="Times New Roman"/>
                      <w:b/>
                      <w:bCs/>
                      <w:color w:val="auto"/>
                      <w:sz w:val="21"/>
                      <w:szCs w:val="21"/>
                    </w:rPr>
                  </w:pPr>
                  <w:r>
                    <w:rPr>
                      <w:rFonts w:hint="eastAsia" w:ascii="Times New Roman" w:hAnsi="Times New Roman" w:eastAsia="宋体" w:cs="Times New Roman"/>
                      <w:b/>
                      <w:bCs/>
                      <w:color w:val="auto"/>
                      <w:sz w:val="21"/>
                      <w:szCs w:val="21"/>
                    </w:rPr>
                    <w:t>相关要求</w:t>
                  </w:r>
                </w:p>
              </w:tc>
              <w:tc>
                <w:tcPr>
                  <w:tcW w:w="1651" w:type="pct"/>
                  <w:tcBorders>
                    <w:tl2br w:val="nil"/>
                    <w:tr2bl w:val="nil"/>
                  </w:tcBorders>
                  <w:vAlign w:val="center"/>
                </w:tcPr>
                <w:p w14:paraId="341A47FC">
                  <w:pPr>
                    <w:snapToGrid w:val="0"/>
                    <w:jc w:val="center"/>
                    <w:rPr>
                      <w:rFonts w:ascii="Times New Roman" w:hAnsi="Times New Roman" w:eastAsia="宋体" w:cs="Times New Roman"/>
                      <w:b/>
                      <w:color w:val="auto"/>
                      <w:sz w:val="21"/>
                      <w:szCs w:val="21"/>
                    </w:rPr>
                  </w:pPr>
                  <w:r>
                    <w:rPr>
                      <w:rFonts w:hint="eastAsia" w:ascii="Times New Roman" w:hAnsi="Times New Roman" w:eastAsia="宋体" w:cs="Times New Roman"/>
                      <w:b/>
                      <w:color w:val="auto"/>
                      <w:sz w:val="21"/>
                      <w:szCs w:val="21"/>
                    </w:rPr>
                    <w:t>本项目情况</w:t>
                  </w:r>
                </w:p>
              </w:tc>
              <w:tc>
                <w:tcPr>
                  <w:tcW w:w="495" w:type="pct"/>
                  <w:tcBorders>
                    <w:tl2br w:val="nil"/>
                    <w:tr2bl w:val="nil"/>
                  </w:tcBorders>
                  <w:vAlign w:val="center"/>
                </w:tcPr>
                <w:p w14:paraId="6D54C1C2">
                  <w:pPr>
                    <w:snapToGrid w:val="0"/>
                    <w:jc w:val="center"/>
                    <w:rPr>
                      <w:rFonts w:ascii="Times New Roman" w:hAnsi="Times New Roman" w:eastAsia="宋体" w:cs="Times New Roman"/>
                      <w:b/>
                      <w:color w:val="auto"/>
                      <w:sz w:val="21"/>
                      <w:szCs w:val="21"/>
                    </w:rPr>
                  </w:pPr>
                  <w:r>
                    <w:rPr>
                      <w:rFonts w:hint="eastAsia" w:ascii="Times New Roman" w:hAnsi="Times New Roman" w:eastAsia="宋体" w:cs="Times New Roman"/>
                      <w:b/>
                      <w:color w:val="auto"/>
                      <w:sz w:val="21"/>
                      <w:szCs w:val="21"/>
                    </w:rPr>
                    <w:t>相符性</w:t>
                  </w:r>
                </w:p>
              </w:tc>
            </w:tr>
            <w:tr w14:paraId="20B40BDF">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3" w:hRule="atLeast"/>
              </w:trPr>
              <w:tc>
                <w:tcPr>
                  <w:tcW w:w="429" w:type="pct"/>
                  <w:tcBorders>
                    <w:tl2br w:val="nil"/>
                    <w:tr2bl w:val="nil"/>
                  </w:tcBorders>
                  <w:vAlign w:val="center"/>
                </w:tcPr>
                <w:p w14:paraId="55CA06D6">
                  <w:pPr>
                    <w:snapToGrid w:val="0"/>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1</w:t>
                  </w:r>
                </w:p>
              </w:tc>
              <w:tc>
                <w:tcPr>
                  <w:tcW w:w="2423" w:type="pct"/>
                  <w:tcBorders>
                    <w:tl2br w:val="nil"/>
                    <w:tr2bl w:val="nil"/>
                  </w:tcBorders>
                  <w:vAlign w:val="center"/>
                </w:tcPr>
                <w:p w14:paraId="6AFA9C58">
                  <w:pPr>
                    <w:snapToGrid w:val="0"/>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优化产业结构。坚决遏制高耗能、高排放、低水平项目盲目发展，严格落实国家和省产业规划、产业政策、“三线一单”、规划环评，以及产能置换、煤炭消费减量替代、污染物排放总量控制、区域污染物削减、碳排放达峰目标等要求，坚决叫停不符合要求的高耗能、高排放、低水平项目。</w:t>
                  </w:r>
                </w:p>
              </w:tc>
              <w:tc>
                <w:tcPr>
                  <w:tcW w:w="1651" w:type="pct"/>
                  <w:tcBorders>
                    <w:tl2br w:val="nil"/>
                    <w:tr2bl w:val="nil"/>
                  </w:tcBorders>
                  <w:vAlign w:val="center"/>
                </w:tcPr>
                <w:p w14:paraId="0AD52A03">
                  <w:pPr>
                    <w:wordWrap w:val="0"/>
                    <w:adjustRightInd w:val="0"/>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本</w:t>
                  </w:r>
                  <w:r>
                    <w:rPr>
                      <w:rFonts w:hint="eastAsia" w:ascii="Times New Roman" w:hAnsi="Times New Roman" w:eastAsia="宋体" w:cs="Times New Roman"/>
                      <w:color w:val="auto"/>
                      <w:sz w:val="21"/>
                      <w:szCs w:val="21"/>
                    </w:rPr>
                    <w:t>项</w:t>
                  </w:r>
                  <w:r>
                    <w:rPr>
                      <w:rFonts w:ascii="Times New Roman" w:hAnsi="Times New Roman" w:eastAsia="宋体" w:cs="Times New Roman"/>
                      <w:color w:val="auto"/>
                      <w:sz w:val="21"/>
                      <w:szCs w:val="21"/>
                    </w:rPr>
                    <w:t>目</w:t>
                  </w:r>
                  <w:r>
                    <w:rPr>
                      <w:rFonts w:hint="eastAsia" w:ascii="Times New Roman" w:hAnsi="Times New Roman" w:eastAsia="宋体" w:cs="Times New Roman"/>
                      <w:color w:val="auto"/>
                      <w:sz w:val="21"/>
                      <w:szCs w:val="21"/>
                    </w:rPr>
                    <w:t>不属于高耗能、高排放、低水平项目。</w:t>
                  </w:r>
                </w:p>
              </w:tc>
              <w:tc>
                <w:tcPr>
                  <w:tcW w:w="495" w:type="pct"/>
                  <w:vMerge w:val="restart"/>
                  <w:tcBorders>
                    <w:tl2br w:val="nil"/>
                    <w:tr2bl w:val="nil"/>
                  </w:tcBorders>
                  <w:vAlign w:val="center"/>
                </w:tcPr>
                <w:p w14:paraId="7707EABC">
                  <w:pPr>
                    <w:snapToGrid w:val="0"/>
                    <w:jc w:val="center"/>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相符</w:t>
                  </w:r>
                </w:p>
              </w:tc>
            </w:tr>
            <w:tr w14:paraId="4AD9E16A">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3" w:hRule="atLeast"/>
              </w:trPr>
              <w:tc>
                <w:tcPr>
                  <w:tcW w:w="429" w:type="pct"/>
                  <w:tcBorders>
                    <w:tl2br w:val="nil"/>
                    <w:tr2bl w:val="nil"/>
                  </w:tcBorders>
                  <w:vAlign w:val="center"/>
                </w:tcPr>
                <w:p w14:paraId="1821FA10">
                  <w:pPr>
                    <w:snapToGrid w:val="0"/>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2</w:t>
                  </w:r>
                </w:p>
              </w:tc>
              <w:tc>
                <w:tcPr>
                  <w:tcW w:w="2423" w:type="pct"/>
                  <w:tcBorders>
                    <w:tl2br w:val="nil"/>
                    <w:tr2bl w:val="nil"/>
                  </w:tcBorders>
                  <w:vAlign w:val="center"/>
                </w:tcPr>
                <w:p w14:paraId="4E1A32E4">
                  <w:pPr>
                    <w:snapToGrid w:val="0"/>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推进低VOCs含量清洁原料替代。禁止建设生产和使用高VOCs含量的溶剂型涂料、油墨、胶粘剂等建设项目。</w:t>
                  </w:r>
                </w:p>
              </w:tc>
              <w:tc>
                <w:tcPr>
                  <w:tcW w:w="1651" w:type="pct"/>
                  <w:tcBorders>
                    <w:tl2br w:val="nil"/>
                    <w:tr2bl w:val="nil"/>
                  </w:tcBorders>
                  <w:vAlign w:val="center"/>
                </w:tcPr>
                <w:p w14:paraId="70E76532">
                  <w:pPr>
                    <w:wordWrap w:val="0"/>
                    <w:adjustRightInd w:val="0"/>
                    <w:snapToGrid w:val="0"/>
                    <w:jc w:val="center"/>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本项目</w:t>
                  </w:r>
                  <w:r>
                    <w:rPr>
                      <w:rFonts w:hint="eastAsia" w:ascii="Times New Roman" w:hAnsi="Times New Roman" w:eastAsia="宋体" w:cs="Times New Roman"/>
                      <w:color w:val="auto"/>
                      <w:kern w:val="0"/>
                      <w:sz w:val="21"/>
                      <w:szCs w:val="21"/>
                      <w:lang w:val="en-US" w:eastAsia="zh-CN"/>
                    </w:rPr>
                    <w:t>不涉及高VOCs含量的溶剂型涂料、油墨、胶粘剂等</w:t>
                  </w:r>
                  <w:r>
                    <w:rPr>
                      <w:rFonts w:hint="eastAsia" w:ascii="Times New Roman" w:hAnsi="Times New Roman" w:eastAsia="宋体" w:cs="Times New Roman"/>
                      <w:color w:val="auto"/>
                      <w:kern w:val="0"/>
                      <w:sz w:val="21"/>
                      <w:szCs w:val="21"/>
                    </w:rPr>
                    <w:t>。</w:t>
                  </w:r>
                </w:p>
              </w:tc>
              <w:tc>
                <w:tcPr>
                  <w:tcW w:w="495" w:type="pct"/>
                  <w:vMerge w:val="continue"/>
                  <w:tcBorders>
                    <w:tl2br w:val="nil"/>
                    <w:tr2bl w:val="nil"/>
                  </w:tcBorders>
                  <w:vAlign w:val="center"/>
                </w:tcPr>
                <w:p w14:paraId="5DF7E22F">
                  <w:pPr>
                    <w:snapToGrid w:val="0"/>
                    <w:jc w:val="center"/>
                    <w:rPr>
                      <w:rFonts w:ascii="Times New Roman" w:hAnsi="Times New Roman" w:eastAsia="宋体" w:cs="Times New Roman"/>
                      <w:color w:val="auto"/>
                      <w:kern w:val="0"/>
                      <w:sz w:val="21"/>
                      <w:szCs w:val="21"/>
                    </w:rPr>
                  </w:pPr>
                </w:p>
              </w:tc>
            </w:tr>
            <w:tr w14:paraId="6630B437">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3" w:hRule="atLeast"/>
              </w:trPr>
              <w:tc>
                <w:tcPr>
                  <w:tcW w:w="429" w:type="pct"/>
                  <w:tcBorders>
                    <w:tl2br w:val="nil"/>
                    <w:tr2bl w:val="nil"/>
                  </w:tcBorders>
                  <w:vAlign w:val="center"/>
                </w:tcPr>
                <w:p w14:paraId="587FF552">
                  <w:pPr>
                    <w:snapToGrid w:val="0"/>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3</w:t>
                  </w:r>
                </w:p>
              </w:tc>
              <w:tc>
                <w:tcPr>
                  <w:tcW w:w="2423" w:type="pct"/>
                  <w:tcBorders>
                    <w:tl2br w:val="nil"/>
                    <w:tr2bl w:val="nil"/>
                  </w:tcBorders>
                  <w:vAlign w:val="center"/>
                </w:tcPr>
                <w:p w14:paraId="352FAAFC">
                  <w:pPr>
                    <w:snapToGrid w:val="0"/>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规范工业企业排水行为。按照江苏省工业废水与生活污水分质处理工作推进方案及技术评估指南，推动工业废水与生活污水分类收集、分质处理。</w:t>
                  </w:r>
                </w:p>
              </w:tc>
              <w:tc>
                <w:tcPr>
                  <w:tcW w:w="1651" w:type="pct"/>
                  <w:tcBorders>
                    <w:tl2br w:val="nil"/>
                    <w:tr2bl w:val="nil"/>
                  </w:tcBorders>
                  <w:vAlign w:val="center"/>
                </w:tcPr>
                <w:p w14:paraId="0FD51627">
                  <w:pPr>
                    <w:snapToGrid w:val="0"/>
                    <w:rPr>
                      <w:rFonts w:hint="eastAsia" w:ascii="Times New Roman" w:hAnsi="Times New Roman" w:eastAsia="宋体" w:cs="Times New Roman"/>
                      <w:color w:val="auto"/>
                      <w:sz w:val="21"/>
                      <w:szCs w:val="21"/>
                      <w:lang w:eastAsia="zh-CN"/>
                    </w:rPr>
                  </w:pPr>
                  <w:r>
                    <w:rPr>
                      <w:rFonts w:hint="eastAsia" w:ascii="Times New Roman" w:hAnsi="Times New Roman" w:eastAsia="宋体" w:cs="Times New Roman"/>
                      <w:color w:val="auto"/>
                      <w:sz w:val="21"/>
                      <w:szCs w:val="21"/>
                      <w:lang w:eastAsia="zh-CN"/>
                    </w:rPr>
                    <w:t>本项目生活污水经化粪池处理后接管至鹰泰水务海安有限公司处理，处理后的达标尾水排入栟茶运河。</w:t>
                  </w:r>
                </w:p>
              </w:tc>
              <w:tc>
                <w:tcPr>
                  <w:tcW w:w="495" w:type="pct"/>
                  <w:vMerge w:val="continue"/>
                  <w:tcBorders>
                    <w:tl2br w:val="nil"/>
                    <w:tr2bl w:val="nil"/>
                  </w:tcBorders>
                  <w:vAlign w:val="center"/>
                </w:tcPr>
                <w:p w14:paraId="4351962F">
                  <w:pPr>
                    <w:snapToGrid w:val="0"/>
                    <w:rPr>
                      <w:rFonts w:ascii="Times New Roman" w:hAnsi="Times New Roman" w:eastAsia="宋体" w:cs="Times New Roman"/>
                      <w:color w:val="auto"/>
                      <w:sz w:val="21"/>
                      <w:szCs w:val="21"/>
                    </w:rPr>
                  </w:pPr>
                </w:p>
              </w:tc>
            </w:tr>
          </w:tbl>
          <w:p w14:paraId="060B1FDA">
            <w:pPr>
              <w:widowControl/>
              <w:snapToGrid w:val="0"/>
              <w:spacing w:line="360" w:lineRule="auto"/>
              <w:ind w:firstLine="482" w:firstLineChars="200"/>
              <w:rPr>
                <w:b/>
                <w:bCs/>
                <w:color w:val="auto"/>
                <w:sz w:val="24"/>
                <w:szCs w:val="24"/>
              </w:rPr>
            </w:pPr>
            <w:r>
              <w:rPr>
                <w:rFonts w:hint="eastAsia"/>
                <w:b/>
                <w:bCs/>
                <w:color w:val="auto"/>
                <w:sz w:val="24"/>
                <w:szCs w:val="24"/>
                <w:lang w:val="en-US" w:eastAsia="zh-CN"/>
              </w:rPr>
              <w:t>③</w:t>
            </w:r>
            <w:r>
              <w:rPr>
                <w:rFonts w:hint="eastAsia"/>
                <w:b/>
                <w:bCs/>
                <w:color w:val="auto"/>
                <w:sz w:val="24"/>
                <w:szCs w:val="24"/>
              </w:rPr>
              <w:t>与《关于加强重点行业涉新污染物建设项目环境影响评价工作的意见》（环环评〔2025〕28号）相符性分析</w:t>
            </w:r>
          </w:p>
          <w:p w14:paraId="75BA6AD9">
            <w:pPr>
              <w:widowControl/>
              <w:snapToGrid w:val="0"/>
              <w:spacing w:line="360" w:lineRule="auto"/>
              <w:ind w:firstLine="480" w:firstLineChars="200"/>
              <w:rPr>
                <w:color w:val="auto"/>
                <w:sz w:val="24"/>
                <w:szCs w:val="24"/>
              </w:rPr>
            </w:pPr>
            <w:r>
              <w:rPr>
                <w:rFonts w:hint="eastAsia"/>
                <w:color w:val="auto"/>
                <w:sz w:val="24"/>
                <w:szCs w:val="24"/>
              </w:rPr>
              <w:t>根据《关于加强重点行业涉新污染物建设项目环境影响评价工作的意见》（环环评〔2025〕28号）：“重点关注重点管控新污染物清单、有毒有害污染物名录、优先控制化学品名录以及《关于持久性有机污染物的斯德哥尔摩公约》（简称《斯德哥尔摩公约》）附件中已发布环境质量标准、污染物排放标准、环境监测方法标准或其他具有污染治理技术的污染物。重点关注石化、涂料、纺织印染、橡胶、农药、医药等重点行业建设项目，在建设项目环评工作中做好上述新污染物识别，涉及上述新污染物的，执行本意见要求；不涉及新污染物的，无需开展相关工作”。</w:t>
            </w:r>
          </w:p>
          <w:p w14:paraId="3D49BF8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szCs w:val="24"/>
                <w:lang w:val="en-US" w:eastAsia="zh-CN"/>
              </w:rPr>
            </w:pPr>
            <w:r>
              <w:rPr>
                <w:rFonts w:hint="eastAsia"/>
                <w:color w:val="auto"/>
                <w:sz w:val="24"/>
                <w:szCs w:val="24"/>
              </w:rPr>
              <w:t>本项目为[C3534]饲料生产专用设备制造，不属于文件中的重点行业，不涉及《重点管控新污染物清单（2023 年版）》、《关于持久性有机污染物的斯德哥尔摩公约》中的物质，不涉及有毒有害污染物、优先控制化学品。本项目不属于《关于加强重点行业涉新污染物建设项目环境影响评价工作的意见》（环环评〔2025〕28号）中不予审批环评的项目，符合文件要求。</w:t>
            </w:r>
          </w:p>
          <w:p w14:paraId="2DAA2A4E">
            <w:pPr>
              <w:widowControl/>
              <w:snapToGrid w:val="0"/>
              <w:spacing w:line="360" w:lineRule="auto"/>
              <w:ind w:firstLine="482" w:firstLineChars="200"/>
              <w:rPr>
                <w:rFonts w:hint="default"/>
                <w:b/>
                <w:bCs/>
                <w:color w:val="auto"/>
                <w:sz w:val="24"/>
                <w:szCs w:val="24"/>
                <w:lang w:val="en-US" w:eastAsia="zh-CN"/>
              </w:rPr>
            </w:pPr>
            <w:r>
              <w:rPr>
                <w:rFonts w:hint="eastAsia"/>
                <w:b/>
                <w:bCs/>
                <w:color w:val="auto"/>
                <w:sz w:val="24"/>
                <w:szCs w:val="24"/>
                <w:lang w:val="en-US" w:eastAsia="zh-CN"/>
              </w:rPr>
              <w:t>④与《南通市空气质量持续改善行动计划实施方案》（通政发〔2024〕24号）相符性分析</w:t>
            </w:r>
          </w:p>
          <w:p w14:paraId="3401CD5A">
            <w:pPr>
              <w:pStyle w:val="22"/>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color w:val="auto"/>
                <w:kern w:val="2"/>
                <w:sz w:val="24"/>
                <w:szCs w:val="24"/>
                <w:lang w:val="en-US" w:eastAsia="zh-CN" w:bidi="ar"/>
              </w:rPr>
            </w:pPr>
            <w:r>
              <w:rPr>
                <w:rFonts w:hint="eastAsia" w:ascii="Times New Roman" w:hAnsi="Times New Roman" w:cs="Times New Roman"/>
                <w:b/>
                <w:color w:val="auto"/>
                <w:kern w:val="2"/>
                <w:sz w:val="24"/>
                <w:szCs w:val="24"/>
                <w:lang w:val="en-US" w:eastAsia="zh-CN" w:bidi="ar"/>
              </w:rPr>
              <w:t>表1-9 本项目与《南通市空气质量持续改善行动计划实施方案》（通政发〔2024〕24号）相符性分析</w:t>
            </w:r>
          </w:p>
          <w:tbl>
            <w:tblPr>
              <w:tblStyle w:val="27"/>
              <w:tblW w:w="493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1"/>
              <w:gridCol w:w="4511"/>
              <w:gridCol w:w="1218"/>
              <w:gridCol w:w="683"/>
            </w:tblGrid>
            <w:tr w14:paraId="56102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05" w:type="pct"/>
                  <w:gridSpan w:val="2"/>
                  <w:tcBorders>
                    <w:top w:val="single" w:color="auto" w:sz="12" w:space="0"/>
                    <w:left w:val="nil"/>
                  </w:tcBorders>
                  <w:vAlign w:val="center"/>
                </w:tcPr>
                <w:p w14:paraId="7F91C58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eastAsia="宋体"/>
                      <w:b/>
                      <w:bCs/>
                      <w:color w:val="auto"/>
                      <w:sz w:val="21"/>
                      <w:szCs w:val="21"/>
                      <w:lang w:val="en-US" w:eastAsia="zh-CN"/>
                    </w:rPr>
                  </w:pPr>
                  <w:r>
                    <w:rPr>
                      <w:rFonts w:hint="eastAsia"/>
                      <w:b/>
                      <w:bCs/>
                      <w:color w:val="auto"/>
                      <w:sz w:val="21"/>
                      <w:szCs w:val="21"/>
                      <w:lang w:val="en-US" w:eastAsia="zh-CN"/>
                    </w:rPr>
                    <w:t>文件要求</w:t>
                  </w:r>
                </w:p>
              </w:tc>
              <w:tc>
                <w:tcPr>
                  <w:tcW w:w="829" w:type="pct"/>
                  <w:tcBorders>
                    <w:top w:val="single" w:color="auto" w:sz="12" w:space="0"/>
                  </w:tcBorders>
                  <w:vAlign w:val="center"/>
                </w:tcPr>
                <w:p w14:paraId="56B51DF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eastAsia="宋体"/>
                      <w:b/>
                      <w:bCs/>
                      <w:color w:val="auto"/>
                      <w:sz w:val="21"/>
                      <w:szCs w:val="21"/>
                      <w:lang w:val="en-US" w:eastAsia="zh-CN"/>
                    </w:rPr>
                  </w:pPr>
                  <w:r>
                    <w:rPr>
                      <w:rFonts w:hint="eastAsia"/>
                      <w:b/>
                      <w:bCs/>
                      <w:color w:val="auto"/>
                      <w:sz w:val="21"/>
                      <w:szCs w:val="21"/>
                      <w:lang w:val="en-US" w:eastAsia="zh-CN"/>
                    </w:rPr>
                    <w:t>本项目情况</w:t>
                  </w:r>
                </w:p>
              </w:tc>
              <w:tc>
                <w:tcPr>
                  <w:tcW w:w="464" w:type="pct"/>
                  <w:tcBorders>
                    <w:top w:val="single" w:color="auto" w:sz="12" w:space="0"/>
                    <w:right w:val="nil"/>
                  </w:tcBorders>
                  <w:vAlign w:val="center"/>
                </w:tcPr>
                <w:p w14:paraId="6507471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eastAsia="宋体"/>
                      <w:b/>
                      <w:bCs/>
                      <w:color w:val="auto"/>
                      <w:sz w:val="21"/>
                      <w:szCs w:val="21"/>
                      <w:lang w:val="en-US" w:eastAsia="zh-CN"/>
                    </w:rPr>
                  </w:pPr>
                  <w:r>
                    <w:rPr>
                      <w:rFonts w:hint="eastAsia"/>
                      <w:b/>
                      <w:bCs/>
                      <w:color w:val="auto"/>
                      <w:sz w:val="21"/>
                      <w:szCs w:val="21"/>
                      <w:lang w:val="en-US" w:eastAsia="zh-CN"/>
                    </w:rPr>
                    <w:t>是否相符</w:t>
                  </w:r>
                </w:p>
              </w:tc>
            </w:tr>
            <w:tr w14:paraId="672CE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33" w:type="pct"/>
                  <w:vMerge w:val="restart"/>
                  <w:tcBorders>
                    <w:left w:val="nil"/>
                  </w:tcBorders>
                  <w:vAlign w:val="center"/>
                </w:tcPr>
                <w:p w14:paraId="4B45EF85">
                  <w:pPr>
                    <w:pStyle w:val="22"/>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both"/>
                    <w:textAlignment w:val="auto"/>
                    <w:rPr>
                      <w:rFonts w:hint="default" w:ascii="Times New Roman" w:hAnsi="Times New Roman" w:eastAsia="宋体" w:cs="Times New Roman"/>
                      <w:b w:val="0"/>
                      <w:bCs/>
                      <w:color w:val="auto"/>
                      <w:kern w:val="2"/>
                      <w:sz w:val="21"/>
                      <w:szCs w:val="21"/>
                      <w:vertAlign w:val="baseline"/>
                      <w:lang w:val="en-US" w:eastAsia="zh-CN" w:bidi="ar"/>
                    </w:rPr>
                  </w:pPr>
                  <w:r>
                    <w:rPr>
                      <w:rFonts w:hint="default" w:ascii="Times New Roman" w:hAnsi="Times New Roman" w:eastAsia="宋体" w:cs="Times New Roman"/>
                      <w:b w:val="0"/>
                      <w:bCs/>
                      <w:color w:val="auto"/>
                      <w:kern w:val="2"/>
                      <w:sz w:val="21"/>
                      <w:szCs w:val="21"/>
                      <w:vertAlign w:val="baseline"/>
                      <w:lang w:val="en-US" w:eastAsia="zh-CN" w:bidi="ar"/>
                    </w:rPr>
                    <w:t>二、优化产业结构，促进产业产品绿色升级</w:t>
                  </w:r>
                </w:p>
              </w:tc>
              <w:tc>
                <w:tcPr>
                  <w:tcW w:w="3071" w:type="pct"/>
                  <w:vAlign w:val="center"/>
                </w:tcPr>
                <w:p w14:paraId="4845106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right="0"/>
                    <w:jc w:val="both"/>
                    <w:textAlignment w:val="center"/>
                    <w:rPr>
                      <w:rFonts w:hint="default" w:ascii="Times New Roman" w:hAnsi="Times New Roman" w:eastAsia="宋体" w:cs="Times New Roman"/>
                      <w:b w:val="0"/>
                      <w:bCs/>
                      <w:color w:val="auto"/>
                      <w:kern w:val="2"/>
                      <w:sz w:val="21"/>
                      <w:szCs w:val="21"/>
                      <w:vertAlign w:val="baseline"/>
                      <w:lang w:val="en-US" w:eastAsia="zh-CN" w:bidi="ar"/>
                    </w:rPr>
                  </w:pPr>
                  <w:r>
                    <w:rPr>
                      <w:rFonts w:hint="default" w:ascii="Times New Roman" w:hAnsi="Times New Roman" w:eastAsia="宋体" w:cs="Times New Roman"/>
                      <w:b w:val="0"/>
                      <w:bCs/>
                      <w:color w:val="auto"/>
                      <w:kern w:val="2"/>
                      <w:sz w:val="21"/>
                      <w:szCs w:val="21"/>
                      <w:vertAlign w:val="baseline"/>
                      <w:lang w:val="en-US" w:eastAsia="zh-CN" w:bidi="ar"/>
                    </w:rPr>
                    <w:t>（一）坚决遏制“两高一低”项目盲目上马。按照省统一部署，落实“两高”项目管理目录，对“两高一低”项目实行清单管理、分类处置、动态监控。严禁核准或备案焦化、电解铝、水泥（熟料）、平板玻璃（不含光伏平板玻璃）和炼化（纳入国家产业规划除外）等行业新增产能的项目，严格钢铁冶炼项目备案管理。</w:t>
                  </w:r>
                </w:p>
              </w:tc>
              <w:tc>
                <w:tcPr>
                  <w:tcW w:w="829" w:type="pct"/>
                  <w:vAlign w:val="center"/>
                </w:tcPr>
                <w:p w14:paraId="6C2972E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vertAlign w:val="baseline"/>
                      <w:lang w:val="en-US" w:eastAsia="zh-CN" w:bidi="ar"/>
                    </w:rPr>
                  </w:pPr>
                  <w:r>
                    <w:rPr>
                      <w:rFonts w:hint="eastAsia" w:ascii="Times New Roman" w:hAnsi="Times New Roman" w:eastAsia="宋体" w:cs="Times New Roman"/>
                      <w:b w:val="0"/>
                      <w:bCs/>
                      <w:color w:val="auto"/>
                      <w:kern w:val="2"/>
                      <w:sz w:val="21"/>
                      <w:szCs w:val="21"/>
                      <w:vertAlign w:val="baseline"/>
                      <w:lang w:val="en-US" w:eastAsia="zh-CN" w:bidi="ar"/>
                    </w:rPr>
                    <w:t>本项目属于[C3534]饲料生产专用设备制造，不属于“两高”项目。</w:t>
                  </w:r>
                </w:p>
              </w:tc>
              <w:tc>
                <w:tcPr>
                  <w:tcW w:w="464" w:type="pct"/>
                  <w:tcBorders>
                    <w:right w:val="nil"/>
                  </w:tcBorders>
                  <w:vAlign w:val="center"/>
                </w:tcPr>
                <w:p w14:paraId="2B979F9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vertAlign w:val="baseline"/>
                      <w:lang w:val="en-US" w:eastAsia="zh-CN" w:bidi="ar"/>
                    </w:rPr>
                  </w:pPr>
                  <w:r>
                    <w:rPr>
                      <w:rFonts w:hint="eastAsia" w:ascii="Times New Roman" w:hAnsi="Times New Roman" w:eastAsia="宋体" w:cs="Times New Roman"/>
                      <w:b w:val="0"/>
                      <w:bCs/>
                      <w:color w:val="auto"/>
                      <w:kern w:val="2"/>
                      <w:sz w:val="21"/>
                      <w:szCs w:val="21"/>
                      <w:vertAlign w:val="baseline"/>
                      <w:lang w:val="en-US" w:eastAsia="zh-CN" w:bidi="ar"/>
                    </w:rPr>
                    <w:t>相符</w:t>
                  </w:r>
                </w:p>
              </w:tc>
            </w:tr>
            <w:tr w14:paraId="790C4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33" w:type="pct"/>
                  <w:vMerge w:val="continue"/>
                  <w:tcBorders>
                    <w:left w:val="nil"/>
                  </w:tcBorders>
                  <w:vAlign w:val="center"/>
                </w:tcPr>
                <w:p w14:paraId="31642DF6">
                  <w:pPr>
                    <w:pStyle w:val="22"/>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both"/>
                    <w:rPr>
                      <w:rFonts w:hint="default" w:ascii="Times New Roman" w:hAnsi="Times New Roman" w:eastAsia="宋体" w:cs="Times New Roman"/>
                      <w:b w:val="0"/>
                      <w:bCs/>
                      <w:color w:val="auto"/>
                      <w:kern w:val="2"/>
                      <w:sz w:val="21"/>
                      <w:szCs w:val="21"/>
                      <w:vertAlign w:val="baseline"/>
                      <w:lang w:val="en-US" w:eastAsia="zh-CN" w:bidi="ar"/>
                    </w:rPr>
                  </w:pPr>
                </w:p>
              </w:tc>
              <w:tc>
                <w:tcPr>
                  <w:tcW w:w="3071" w:type="pct"/>
                  <w:vAlign w:val="center"/>
                </w:tcPr>
                <w:p w14:paraId="4AB2960B">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right="0"/>
                    <w:jc w:val="both"/>
                    <w:rPr>
                      <w:rFonts w:hint="default" w:ascii="Times New Roman" w:hAnsi="Times New Roman" w:eastAsia="宋体" w:cs="Times New Roman"/>
                      <w:b w:val="0"/>
                      <w:bCs/>
                      <w:color w:val="auto"/>
                      <w:kern w:val="2"/>
                      <w:sz w:val="21"/>
                      <w:szCs w:val="21"/>
                      <w:vertAlign w:val="baseline"/>
                      <w:lang w:val="en-US" w:eastAsia="zh-CN" w:bidi="ar"/>
                    </w:rPr>
                  </w:pPr>
                  <w:r>
                    <w:rPr>
                      <w:rFonts w:hint="default" w:ascii="Times New Roman" w:hAnsi="Times New Roman" w:eastAsia="宋体" w:cs="Times New Roman"/>
                      <w:b w:val="0"/>
                      <w:bCs/>
                      <w:color w:val="auto"/>
                      <w:kern w:val="2"/>
                      <w:sz w:val="21"/>
                      <w:szCs w:val="21"/>
                      <w:vertAlign w:val="baseline"/>
                      <w:lang w:val="en-US" w:eastAsia="zh-CN" w:bidi="ar"/>
                    </w:rPr>
                    <w:t>（二）加快退出重点行业落后产能。落实国家《产业结构调整指导目录（2024年本）》，依法依规关停退出淘汰类落后生产工艺装备，推进全市每小时2蒸吨及以下生物质锅炉尽快淘汰。</w:t>
                  </w:r>
                </w:p>
              </w:tc>
              <w:tc>
                <w:tcPr>
                  <w:tcW w:w="829" w:type="pct"/>
                  <w:vAlign w:val="center"/>
                </w:tcPr>
                <w:p w14:paraId="62C5C3E7">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rPr>
                      <w:rFonts w:hint="default" w:ascii="Times New Roman" w:hAnsi="Times New Roman" w:eastAsia="宋体" w:cs="Times New Roman"/>
                      <w:b w:val="0"/>
                      <w:bCs/>
                      <w:color w:val="auto"/>
                      <w:kern w:val="2"/>
                      <w:sz w:val="21"/>
                      <w:szCs w:val="21"/>
                      <w:vertAlign w:val="baseline"/>
                      <w:lang w:val="en-US" w:eastAsia="zh-CN" w:bidi="ar"/>
                    </w:rPr>
                  </w:pPr>
                  <w:r>
                    <w:rPr>
                      <w:rFonts w:hint="eastAsia" w:ascii="Times New Roman" w:hAnsi="Times New Roman" w:eastAsia="宋体" w:cs="Times New Roman"/>
                      <w:b w:val="0"/>
                      <w:bCs/>
                      <w:color w:val="auto"/>
                      <w:kern w:val="2"/>
                      <w:sz w:val="21"/>
                      <w:szCs w:val="21"/>
                      <w:vertAlign w:val="baseline"/>
                      <w:lang w:val="en-US" w:eastAsia="zh-CN" w:bidi="ar"/>
                    </w:rPr>
                    <w:t>本项目不涉及淘汰类落后生产工艺装备，不涉及锅炉。</w:t>
                  </w:r>
                </w:p>
              </w:tc>
              <w:tc>
                <w:tcPr>
                  <w:tcW w:w="464" w:type="pct"/>
                  <w:tcBorders>
                    <w:right w:val="nil"/>
                  </w:tcBorders>
                  <w:vAlign w:val="center"/>
                </w:tcPr>
                <w:p w14:paraId="154D575C">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rPr>
                      <w:rFonts w:hint="default" w:ascii="Times New Roman" w:hAnsi="Times New Roman" w:eastAsia="宋体" w:cs="Times New Roman"/>
                      <w:b w:val="0"/>
                      <w:bCs/>
                      <w:color w:val="auto"/>
                      <w:kern w:val="2"/>
                      <w:sz w:val="21"/>
                      <w:szCs w:val="21"/>
                      <w:vertAlign w:val="baseline"/>
                      <w:lang w:val="en-US" w:eastAsia="zh-CN" w:bidi="ar"/>
                    </w:rPr>
                  </w:pPr>
                  <w:r>
                    <w:rPr>
                      <w:rFonts w:hint="eastAsia" w:ascii="Times New Roman" w:hAnsi="Times New Roman" w:eastAsia="宋体" w:cs="Times New Roman"/>
                      <w:b w:val="0"/>
                      <w:bCs/>
                      <w:color w:val="auto"/>
                      <w:kern w:val="2"/>
                      <w:sz w:val="21"/>
                      <w:szCs w:val="21"/>
                      <w:vertAlign w:val="baseline"/>
                      <w:lang w:val="en-US" w:eastAsia="zh-CN" w:bidi="ar"/>
                    </w:rPr>
                    <w:t>相符</w:t>
                  </w:r>
                </w:p>
              </w:tc>
            </w:tr>
            <w:tr w14:paraId="63CB7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33" w:type="pct"/>
                  <w:vMerge w:val="restart"/>
                  <w:tcBorders>
                    <w:left w:val="nil"/>
                  </w:tcBorders>
                  <w:vAlign w:val="center"/>
                </w:tcPr>
                <w:p w14:paraId="58A9A4B0">
                  <w:pPr>
                    <w:pStyle w:val="22"/>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both"/>
                    <w:rPr>
                      <w:rFonts w:hint="default" w:ascii="Times New Roman" w:hAnsi="Times New Roman" w:eastAsia="宋体" w:cs="Times New Roman"/>
                      <w:b w:val="0"/>
                      <w:bCs/>
                      <w:color w:val="auto"/>
                      <w:kern w:val="2"/>
                      <w:sz w:val="21"/>
                      <w:szCs w:val="21"/>
                      <w:vertAlign w:val="baseline"/>
                      <w:lang w:val="en-US" w:eastAsia="zh-CN" w:bidi="ar"/>
                    </w:rPr>
                  </w:pPr>
                  <w:r>
                    <w:rPr>
                      <w:rFonts w:hint="default" w:ascii="Times New Roman" w:hAnsi="Times New Roman" w:eastAsia="宋体" w:cs="Times New Roman"/>
                      <w:b w:val="0"/>
                      <w:bCs/>
                      <w:color w:val="auto"/>
                      <w:kern w:val="2"/>
                      <w:sz w:val="21"/>
                      <w:szCs w:val="21"/>
                      <w:vertAlign w:val="baseline"/>
                      <w:lang w:val="en-US" w:eastAsia="zh-CN" w:bidi="ar"/>
                    </w:rPr>
                    <w:t>四、优化交通结构，大力发展绿色运输体系</w:t>
                  </w:r>
                </w:p>
              </w:tc>
              <w:tc>
                <w:tcPr>
                  <w:tcW w:w="3071" w:type="pct"/>
                  <w:vAlign w:val="center"/>
                </w:tcPr>
                <w:p w14:paraId="0CA7E477">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right="0"/>
                    <w:jc w:val="both"/>
                    <w:rPr>
                      <w:rFonts w:hint="default" w:ascii="Times New Roman" w:hAnsi="Times New Roman" w:eastAsia="宋体" w:cs="Times New Roman"/>
                      <w:b w:val="0"/>
                      <w:bCs/>
                      <w:color w:val="auto"/>
                      <w:kern w:val="2"/>
                      <w:sz w:val="21"/>
                      <w:szCs w:val="21"/>
                      <w:vertAlign w:val="baseline"/>
                      <w:lang w:val="en-US" w:eastAsia="zh-CN" w:bidi="ar"/>
                    </w:rPr>
                  </w:pPr>
                  <w:r>
                    <w:rPr>
                      <w:rFonts w:hint="default" w:ascii="Times New Roman" w:hAnsi="Times New Roman" w:eastAsia="宋体" w:cs="Times New Roman"/>
                      <w:b w:val="0"/>
                      <w:bCs/>
                      <w:color w:val="auto"/>
                      <w:kern w:val="2"/>
                      <w:sz w:val="21"/>
                      <w:szCs w:val="21"/>
                      <w:vertAlign w:val="baseline"/>
                      <w:lang w:val="en-US" w:eastAsia="zh-CN" w:bidi="ar"/>
                    </w:rPr>
                    <w:t>（七）持续优化调整货物运输结构。大力发展铁路、水运等集约化的运输方式，加快推进大宗货物和中长距离货物运输“公转铁”“公转水”，加快发展江海河联运，构建便捷高效的多式联运体系。到2025年，水路、铁路货运量比2020年分别增长12%和10%左右，铁路集装箱多式联运量年均增长10%以上；沿海主要港口铁矿石、焦炭等清洁运输（含新能源车）比例力争达80%；沿江沿海主要港口集疏港高快速路实现全覆盖，开通通海港、吕四港铁路专用线。</w:t>
                  </w:r>
                </w:p>
              </w:tc>
              <w:tc>
                <w:tcPr>
                  <w:tcW w:w="829" w:type="pct"/>
                  <w:vAlign w:val="center"/>
                </w:tcPr>
                <w:p w14:paraId="27146E8E">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rPr>
                      <w:rFonts w:hint="default" w:ascii="Times New Roman" w:hAnsi="Times New Roman" w:eastAsia="宋体" w:cs="Times New Roman"/>
                      <w:b w:val="0"/>
                      <w:bCs/>
                      <w:color w:val="auto"/>
                      <w:kern w:val="2"/>
                      <w:sz w:val="21"/>
                      <w:szCs w:val="21"/>
                      <w:vertAlign w:val="baseline"/>
                      <w:lang w:val="en-US" w:eastAsia="zh-CN" w:bidi="ar"/>
                    </w:rPr>
                  </w:pPr>
                  <w:r>
                    <w:rPr>
                      <w:rFonts w:hint="eastAsia" w:ascii="Times New Roman" w:hAnsi="Times New Roman" w:eastAsia="宋体" w:cs="Times New Roman"/>
                      <w:b w:val="0"/>
                      <w:bCs/>
                      <w:color w:val="auto"/>
                      <w:kern w:val="2"/>
                      <w:sz w:val="21"/>
                      <w:szCs w:val="21"/>
                      <w:vertAlign w:val="baseline"/>
                      <w:lang w:val="en-US" w:eastAsia="zh-CN" w:bidi="ar"/>
                    </w:rPr>
                    <w:t>本项目</w:t>
                  </w:r>
                  <w:r>
                    <w:rPr>
                      <w:rFonts w:hint="default" w:ascii="Times New Roman" w:hAnsi="Times New Roman" w:eastAsia="宋体" w:cs="Times New Roman"/>
                      <w:b w:val="0"/>
                      <w:bCs/>
                      <w:color w:val="auto"/>
                      <w:kern w:val="2"/>
                      <w:sz w:val="21"/>
                      <w:szCs w:val="21"/>
                      <w:vertAlign w:val="baseline"/>
                      <w:lang w:val="en-US" w:eastAsia="zh-CN" w:bidi="ar"/>
                    </w:rPr>
                    <w:t>优先采用铁路、水路等清洁运输方式。</w:t>
                  </w:r>
                </w:p>
              </w:tc>
              <w:tc>
                <w:tcPr>
                  <w:tcW w:w="464" w:type="pct"/>
                  <w:tcBorders>
                    <w:right w:val="nil"/>
                  </w:tcBorders>
                  <w:vAlign w:val="center"/>
                </w:tcPr>
                <w:p w14:paraId="239E7E7D">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rPr>
                      <w:rFonts w:hint="default" w:ascii="Times New Roman" w:hAnsi="Times New Roman" w:eastAsia="宋体" w:cs="Times New Roman"/>
                      <w:b/>
                      <w:color w:val="auto"/>
                      <w:kern w:val="2"/>
                      <w:sz w:val="21"/>
                      <w:szCs w:val="21"/>
                      <w:vertAlign w:val="baseline"/>
                      <w:lang w:val="en-US" w:eastAsia="zh-CN" w:bidi="ar"/>
                    </w:rPr>
                  </w:pPr>
                  <w:r>
                    <w:rPr>
                      <w:rFonts w:hint="eastAsia" w:ascii="Times New Roman" w:hAnsi="Times New Roman" w:eastAsia="宋体" w:cs="Times New Roman"/>
                      <w:b w:val="0"/>
                      <w:bCs/>
                      <w:color w:val="auto"/>
                      <w:kern w:val="2"/>
                      <w:sz w:val="21"/>
                      <w:szCs w:val="21"/>
                      <w:vertAlign w:val="baseline"/>
                      <w:lang w:val="en-US" w:eastAsia="zh-CN" w:bidi="ar"/>
                    </w:rPr>
                    <w:t>相符</w:t>
                  </w:r>
                </w:p>
              </w:tc>
            </w:tr>
            <w:tr w14:paraId="777AE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33" w:type="pct"/>
                  <w:vMerge w:val="continue"/>
                  <w:tcBorders>
                    <w:left w:val="nil"/>
                  </w:tcBorders>
                  <w:vAlign w:val="center"/>
                </w:tcPr>
                <w:p w14:paraId="0489662B">
                  <w:pPr>
                    <w:pStyle w:val="22"/>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both"/>
                    <w:rPr>
                      <w:rFonts w:hint="default" w:ascii="Times New Roman" w:hAnsi="Times New Roman" w:eastAsia="宋体" w:cs="Times New Roman"/>
                      <w:b w:val="0"/>
                      <w:bCs/>
                      <w:color w:val="auto"/>
                      <w:kern w:val="2"/>
                      <w:sz w:val="21"/>
                      <w:szCs w:val="21"/>
                      <w:vertAlign w:val="baseline"/>
                      <w:lang w:val="en-US" w:eastAsia="zh-CN" w:bidi="ar"/>
                    </w:rPr>
                  </w:pPr>
                </w:p>
              </w:tc>
              <w:tc>
                <w:tcPr>
                  <w:tcW w:w="3071" w:type="pct"/>
                  <w:vAlign w:val="center"/>
                </w:tcPr>
                <w:p w14:paraId="3A856E89">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right="0"/>
                    <w:jc w:val="both"/>
                    <w:rPr>
                      <w:rFonts w:hint="default" w:ascii="Times New Roman" w:hAnsi="Times New Roman" w:eastAsia="宋体" w:cs="Times New Roman"/>
                      <w:b w:val="0"/>
                      <w:bCs/>
                      <w:color w:val="auto"/>
                      <w:kern w:val="2"/>
                      <w:sz w:val="21"/>
                      <w:szCs w:val="21"/>
                      <w:vertAlign w:val="baseline"/>
                      <w:lang w:val="en-US" w:eastAsia="zh-CN" w:bidi="ar"/>
                    </w:rPr>
                  </w:pPr>
                  <w:r>
                    <w:rPr>
                      <w:rFonts w:hint="default" w:ascii="Times New Roman" w:hAnsi="Times New Roman" w:eastAsia="宋体" w:cs="Times New Roman"/>
                      <w:b w:val="0"/>
                      <w:bCs/>
                      <w:color w:val="auto"/>
                      <w:kern w:val="2"/>
                      <w:sz w:val="21"/>
                      <w:szCs w:val="21"/>
                      <w:vertAlign w:val="baseline"/>
                      <w:lang w:val="en-US" w:eastAsia="zh-CN" w:bidi="ar"/>
                    </w:rPr>
                    <w:t>（八）加快提升机动车清洁化水平。加快推进交通工具向电气化、低碳化、智能化转型升级，加快淘汰老旧车辆，积极扩大电力、氢能、天然气等新能源、清洁能源在交通运输领域应用。到2025年，公共领域新增或更新公交、出租、城市物流配送、轻型环卫等车辆中，新能源汽车比例不低于80%。2024年底前基本实现国三及以下排放标准柴油货车“动态清零”，按照省统一部署，逐步推进国四排放标准柴油货车淘汰。</w:t>
                  </w:r>
                </w:p>
              </w:tc>
              <w:tc>
                <w:tcPr>
                  <w:tcW w:w="829" w:type="pct"/>
                  <w:vAlign w:val="center"/>
                </w:tcPr>
                <w:p w14:paraId="63AC38C6">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rPr>
                      <w:rFonts w:hint="default" w:ascii="Times New Roman" w:hAnsi="Times New Roman" w:eastAsia="宋体" w:cs="Times New Roman"/>
                      <w:b w:val="0"/>
                      <w:bCs/>
                      <w:color w:val="auto"/>
                      <w:kern w:val="2"/>
                      <w:sz w:val="21"/>
                      <w:szCs w:val="21"/>
                      <w:vertAlign w:val="baseline"/>
                      <w:lang w:val="en-US" w:eastAsia="zh-CN" w:bidi="ar"/>
                    </w:rPr>
                  </w:pPr>
                  <w:r>
                    <w:rPr>
                      <w:rFonts w:hint="eastAsia" w:ascii="Times New Roman" w:hAnsi="Times New Roman" w:eastAsia="宋体" w:cs="Times New Roman"/>
                      <w:b w:val="0"/>
                      <w:bCs/>
                      <w:color w:val="auto"/>
                      <w:kern w:val="2"/>
                      <w:sz w:val="21"/>
                      <w:szCs w:val="21"/>
                      <w:vertAlign w:val="baseline"/>
                      <w:lang w:val="en-US" w:eastAsia="zh-CN" w:bidi="ar"/>
                    </w:rPr>
                    <w:t>本项目</w:t>
                  </w:r>
                  <w:r>
                    <w:rPr>
                      <w:rFonts w:hint="default" w:ascii="Times New Roman" w:hAnsi="Times New Roman" w:eastAsia="宋体" w:cs="Times New Roman"/>
                      <w:b w:val="0"/>
                      <w:bCs/>
                      <w:color w:val="auto"/>
                      <w:kern w:val="2"/>
                      <w:sz w:val="21"/>
                      <w:szCs w:val="21"/>
                      <w:vertAlign w:val="baseline"/>
                      <w:lang w:val="en-US" w:eastAsia="zh-CN" w:bidi="ar"/>
                    </w:rPr>
                    <w:t>运输车辆优先采用新能源汽车。</w:t>
                  </w:r>
                </w:p>
              </w:tc>
              <w:tc>
                <w:tcPr>
                  <w:tcW w:w="464" w:type="pct"/>
                  <w:tcBorders>
                    <w:right w:val="nil"/>
                  </w:tcBorders>
                  <w:vAlign w:val="center"/>
                </w:tcPr>
                <w:p w14:paraId="7AEE5CA9">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rPr>
                      <w:rFonts w:hint="eastAsia" w:ascii="Times New Roman" w:hAnsi="Times New Roman" w:eastAsia="宋体" w:cs="Times New Roman"/>
                      <w:b w:val="0"/>
                      <w:bCs/>
                      <w:color w:val="auto"/>
                      <w:kern w:val="2"/>
                      <w:sz w:val="21"/>
                      <w:szCs w:val="21"/>
                      <w:vertAlign w:val="baseline"/>
                      <w:lang w:val="en-US" w:eastAsia="zh-CN" w:bidi="ar"/>
                    </w:rPr>
                  </w:pPr>
                  <w:r>
                    <w:rPr>
                      <w:rFonts w:hint="eastAsia" w:ascii="Times New Roman" w:hAnsi="Times New Roman" w:eastAsia="宋体" w:cs="Times New Roman"/>
                      <w:b w:val="0"/>
                      <w:bCs/>
                      <w:color w:val="auto"/>
                      <w:kern w:val="2"/>
                      <w:sz w:val="21"/>
                      <w:szCs w:val="21"/>
                      <w:vertAlign w:val="baseline"/>
                      <w:lang w:val="en-US" w:eastAsia="zh-CN" w:bidi="ar"/>
                    </w:rPr>
                    <w:t>相符</w:t>
                  </w:r>
                </w:p>
              </w:tc>
            </w:tr>
            <w:tr w14:paraId="4F1F1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33" w:type="pct"/>
                  <w:tcBorders>
                    <w:left w:val="nil"/>
                    <w:bottom w:val="single" w:color="auto" w:sz="12" w:space="0"/>
                  </w:tcBorders>
                  <w:vAlign w:val="center"/>
                </w:tcPr>
                <w:p w14:paraId="73F72026">
                  <w:pPr>
                    <w:pStyle w:val="22"/>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both"/>
                    <w:rPr>
                      <w:rFonts w:hint="default" w:ascii="Times New Roman" w:hAnsi="Times New Roman" w:eastAsia="宋体" w:cs="Times New Roman"/>
                      <w:b w:val="0"/>
                      <w:bCs/>
                      <w:color w:val="auto"/>
                      <w:kern w:val="2"/>
                      <w:sz w:val="21"/>
                      <w:szCs w:val="21"/>
                      <w:vertAlign w:val="baseline"/>
                      <w:lang w:val="en-US" w:eastAsia="zh-CN" w:bidi="ar"/>
                    </w:rPr>
                  </w:pPr>
                  <w:r>
                    <w:rPr>
                      <w:rFonts w:hint="default" w:ascii="Times New Roman" w:hAnsi="Times New Roman" w:eastAsia="宋体" w:cs="Times New Roman"/>
                      <w:b w:val="0"/>
                      <w:bCs/>
                      <w:color w:val="auto"/>
                      <w:kern w:val="2"/>
                      <w:sz w:val="21"/>
                      <w:szCs w:val="21"/>
                      <w:vertAlign w:val="baseline"/>
                      <w:lang w:val="en-US" w:eastAsia="zh-CN" w:bidi="ar"/>
                    </w:rPr>
                    <w:t>六、强化多污染物减排，切实降低排放强度</w:t>
                  </w:r>
                </w:p>
              </w:tc>
              <w:tc>
                <w:tcPr>
                  <w:tcW w:w="3071" w:type="pct"/>
                  <w:tcBorders>
                    <w:bottom w:val="single" w:color="auto" w:sz="12" w:space="0"/>
                  </w:tcBorders>
                  <w:vAlign w:val="center"/>
                </w:tcPr>
                <w:p w14:paraId="732C2630">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right="0"/>
                    <w:jc w:val="both"/>
                    <w:rPr>
                      <w:rFonts w:hint="default" w:ascii="Times New Roman" w:hAnsi="Times New Roman" w:eastAsia="宋体" w:cs="Times New Roman"/>
                      <w:b w:val="0"/>
                      <w:bCs/>
                      <w:color w:val="auto"/>
                      <w:kern w:val="2"/>
                      <w:sz w:val="21"/>
                      <w:szCs w:val="21"/>
                      <w:vertAlign w:val="baseline"/>
                      <w:lang w:val="en-US" w:eastAsia="zh-CN" w:bidi="ar"/>
                    </w:rPr>
                  </w:pPr>
                  <w:r>
                    <w:rPr>
                      <w:rFonts w:hint="default" w:ascii="Times New Roman" w:hAnsi="Times New Roman" w:eastAsia="宋体" w:cs="Times New Roman"/>
                      <w:b w:val="0"/>
                      <w:bCs/>
                      <w:color w:val="auto"/>
                      <w:kern w:val="2"/>
                      <w:sz w:val="21"/>
                      <w:szCs w:val="21"/>
                      <w:vertAlign w:val="baseline"/>
                      <w:lang w:val="en-US" w:eastAsia="zh-CN" w:bidi="ar"/>
                    </w:rPr>
                    <w:t>（十三）推进重点行业超低排放与提标改造。有序推进铸造、垃圾焚烧发电、玻璃、有色、砖瓦、水泥等行业深度治理。到2024年底，全市水泥和焦化企业基本完成超低排放改造。实施重点行业绩效等级提升行动。推进燃气锅炉低氮燃烧改造。</w:t>
                  </w:r>
                </w:p>
              </w:tc>
              <w:tc>
                <w:tcPr>
                  <w:tcW w:w="829" w:type="pct"/>
                  <w:tcBorders>
                    <w:bottom w:val="single" w:color="auto" w:sz="12" w:space="0"/>
                  </w:tcBorders>
                  <w:vAlign w:val="center"/>
                </w:tcPr>
                <w:p w14:paraId="3DCB9E90">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rPr>
                      <w:rFonts w:hint="default" w:ascii="Times New Roman" w:hAnsi="Times New Roman" w:eastAsia="宋体" w:cs="Times New Roman"/>
                      <w:b w:val="0"/>
                      <w:bCs/>
                      <w:color w:val="auto"/>
                      <w:kern w:val="2"/>
                      <w:sz w:val="21"/>
                      <w:szCs w:val="21"/>
                      <w:vertAlign w:val="baseline"/>
                      <w:lang w:val="en-US" w:eastAsia="zh-CN" w:bidi="ar"/>
                    </w:rPr>
                  </w:pPr>
                  <w:r>
                    <w:rPr>
                      <w:rFonts w:hint="eastAsia" w:ascii="Times New Roman" w:hAnsi="Times New Roman" w:eastAsia="宋体" w:cs="Times New Roman"/>
                      <w:b w:val="0"/>
                      <w:bCs/>
                      <w:color w:val="auto"/>
                      <w:kern w:val="2"/>
                      <w:sz w:val="21"/>
                      <w:szCs w:val="21"/>
                      <w:vertAlign w:val="baseline"/>
                      <w:lang w:val="en-US" w:eastAsia="zh-CN" w:bidi="ar"/>
                    </w:rPr>
                    <w:t>本项目使用电能等清洁能源。</w:t>
                  </w:r>
                </w:p>
              </w:tc>
              <w:tc>
                <w:tcPr>
                  <w:tcW w:w="464" w:type="pct"/>
                  <w:tcBorders>
                    <w:bottom w:val="single" w:color="auto" w:sz="12" w:space="0"/>
                    <w:right w:val="nil"/>
                  </w:tcBorders>
                  <w:vAlign w:val="center"/>
                </w:tcPr>
                <w:p w14:paraId="35067D75">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rPr>
                      <w:rFonts w:hint="eastAsia" w:ascii="Times New Roman" w:hAnsi="Times New Roman" w:eastAsia="宋体" w:cs="Times New Roman"/>
                      <w:b w:val="0"/>
                      <w:bCs/>
                      <w:color w:val="auto"/>
                      <w:kern w:val="2"/>
                      <w:sz w:val="21"/>
                      <w:szCs w:val="21"/>
                      <w:vertAlign w:val="baseline"/>
                      <w:lang w:val="en-US" w:eastAsia="zh-CN" w:bidi="ar"/>
                    </w:rPr>
                  </w:pPr>
                  <w:r>
                    <w:rPr>
                      <w:rFonts w:hint="eastAsia" w:ascii="Times New Roman" w:hAnsi="Times New Roman" w:eastAsia="宋体" w:cs="Times New Roman"/>
                      <w:b w:val="0"/>
                      <w:bCs/>
                      <w:color w:val="auto"/>
                      <w:kern w:val="2"/>
                      <w:sz w:val="21"/>
                      <w:szCs w:val="21"/>
                      <w:vertAlign w:val="baseline"/>
                      <w:lang w:val="en-US" w:eastAsia="zh-CN" w:bidi="ar"/>
                    </w:rPr>
                    <w:t>相符</w:t>
                  </w:r>
                </w:p>
              </w:tc>
            </w:tr>
          </w:tbl>
          <w:p w14:paraId="534CE8B8">
            <w:pPr>
              <w:widowControl/>
              <w:snapToGrid w:val="0"/>
              <w:spacing w:line="360" w:lineRule="auto"/>
              <w:ind w:firstLine="482" w:firstLineChars="200"/>
              <w:rPr>
                <w:rFonts w:hint="default"/>
                <w:b/>
                <w:bCs/>
                <w:color w:val="auto"/>
                <w:sz w:val="24"/>
                <w:szCs w:val="24"/>
                <w:lang w:val="en-US" w:eastAsia="zh-CN"/>
              </w:rPr>
            </w:pPr>
            <w:r>
              <w:rPr>
                <w:rFonts w:hint="eastAsia" w:cs="Times New Roman"/>
                <w:b/>
                <w:bCs/>
                <w:color w:val="auto"/>
                <w:sz w:val="24"/>
                <w:szCs w:val="24"/>
                <w:lang w:val="en-US" w:eastAsia="zh-CN"/>
              </w:rPr>
              <w:t>⑤</w:t>
            </w:r>
            <w:r>
              <w:rPr>
                <w:rFonts w:hint="eastAsia" w:ascii="Times New Roman" w:hAnsi="Times New Roman" w:eastAsia="宋体" w:cs="Times New Roman"/>
                <w:b/>
                <w:bCs/>
                <w:color w:val="auto"/>
                <w:sz w:val="24"/>
                <w:szCs w:val="24"/>
                <w:lang w:val="en-US" w:eastAsia="zh-CN"/>
              </w:rPr>
              <w:t>与《</w:t>
            </w:r>
            <w:r>
              <w:rPr>
                <w:rFonts w:hint="eastAsia"/>
                <w:b/>
                <w:bCs/>
                <w:color w:val="auto"/>
                <w:sz w:val="24"/>
                <w:szCs w:val="24"/>
                <w:lang w:val="en-US" w:eastAsia="zh-CN"/>
              </w:rPr>
              <w:t>一般工业固体废物环境管理工作指南》（环办固体函〔2026〕18号）相符性分析</w:t>
            </w:r>
          </w:p>
          <w:p w14:paraId="29DDFD92">
            <w:pPr>
              <w:widowControl/>
              <w:snapToGrid w:val="0"/>
              <w:spacing w:line="240" w:lineRule="auto"/>
              <w:rPr>
                <w:rFonts w:hint="eastAsia" w:ascii="Times New Roman" w:hAnsi="Times New Roman" w:cs="Times New Roman"/>
                <w:b/>
                <w:color w:val="auto"/>
                <w:kern w:val="2"/>
                <w:sz w:val="24"/>
                <w:szCs w:val="24"/>
                <w:lang w:val="en-US" w:eastAsia="zh-CN" w:bidi="ar"/>
              </w:rPr>
            </w:pPr>
            <w:r>
              <w:rPr>
                <w:rFonts w:hint="eastAsia" w:ascii="Times New Roman" w:hAnsi="Times New Roman" w:cs="Times New Roman"/>
                <w:b/>
                <w:color w:val="auto"/>
                <w:kern w:val="2"/>
                <w:sz w:val="24"/>
                <w:szCs w:val="24"/>
                <w:lang w:val="en-US" w:eastAsia="zh-CN" w:bidi="ar"/>
              </w:rPr>
              <w:t>表1-1</w:t>
            </w:r>
            <w:r>
              <w:rPr>
                <w:rFonts w:hint="eastAsia" w:cs="Times New Roman"/>
                <w:b/>
                <w:color w:val="auto"/>
                <w:kern w:val="2"/>
                <w:sz w:val="24"/>
                <w:szCs w:val="24"/>
                <w:lang w:val="en-US" w:eastAsia="zh-CN" w:bidi="ar"/>
              </w:rPr>
              <w:t>0</w:t>
            </w:r>
            <w:r>
              <w:rPr>
                <w:rFonts w:hint="eastAsia" w:ascii="Times New Roman" w:hAnsi="Times New Roman" w:cs="Times New Roman"/>
                <w:b/>
                <w:color w:val="auto"/>
                <w:kern w:val="2"/>
                <w:sz w:val="24"/>
                <w:szCs w:val="24"/>
                <w:lang w:val="en-US" w:eastAsia="zh-CN" w:bidi="ar"/>
              </w:rPr>
              <w:t xml:space="preserve"> 本项目与</w:t>
            </w:r>
            <w:r>
              <w:rPr>
                <w:rFonts w:hint="eastAsia" w:ascii="Times New Roman" w:hAnsi="Times New Roman" w:eastAsia="宋体" w:cs="Times New Roman"/>
                <w:b/>
                <w:bCs/>
                <w:color w:val="auto"/>
                <w:sz w:val="24"/>
                <w:szCs w:val="24"/>
                <w:lang w:val="en-US" w:eastAsia="zh-CN"/>
              </w:rPr>
              <w:t>《</w:t>
            </w:r>
            <w:r>
              <w:rPr>
                <w:rFonts w:hint="eastAsia"/>
                <w:b/>
                <w:bCs/>
                <w:color w:val="auto"/>
                <w:sz w:val="24"/>
                <w:szCs w:val="24"/>
                <w:lang w:val="en-US" w:eastAsia="zh-CN"/>
              </w:rPr>
              <w:t>一般工业固体废物环境管理工作指南》（环办固体函〔2026〕18号）</w:t>
            </w:r>
            <w:r>
              <w:rPr>
                <w:rFonts w:hint="eastAsia" w:ascii="Times New Roman" w:hAnsi="Times New Roman" w:cs="Times New Roman"/>
                <w:b/>
                <w:color w:val="auto"/>
                <w:kern w:val="2"/>
                <w:sz w:val="24"/>
                <w:szCs w:val="24"/>
                <w:lang w:val="en-US" w:eastAsia="zh-CN" w:bidi="ar"/>
              </w:rPr>
              <w:t>相符性分析</w:t>
            </w:r>
          </w:p>
          <w:tbl>
            <w:tblPr>
              <w:tblStyle w:val="27"/>
              <w:tblW w:w="4891"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52"/>
              <w:gridCol w:w="2052"/>
              <w:gridCol w:w="677"/>
            </w:tblGrid>
            <w:tr w14:paraId="2F3F3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125" w:type="pct"/>
                  <w:tcBorders>
                    <w:top w:val="single" w:color="auto" w:sz="12" w:space="0"/>
                    <w:left w:val="nil"/>
                  </w:tcBorders>
                  <w:vAlign w:val="center"/>
                </w:tcPr>
                <w:p w14:paraId="19C1B0B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eastAsia="宋体"/>
                      <w:b/>
                      <w:bCs/>
                      <w:color w:val="auto"/>
                      <w:sz w:val="21"/>
                      <w:szCs w:val="21"/>
                      <w:lang w:val="en-US" w:eastAsia="zh-CN"/>
                    </w:rPr>
                  </w:pPr>
                  <w:r>
                    <w:rPr>
                      <w:rFonts w:hint="eastAsia"/>
                      <w:b/>
                      <w:bCs/>
                      <w:color w:val="auto"/>
                      <w:sz w:val="21"/>
                      <w:szCs w:val="21"/>
                      <w:lang w:val="en-US" w:eastAsia="zh-CN"/>
                    </w:rPr>
                    <w:t>文件要求</w:t>
                  </w:r>
                </w:p>
              </w:tc>
              <w:tc>
                <w:tcPr>
                  <w:tcW w:w="1409" w:type="pct"/>
                  <w:tcBorders>
                    <w:top w:val="single" w:color="auto" w:sz="12" w:space="0"/>
                  </w:tcBorders>
                  <w:vAlign w:val="center"/>
                </w:tcPr>
                <w:p w14:paraId="54C6350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eastAsia="宋体"/>
                      <w:b/>
                      <w:bCs/>
                      <w:color w:val="auto"/>
                      <w:sz w:val="21"/>
                      <w:szCs w:val="21"/>
                      <w:lang w:val="en-US" w:eastAsia="zh-CN"/>
                    </w:rPr>
                  </w:pPr>
                  <w:r>
                    <w:rPr>
                      <w:rFonts w:hint="eastAsia"/>
                      <w:b/>
                      <w:bCs/>
                      <w:color w:val="auto"/>
                      <w:sz w:val="21"/>
                      <w:szCs w:val="21"/>
                      <w:lang w:val="en-US" w:eastAsia="zh-CN"/>
                    </w:rPr>
                    <w:t>本项目情况</w:t>
                  </w:r>
                </w:p>
              </w:tc>
              <w:tc>
                <w:tcPr>
                  <w:tcW w:w="464" w:type="pct"/>
                  <w:tcBorders>
                    <w:top w:val="single" w:color="auto" w:sz="12" w:space="0"/>
                    <w:right w:val="nil"/>
                  </w:tcBorders>
                  <w:vAlign w:val="center"/>
                </w:tcPr>
                <w:p w14:paraId="1135846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eastAsia="宋体"/>
                      <w:b/>
                      <w:bCs/>
                      <w:color w:val="auto"/>
                      <w:sz w:val="21"/>
                      <w:szCs w:val="21"/>
                      <w:lang w:val="en-US" w:eastAsia="zh-CN"/>
                    </w:rPr>
                  </w:pPr>
                  <w:r>
                    <w:rPr>
                      <w:rFonts w:hint="eastAsia"/>
                      <w:b/>
                      <w:bCs/>
                      <w:color w:val="auto"/>
                      <w:sz w:val="21"/>
                      <w:szCs w:val="21"/>
                      <w:lang w:val="en-US" w:eastAsia="zh-CN"/>
                    </w:rPr>
                    <w:t>是否相符</w:t>
                  </w:r>
                </w:p>
              </w:tc>
            </w:tr>
            <w:tr w14:paraId="3FCD9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125" w:type="pct"/>
                  <w:tcBorders>
                    <w:left w:val="nil"/>
                  </w:tcBorders>
                  <w:vAlign w:val="center"/>
                </w:tcPr>
                <w:p w14:paraId="54A34E2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right="0"/>
                    <w:jc w:val="both"/>
                    <w:textAlignment w:val="center"/>
                    <w:rPr>
                      <w:rFonts w:hint="default" w:ascii="Times New Roman" w:hAnsi="Times New Roman" w:eastAsia="宋体" w:cs="Times New Roman"/>
                      <w:b w:val="0"/>
                      <w:bCs/>
                      <w:color w:val="auto"/>
                      <w:kern w:val="2"/>
                      <w:sz w:val="21"/>
                      <w:szCs w:val="21"/>
                      <w:vertAlign w:val="baseline"/>
                      <w:lang w:val="en-US" w:eastAsia="zh-CN" w:bidi="ar"/>
                    </w:rPr>
                  </w:pPr>
                  <w:r>
                    <w:rPr>
                      <w:rFonts w:hint="default" w:ascii="Times New Roman" w:hAnsi="Times New Roman" w:eastAsia="宋体" w:cs="Times New Roman"/>
                      <w:b w:val="0"/>
                      <w:bCs/>
                      <w:color w:val="auto"/>
                      <w:kern w:val="2"/>
                      <w:sz w:val="21"/>
                      <w:szCs w:val="21"/>
                      <w:vertAlign w:val="baseline"/>
                      <w:lang w:val="en-US" w:eastAsia="zh-CN" w:bidi="ar"/>
                    </w:rPr>
                    <w:t>(一)落实主体责任。坚持污染担责原则，产废单位应建立健全一般工业固体废物产生、收集、贮存、运输、利用、处置全过程污染环境防治责任制度，减少固体废物产生量，促进固体废物综合利用，降低固体废物危害性。规范建立一般工业固体废物环境管理台账，鼓励使用电子台账，强化全过程跟踪管控。产废单位不得擅自倾倒、堆放、丢弃、遗撒一般工业固体废物。</w:t>
                  </w:r>
                </w:p>
              </w:tc>
              <w:tc>
                <w:tcPr>
                  <w:tcW w:w="1409" w:type="pct"/>
                  <w:vAlign w:val="center"/>
                </w:tcPr>
                <w:p w14:paraId="13904B4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vertAlign w:val="baseline"/>
                      <w:lang w:val="en-US" w:eastAsia="zh-CN" w:bidi="ar"/>
                    </w:rPr>
                  </w:pPr>
                  <w:r>
                    <w:rPr>
                      <w:rFonts w:hint="eastAsia" w:ascii="Times New Roman" w:hAnsi="Times New Roman" w:eastAsia="宋体" w:cs="Times New Roman"/>
                      <w:b w:val="0"/>
                      <w:bCs/>
                      <w:color w:val="auto"/>
                      <w:kern w:val="2"/>
                      <w:sz w:val="21"/>
                      <w:szCs w:val="21"/>
                      <w:vertAlign w:val="baseline"/>
                      <w:lang w:val="en-US" w:eastAsia="zh-CN" w:bidi="ar"/>
                    </w:rPr>
                    <w:t>本项目建立</w:t>
                  </w:r>
                  <w:r>
                    <w:rPr>
                      <w:rFonts w:hint="default" w:ascii="Times New Roman" w:hAnsi="Times New Roman" w:eastAsia="宋体" w:cs="Times New Roman"/>
                      <w:b w:val="0"/>
                      <w:bCs/>
                      <w:color w:val="auto"/>
                      <w:kern w:val="2"/>
                      <w:sz w:val="21"/>
                      <w:szCs w:val="21"/>
                      <w:vertAlign w:val="baseline"/>
                      <w:lang w:val="en-US" w:eastAsia="zh-CN" w:bidi="ar"/>
                    </w:rPr>
                    <w:t>一般工业固体废物污染环境防治责任制度</w:t>
                  </w:r>
                  <w:r>
                    <w:rPr>
                      <w:rFonts w:hint="eastAsia" w:ascii="Times New Roman" w:hAnsi="Times New Roman" w:eastAsia="宋体" w:cs="Times New Roman"/>
                      <w:b w:val="0"/>
                      <w:bCs/>
                      <w:color w:val="auto"/>
                      <w:kern w:val="2"/>
                      <w:sz w:val="21"/>
                      <w:szCs w:val="21"/>
                      <w:vertAlign w:val="baseline"/>
                      <w:lang w:val="en-US" w:eastAsia="zh-CN" w:bidi="ar"/>
                    </w:rPr>
                    <w:t>，提高物料利用率，减少固体废物产生量，产生的一般固废外售</w:t>
                  </w:r>
                  <w:r>
                    <w:rPr>
                      <w:rFonts w:hint="default" w:ascii="Times New Roman" w:hAnsi="Times New Roman" w:eastAsia="宋体" w:cs="Times New Roman"/>
                      <w:b w:val="0"/>
                      <w:bCs/>
                      <w:color w:val="auto"/>
                      <w:kern w:val="2"/>
                      <w:sz w:val="21"/>
                      <w:szCs w:val="21"/>
                      <w:vertAlign w:val="baseline"/>
                      <w:lang w:val="en-US" w:eastAsia="zh-CN" w:bidi="ar"/>
                    </w:rPr>
                    <w:t>综合利用</w:t>
                  </w:r>
                  <w:r>
                    <w:rPr>
                      <w:rFonts w:hint="eastAsia" w:ascii="Times New Roman" w:hAnsi="Times New Roman" w:eastAsia="宋体" w:cs="Times New Roman"/>
                      <w:b w:val="0"/>
                      <w:bCs/>
                      <w:color w:val="auto"/>
                      <w:kern w:val="2"/>
                      <w:sz w:val="21"/>
                      <w:szCs w:val="21"/>
                      <w:vertAlign w:val="baseline"/>
                      <w:lang w:val="en-US" w:eastAsia="zh-CN" w:bidi="ar"/>
                    </w:rPr>
                    <w:t>。本项目</w:t>
                  </w:r>
                  <w:r>
                    <w:rPr>
                      <w:rFonts w:hint="default" w:ascii="Times New Roman" w:hAnsi="Times New Roman" w:eastAsia="宋体" w:cs="Times New Roman"/>
                      <w:b w:val="0"/>
                      <w:bCs/>
                      <w:color w:val="auto"/>
                      <w:kern w:val="2"/>
                      <w:sz w:val="21"/>
                      <w:szCs w:val="21"/>
                      <w:vertAlign w:val="baseline"/>
                      <w:lang w:val="en-US" w:eastAsia="zh-CN" w:bidi="ar"/>
                    </w:rPr>
                    <w:t>规范建立一般工业固体废物环境管理台账</w:t>
                  </w:r>
                  <w:r>
                    <w:rPr>
                      <w:rFonts w:hint="eastAsia" w:ascii="Times New Roman" w:hAnsi="Times New Roman" w:eastAsia="宋体" w:cs="Times New Roman"/>
                      <w:b w:val="0"/>
                      <w:bCs/>
                      <w:color w:val="auto"/>
                      <w:kern w:val="2"/>
                      <w:sz w:val="21"/>
                      <w:szCs w:val="21"/>
                      <w:vertAlign w:val="baseline"/>
                      <w:lang w:val="en-US" w:eastAsia="zh-CN" w:bidi="ar"/>
                    </w:rPr>
                    <w:t>，运营后严格管理，按要求处置</w:t>
                  </w:r>
                  <w:r>
                    <w:rPr>
                      <w:rFonts w:hint="default" w:ascii="Times New Roman" w:hAnsi="Times New Roman" w:eastAsia="宋体" w:cs="Times New Roman"/>
                      <w:b w:val="0"/>
                      <w:bCs/>
                      <w:color w:val="auto"/>
                      <w:kern w:val="2"/>
                      <w:sz w:val="21"/>
                      <w:szCs w:val="21"/>
                      <w:vertAlign w:val="baseline"/>
                      <w:lang w:val="en-US" w:eastAsia="zh-CN" w:bidi="ar"/>
                    </w:rPr>
                    <w:t>一般工业固体废物。</w:t>
                  </w:r>
                </w:p>
              </w:tc>
              <w:tc>
                <w:tcPr>
                  <w:tcW w:w="464" w:type="pct"/>
                  <w:tcBorders>
                    <w:right w:val="nil"/>
                  </w:tcBorders>
                  <w:vAlign w:val="center"/>
                </w:tcPr>
                <w:p w14:paraId="7C95204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vertAlign w:val="baseline"/>
                      <w:lang w:val="en-US" w:eastAsia="zh-CN" w:bidi="ar"/>
                    </w:rPr>
                  </w:pPr>
                  <w:r>
                    <w:rPr>
                      <w:rFonts w:hint="eastAsia" w:ascii="Times New Roman" w:hAnsi="Times New Roman" w:eastAsia="宋体" w:cs="Times New Roman"/>
                      <w:b w:val="0"/>
                      <w:bCs/>
                      <w:color w:val="auto"/>
                      <w:kern w:val="2"/>
                      <w:sz w:val="21"/>
                      <w:szCs w:val="21"/>
                      <w:vertAlign w:val="baseline"/>
                      <w:lang w:val="en-US" w:eastAsia="zh-CN" w:bidi="ar"/>
                    </w:rPr>
                    <w:t>相符</w:t>
                  </w:r>
                </w:p>
              </w:tc>
            </w:tr>
            <w:tr w14:paraId="7FA1D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125" w:type="pct"/>
                  <w:tcBorders>
                    <w:left w:val="nil"/>
                  </w:tcBorders>
                  <w:vAlign w:val="center"/>
                </w:tcPr>
                <w:p w14:paraId="46DE24DB">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right="0"/>
                    <w:jc w:val="both"/>
                    <w:rPr>
                      <w:rFonts w:hint="default" w:ascii="Times New Roman" w:hAnsi="Times New Roman" w:eastAsia="宋体" w:cs="Times New Roman"/>
                      <w:b w:val="0"/>
                      <w:bCs/>
                      <w:color w:val="auto"/>
                      <w:kern w:val="2"/>
                      <w:sz w:val="21"/>
                      <w:szCs w:val="21"/>
                      <w:vertAlign w:val="baseline"/>
                      <w:lang w:val="en-US" w:eastAsia="zh-CN" w:bidi="ar"/>
                    </w:rPr>
                  </w:pPr>
                  <w:r>
                    <w:rPr>
                      <w:rFonts w:hint="default" w:ascii="Times New Roman" w:hAnsi="Times New Roman" w:eastAsia="宋体" w:cs="Times New Roman"/>
                      <w:b w:val="0"/>
                      <w:bCs/>
                      <w:color w:val="auto"/>
                      <w:kern w:val="2"/>
                      <w:sz w:val="21"/>
                      <w:szCs w:val="21"/>
                      <w:vertAlign w:val="baseline"/>
                      <w:lang w:val="en-US" w:eastAsia="zh-CN" w:bidi="ar"/>
                    </w:rPr>
                    <w:t>(二)注重源头管理。在建设项目环境影响评价文件中明确工业固体废物的种类、名称、产生量、利用和处置方式等内容。提高排污许可证和执行报告以及排放源统计年报中一般工业固体废物信息填报的准确率。推进产废单位依法实施清洁生产审核。依法限期淘汰产生严重污染环境的工业固体废物的落后生产工艺和设备。产废单位应当按照工业固体废物的污染特性进行分类管理，采取必要措施防止工业固体废物污染。</w:t>
                  </w:r>
                </w:p>
              </w:tc>
              <w:tc>
                <w:tcPr>
                  <w:tcW w:w="1409" w:type="pct"/>
                  <w:vAlign w:val="center"/>
                </w:tcPr>
                <w:p w14:paraId="13EAE44C">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rPr>
                      <w:rFonts w:hint="default" w:ascii="Times New Roman" w:hAnsi="Times New Roman" w:eastAsia="宋体" w:cs="Times New Roman"/>
                      <w:b w:val="0"/>
                      <w:bCs/>
                      <w:color w:val="auto"/>
                      <w:kern w:val="2"/>
                      <w:sz w:val="21"/>
                      <w:szCs w:val="21"/>
                      <w:vertAlign w:val="baseline"/>
                      <w:lang w:val="en-US" w:eastAsia="zh-CN" w:bidi="ar"/>
                    </w:rPr>
                  </w:pPr>
                  <w:r>
                    <w:rPr>
                      <w:rFonts w:hint="eastAsia" w:ascii="Times New Roman" w:hAnsi="Times New Roman" w:eastAsia="宋体" w:cs="Times New Roman"/>
                      <w:b w:val="0"/>
                      <w:bCs/>
                      <w:color w:val="auto"/>
                      <w:kern w:val="2"/>
                      <w:sz w:val="21"/>
                      <w:szCs w:val="21"/>
                      <w:vertAlign w:val="baseline"/>
                      <w:lang w:val="en-US" w:eastAsia="zh-CN" w:bidi="ar"/>
                    </w:rPr>
                    <w:t>本环评</w:t>
                  </w:r>
                  <w:r>
                    <w:rPr>
                      <w:rFonts w:hint="default" w:ascii="Times New Roman" w:hAnsi="Times New Roman" w:eastAsia="宋体" w:cs="Times New Roman"/>
                      <w:b w:val="0"/>
                      <w:bCs/>
                      <w:color w:val="auto"/>
                      <w:kern w:val="2"/>
                      <w:sz w:val="21"/>
                      <w:szCs w:val="21"/>
                      <w:vertAlign w:val="baseline"/>
                      <w:lang w:val="en-US" w:eastAsia="zh-CN" w:bidi="ar"/>
                    </w:rPr>
                    <w:t>明确工业固体废物的种类、名称、产生量、利用和处置方式等内容</w:t>
                  </w:r>
                  <w:r>
                    <w:rPr>
                      <w:rFonts w:hint="eastAsia" w:ascii="Times New Roman" w:hAnsi="Times New Roman" w:eastAsia="宋体" w:cs="Times New Roman"/>
                      <w:b w:val="0"/>
                      <w:bCs/>
                      <w:color w:val="auto"/>
                      <w:kern w:val="2"/>
                      <w:sz w:val="21"/>
                      <w:szCs w:val="21"/>
                      <w:vertAlign w:val="baseline"/>
                      <w:lang w:val="en-US" w:eastAsia="zh-CN" w:bidi="ar"/>
                    </w:rPr>
                    <w:t>。本项目建成后按要求申报排污许可，如实填报一般工业固体废物信息。本项目建成后进行清洁生产审核，</w:t>
                  </w:r>
                  <w:r>
                    <w:rPr>
                      <w:rFonts w:hint="default" w:ascii="Times New Roman" w:hAnsi="Times New Roman" w:eastAsia="宋体" w:cs="Times New Roman"/>
                      <w:b w:val="0"/>
                      <w:bCs/>
                      <w:color w:val="auto"/>
                      <w:kern w:val="2"/>
                      <w:sz w:val="21"/>
                      <w:szCs w:val="21"/>
                      <w:vertAlign w:val="baseline"/>
                      <w:lang w:val="en-US" w:eastAsia="zh-CN" w:bidi="ar"/>
                    </w:rPr>
                    <w:t>按照工业固体废物的污染特性进行分类管理，采取</w:t>
                  </w:r>
                  <w:r>
                    <w:rPr>
                      <w:rFonts w:hint="eastAsia" w:ascii="Times New Roman" w:hAnsi="Times New Roman" w:eastAsia="宋体" w:cs="Times New Roman"/>
                      <w:b w:val="0"/>
                      <w:bCs/>
                      <w:color w:val="auto"/>
                      <w:kern w:val="2"/>
                      <w:sz w:val="21"/>
                      <w:szCs w:val="21"/>
                      <w:vertAlign w:val="baseline"/>
                      <w:lang w:val="en-US" w:eastAsia="zh-CN" w:bidi="ar"/>
                    </w:rPr>
                    <w:t>防风、防雨、防渗、防流失等措施</w:t>
                  </w:r>
                  <w:r>
                    <w:rPr>
                      <w:rFonts w:hint="default" w:ascii="Times New Roman" w:hAnsi="Times New Roman" w:eastAsia="宋体" w:cs="Times New Roman"/>
                      <w:b w:val="0"/>
                      <w:bCs/>
                      <w:color w:val="auto"/>
                      <w:kern w:val="2"/>
                      <w:sz w:val="21"/>
                      <w:szCs w:val="21"/>
                      <w:vertAlign w:val="baseline"/>
                      <w:lang w:val="en-US" w:eastAsia="zh-CN" w:bidi="ar"/>
                    </w:rPr>
                    <w:t>防止工业固体废物污染</w:t>
                  </w:r>
                  <w:r>
                    <w:rPr>
                      <w:rFonts w:hint="eastAsia" w:ascii="Times New Roman" w:hAnsi="Times New Roman" w:eastAsia="宋体" w:cs="Times New Roman"/>
                      <w:b w:val="0"/>
                      <w:bCs/>
                      <w:color w:val="auto"/>
                      <w:kern w:val="2"/>
                      <w:sz w:val="21"/>
                      <w:szCs w:val="21"/>
                      <w:vertAlign w:val="baseline"/>
                      <w:lang w:val="en-US" w:eastAsia="zh-CN" w:bidi="ar"/>
                    </w:rPr>
                    <w:t>。</w:t>
                  </w:r>
                </w:p>
              </w:tc>
              <w:tc>
                <w:tcPr>
                  <w:tcW w:w="464" w:type="pct"/>
                  <w:tcBorders>
                    <w:right w:val="nil"/>
                  </w:tcBorders>
                  <w:vAlign w:val="center"/>
                </w:tcPr>
                <w:p w14:paraId="0DC5DC24">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rPr>
                      <w:rFonts w:hint="default" w:ascii="Times New Roman" w:hAnsi="Times New Roman" w:eastAsia="宋体" w:cs="Times New Roman"/>
                      <w:b/>
                      <w:color w:val="auto"/>
                      <w:kern w:val="2"/>
                      <w:sz w:val="21"/>
                      <w:szCs w:val="21"/>
                      <w:vertAlign w:val="baseline"/>
                      <w:lang w:val="en-US" w:eastAsia="zh-CN" w:bidi="ar"/>
                    </w:rPr>
                  </w:pPr>
                  <w:r>
                    <w:rPr>
                      <w:rFonts w:hint="eastAsia" w:ascii="Times New Roman" w:hAnsi="Times New Roman" w:eastAsia="宋体" w:cs="Times New Roman"/>
                      <w:b w:val="0"/>
                      <w:bCs/>
                      <w:color w:val="auto"/>
                      <w:kern w:val="2"/>
                      <w:sz w:val="21"/>
                      <w:szCs w:val="21"/>
                      <w:vertAlign w:val="baseline"/>
                      <w:lang w:val="en-US" w:eastAsia="zh-CN" w:bidi="ar"/>
                    </w:rPr>
                    <w:t>相符</w:t>
                  </w:r>
                </w:p>
              </w:tc>
            </w:tr>
            <w:tr w14:paraId="3F458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125" w:type="pct"/>
                  <w:tcBorders>
                    <w:left w:val="nil"/>
                  </w:tcBorders>
                  <w:vAlign w:val="center"/>
                </w:tcPr>
                <w:p w14:paraId="019267A1">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right="0"/>
                    <w:jc w:val="both"/>
                    <w:rPr>
                      <w:rFonts w:hint="default" w:ascii="Times New Roman" w:hAnsi="Times New Roman" w:eastAsia="宋体" w:cs="Times New Roman"/>
                      <w:b w:val="0"/>
                      <w:bCs/>
                      <w:color w:val="auto"/>
                      <w:kern w:val="2"/>
                      <w:sz w:val="21"/>
                      <w:szCs w:val="21"/>
                      <w:vertAlign w:val="baseline"/>
                      <w:lang w:val="en-US" w:eastAsia="zh-CN" w:bidi="ar"/>
                    </w:rPr>
                  </w:pPr>
                  <w:r>
                    <w:rPr>
                      <w:rFonts w:hint="default" w:ascii="Times New Roman" w:hAnsi="Times New Roman" w:eastAsia="宋体" w:cs="Times New Roman"/>
                      <w:b w:val="0"/>
                      <w:bCs/>
                      <w:color w:val="auto"/>
                      <w:kern w:val="2"/>
                      <w:sz w:val="21"/>
                      <w:szCs w:val="21"/>
                      <w:vertAlign w:val="baseline"/>
                      <w:lang w:val="en-US" w:eastAsia="zh-CN" w:bidi="ar"/>
                    </w:rPr>
                    <w:t>(三)规范转移管理。产废单位委托他人运输、利用、处置一般工业固体废物的，应当对受托方的主体资格和技术能力进行核实。涉及转委托的，应按照民法典相关规定履行有关义务。跨省转移贮存、处置一般工业固体废物的，应依法履行申请批准程序。</w:t>
                  </w:r>
                </w:p>
              </w:tc>
              <w:tc>
                <w:tcPr>
                  <w:tcW w:w="1409" w:type="pct"/>
                  <w:vAlign w:val="center"/>
                </w:tcPr>
                <w:p w14:paraId="5B4C2FB5">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rPr>
                      <w:rFonts w:hint="default" w:ascii="Times New Roman" w:hAnsi="Times New Roman" w:eastAsia="宋体" w:cs="Times New Roman"/>
                      <w:b w:val="0"/>
                      <w:bCs/>
                      <w:color w:val="auto"/>
                      <w:kern w:val="2"/>
                      <w:sz w:val="21"/>
                      <w:szCs w:val="21"/>
                      <w:vertAlign w:val="baseline"/>
                      <w:lang w:val="en-US" w:eastAsia="zh-CN" w:bidi="ar"/>
                    </w:rPr>
                  </w:pPr>
                  <w:r>
                    <w:rPr>
                      <w:rFonts w:hint="eastAsia" w:ascii="Times New Roman" w:hAnsi="Times New Roman" w:eastAsia="宋体" w:cs="Times New Roman"/>
                      <w:b w:val="0"/>
                      <w:bCs/>
                      <w:color w:val="auto"/>
                      <w:kern w:val="2"/>
                      <w:sz w:val="21"/>
                      <w:szCs w:val="21"/>
                      <w:vertAlign w:val="baseline"/>
                      <w:lang w:val="en-US" w:eastAsia="zh-CN" w:bidi="ar"/>
                    </w:rPr>
                    <w:t>本项目一般固废外售综合利用，按要求对受托方的主体资格和技术能力进行核实。</w:t>
                  </w:r>
                </w:p>
              </w:tc>
              <w:tc>
                <w:tcPr>
                  <w:tcW w:w="464" w:type="pct"/>
                  <w:tcBorders>
                    <w:right w:val="nil"/>
                  </w:tcBorders>
                  <w:vAlign w:val="center"/>
                </w:tcPr>
                <w:p w14:paraId="2F94D9C6">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rPr>
                      <w:rFonts w:hint="eastAsia" w:ascii="Times New Roman" w:hAnsi="Times New Roman" w:eastAsia="宋体" w:cs="Times New Roman"/>
                      <w:b w:val="0"/>
                      <w:bCs/>
                      <w:color w:val="auto"/>
                      <w:kern w:val="2"/>
                      <w:sz w:val="21"/>
                      <w:szCs w:val="21"/>
                      <w:vertAlign w:val="baseline"/>
                      <w:lang w:val="en-US" w:eastAsia="zh-CN" w:bidi="ar"/>
                    </w:rPr>
                  </w:pPr>
                  <w:r>
                    <w:rPr>
                      <w:rFonts w:hint="eastAsia" w:ascii="Times New Roman" w:hAnsi="Times New Roman" w:eastAsia="宋体" w:cs="Times New Roman"/>
                      <w:b w:val="0"/>
                      <w:bCs/>
                      <w:color w:val="auto"/>
                      <w:kern w:val="2"/>
                      <w:sz w:val="21"/>
                      <w:szCs w:val="21"/>
                      <w:vertAlign w:val="baseline"/>
                      <w:lang w:val="en-US" w:eastAsia="zh-CN" w:bidi="ar"/>
                    </w:rPr>
                    <w:t>相符</w:t>
                  </w:r>
                </w:p>
              </w:tc>
            </w:tr>
            <w:tr w14:paraId="59524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125" w:type="pct"/>
                  <w:tcBorders>
                    <w:left w:val="nil"/>
                    <w:bottom w:val="single" w:color="auto" w:sz="12" w:space="0"/>
                  </w:tcBorders>
                  <w:vAlign w:val="center"/>
                </w:tcPr>
                <w:p w14:paraId="7878A143">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right="0"/>
                    <w:jc w:val="both"/>
                    <w:rPr>
                      <w:rFonts w:hint="default" w:ascii="Times New Roman" w:hAnsi="Times New Roman" w:eastAsia="宋体" w:cs="Times New Roman"/>
                      <w:b w:val="0"/>
                      <w:bCs/>
                      <w:color w:val="auto"/>
                      <w:kern w:val="2"/>
                      <w:sz w:val="21"/>
                      <w:szCs w:val="21"/>
                      <w:vertAlign w:val="baseline"/>
                      <w:lang w:val="en-US" w:eastAsia="zh-CN" w:bidi="ar"/>
                    </w:rPr>
                  </w:pPr>
                  <w:r>
                    <w:rPr>
                      <w:rFonts w:hint="default" w:ascii="Times New Roman" w:hAnsi="Times New Roman" w:eastAsia="宋体" w:cs="Times New Roman"/>
                      <w:b w:val="0"/>
                      <w:bCs/>
                      <w:color w:val="auto"/>
                      <w:kern w:val="2"/>
                      <w:sz w:val="21"/>
                      <w:szCs w:val="21"/>
                      <w:vertAlign w:val="baseline"/>
                      <w:lang w:val="en-US" w:eastAsia="zh-CN" w:bidi="ar"/>
                    </w:rPr>
                    <w:t>(四)加强利用处置管理。产废单位依法依规对一般工业固体废物加以利用，减少贮存量和填埋量。产废单位利用、处置一般工业固体废物的，应当遵守生态环境法律法规，符合有关环境保护标准规范要求。鼓励产废单位按照</w:t>
                  </w:r>
                  <w:r>
                    <w:rPr>
                      <w:rFonts w:hint="eastAsia" w:cs="Times New Roman"/>
                      <w:b w:val="0"/>
                      <w:bCs/>
                      <w:color w:val="auto"/>
                      <w:kern w:val="2"/>
                      <w:sz w:val="21"/>
                      <w:szCs w:val="21"/>
                      <w:vertAlign w:val="baseline"/>
                      <w:lang w:val="en-US" w:eastAsia="zh-CN" w:bidi="ar"/>
                    </w:rPr>
                    <w:t>“</w:t>
                  </w:r>
                  <w:r>
                    <w:rPr>
                      <w:rFonts w:hint="default" w:ascii="Times New Roman" w:hAnsi="Times New Roman" w:eastAsia="宋体" w:cs="Times New Roman"/>
                      <w:b w:val="0"/>
                      <w:bCs/>
                      <w:color w:val="auto"/>
                      <w:kern w:val="2"/>
                      <w:sz w:val="21"/>
                      <w:szCs w:val="21"/>
                      <w:vertAlign w:val="baseline"/>
                      <w:lang w:val="en-US" w:eastAsia="zh-CN" w:bidi="ar"/>
                    </w:rPr>
                    <w:t>科学论证、制定规范、主动公开、全程监督</w:t>
                  </w:r>
                  <w:r>
                    <w:rPr>
                      <w:rFonts w:hint="eastAsia" w:cs="Times New Roman"/>
                      <w:b w:val="0"/>
                      <w:bCs/>
                      <w:color w:val="auto"/>
                      <w:kern w:val="2"/>
                      <w:sz w:val="21"/>
                      <w:szCs w:val="21"/>
                      <w:vertAlign w:val="baseline"/>
                      <w:lang w:val="en-US" w:eastAsia="zh-CN" w:bidi="ar"/>
                    </w:rPr>
                    <w:t>”</w:t>
                  </w:r>
                  <w:r>
                    <w:rPr>
                      <w:rFonts w:hint="default" w:ascii="Times New Roman" w:hAnsi="Times New Roman" w:eastAsia="宋体" w:cs="Times New Roman"/>
                      <w:b w:val="0"/>
                      <w:bCs/>
                      <w:color w:val="auto"/>
                      <w:kern w:val="2"/>
                      <w:sz w:val="21"/>
                      <w:szCs w:val="21"/>
                      <w:vertAlign w:val="baseline"/>
                      <w:lang w:val="en-US" w:eastAsia="zh-CN" w:bidi="ar"/>
                    </w:rPr>
                    <w:t>等程序，积极开展一般工业固体废物规模化消纳利用。</w:t>
                  </w:r>
                </w:p>
              </w:tc>
              <w:tc>
                <w:tcPr>
                  <w:tcW w:w="1409" w:type="pct"/>
                  <w:tcBorders>
                    <w:bottom w:val="single" w:color="auto" w:sz="12" w:space="0"/>
                  </w:tcBorders>
                  <w:vAlign w:val="center"/>
                </w:tcPr>
                <w:p w14:paraId="2E6118AE">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rPr>
                      <w:rFonts w:hint="default" w:ascii="Times New Roman" w:hAnsi="Times New Roman" w:eastAsia="宋体" w:cs="Times New Roman"/>
                      <w:b w:val="0"/>
                      <w:bCs/>
                      <w:color w:val="auto"/>
                      <w:kern w:val="2"/>
                      <w:sz w:val="21"/>
                      <w:szCs w:val="21"/>
                      <w:vertAlign w:val="baseline"/>
                      <w:lang w:val="en-US" w:eastAsia="zh-CN" w:bidi="ar"/>
                    </w:rPr>
                  </w:pPr>
                  <w:r>
                    <w:rPr>
                      <w:rFonts w:hint="eastAsia" w:ascii="Times New Roman" w:hAnsi="Times New Roman" w:eastAsia="宋体" w:cs="Times New Roman"/>
                      <w:b w:val="0"/>
                      <w:bCs/>
                      <w:color w:val="auto"/>
                      <w:kern w:val="2"/>
                      <w:sz w:val="21"/>
                      <w:szCs w:val="21"/>
                      <w:vertAlign w:val="baseline"/>
                      <w:lang w:val="en-US" w:eastAsia="zh-CN" w:bidi="ar"/>
                    </w:rPr>
                    <w:t>本项目一般固废收集后外售综合利用。</w:t>
                  </w:r>
                </w:p>
              </w:tc>
              <w:tc>
                <w:tcPr>
                  <w:tcW w:w="464" w:type="pct"/>
                  <w:tcBorders>
                    <w:bottom w:val="single" w:color="auto" w:sz="12" w:space="0"/>
                    <w:right w:val="nil"/>
                  </w:tcBorders>
                  <w:vAlign w:val="center"/>
                </w:tcPr>
                <w:p w14:paraId="4AA884D2">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rPr>
                      <w:rFonts w:hint="eastAsia" w:ascii="Times New Roman" w:hAnsi="Times New Roman" w:eastAsia="宋体" w:cs="Times New Roman"/>
                      <w:b w:val="0"/>
                      <w:bCs/>
                      <w:color w:val="auto"/>
                      <w:kern w:val="2"/>
                      <w:sz w:val="21"/>
                      <w:szCs w:val="21"/>
                      <w:vertAlign w:val="baseline"/>
                      <w:lang w:val="en-US" w:eastAsia="zh-CN" w:bidi="ar"/>
                    </w:rPr>
                  </w:pPr>
                  <w:r>
                    <w:rPr>
                      <w:rFonts w:hint="eastAsia" w:ascii="Times New Roman" w:hAnsi="Times New Roman" w:eastAsia="宋体" w:cs="Times New Roman"/>
                      <w:b w:val="0"/>
                      <w:bCs/>
                      <w:color w:val="auto"/>
                      <w:kern w:val="2"/>
                      <w:sz w:val="21"/>
                      <w:szCs w:val="21"/>
                      <w:vertAlign w:val="baseline"/>
                      <w:lang w:val="en-US" w:eastAsia="zh-CN" w:bidi="ar"/>
                    </w:rPr>
                    <w:t>相符</w:t>
                  </w:r>
                </w:p>
              </w:tc>
            </w:tr>
          </w:tbl>
          <w:p w14:paraId="3BEFC242">
            <w:pPr>
              <w:pStyle w:val="35"/>
              <w:adjustRightInd/>
              <w:snapToGrid/>
              <w:spacing w:line="360" w:lineRule="auto"/>
              <w:ind w:firstLine="442" w:firstLineChars="200"/>
              <w:jc w:val="both"/>
              <w:textAlignment w:val="auto"/>
              <w:outlineLvl w:val="1"/>
              <w:rPr>
                <w:rFonts w:eastAsia="宋体"/>
                <w:b/>
                <w:bCs/>
                <w:color w:val="auto"/>
                <w:sz w:val="24"/>
                <w:szCs w:val="24"/>
              </w:rPr>
            </w:pPr>
            <w:bookmarkStart w:id="4" w:name="_Toc22556"/>
            <w:r>
              <w:rPr>
                <w:rFonts w:hint="eastAsia" w:eastAsia="宋体"/>
                <w:b/>
                <w:bCs/>
                <w:color w:val="auto"/>
                <w:sz w:val="24"/>
                <w:szCs w:val="24"/>
                <w:lang w:val="en-US" w:eastAsia="zh-CN"/>
              </w:rPr>
              <w:t>⑥</w:t>
            </w:r>
            <w:r>
              <w:rPr>
                <w:rFonts w:eastAsia="宋体"/>
                <w:b/>
                <w:bCs/>
                <w:color w:val="auto"/>
                <w:spacing w:val="0"/>
                <w:kern w:val="2"/>
                <w:sz w:val="24"/>
                <w:szCs w:val="24"/>
              </w:rPr>
              <w:t>与</w:t>
            </w:r>
            <w:r>
              <w:rPr>
                <w:rFonts w:hint="eastAsia" w:eastAsia="宋体"/>
                <w:b/>
                <w:bCs/>
                <w:color w:val="auto"/>
                <w:sz w:val="24"/>
                <w:szCs w:val="24"/>
              </w:rPr>
              <w:t>《江苏省工业废水与生活污水分质处理工作推进方案》（苏环办〔2023〕144 号）</w:t>
            </w:r>
            <w:r>
              <w:rPr>
                <w:rFonts w:eastAsia="宋体"/>
                <w:b/>
                <w:bCs/>
                <w:color w:val="auto"/>
                <w:spacing w:val="0"/>
                <w:kern w:val="2"/>
                <w:sz w:val="24"/>
                <w:szCs w:val="24"/>
              </w:rPr>
              <w:t>相符性分析</w:t>
            </w:r>
            <w:bookmarkEnd w:id="4"/>
          </w:p>
          <w:p w14:paraId="501915D8">
            <w:pPr>
              <w:spacing w:line="360" w:lineRule="auto"/>
              <w:ind w:firstLine="420" w:firstLineChars="200"/>
              <w:rPr>
                <w:color w:val="auto"/>
              </w:rPr>
            </w:pPr>
            <w:r>
              <w:rPr>
                <w:rFonts w:hint="eastAsia"/>
                <w:color w:val="auto"/>
              </w:rPr>
              <w:t>根据</w:t>
            </w:r>
            <w:r>
              <w:rPr>
                <w:color w:val="auto"/>
              </w:rPr>
              <w:t>《江苏省工业废水与生活污水分质处理工作推进方案》（苏环办〔2023〕144 号）</w:t>
            </w:r>
            <w:r>
              <w:rPr>
                <w:rFonts w:hint="eastAsia"/>
                <w:color w:val="auto"/>
              </w:rPr>
              <w:t>“</w:t>
            </w:r>
            <w:r>
              <w:rPr>
                <w:color w:val="auto"/>
              </w:rPr>
              <w:t>纳管浓度达标原则：工业企业排放的常规和特征污染物浓度均需达到相应的纳管标准和协议要求，其中部分行业污染物按照行业排放标准要求须达到直接排放限值，方可接入城镇污水处理厂。总量达标双控原则：纳管工业企业其排放的废水和污染物总量，不得高于环评报告及批复、排污及排水许可证等核定的纳管总量控制限值。</w:t>
            </w:r>
            <w:r>
              <w:rPr>
                <w:rFonts w:hint="eastAsia"/>
                <w:color w:val="auto"/>
              </w:rPr>
              <w:t>”</w:t>
            </w:r>
          </w:p>
          <w:p w14:paraId="4532D8F8">
            <w:pPr>
              <w:keepNext w:val="0"/>
              <w:keepLines w:val="0"/>
              <w:pageBreakBefore w:val="0"/>
              <w:widowControl/>
              <w:kinsoku/>
              <w:wordWrap/>
              <w:overflowPunct/>
              <w:topLinePunct w:val="0"/>
              <w:autoSpaceDE/>
              <w:autoSpaceDN/>
              <w:bidi w:val="0"/>
              <w:adjustRightInd/>
              <w:snapToGrid w:val="0"/>
              <w:spacing w:line="360" w:lineRule="auto"/>
              <w:ind w:firstLine="420" w:firstLineChars="200"/>
              <w:textAlignment w:val="auto"/>
              <w:rPr>
                <w:rFonts w:hint="eastAsia" w:ascii="Times New Roman" w:hAnsi="Times New Roman" w:cs="Times New Roman"/>
                <w:b/>
                <w:color w:val="auto"/>
                <w:kern w:val="2"/>
                <w:sz w:val="24"/>
                <w:szCs w:val="24"/>
                <w:lang w:val="en-US" w:eastAsia="zh-CN" w:bidi="ar"/>
              </w:rPr>
            </w:pPr>
            <w:r>
              <w:rPr>
                <w:color w:val="auto"/>
              </w:rPr>
              <w:t>本项目实行雨污分流。雨水经雨水管网收集后就近排入</w:t>
            </w:r>
            <w:r>
              <w:rPr>
                <w:rFonts w:hint="eastAsia"/>
                <w:color w:val="auto"/>
              </w:rPr>
              <w:t>界河</w:t>
            </w:r>
            <w:r>
              <w:rPr>
                <w:color w:val="auto"/>
              </w:rPr>
              <w:t>。</w:t>
            </w:r>
            <w:r>
              <w:rPr>
                <w:rFonts w:hint="eastAsia"/>
                <w:color w:val="auto"/>
              </w:rPr>
              <w:t>无生产废水外排，</w:t>
            </w:r>
            <w:r>
              <w:rPr>
                <w:color w:val="auto"/>
              </w:rPr>
              <w:t>生活污水经化粪池预处理</w:t>
            </w:r>
            <w:r>
              <w:rPr>
                <w:rFonts w:hint="eastAsia"/>
                <w:color w:val="auto"/>
              </w:rPr>
              <w:t>后可满足《污水综合排放标准》（GB8978-1996）表4中三级标准和《污水排入城镇下水道水质标准》（GB/T31962-2015）表1中B等级标准及鹰泰水务海安有限公司</w:t>
            </w:r>
            <w:r>
              <w:rPr>
                <w:color w:val="auto"/>
              </w:rPr>
              <w:t>设计进水标准要求。</w:t>
            </w:r>
          </w:p>
          <w:p w14:paraId="5A00FD3D">
            <w:pPr>
              <w:pStyle w:val="35"/>
              <w:keepNext w:val="0"/>
              <w:keepLines w:val="0"/>
              <w:pageBreakBefore w:val="0"/>
              <w:widowControl w:val="0"/>
              <w:suppressLineNumbers w:val="0"/>
              <w:kinsoku/>
              <w:wordWrap/>
              <w:overflowPunct/>
              <w:topLinePunct w:val="0"/>
              <w:autoSpaceDE/>
              <w:autoSpaceDN/>
              <w:bidi w:val="0"/>
              <w:adjustRightInd/>
              <w:snapToGrid/>
              <w:spacing w:before="120" w:beforeLines="50" w:beforeAutospacing="0" w:after="0" w:afterAutospacing="0" w:line="360" w:lineRule="auto"/>
              <w:ind w:left="0" w:right="0" w:firstLine="442" w:firstLineChars="200"/>
              <w:jc w:val="both"/>
              <w:textAlignment w:val="auto"/>
              <w:outlineLvl w:val="1"/>
              <w:rPr>
                <w:rFonts w:hint="default" w:ascii="Times New Roman" w:hAnsi="Times New Roman" w:eastAsia="宋体" w:cs="Times New Roman"/>
                <w:b/>
                <w:color w:val="auto"/>
                <w:sz w:val="24"/>
                <w:szCs w:val="24"/>
              </w:rPr>
            </w:pPr>
            <w:bookmarkStart w:id="5" w:name="_Toc17491"/>
            <w:r>
              <w:rPr>
                <w:rFonts w:hint="eastAsia" w:ascii="Times New Roman" w:hAnsi="Times New Roman" w:eastAsia="宋体" w:cs="Times New Roman"/>
                <w:b/>
                <w:bCs/>
                <w:color w:val="auto"/>
                <w:sz w:val="24"/>
                <w:szCs w:val="24"/>
                <w:lang w:val="en-US" w:eastAsia="zh-CN"/>
              </w:rPr>
              <w:t>⑦</w:t>
            </w:r>
            <w:r>
              <w:rPr>
                <w:rFonts w:hint="default" w:ascii="Times New Roman" w:hAnsi="Times New Roman" w:eastAsia="宋体" w:cs="Times New Roman"/>
                <w:b/>
                <w:color w:val="auto"/>
                <w:spacing w:val="0"/>
                <w:kern w:val="2"/>
                <w:sz w:val="24"/>
                <w:szCs w:val="24"/>
              </w:rPr>
              <w:t>与《南通市关于加强减污降碳协同推进重点行业绿色发展的指导意见》的通知</w:t>
            </w:r>
            <w:r>
              <w:rPr>
                <w:rFonts w:hint="eastAsia" w:eastAsia="宋体" w:cs="Times New Roman"/>
                <w:b/>
                <w:color w:val="auto"/>
                <w:spacing w:val="0"/>
                <w:kern w:val="2"/>
                <w:sz w:val="24"/>
                <w:szCs w:val="24"/>
                <w:lang w:eastAsia="zh-CN"/>
              </w:rPr>
              <w:t>（</w:t>
            </w:r>
            <w:r>
              <w:rPr>
                <w:rFonts w:hint="default" w:ascii="Times New Roman" w:hAnsi="Times New Roman" w:eastAsia="宋体" w:cs="Times New Roman"/>
                <w:b/>
                <w:color w:val="auto"/>
                <w:spacing w:val="0"/>
                <w:kern w:val="2"/>
                <w:sz w:val="24"/>
                <w:szCs w:val="24"/>
              </w:rPr>
              <w:t>通办〔2024〕6号</w:t>
            </w:r>
            <w:r>
              <w:rPr>
                <w:rFonts w:hint="eastAsia" w:eastAsia="宋体" w:cs="Times New Roman"/>
                <w:b/>
                <w:color w:val="auto"/>
                <w:spacing w:val="0"/>
                <w:kern w:val="2"/>
                <w:sz w:val="24"/>
                <w:szCs w:val="24"/>
                <w:lang w:eastAsia="zh-CN"/>
              </w:rPr>
              <w:t>）</w:t>
            </w:r>
            <w:r>
              <w:rPr>
                <w:rFonts w:hint="default" w:ascii="Times New Roman" w:hAnsi="Times New Roman" w:eastAsia="宋体" w:cs="Times New Roman"/>
                <w:b/>
                <w:color w:val="auto"/>
                <w:spacing w:val="0"/>
                <w:kern w:val="2"/>
                <w:sz w:val="24"/>
                <w:szCs w:val="24"/>
              </w:rPr>
              <w:t>相符性分析</w:t>
            </w:r>
            <w:bookmarkEnd w:id="5"/>
          </w:p>
          <w:p w14:paraId="6D9F9E78">
            <w:pPr>
              <w:widowControl/>
              <w:snapToGrid w:val="0"/>
              <w:spacing w:line="360" w:lineRule="auto"/>
              <w:ind w:firstLine="480" w:firstLineChars="200"/>
              <w:rPr>
                <w:rFonts w:hint="default"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根据</w:t>
            </w:r>
            <w:r>
              <w:rPr>
                <w:rFonts w:hint="default" w:ascii="Times New Roman" w:hAnsi="Times New Roman" w:eastAsia="宋体" w:cs="Times New Roman"/>
                <w:b w:val="0"/>
                <w:bCs w:val="0"/>
                <w:color w:val="auto"/>
                <w:sz w:val="24"/>
                <w:szCs w:val="24"/>
                <w:highlight w:val="none"/>
                <w:lang w:val="en-US" w:eastAsia="zh-CN"/>
              </w:rPr>
              <w:t>《南通市关于加强减污降碳协同推进重点行业绿色发展的指导意见》的通知（通办〔2024〕6号）</w:t>
            </w:r>
            <w:r>
              <w:rPr>
                <w:rFonts w:hint="eastAsia" w:ascii="Times New Roman" w:hAnsi="Times New Roman" w:eastAsia="宋体" w:cs="Times New Roman"/>
                <w:b w:val="0"/>
                <w:bCs w:val="0"/>
                <w:color w:val="auto"/>
                <w:sz w:val="24"/>
                <w:szCs w:val="24"/>
                <w:highlight w:val="none"/>
                <w:lang w:val="en-US" w:eastAsia="zh-CN"/>
              </w:rPr>
              <w:t>：“</w:t>
            </w:r>
            <w:r>
              <w:rPr>
                <w:rFonts w:hint="default" w:ascii="Times New Roman" w:hAnsi="Times New Roman" w:eastAsia="宋体" w:cs="Times New Roman"/>
                <w:b w:val="0"/>
                <w:bCs w:val="0"/>
                <w:color w:val="auto"/>
                <w:sz w:val="24"/>
                <w:szCs w:val="24"/>
                <w:highlight w:val="none"/>
                <w:lang w:val="en-US" w:eastAsia="zh-CN"/>
              </w:rPr>
              <w:t>2．装备制造。禁止引进纯电镀项目（为本地产业配套的“绿岛”类项目除外）；新建电镀“绿岛”项目废水回用率≥40%；工艺、装备、清洁生产水平基本达到国际先进水平。现有电镀企业废水回用率≥35%。工业涂装企业的涂料使用应符合《低挥发性有机化合物含量涂料产品技术要求》规定的VOCs含量限值要求，新建含涂装工序项目清洁生产和能效水平基本达到国际先进水平，单位涂装面积VOCs排放量≤60g/m</w:t>
            </w:r>
            <w:r>
              <w:rPr>
                <w:rFonts w:hint="default" w:ascii="Times New Roman" w:hAnsi="Times New Roman" w:eastAsia="宋体" w:cs="Times New Roman"/>
                <w:b w:val="0"/>
                <w:bCs w:val="0"/>
                <w:color w:val="auto"/>
                <w:sz w:val="24"/>
                <w:szCs w:val="24"/>
                <w:highlight w:val="none"/>
                <w:vertAlign w:val="superscript"/>
                <w:lang w:val="en-US" w:eastAsia="zh-CN"/>
              </w:rPr>
              <w:t>2</w:t>
            </w:r>
            <w:r>
              <w:rPr>
                <w:rFonts w:hint="default" w:ascii="Times New Roman" w:hAnsi="Times New Roman" w:eastAsia="宋体" w:cs="Times New Roman"/>
                <w:b w:val="0"/>
                <w:bCs w:val="0"/>
                <w:color w:val="auto"/>
                <w:sz w:val="24"/>
                <w:szCs w:val="24"/>
                <w:highlight w:val="none"/>
                <w:lang w:val="en-US" w:eastAsia="zh-CN"/>
              </w:rPr>
              <w:t>；现有含涂装工序企业以单位涂装面积VOCs排放量≤80g/m</w:t>
            </w:r>
            <w:r>
              <w:rPr>
                <w:rFonts w:hint="default" w:ascii="Times New Roman" w:hAnsi="Times New Roman" w:eastAsia="宋体" w:cs="Times New Roman"/>
                <w:b w:val="0"/>
                <w:bCs w:val="0"/>
                <w:color w:val="auto"/>
                <w:sz w:val="24"/>
                <w:szCs w:val="24"/>
                <w:highlight w:val="none"/>
                <w:vertAlign w:val="superscript"/>
                <w:lang w:val="en-US" w:eastAsia="zh-CN"/>
              </w:rPr>
              <w:t>2</w:t>
            </w:r>
            <w:r>
              <w:rPr>
                <w:rFonts w:hint="default" w:ascii="Times New Roman" w:hAnsi="Times New Roman" w:eastAsia="宋体" w:cs="Times New Roman"/>
                <w:b w:val="0"/>
                <w:bCs w:val="0"/>
                <w:color w:val="auto"/>
                <w:sz w:val="24"/>
                <w:szCs w:val="24"/>
                <w:highlight w:val="none"/>
                <w:lang w:val="en-US" w:eastAsia="zh-CN"/>
              </w:rPr>
              <w:t>为目标限期提标改造。到2025年，铸造企业颗粒物污染排放量较2020年减少30%以上</w:t>
            </w:r>
            <w:r>
              <w:rPr>
                <w:rFonts w:hint="eastAsia" w:ascii="Times New Roman" w:hAnsi="Times New Roman" w:eastAsia="宋体" w:cs="Times New Roman"/>
                <w:b w:val="0"/>
                <w:bCs w:val="0"/>
                <w:color w:val="auto"/>
                <w:sz w:val="24"/>
                <w:szCs w:val="24"/>
                <w:highlight w:val="none"/>
                <w:lang w:val="en-US" w:eastAsia="zh-CN"/>
              </w:rPr>
              <w:t>”</w:t>
            </w:r>
            <w:r>
              <w:rPr>
                <w:rFonts w:hint="default" w:ascii="Times New Roman" w:hAnsi="Times New Roman" w:eastAsia="宋体" w:cs="Times New Roman"/>
                <w:b w:val="0"/>
                <w:bCs w:val="0"/>
                <w:color w:val="auto"/>
                <w:sz w:val="24"/>
                <w:szCs w:val="24"/>
                <w:highlight w:val="none"/>
                <w:lang w:val="en-US" w:eastAsia="zh-CN"/>
              </w:rPr>
              <w:t>。</w:t>
            </w:r>
          </w:p>
          <w:p w14:paraId="1F95D378">
            <w:pPr>
              <w:widowControl/>
              <w:snapToGrid w:val="0"/>
              <w:spacing w:line="360" w:lineRule="auto"/>
              <w:ind w:firstLine="480" w:firstLineChars="200"/>
              <w:rPr>
                <w:rFonts w:hint="default" w:eastAsia="宋体"/>
                <w:color w:val="auto"/>
                <w:sz w:val="24"/>
                <w:szCs w:val="24"/>
                <w:lang w:val="en-US" w:eastAsia="zh-CN"/>
              </w:rPr>
            </w:pPr>
            <w:r>
              <w:rPr>
                <w:rFonts w:hint="default" w:ascii="Times New Roman" w:hAnsi="Times New Roman" w:eastAsia="宋体" w:cs="Times New Roman"/>
                <w:b w:val="0"/>
                <w:bCs w:val="0"/>
                <w:color w:val="auto"/>
                <w:sz w:val="24"/>
                <w:szCs w:val="24"/>
                <w:highlight w:val="none"/>
                <w:lang w:val="en-US" w:eastAsia="zh-CN"/>
              </w:rPr>
              <w:t>本项目为饲料加工成套设备的关键部件</w:t>
            </w:r>
            <w:r>
              <w:rPr>
                <w:rFonts w:hint="eastAsia" w:ascii="Times New Roman" w:hAnsi="Times New Roman" w:eastAsia="宋体" w:cs="Times New Roman"/>
                <w:b w:val="0"/>
                <w:bCs w:val="0"/>
                <w:color w:val="auto"/>
                <w:sz w:val="24"/>
                <w:szCs w:val="24"/>
                <w:highlight w:val="none"/>
                <w:lang w:val="en-US" w:eastAsia="zh-CN"/>
              </w:rPr>
              <w:t>生产项目</w:t>
            </w:r>
            <w:r>
              <w:rPr>
                <w:rFonts w:hint="default" w:ascii="Times New Roman" w:hAnsi="Times New Roman" w:eastAsia="宋体" w:cs="Times New Roman"/>
                <w:b w:val="0"/>
                <w:bCs w:val="0"/>
                <w:color w:val="auto"/>
                <w:sz w:val="24"/>
                <w:szCs w:val="24"/>
                <w:highlight w:val="none"/>
                <w:lang w:val="en-US" w:eastAsia="zh-CN"/>
              </w:rPr>
              <w:t>，</w:t>
            </w:r>
            <w:r>
              <w:rPr>
                <w:rFonts w:hint="eastAsia" w:ascii="Times New Roman" w:hAnsi="Times New Roman" w:eastAsia="宋体" w:cs="Times New Roman"/>
                <w:b w:val="0"/>
                <w:bCs w:val="0"/>
                <w:color w:val="auto"/>
                <w:sz w:val="24"/>
                <w:szCs w:val="24"/>
                <w:highlight w:val="none"/>
                <w:lang w:val="en-US" w:eastAsia="zh-CN"/>
              </w:rPr>
              <w:t>不涉及电镀</w:t>
            </w:r>
            <w:r>
              <w:rPr>
                <w:rFonts w:hint="eastAsia" w:eastAsia="宋体" w:cs="Times New Roman"/>
                <w:b w:val="0"/>
                <w:bCs w:val="0"/>
                <w:color w:val="auto"/>
                <w:sz w:val="24"/>
                <w:szCs w:val="24"/>
                <w:highlight w:val="none"/>
                <w:lang w:val="en-US" w:eastAsia="zh-CN"/>
              </w:rPr>
              <w:t>及涂装、铸造</w:t>
            </w:r>
            <w:r>
              <w:rPr>
                <w:rFonts w:hint="eastAsia" w:ascii="Times New Roman" w:hAnsi="Times New Roman" w:eastAsia="宋体" w:cs="Times New Roman"/>
                <w:b w:val="0"/>
                <w:bCs w:val="0"/>
                <w:color w:val="auto"/>
                <w:sz w:val="24"/>
                <w:szCs w:val="24"/>
                <w:highlight w:val="none"/>
                <w:lang w:val="en-US" w:eastAsia="zh-CN"/>
              </w:rPr>
              <w:t>，工艺、装备、清洁生产水平基本达到国际先进水平</w:t>
            </w:r>
            <w:r>
              <w:rPr>
                <w:rFonts w:hint="eastAsia" w:eastAsia="宋体" w:cs="Times New Roman"/>
                <w:b w:val="0"/>
                <w:bCs w:val="0"/>
                <w:color w:val="auto"/>
                <w:sz w:val="24"/>
                <w:szCs w:val="24"/>
                <w:highlight w:val="none"/>
                <w:lang w:val="en-US" w:eastAsia="zh-CN"/>
              </w:rPr>
              <w:t>，符合文件要求</w:t>
            </w:r>
            <w:r>
              <w:rPr>
                <w:rFonts w:hint="eastAsia" w:ascii="Times New Roman" w:hAnsi="Times New Roman" w:eastAsia="宋体" w:cs="Times New Roman"/>
                <w:b w:val="0"/>
                <w:bCs w:val="0"/>
                <w:color w:val="auto"/>
                <w:sz w:val="24"/>
                <w:szCs w:val="24"/>
                <w:highlight w:val="none"/>
                <w:vertAlign w:val="baseline"/>
                <w:lang w:val="en-US" w:eastAsia="zh-CN"/>
              </w:rPr>
              <w:t>。</w:t>
            </w:r>
          </w:p>
          <w:p w14:paraId="2FC206AF">
            <w:pPr>
              <w:widowControl/>
              <w:snapToGrid w:val="0"/>
              <w:spacing w:line="360" w:lineRule="auto"/>
              <w:ind w:firstLine="482" w:firstLineChars="200"/>
              <w:rPr>
                <w:rFonts w:hint="default" w:eastAsia="宋体"/>
                <w:b/>
                <w:bCs/>
                <w:color w:val="auto"/>
                <w:sz w:val="24"/>
                <w:szCs w:val="24"/>
                <w:lang w:val="en-US" w:eastAsia="zh-CN"/>
              </w:rPr>
            </w:pPr>
            <w:r>
              <w:rPr>
                <w:rFonts w:hint="eastAsia"/>
                <w:b/>
                <w:bCs/>
                <w:color w:val="auto"/>
                <w:sz w:val="24"/>
                <w:szCs w:val="24"/>
                <w:lang w:val="en-US" w:eastAsia="zh-CN"/>
              </w:rPr>
              <w:t>⑧</w:t>
            </w:r>
            <w:r>
              <w:rPr>
                <w:rFonts w:hint="eastAsia" w:ascii="Times New Roman" w:eastAsia="宋体"/>
                <w:b/>
                <w:bCs/>
                <w:color w:val="auto"/>
                <w:sz w:val="24"/>
                <w:szCs w:val="24"/>
                <w:lang w:val="en-US" w:eastAsia="zh-CN"/>
              </w:rPr>
              <w:t>与《关于做好建设项目挥发性有机物排放管理工作的意见（试行）》（通环办〔2025〕32号）相符性分析</w:t>
            </w:r>
          </w:p>
          <w:p w14:paraId="722F2DD3">
            <w:pPr>
              <w:widowControl/>
              <w:snapToGrid w:val="0"/>
              <w:spacing w:line="360" w:lineRule="auto"/>
              <w:ind w:firstLine="480" w:firstLineChars="200"/>
              <w:rPr>
                <w:rFonts w:hint="eastAsia"/>
                <w:color w:val="auto"/>
                <w:sz w:val="24"/>
                <w:szCs w:val="24"/>
                <w:lang w:val="en-US" w:eastAsia="zh-CN"/>
              </w:rPr>
            </w:pPr>
            <w:r>
              <w:rPr>
                <w:rFonts w:hint="eastAsia" w:ascii="Times New Roman" w:eastAsia="宋体"/>
                <w:color w:val="auto"/>
                <w:sz w:val="24"/>
                <w:szCs w:val="24"/>
                <w:lang w:val="en-US" w:eastAsia="zh-CN"/>
              </w:rPr>
              <w:t>根据《关于做好建设项目挥发性有机物排放管理工作的意见（试行）》（通环办〔2025〕32号）：“（二）规范大气环境监管执法。加强非现场监管手段应用，建立健全以污染源自动监控为主的非现场监管体系。严格规范开展涉企行政检查，依法依规打击无证排污或不按证排污、旁路偷排、未安装或不正常运行治污设施、超标排放、超总量排污、弄虚作假等违法违规行为。</w:t>
            </w:r>
          </w:p>
          <w:p w14:paraId="01E13EBB">
            <w:pPr>
              <w:widowControl/>
              <w:snapToGrid w:val="0"/>
              <w:spacing w:line="360" w:lineRule="auto"/>
              <w:ind w:firstLine="480" w:firstLineChars="200"/>
              <w:rPr>
                <w:rFonts w:hint="eastAsia" w:eastAsia="宋体"/>
                <w:color w:val="auto"/>
                <w:sz w:val="24"/>
                <w:szCs w:val="24"/>
                <w:lang w:val="en-US" w:eastAsia="zh-CN"/>
              </w:rPr>
            </w:pPr>
            <w:r>
              <w:rPr>
                <w:rFonts w:hint="eastAsia" w:ascii="Times New Roman" w:eastAsia="宋体"/>
                <w:color w:val="auto"/>
                <w:sz w:val="24"/>
                <w:szCs w:val="24"/>
                <w:lang w:val="en-US" w:eastAsia="zh-CN"/>
              </w:rPr>
              <w:t>（三）拓展VOCs减排路径。持续推进含VOCs原辅材料源头替代，开展虚假“油改水”专项清理；参照《南通市重点行业挥发性有机物综合治理技术指南》等文件要求，大力推进VOCs末端治理技术提标升级，确保淘汰类VOCs治理设施整改到位；深挖船舶海工、石化、纺织印染等重点行业无组织减排潜力，释放绿色发展空间，协同推动区域高质量发展。”</w:t>
            </w:r>
          </w:p>
          <w:p w14:paraId="73F6B8CB">
            <w:pPr>
              <w:keepNext w:val="0"/>
              <w:keepLines w:val="0"/>
              <w:pageBreakBefore w:val="0"/>
              <w:widowControl/>
              <w:kinsoku/>
              <w:wordWrap/>
              <w:overflowPunct/>
              <w:topLinePunct w:val="0"/>
              <w:autoSpaceDE/>
              <w:autoSpaceDN/>
              <w:bidi w:val="0"/>
              <w:adjustRightInd/>
              <w:snapToGrid w:val="0"/>
              <w:spacing w:line="360" w:lineRule="auto"/>
              <w:ind w:firstLine="480" w:firstLineChars="200"/>
              <w:textAlignment w:val="auto"/>
              <w:rPr>
                <w:rFonts w:hint="eastAsia" w:ascii="Times New Roman" w:hAnsi="Times New Roman" w:cs="Times New Roman"/>
                <w:b/>
                <w:color w:val="auto"/>
                <w:kern w:val="2"/>
                <w:sz w:val="24"/>
                <w:szCs w:val="24"/>
                <w:lang w:val="en-US" w:eastAsia="zh-CN" w:bidi="ar"/>
              </w:rPr>
            </w:pPr>
            <w:r>
              <w:rPr>
                <w:rFonts w:hint="eastAsia"/>
                <w:color w:val="auto"/>
                <w:sz w:val="24"/>
                <w:szCs w:val="24"/>
                <w:lang w:val="en-US" w:eastAsia="zh-CN"/>
              </w:rPr>
              <w:t>根据建设单位提供的清洗剂、防锈剂VOCs检测报告，挥发性有机物皆未检出，符合《清洗剂挥发性有机化合物含量限值》(GB38508-2020)中水基清洗剂VOC含量</w:t>
            </w:r>
            <w:r>
              <w:rPr>
                <w:rFonts w:hint="default" w:ascii="Arial" w:hAnsi="Arial" w:cs="Arial"/>
                <w:color w:val="auto"/>
                <w:sz w:val="24"/>
                <w:szCs w:val="24"/>
                <w:lang w:val="en-US" w:eastAsia="zh-CN"/>
              </w:rPr>
              <w:t>≤</w:t>
            </w:r>
            <w:r>
              <w:rPr>
                <w:rFonts w:hint="eastAsia"/>
                <w:color w:val="auto"/>
                <w:sz w:val="24"/>
                <w:szCs w:val="24"/>
                <w:lang w:val="en-US" w:eastAsia="zh-CN"/>
              </w:rPr>
              <w:t>50g/L的要求。本项目切削液废气、危废贮存废气量极小，无组织达标排放，废气排放满足《大气污染物综合排放标准》（DB32/4041-2021）中相关要求</w:t>
            </w:r>
            <w:r>
              <w:rPr>
                <w:rFonts w:hint="eastAsia" w:eastAsia="宋体"/>
                <w:color w:val="auto"/>
                <w:sz w:val="24"/>
                <w:szCs w:val="24"/>
                <w:lang w:eastAsia="zh-CN"/>
              </w:rPr>
              <w:t>。本项目建成后根据《固定污染源排污许可分类管理名录》（2019年版）相关要求办理排污手续</w:t>
            </w:r>
            <w:r>
              <w:rPr>
                <w:rFonts w:hint="eastAsia" w:ascii="Times New Roman" w:eastAsia="宋体"/>
                <w:color w:val="auto"/>
                <w:sz w:val="24"/>
                <w:szCs w:val="24"/>
                <w:lang w:val="en-US" w:eastAsia="zh-CN"/>
              </w:rPr>
              <w:t>。</w:t>
            </w:r>
          </w:p>
          <w:p w14:paraId="6B84FFF9">
            <w:pPr>
              <w:widowControl/>
              <w:snapToGrid w:val="0"/>
              <w:spacing w:line="360" w:lineRule="auto"/>
              <w:ind w:firstLine="482" w:firstLineChars="200"/>
              <w:rPr>
                <w:rFonts w:hint="default" w:ascii="Times New Roman" w:hAnsi="Times New Roman" w:eastAsia="宋体" w:cs="Times New Roman"/>
                <w:b/>
                <w:bCs/>
                <w:color w:val="auto"/>
                <w:sz w:val="24"/>
                <w:szCs w:val="24"/>
                <w:lang w:val="en-US" w:eastAsia="zh-CN"/>
              </w:rPr>
            </w:pPr>
            <w:r>
              <w:rPr>
                <w:rFonts w:hint="eastAsia" w:ascii="Times New Roman" w:hAnsi="Times New Roman" w:eastAsia="宋体" w:cs="Times New Roman"/>
                <w:b/>
                <w:bCs/>
                <w:color w:val="auto"/>
                <w:sz w:val="24"/>
                <w:szCs w:val="24"/>
                <w:lang w:val="en-US" w:eastAsia="zh-CN"/>
              </w:rPr>
              <w:t>⑨与《南通市2025年工业园区污染物排放限值限量管理工作方案》（2025年4月11日发布）相符性分析</w:t>
            </w:r>
          </w:p>
          <w:p w14:paraId="570B2FF8">
            <w:pPr>
              <w:pStyle w:val="10"/>
              <w:widowControl w:val="0"/>
              <w:adjustRightInd w:val="0"/>
              <w:spacing w:before="0" w:after="0" w:line="360" w:lineRule="auto"/>
              <w:ind w:right="0" w:firstLine="480" w:firstLineChars="200"/>
              <w:rPr>
                <w:color w:val="auto"/>
                <w:kern w:val="2"/>
                <w:sz w:val="24"/>
                <w:szCs w:val="24"/>
              </w:rPr>
            </w:pPr>
            <w:r>
              <w:rPr>
                <w:rFonts w:hint="default" w:ascii="Times New Roman" w:hAnsi="Times New Roman" w:eastAsia="宋体"/>
                <w:color w:val="auto"/>
                <w:sz w:val="24"/>
                <w:szCs w:val="24"/>
              </w:rPr>
              <w:t>根据《南通市2025年工业园区污染物排放限值限量管理工作方案》（2025年4月11日发布）要求，</w:t>
            </w:r>
            <w:r>
              <w:rPr>
                <w:rFonts w:hint="eastAsia"/>
                <w:color w:val="auto"/>
                <w:sz w:val="24"/>
                <w:szCs w:val="24"/>
                <w:lang w:val="en-US" w:eastAsia="zh-CN"/>
              </w:rPr>
              <w:t>本项目位于</w:t>
            </w:r>
            <w:r>
              <w:rPr>
                <w:rFonts w:hint="default" w:ascii="Times New Roman" w:hAnsi="Times New Roman" w:eastAsia="宋体"/>
                <w:color w:val="auto"/>
                <w:sz w:val="24"/>
                <w:szCs w:val="24"/>
              </w:rPr>
              <w:t>限值限量管理园区内</w:t>
            </w:r>
            <w:r>
              <w:rPr>
                <w:rFonts w:hint="eastAsia"/>
                <w:color w:val="auto"/>
                <w:sz w:val="24"/>
                <w:szCs w:val="24"/>
                <w:lang w:eastAsia="zh-CN"/>
              </w:rPr>
              <w:t>，</w:t>
            </w:r>
            <w:r>
              <w:rPr>
                <w:rFonts w:hint="eastAsia"/>
                <w:color w:val="auto"/>
                <w:sz w:val="24"/>
                <w:szCs w:val="24"/>
                <w:lang w:val="en-US" w:eastAsia="zh-CN"/>
              </w:rPr>
              <w:t>需</w:t>
            </w:r>
            <w:r>
              <w:rPr>
                <w:rFonts w:hint="default" w:ascii="Times New Roman" w:hAnsi="Times New Roman" w:eastAsia="宋体"/>
                <w:color w:val="auto"/>
                <w:sz w:val="24"/>
                <w:szCs w:val="24"/>
              </w:rPr>
              <w:t>分析项目建成后对园区环境质量影响</w:t>
            </w:r>
            <w:r>
              <w:rPr>
                <w:rFonts w:hint="eastAsia"/>
                <w:color w:val="auto"/>
                <w:sz w:val="24"/>
                <w:szCs w:val="24"/>
                <w:lang w:eastAsia="zh-CN"/>
              </w:rPr>
              <w:t>。本项目废气主要为制粒粉尘、配料粉尘、切削液废气、危废贮存废气、废水处理废气，制粒粉尘经布袋除尘器处理后</w:t>
            </w:r>
            <w:r>
              <w:rPr>
                <w:rFonts w:hint="eastAsia"/>
                <w:color w:val="auto"/>
                <w:sz w:val="24"/>
                <w:szCs w:val="24"/>
                <w:lang w:val="en-US" w:eastAsia="zh-CN"/>
              </w:rPr>
              <w:t>通过15m高排气筒排放（DA001）</w:t>
            </w:r>
            <w:r>
              <w:rPr>
                <w:rFonts w:hint="eastAsia"/>
                <w:color w:val="auto"/>
                <w:sz w:val="24"/>
                <w:szCs w:val="24"/>
                <w:lang w:eastAsia="zh-CN"/>
              </w:rPr>
              <w:t>，配料粉尘经移动式布袋除尘器处理后无组织达标排放，切削液废气、危废贮存废气、废水处理废气量极小，无组织达标排放</w:t>
            </w:r>
            <w:r>
              <w:rPr>
                <w:rFonts w:hint="eastAsia"/>
                <w:color w:val="auto"/>
                <w:sz w:val="24"/>
                <w:szCs w:val="24"/>
                <w:lang w:val="en-US" w:eastAsia="zh-CN"/>
              </w:rPr>
              <w:t>，</w:t>
            </w:r>
            <w:r>
              <w:rPr>
                <w:rFonts w:hint="eastAsia"/>
                <w:color w:val="auto"/>
                <w:kern w:val="2"/>
                <w:sz w:val="24"/>
                <w:szCs w:val="24"/>
              </w:rPr>
              <w:t>本项目各污染因子排放能够满足《大气污染物综合排放标准》（DB32/4041-2021）</w:t>
            </w:r>
            <w:r>
              <w:rPr>
                <w:rFonts w:hint="eastAsia"/>
                <w:color w:val="auto"/>
                <w:kern w:val="2"/>
                <w:sz w:val="24"/>
                <w:szCs w:val="24"/>
                <w:lang w:eastAsia="zh-CN"/>
              </w:rPr>
              <w:t>、</w:t>
            </w:r>
            <w:r>
              <w:rPr>
                <w:rFonts w:hint="eastAsia"/>
                <w:color w:val="auto"/>
                <w:kern w:val="2"/>
                <w:sz w:val="24"/>
                <w:szCs w:val="24"/>
              </w:rPr>
              <w:t>《恶臭污染物排放标准》（GB14554-93）</w:t>
            </w:r>
            <w:r>
              <w:rPr>
                <w:rFonts w:hint="eastAsia"/>
                <w:color w:val="auto"/>
                <w:kern w:val="2"/>
                <w:sz w:val="24"/>
                <w:szCs w:val="24"/>
                <w:lang w:val="en-US" w:eastAsia="zh-CN"/>
              </w:rPr>
              <w:t>等</w:t>
            </w:r>
            <w:r>
              <w:rPr>
                <w:rFonts w:hint="eastAsia"/>
                <w:color w:val="auto"/>
                <w:kern w:val="2"/>
                <w:sz w:val="24"/>
                <w:szCs w:val="24"/>
              </w:rPr>
              <w:t>相关排放标准要求</w:t>
            </w:r>
            <w:r>
              <w:rPr>
                <w:rFonts w:hint="eastAsia"/>
                <w:color w:val="auto"/>
                <w:kern w:val="2"/>
                <w:sz w:val="24"/>
                <w:szCs w:val="24"/>
                <w:lang w:eastAsia="zh-CN"/>
              </w:rPr>
              <w:t>。</w:t>
            </w:r>
            <w:r>
              <w:rPr>
                <w:rFonts w:hint="eastAsia"/>
                <w:color w:val="auto"/>
                <w:kern w:val="2"/>
                <w:sz w:val="24"/>
                <w:szCs w:val="24"/>
              </w:rPr>
              <w:t>海安高新区2025年污染物允许排放量目标</w:t>
            </w:r>
            <w:r>
              <w:rPr>
                <w:rFonts w:hint="eastAsia"/>
                <w:color w:val="auto"/>
                <w:kern w:val="2"/>
                <w:sz w:val="24"/>
                <w:szCs w:val="24"/>
                <w:lang w:val="en-US" w:eastAsia="zh-CN"/>
              </w:rPr>
              <w:t>中颗粒物、</w:t>
            </w:r>
            <w:r>
              <w:rPr>
                <w:rFonts w:hint="eastAsia"/>
                <w:color w:val="auto"/>
                <w:sz w:val="24"/>
                <w:szCs w:val="24"/>
                <w:lang w:val="en-US" w:eastAsia="zh-CN"/>
              </w:rPr>
              <w:t>挥发性有机物有组织排放量分别为：224.4462吨、125.1526吨，</w:t>
            </w:r>
            <w:r>
              <w:rPr>
                <w:rFonts w:hint="eastAsia"/>
                <w:color w:val="auto"/>
                <w:kern w:val="2"/>
                <w:sz w:val="24"/>
                <w:szCs w:val="24"/>
                <w:lang w:val="en-US" w:eastAsia="zh-CN"/>
              </w:rPr>
              <w:t>颗粒物、</w:t>
            </w:r>
            <w:r>
              <w:rPr>
                <w:rFonts w:hint="eastAsia"/>
                <w:color w:val="auto"/>
                <w:sz w:val="24"/>
                <w:szCs w:val="24"/>
                <w:lang w:val="en-US" w:eastAsia="zh-CN"/>
              </w:rPr>
              <w:t>挥发性有机物无组织排放量分别为：86.8902吨、36.9440吨；扩建项目</w:t>
            </w:r>
            <w:r>
              <w:rPr>
                <w:rFonts w:hint="eastAsia"/>
                <w:color w:val="auto"/>
                <w:kern w:val="2"/>
                <w:sz w:val="24"/>
                <w:szCs w:val="24"/>
                <w:lang w:val="en-US" w:eastAsia="zh-CN"/>
              </w:rPr>
              <w:t>颗粒物</w:t>
            </w:r>
            <w:r>
              <w:rPr>
                <w:rFonts w:hint="eastAsia"/>
                <w:color w:val="auto"/>
                <w:sz w:val="24"/>
                <w:szCs w:val="24"/>
                <w:lang w:val="en-US" w:eastAsia="zh-CN"/>
              </w:rPr>
              <w:t>有组织排放量为：0.0086吨，</w:t>
            </w:r>
            <w:r>
              <w:rPr>
                <w:rFonts w:hint="eastAsia"/>
                <w:color w:val="auto"/>
                <w:kern w:val="2"/>
                <w:sz w:val="24"/>
                <w:szCs w:val="24"/>
                <w:lang w:val="en-US" w:eastAsia="zh-CN"/>
              </w:rPr>
              <w:t>颗粒物、</w:t>
            </w:r>
            <w:r>
              <w:rPr>
                <w:rFonts w:hint="eastAsia"/>
                <w:color w:val="auto"/>
                <w:sz w:val="24"/>
                <w:szCs w:val="24"/>
                <w:lang w:val="en-US" w:eastAsia="zh-CN"/>
              </w:rPr>
              <w:t>挥发性有机物无组织排放量分别为：0.0431吨、0.0395吨，占海安高新区2025年污染物允许排放量比例极小，对园区大气环境影响极小，本项目的建设不会改变园区环境质量</w:t>
            </w:r>
            <w:r>
              <w:rPr>
                <w:rFonts w:hint="eastAsia"/>
                <w:color w:val="auto"/>
                <w:kern w:val="2"/>
                <w:sz w:val="24"/>
                <w:szCs w:val="24"/>
              </w:rPr>
              <w:t>，故项目所在地区可容纳本项目的废气排放。</w:t>
            </w:r>
          </w:p>
          <w:p w14:paraId="70134042">
            <w:pPr>
              <w:widowControl/>
              <w:snapToGrid w:val="0"/>
              <w:spacing w:line="360" w:lineRule="auto"/>
              <w:rPr>
                <w:rFonts w:hint="default" w:ascii="Times New Roman" w:hAnsi="Times New Roman" w:cs="Times New Roman"/>
                <w:b/>
                <w:color w:val="auto"/>
                <w:kern w:val="2"/>
                <w:sz w:val="24"/>
                <w:szCs w:val="24"/>
                <w:lang w:val="en-US" w:eastAsia="zh-CN" w:bidi="ar"/>
              </w:rPr>
            </w:pPr>
          </w:p>
          <w:p w14:paraId="27D88AE0">
            <w:pPr>
              <w:widowControl/>
              <w:snapToGrid w:val="0"/>
              <w:spacing w:line="360" w:lineRule="auto"/>
              <w:rPr>
                <w:rFonts w:hint="default"/>
                <w:color w:val="auto"/>
                <w:lang w:val="en-US" w:eastAsia="zh-CN"/>
              </w:rPr>
            </w:pPr>
          </w:p>
        </w:tc>
      </w:tr>
    </w:tbl>
    <w:p w14:paraId="2D4AFD32">
      <w:pPr>
        <w:spacing w:line="360" w:lineRule="auto"/>
        <w:outlineLvl w:val="0"/>
        <w:rPr>
          <w:rFonts w:eastAsia="黑体"/>
          <w:color w:val="auto"/>
          <w:sz w:val="30"/>
        </w:rPr>
        <w:sectPr>
          <w:footerReference r:id="rId5" w:type="default"/>
          <w:pgSz w:w="11906" w:h="16838"/>
          <w:pgMar w:top="1701" w:right="1531" w:bottom="1701" w:left="1531" w:header="851" w:footer="1077" w:gutter="0"/>
          <w:pgBorders>
            <w:top w:val="none" w:sz="0" w:space="0"/>
            <w:left w:val="none" w:sz="0" w:space="0"/>
            <w:bottom w:val="none" w:sz="0" w:space="0"/>
            <w:right w:val="none" w:sz="0" w:space="0"/>
          </w:pgBorders>
          <w:pgNumType w:start="1"/>
          <w:cols w:space="720" w:num="1"/>
          <w:docGrid w:linePitch="312" w:charSpace="0"/>
        </w:sectPr>
      </w:pPr>
      <w:bookmarkStart w:id="6" w:name="PageNo100280027"/>
    </w:p>
    <w:bookmarkEnd w:id="6"/>
    <w:p w14:paraId="1EC5144A">
      <w:pPr>
        <w:pStyle w:val="22"/>
        <w:jc w:val="center"/>
        <w:outlineLvl w:val="0"/>
        <w:rPr>
          <w:rFonts w:ascii="黑体" w:hAnsi="黑体" w:eastAsia="黑体"/>
          <w:snapToGrid w:val="0"/>
          <w:color w:val="auto"/>
          <w:sz w:val="30"/>
          <w:szCs w:val="30"/>
        </w:rPr>
      </w:pPr>
      <w:r>
        <w:rPr>
          <w:rFonts w:hint="eastAsia" w:ascii="黑体" w:hAnsi="黑体" w:eastAsia="黑体"/>
          <w:snapToGrid w:val="0"/>
          <w:color w:val="auto"/>
          <w:sz w:val="30"/>
          <w:szCs w:val="30"/>
        </w:rPr>
        <w:t>二</w:t>
      </w:r>
      <w:bookmarkEnd w:id="1"/>
      <w:r>
        <w:rPr>
          <w:rFonts w:hint="eastAsia" w:ascii="黑体" w:hAnsi="黑体" w:eastAsia="黑体"/>
          <w:snapToGrid w:val="0"/>
          <w:color w:val="auto"/>
          <w:sz w:val="30"/>
          <w:szCs w:val="30"/>
        </w:rPr>
        <w:t>、建设项目工程分析</w:t>
      </w:r>
    </w:p>
    <w:tbl>
      <w:tblPr>
        <w:tblStyle w:val="26"/>
        <w:tblW w:w="906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452"/>
        <w:gridCol w:w="8608"/>
      </w:tblGrid>
      <w:tr w14:paraId="544DE0B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566" w:hRule="atLeast"/>
          <w:jc w:val="center"/>
        </w:trPr>
        <w:tc>
          <w:tcPr>
            <w:tcW w:w="452" w:type="dxa"/>
            <w:vAlign w:val="center"/>
          </w:tcPr>
          <w:p w14:paraId="79447AA5">
            <w:pPr>
              <w:pStyle w:val="22"/>
              <w:adjustRightInd w:val="0"/>
              <w:snapToGrid w:val="0"/>
              <w:spacing w:before="0" w:beforeAutospacing="0" w:after="0" w:afterAutospacing="0"/>
              <w:jc w:val="center"/>
              <w:rPr>
                <w:rFonts w:cs="宋体"/>
                <w:color w:val="auto"/>
                <w:sz w:val="24"/>
                <w:szCs w:val="24"/>
              </w:rPr>
            </w:pPr>
            <w:r>
              <w:rPr>
                <w:rFonts w:hint="eastAsia" w:cs="宋体"/>
                <w:color w:val="auto"/>
                <w:sz w:val="24"/>
                <w:szCs w:val="24"/>
              </w:rPr>
              <w:t>建设内容</w:t>
            </w:r>
          </w:p>
        </w:tc>
        <w:tc>
          <w:tcPr>
            <w:tcW w:w="8608" w:type="dxa"/>
          </w:tcPr>
          <w:p w14:paraId="22ED8A60">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b/>
                <w:bCs/>
                <w:color w:val="auto"/>
                <w:sz w:val="24"/>
                <w:szCs w:val="24"/>
              </w:rPr>
            </w:pPr>
            <w:r>
              <w:rPr>
                <w:rFonts w:hint="eastAsia"/>
                <w:b/>
                <w:bCs/>
                <w:color w:val="auto"/>
                <w:sz w:val="24"/>
                <w:szCs w:val="24"/>
              </w:rPr>
              <w:t>1、项目概况</w:t>
            </w:r>
          </w:p>
          <w:p w14:paraId="50530335">
            <w:pPr>
              <w:pStyle w:val="2"/>
              <w:spacing w:before="0" w:after="0" w:line="360" w:lineRule="auto"/>
              <w:ind w:firstLine="480" w:firstLineChars="200"/>
              <w:rPr>
                <w:rFonts w:hint="eastAsia" w:ascii="Times New Roman" w:hAnsi="Times New Roman"/>
                <w:b w:val="0"/>
                <w:bCs w:val="0"/>
                <w:color w:val="auto"/>
                <w:sz w:val="24"/>
                <w:szCs w:val="24"/>
              </w:rPr>
            </w:pPr>
            <w:r>
              <w:rPr>
                <w:rFonts w:hint="eastAsia" w:ascii="Times New Roman" w:hAnsi="Times New Roman"/>
                <w:b w:val="0"/>
                <w:bCs w:val="0"/>
                <w:color w:val="auto"/>
                <w:sz w:val="24"/>
                <w:szCs w:val="24"/>
              </w:rPr>
              <w:t>希彼埃姆机械（南通）有限公司成立于</w:t>
            </w:r>
            <w:r>
              <w:rPr>
                <w:rFonts w:hint="eastAsia" w:ascii="Times New Roman" w:hAnsi="Times New Roman"/>
                <w:b w:val="0"/>
                <w:bCs w:val="0"/>
                <w:color w:val="auto"/>
                <w:sz w:val="24"/>
                <w:szCs w:val="24"/>
                <w:lang w:val="en-US" w:eastAsia="zh-CN"/>
              </w:rPr>
              <w:t>2009</w:t>
            </w:r>
            <w:r>
              <w:rPr>
                <w:rFonts w:hint="eastAsia" w:ascii="Times New Roman" w:hAnsi="Times New Roman"/>
                <w:b w:val="0"/>
                <w:bCs w:val="0"/>
                <w:color w:val="auto"/>
                <w:sz w:val="24"/>
                <w:szCs w:val="24"/>
              </w:rPr>
              <w:t>年</w:t>
            </w:r>
            <w:r>
              <w:rPr>
                <w:rFonts w:hint="eastAsia" w:ascii="Times New Roman" w:hAnsi="Times New Roman"/>
                <w:b w:val="0"/>
                <w:bCs w:val="0"/>
                <w:color w:val="auto"/>
                <w:sz w:val="24"/>
                <w:szCs w:val="24"/>
                <w:lang w:val="en-US" w:eastAsia="zh-CN"/>
              </w:rPr>
              <w:t>12月21日</w:t>
            </w:r>
            <w:r>
              <w:rPr>
                <w:rFonts w:hint="eastAsia" w:ascii="Times New Roman" w:hAnsi="Times New Roman"/>
                <w:b w:val="0"/>
                <w:bCs w:val="0"/>
                <w:color w:val="auto"/>
                <w:sz w:val="24"/>
                <w:szCs w:val="24"/>
                <w:lang w:eastAsia="zh-CN"/>
              </w:rPr>
              <w:t>，</w:t>
            </w:r>
            <w:r>
              <w:rPr>
                <w:rFonts w:hint="eastAsia" w:ascii="Times New Roman" w:hAnsi="Times New Roman"/>
                <w:b w:val="0"/>
                <w:bCs w:val="0"/>
                <w:color w:val="auto"/>
                <w:sz w:val="24"/>
                <w:szCs w:val="24"/>
              </w:rPr>
              <w:t>主要从事</w:t>
            </w:r>
            <w:r>
              <w:rPr>
                <w:rFonts w:hint="eastAsia" w:ascii="Times New Roman" w:hAnsi="Times New Roman"/>
                <w:b w:val="0"/>
                <w:bCs w:val="0"/>
                <w:color w:val="auto"/>
                <w:sz w:val="24"/>
                <w:szCs w:val="24"/>
                <w:lang w:val="en-US" w:eastAsia="zh-CN"/>
              </w:rPr>
              <w:t>饲料生产专用设备零部件的生产和销售，曾用名南通杰卡博工程机械有限公司，于2025年5月5日变更名称为</w:t>
            </w:r>
            <w:r>
              <w:rPr>
                <w:rFonts w:hint="eastAsia" w:ascii="Times New Roman" w:hAnsi="Times New Roman"/>
                <w:b w:val="0"/>
                <w:bCs w:val="0"/>
                <w:color w:val="auto"/>
                <w:sz w:val="24"/>
                <w:szCs w:val="24"/>
              </w:rPr>
              <w:t>希彼埃姆机械（南通）有限公司。</w:t>
            </w:r>
          </w:p>
          <w:p w14:paraId="099A2C64">
            <w:pPr>
              <w:pStyle w:val="2"/>
              <w:spacing w:before="0" w:after="0" w:line="360" w:lineRule="auto"/>
              <w:ind w:firstLine="480" w:firstLineChars="200"/>
              <w:rPr>
                <w:rFonts w:hint="eastAsia" w:ascii="Times New Roman" w:hAnsi="Times New Roman" w:eastAsia="宋体"/>
                <w:b w:val="0"/>
                <w:bCs w:val="0"/>
                <w:color w:val="auto"/>
                <w:sz w:val="24"/>
                <w:szCs w:val="24"/>
                <w:lang w:val="en-US" w:eastAsia="zh-CN"/>
              </w:rPr>
            </w:pPr>
            <w:r>
              <w:rPr>
                <w:rFonts w:hint="eastAsia" w:ascii="Times New Roman" w:hAnsi="Times New Roman"/>
                <w:b w:val="0"/>
                <w:bCs w:val="0"/>
                <w:color w:val="auto"/>
                <w:sz w:val="24"/>
                <w:szCs w:val="24"/>
              </w:rPr>
              <w:t>希彼埃姆机械（南通）有限公司</w:t>
            </w:r>
            <w:r>
              <w:rPr>
                <w:rFonts w:hint="eastAsia" w:ascii="Times New Roman" w:hAnsi="Times New Roman" w:eastAsia="宋体"/>
                <w:b w:val="0"/>
                <w:bCs w:val="0"/>
                <w:color w:val="auto"/>
                <w:sz w:val="24"/>
                <w:szCs w:val="24"/>
                <w:lang w:val="en-US" w:eastAsia="zh-CN"/>
              </w:rPr>
              <w:t>于20</w:t>
            </w:r>
            <w:r>
              <w:rPr>
                <w:rFonts w:hint="eastAsia" w:ascii="Times New Roman" w:hAnsi="Times New Roman"/>
                <w:b w:val="0"/>
                <w:bCs w:val="0"/>
                <w:color w:val="auto"/>
                <w:sz w:val="24"/>
                <w:szCs w:val="24"/>
                <w:lang w:val="en-US" w:eastAsia="zh-CN"/>
              </w:rPr>
              <w:t>09年</w:t>
            </w:r>
            <w:r>
              <w:rPr>
                <w:rFonts w:hint="eastAsia" w:ascii="Times New Roman" w:hAnsi="Times New Roman" w:eastAsia="宋体"/>
                <w:b w:val="0"/>
                <w:bCs w:val="0"/>
                <w:color w:val="auto"/>
                <w:sz w:val="24"/>
                <w:szCs w:val="24"/>
                <w:lang w:val="en-US" w:eastAsia="zh-CN"/>
              </w:rPr>
              <w:t>编制了《10吨/小时及以上的饲料加工成套设备及关键部件制造、其他工程机械制造项目环境影响报告表》并于20</w:t>
            </w:r>
            <w:r>
              <w:rPr>
                <w:rFonts w:hint="eastAsia" w:ascii="Times New Roman" w:hAnsi="Times New Roman"/>
                <w:b w:val="0"/>
                <w:bCs w:val="0"/>
                <w:color w:val="auto"/>
                <w:sz w:val="24"/>
                <w:szCs w:val="24"/>
                <w:lang w:val="en-US" w:eastAsia="zh-CN"/>
              </w:rPr>
              <w:t>09</w:t>
            </w:r>
            <w:r>
              <w:rPr>
                <w:rFonts w:hint="eastAsia" w:ascii="Times New Roman" w:hAnsi="Times New Roman" w:eastAsia="宋体"/>
                <w:b w:val="0"/>
                <w:bCs w:val="0"/>
                <w:color w:val="auto"/>
                <w:sz w:val="24"/>
                <w:szCs w:val="24"/>
                <w:lang w:val="en-US" w:eastAsia="zh-CN"/>
              </w:rPr>
              <w:t>年</w:t>
            </w:r>
            <w:r>
              <w:rPr>
                <w:rFonts w:hint="eastAsia" w:ascii="Times New Roman" w:hAnsi="Times New Roman"/>
                <w:b w:val="0"/>
                <w:bCs w:val="0"/>
                <w:color w:val="auto"/>
                <w:sz w:val="24"/>
                <w:szCs w:val="24"/>
                <w:lang w:val="en-US" w:eastAsia="zh-CN"/>
              </w:rPr>
              <w:t>12</w:t>
            </w:r>
            <w:r>
              <w:rPr>
                <w:rFonts w:hint="eastAsia" w:ascii="Times New Roman" w:hAnsi="Times New Roman" w:eastAsia="宋体"/>
                <w:b w:val="0"/>
                <w:bCs w:val="0"/>
                <w:color w:val="auto"/>
                <w:sz w:val="24"/>
                <w:szCs w:val="24"/>
                <w:lang w:val="en-US" w:eastAsia="zh-CN"/>
              </w:rPr>
              <w:t>月</w:t>
            </w:r>
            <w:r>
              <w:rPr>
                <w:rFonts w:hint="eastAsia" w:ascii="Times New Roman" w:hAnsi="Times New Roman"/>
                <w:b w:val="0"/>
                <w:bCs w:val="0"/>
                <w:color w:val="auto"/>
                <w:sz w:val="24"/>
                <w:szCs w:val="24"/>
                <w:lang w:val="en-US" w:eastAsia="zh-CN"/>
              </w:rPr>
              <w:t>05</w:t>
            </w:r>
            <w:r>
              <w:rPr>
                <w:rFonts w:hint="eastAsia" w:ascii="Times New Roman" w:hAnsi="Times New Roman" w:eastAsia="宋体"/>
                <w:b w:val="0"/>
                <w:bCs w:val="0"/>
                <w:color w:val="auto"/>
                <w:sz w:val="24"/>
                <w:szCs w:val="24"/>
                <w:lang w:val="en-US" w:eastAsia="zh-CN"/>
              </w:rPr>
              <w:t>日</w:t>
            </w:r>
            <w:r>
              <w:rPr>
                <w:rFonts w:hint="eastAsia" w:ascii="Times New Roman" w:hAnsi="Times New Roman"/>
                <w:b w:val="0"/>
                <w:bCs w:val="0"/>
                <w:color w:val="auto"/>
                <w:sz w:val="24"/>
                <w:szCs w:val="24"/>
                <w:lang w:val="en-US" w:eastAsia="zh-CN"/>
              </w:rPr>
              <w:t>取得原海安县环境保护局批复（海环管（表）〔2009〕12006号），2019年12月20日通过自主验收，未验收部分弃建。企业生产运营至2023年，因淬火炉使用年限较高、耗损严重，不能满足产品的加工要求，故新增1台淬火炉，原淬火炉作为备用；为实现同类型产品批量化生产，减少工装夹具等的更换频率，从而提升员工操作便捷性，确保质量稳定性，新增部分机加工及辅助生产设备，故企业编制验收后变动环境影响分析并于2023年7月6日通过专家评审，变动后全厂产能不发生变化。2025年9月15日企业重新申领排污许可证（证书编号：91320621697919753L001Y）</w:t>
            </w:r>
            <w:r>
              <w:rPr>
                <w:rFonts w:hint="eastAsia" w:ascii="Times New Roman" w:hAnsi="Times New Roman" w:eastAsia="宋体"/>
                <w:b w:val="0"/>
                <w:bCs w:val="0"/>
                <w:color w:val="auto"/>
                <w:sz w:val="24"/>
                <w:szCs w:val="24"/>
                <w:lang w:val="en-US" w:eastAsia="zh-CN"/>
              </w:rPr>
              <w:t>。</w:t>
            </w:r>
          </w:p>
          <w:p w14:paraId="6D0D1918">
            <w:pPr>
              <w:pStyle w:val="2"/>
              <w:spacing w:before="0" w:after="0" w:line="360" w:lineRule="auto"/>
              <w:ind w:firstLine="480" w:firstLineChars="200"/>
              <w:rPr>
                <w:rFonts w:hint="eastAsia" w:ascii="Times New Roman" w:hAnsi="Times New Roman" w:eastAsia="宋体"/>
                <w:b w:val="0"/>
                <w:bCs w:val="0"/>
                <w:color w:val="auto"/>
                <w:sz w:val="24"/>
                <w:szCs w:val="24"/>
                <w:lang w:val="en-US" w:eastAsia="zh-CN"/>
              </w:rPr>
            </w:pPr>
            <w:r>
              <w:rPr>
                <w:rFonts w:hint="eastAsia" w:ascii="Times New Roman" w:hAnsi="Times New Roman"/>
                <w:b w:val="0"/>
                <w:bCs w:val="0"/>
                <w:color w:val="auto"/>
                <w:sz w:val="24"/>
                <w:szCs w:val="24"/>
                <w:lang w:val="en-US" w:eastAsia="zh-CN"/>
              </w:rPr>
              <w:t>随着</w:t>
            </w:r>
            <w:r>
              <w:rPr>
                <w:rFonts w:hint="eastAsia" w:ascii="Times New Roman" w:hAnsi="Times New Roman" w:eastAsia="宋体"/>
                <w:b w:val="0"/>
                <w:bCs w:val="0"/>
                <w:color w:val="auto"/>
                <w:sz w:val="24"/>
                <w:szCs w:val="24"/>
                <w:lang w:val="en-US" w:eastAsia="zh-CN"/>
              </w:rPr>
              <w:t>市场</w:t>
            </w:r>
            <w:r>
              <w:rPr>
                <w:rFonts w:hint="eastAsia" w:ascii="Times New Roman" w:hAnsi="Times New Roman"/>
                <w:b w:val="0"/>
                <w:bCs w:val="0"/>
                <w:color w:val="auto"/>
                <w:sz w:val="24"/>
                <w:szCs w:val="24"/>
                <w:lang w:val="en-US" w:eastAsia="zh-CN"/>
              </w:rPr>
              <w:t>对不同类型饲料加工设备</w:t>
            </w:r>
            <w:r>
              <w:rPr>
                <w:rFonts w:hint="eastAsia" w:ascii="Times New Roman" w:hAnsi="Times New Roman" w:eastAsia="宋体"/>
                <w:b w:val="0"/>
                <w:bCs w:val="0"/>
                <w:color w:val="auto"/>
                <w:sz w:val="24"/>
                <w:szCs w:val="24"/>
                <w:lang w:val="en-US" w:eastAsia="zh-CN"/>
              </w:rPr>
              <w:t>需求的增长</w:t>
            </w:r>
            <w:r>
              <w:rPr>
                <w:rFonts w:hint="eastAsia" w:ascii="Times New Roman" w:hAnsi="Times New Roman"/>
                <w:b w:val="0"/>
                <w:bCs w:val="0"/>
                <w:color w:val="auto"/>
                <w:sz w:val="24"/>
                <w:szCs w:val="24"/>
                <w:lang w:val="en-US" w:eastAsia="zh-CN"/>
              </w:rPr>
              <w:t>，企业抓住商机，扩大生产规模，谋求自身发展</w:t>
            </w:r>
            <w:r>
              <w:rPr>
                <w:rFonts w:hint="eastAsia" w:ascii="Times New Roman" w:hAnsi="Times New Roman" w:eastAsia="宋体"/>
                <w:b w:val="0"/>
                <w:bCs w:val="0"/>
                <w:color w:val="auto"/>
                <w:sz w:val="24"/>
                <w:szCs w:val="24"/>
                <w:lang w:val="en-US" w:eastAsia="zh-CN"/>
              </w:rPr>
              <w:t>，</w:t>
            </w:r>
            <w:r>
              <w:rPr>
                <w:rFonts w:hint="eastAsia" w:ascii="Times New Roman" w:hAnsi="Times New Roman"/>
                <w:b w:val="0"/>
                <w:bCs w:val="0"/>
                <w:color w:val="auto"/>
                <w:sz w:val="24"/>
                <w:szCs w:val="24"/>
                <w:lang w:val="en-US" w:eastAsia="zh-CN"/>
              </w:rPr>
              <w:t>故希彼埃姆机械（南通）有限公司</w:t>
            </w:r>
            <w:r>
              <w:rPr>
                <w:rFonts w:hint="eastAsia" w:ascii="Times New Roman" w:hAnsi="Times New Roman" w:eastAsia="宋体"/>
                <w:b w:val="0"/>
                <w:bCs w:val="0"/>
                <w:color w:val="auto"/>
                <w:sz w:val="24"/>
                <w:szCs w:val="24"/>
                <w:lang w:val="en-US" w:eastAsia="zh-CN"/>
              </w:rPr>
              <w:t>拟投资5000万元</w:t>
            </w:r>
            <w:r>
              <w:rPr>
                <w:rFonts w:hint="eastAsia" w:ascii="Times New Roman" w:hAnsi="Times New Roman"/>
                <w:b w:val="0"/>
                <w:bCs w:val="0"/>
                <w:color w:val="auto"/>
                <w:sz w:val="24"/>
                <w:szCs w:val="24"/>
                <w:lang w:val="en-US" w:eastAsia="zh-CN"/>
              </w:rPr>
              <w:t>建设</w:t>
            </w:r>
            <w:r>
              <w:rPr>
                <w:rFonts w:hint="eastAsia" w:ascii="Times New Roman" w:hAnsi="Times New Roman" w:eastAsia="宋体"/>
                <w:b w:val="0"/>
                <w:bCs w:val="0"/>
                <w:color w:val="auto"/>
                <w:sz w:val="24"/>
                <w:szCs w:val="24"/>
                <w:lang w:val="en-US" w:eastAsia="zh-CN"/>
              </w:rPr>
              <w:t>年产1万套10吨/小时及以上饲料加工成套设备的关键部件项目，原有项目保持不变，本次</w:t>
            </w:r>
            <w:r>
              <w:rPr>
                <w:rFonts w:hint="eastAsia" w:ascii="Times New Roman" w:hAnsi="Times New Roman"/>
                <w:b w:val="0"/>
                <w:bCs w:val="0"/>
                <w:color w:val="auto"/>
                <w:sz w:val="24"/>
                <w:szCs w:val="24"/>
                <w:lang w:val="en-US" w:eastAsia="zh-CN"/>
              </w:rPr>
              <w:t>产品相较原有产品工艺更为精细，适合用于更高等级且品控更严格的饲料加工设备上。本项目</w:t>
            </w:r>
            <w:r>
              <w:rPr>
                <w:rFonts w:hint="eastAsia" w:ascii="Times New Roman" w:hAnsi="Times New Roman" w:eastAsia="宋体"/>
                <w:b w:val="0"/>
                <w:bCs w:val="0"/>
                <w:color w:val="auto"/>
                <w:sz w:val="24"/>
                <w:szCs w:val="24"/>
                <w:lang w:val="en-US" w:eastAsia="zh-CN"/>
              </w:rPr>
              <w:t>购置数控枪钻、减压钻、倒角钻、清洗机等生产设备，不新增构筑物，利用现有厂房及配套设施，建成达产后</w:t>
            </w:r>
            <w:r>
              <w:rPr>
                <w:rFonts w:hint="eastAsia" w:ascii="Times New Roman" w:hAnsi="Times New Roman"/>
                <w:b w:val="0"/>
                <w:bCs w:val="0"/>
                <w:color w:val="auto"/>
                <w:sz w:val="24"/>
                <w:szCs w:val="24"/>
              </w:rPr>
              <w:t>可形成年产</w:t>
            </w:r>
            <w:r>
              <w:rPr>
                <w:rFonts w:hint="eastAsia" w:ascii="Times New Roman" w:hAnsi="Times New Roman"/>
                <w:b w:val="0"/>
                <w:bCs w:val="0"/>
                <w:color w:val="auto"/>
                <w:sz w:val="24"/>
                <w:szCs w:val="24"/>
                <w:lang w:val="en-US" w:eastAsia="zh-CN"/>
              </w:rPr>
              <w:t>10吨/小时及以上饲料加工成套设备的关键部件</w:t>
            </w:r>
            <w:r>
              <w:rPr>
                <w:rFonts w:hint="eastAsia" w:ascii="Times New Roman" w:hAnsi="Times New Roman"/>
                <w:b w:val="0"/>
                <w:bCs w:val="0"/>
                <w:color w:val="auto"/>
                <w:sz w:val="24"/>
                <w:szCs w:val="24"/>
              </w:rPr>
              <w:t>10000套的</w:t>
            </w:r>
            <w:r>
              <w:rPr>
                <w:rFonts w:hint="eastAsia" w:ascii="Times New Roman" w:hAnsi="Times New Roman"/>
                <w:b w:val="0"/>
                <w:bCs w:val="0"/>
                <w:color w:val="auto"/>
                <w:sz w:val="24"/>
                <w:szCs w:val="24"/>
                <w:lang w:val="en-US" w:eastAsia="zh-CN"/>
              </w:rPr>
              <w:t>生产</w:t>
            </w:r>
            <w:r>
              <w:rPr>
                <w:rFonts w:hint="eastAsia" w:ascii="Times New Roman" w:hAnsi="Times New Roman"/>
                <w:b w:val="0"/>
                <w:bCs w:val="0"/>
                <w:color w:val="auto"/>
                <w:sz w:val="24"/>
                <w:szCs w:val="24"/>
              </w:rPr>
              <w:t>能力</w:t>
            </w:r>
            <w:r>
              <w:rPr>
                <w:rFonts w:hint="eastAsia" w:ascii="Times New Roman" w:hAnsi="Times New Roman" w:eastAsia="宋体"/>
                <w:b w:val="0"/>
                <w:bCs w:val="0"/>
                <w:color w:val="auto"/>
                <w:sz w:val="24"/>
                <w:szCs w:val="24"/>
                <w:lang w:val="en-US" w:eastAsia="zh-CN"/>
              </w:rPr>
              <w:t>。本次</w:t>
            </w:r>
            <w:r>
              <w:rPr>
                <w:rFonts w:hint="eastAsia" w:ascii="Times New Roman" w:hAnsi="Times New Roman"/>
                <w:b w:val="0"/>
                <w:bCs w:val="0"/>
                <w:color w:val="auto"/>
                <w:sz w:val="24"/>
                <w:szCs w:val="24"/>
                <w:lang w:val="en-US" w:eastAsia="zh-CN"/>
              </w:rPr>
              <w:t>扩建</w:t>
            </w:r>
            <w:r>
              <w:rPr>
                <w:rFonts w:hint="eastAsia" w:ascii="Times New Roman" w:hAnsi="Times New Roman" w:eastAsia="宋体"/>
                <w:b w:val="0"/>
                <w:bCs w:val="0"/>
                <w:color w:val="auto"/>
                <w:sz w:val="24"/>
                <w:szCs w:val="24"/>
                <w:lang w:val="en-US" w:eastAsia="zh-CN"/>
              </w:rPr>
              <w:t>新增员工</w:t>
            </w:r>
            <w:r>
              <w:rPr>
                <w:rFonts w:hint="eastAsia" w:ascii="Times New Roman" w:hAnsi="Times New Roman"/>
                <w:b w:val="0"/>
                <w:bCs w:val="0"/>
                <w:color w:val="auto"/>
                <w:sz w:val="24"/>
                <w:szCs w:val="24"/>
                <w:lang w:val="en-US" w:eastAsia="zh-CN"/>
              </w:rPr>
              <w:t>35</w:t>
            </w:r>
            <w:r>
              <w:rPr>
                <w:rFonts w:hint="eastAsia" w:ascii="Times New Roman" w:hAnsi="Times New Roman" w:eastAsia="宋体"/>
                <w:b w:val="0"/>
                <w:bCs w:val="0"/>
                <w:color w:val="auto"/>
                <w:sz w:val="24"/>
                <w:szCs w:val="24"/>
                <w:lang w:val="en-US" w:eastAsia="zh-CN"/>
              </w:rPr>
              <w:t>人，</w:t>
            </w:r>
            <w:r>
              <w:rPr>
                <w:rFonts w:hint="eastAsia" w:ascii="Times New Roman" w:hAnsi="Times New Roman"/>
                <w:b w:val="0"/>
                <w:bCs w:val="0"/>
                <w:color w:val="auto"/>
                <w:sz w:val="24"/>
                <w:szCs w:val="24"/>
                <w:lang w:val="en-US" w:eastAsia="zh-CN"/>
              </w:rPr>
              <w:t>扩建后全厂定员100人，</w:t>
            </w:r>
            <w:r>
              <w:rPr>
                <w:rFonts w:hint="eastAsia" w:ascii="Times New Roman" w:hAnsi="Times New Roman" w:eastAsia="宋体"/>
                <w:b w:val="0"/>
                <w:bCs w:val="0"/>
                <w:color w:val="auto"/>
                <w:sz w:val="24"/>
                <w:szCs w:val="24"/>
                <w:lang w:val="en-US" w:eastAsia="zh-CN"/>
              </w:rPr>
              <w:t>工作班制为年生产354天，</w:t>
            </w:r>
            <w:r>
              <w:rPr>
                <w:rFonts w:hint="eastAsia" w:ascii="Times New Roman" w:hAnsi="Times New Roman"/>
                <w:b w:val="0"/>
                <w:bCs w:val="0"/>
                <w:color w:val="auto"/>
                <w:sz w:val="24"/>
                <w:szCs w:val="24"/>
                <w:lang w:val="en-US" w:eastAsia="zh-CN"/>
              </w:rPr>
              <w:t>三</w:t>
            </w:r>
            <w:r>
              <w:rPr>
                <w:rFonts w:hint="eastAsia" w:ascii="Times New Roman" w:hAnsi="Times New Roman" w:eastAsia="宋体"/>
                <w:b w:val="0"/>
                <w:bCs w:val="0"/>
                <w:color w:val="auto"/>
                <w:sz w:val="24"/>
                <w:szCs w:val="24"/>
                <w:lang w:val="en-US" w:eastAsia="zh-CN"/>
              </w:rPr>
              <w:t>班制，每班工作8h。</w:t>
            </w:r>
          </w:p>
          <w:p w14:paraId="673B8B30">
            <w:pPr>
              <w:pStyle w:val="2"/>
              <w:spacing w:before="0" w:after="0" w:line="360" w:lineRule="auto"/>
              <w:ind w:firstLine="480" w:firstLineChars="200"/>
              <w:rPr>
                <w:rFonts w:ascii="Times New Roman" w:hAnsi="Times New Roman"/>
                <w:b w:val="0"/>
                <w:bCs w:val="0"/>
                <w:color w:val="auto"/>
                <w:sz w:val="24"/>
                <w:szCs w:val="24"/>
              </w:rPr>
            </w:pPr>
            <w:r>
              <w:rPr>
                <w:rFonts w:hint="eastAsia" w:ascii="Times New Roman" w:hAnsi="Times New Roman"/>
                <w:b w:val="0"/>
                <w:bCs w:val="0"/>
                <w:color w:val="auto"/>
                <w:sz w:val="24"/>
                <w:szCs w:val="24"/>
              </w:rPr>
              <w:t>本项目已于202</w:t>
            </w:r>
            <w:r>
              <w:rPr>
                <w:rFonts w:hint="eastAsia" w:ascii="Times New Roman" w:hAnsi="Times New Roman"/>
                <w:b w:val="0"/>
                <w:bCs w:val="0"/>
                <w:color w:val="auto"/>
                <w:sz w:val="24"/>
                <w:szCs w:val="24"/>
                <w:lang w:val="en-US" w:eastAsia="zh-CN"/>
              </w:rPr>
              <w:t>6</w:t>
            </w:r>
            <w:r>
              <w:rPr>
                <w:rFonts w:hint="eastAsia" w:ascii="Times New Roman" w:hAnsi="Times New Roman"/>
                <w:b w:val="0"/>
                <w:bCs w:val="0"/>
                <w:color w:val="auto"/>
                <w:sz w:val="24"/>
                <w:szCs w:val="24"/>
              </w:rPr>
              <w:t>年</w:t>
            </w:r>
            <w:r>
              <w:rPr>
                <w:rFonts w:hint="eastAsia" w:ascii="Times New Roman" w:hAnsi="Times New Roman"/>
                <w:b w:val="0"/>
                <w:bCs w:val="0"/>
                <w:color w:val="auto"/>
                <w:sz w:val="24"/>
                <w:szCs w:val="24"/>
                <w:lang w:val="en-US" w:eastAsia="zh-CN"/>
              </w:rPr>
              <w:t>3</w:t>
            </w:r>
            <w:r>
              <w:rPr>
                <w:rFonts w:hint="eastAsia" w:ascii="Times New Roman" w:hAnsi="Times New Roman"/>
                <w:b w:val="0"/>
                <w:bCs w:val="0"/>
                <w:color w:val="auto"/>
                <w:sz w:val="24"/>
                <w:szCs w:val="24"/>
              </w:rPr>
              <w:t>月</w:t>
            </w:r>
            <w:r>
              <w:rPr>
                <w:rFonts w:hint="eastAsia" w:ascii="Times New Roman" w:hAnsi="Times New Roman"/>
                <w:b w:val="0"/>
                <w:bCs w:val="0"/>
                <w:color w:val="auto"/>
                <w:sz w:val="24"/>
                <w:szCs w:val="24"/>
                <w:lang w:val="en-US" w:eastAsia="zh-CN"/>
              </w:rPr>
              <w:t>10</w:t>
            </w:r>
            <w:r>
              <w:rPr>
                <w:rFonts w:hint="eastAsia" w:ascii="Times New Roman" w:hAnsi="Times New Roman"/>
                <w:b w:val="0"/>
                <w:bCs w:val="0"/>
                <w:color w:val="auto"/>
                <w:sz w:val="24"/>
                <w:szCs w:val="24"/>
              </w:rPr>
              <w:t>日在江苏省海安高新技术产业开发区管理委员会备案，项目代码：2508-320666-89-01-150100，备案证号：海高行审备〔2026〕44号。</w:t>
            </w:r>
          </w:p>
          <w:p w14:paraId="57B1DF70">
            <w:pPr>
              <w:spacing w:line="360" w:lineRule="auto"/>
              <w:ind w:firstLine="480" w:firstLineChars="200"/>
              <w:rPr>
                <w:color w:val="auto"/>
                <w:sz w:val="24"/>
                <w:szCs w:val="24"/>
              </w:rPr>
            </w:pPr>
            <w:r>
              <w:rPr>
                <w:color w:val="auto"/>
                <w:sz w:val="24"/>
                <w:szCs w:val="24"/>
              </w:rPr>
              <w:t>按照《中华人民共和国环境保护法》、《建设项目环境保护管理条例》等有关法律、法规，建设过程中或者建成投产后可能对环境产生影响的新建、扩建、改建、迁建、技术改造项目及区域开发建设项目，必须进行环境影响评价。根据《建设项目环境影响评价分类管理名录》（</w:t>
            </w:r>
            <w:r>
              <w:rPr>
                <w:rFonts w:hint="eastAsia"/>
                <w:color w:val="auto"/>
                <w:sz w:val="24"/>
                <w:szCs w:val="24"/>
              </w:rPr>
              <w:t>2021版</w:t>
            </w:r>
            <w:r>
              <w:rPr>
                <w:color w:val="auto"/>
                <w:sz w:val="24"/>
                <w:szCs w:val="24"/>
              </w:rPr>
              <w:t>），</w:t>
            </w:r>
            <w:r>
              <w:rPr>
                <w:rFonts w:hint="eastAsia"/>
                <w:color w:val="auto"/>
                <w:sz w:val="24"/>
                <w:szCs w:val="24"/>
              </w:rPr>
              <w:t>本</w:t>
            </w:r>
            <w:r>
              <w:rPr>
                <w:color w:val="auto"/>
                <w:sz w:val="24"/>
                <w:szCs w:val="24"/>
              </w:rPr>
              <w:t>项目</w:t>
            </w:r>
            <w:r>
              <w:rPr>
                <w:rFonts w:hint="eastAsia" w:cs="宋体"/>
                <w:color w:val="auto"/>
                <w:sz w:val="24"/>
                <w:szCs w:val="24"/>
              </w:rPr>
              <w:t>属于“三十二、专用设备制造业 35”中“食品、饮料、烟草及饲料生产专用设备制造 353”中的“其他”</w:t>
            </w:r>
            <w:r>
              <w:rPr>
                <w:rFonts w:hint="eastAsia"/>
                <w:color w:val="auto"/>
                <w:sz w:val="24"/>
                <w:szCs w:val="24"/>
              </w:rPr>
              <w:t>，</w:t>
            </w:r>
            <w:r>
              <w:rPr>
                <w:color w:val="auto"/>
                <w:sz w:val="24"/>
                <w:szCs w:val="24"/>
              </w:rPr>
              <w:t>应编制环境影响报告表</w:t>
            </w:r>
            <w:r>
              <w:rPr>
                <w:rFonts w:hint="eastAsia"/>
                <w:color w:val="auto"/>
                <w:sz w:val="24"/>
                <w:szCs w:val="24"/>
              </w:rPr>
              <w:t>。希彼埃姆机械（南通）有限公司</w:t>
            </w:r>
            <w:r>
              <w:rPr>
                <w:color w:val="auto"/>
                <w:sz w:val="24"/>
                <w:szCs w:val="24"/>
              </w:rPr>
              <w:t>委托我公司开展该项目环境影响评价工作。我公司接受委托后，认真研究了项目有关材料，并组织技术人员进行实地踏勘，初步调研，收集和核实了有关材料。在此基础上，按照国家对建设项目环境影响评价的有关规定和有关环保政策、技术规范，编制完成了本环境影响报告表，作为建设项目主管部门决策依据之一</w:t>
            </w:r>
            <w:r>
              <w:rPr>
                <w:rFonts w:hint="eastAsia"/>
                <w:color w:val="auto"/>
                <w:sz w:val="24"/>
                <w:szCs w:val="24"/>
              </w:rPr>
              <w:t>。</w:t>
            </w:r>
          </w:p>
          <w:p w14:paraId="72481F40">
            <w:pPr>
              <w:spacing w:line="360" w:lineRule="auto"/>
              <w:ind w:firstLine="482" w:firstLineChars="200"/>
              <w:rPr>
                <w:b/>
                <w:bCs/>
                <w:color w:val="auto"/>
                <w:sz w:val="24"/>
                <w:szCs w:val="24"/>
              </w:rPr>
            </w:pPr>
            <w:r>
              <w:rPr>
                <w:b/>
                <w:bCs/>
                <w:color w:val="auto"/>
                <w:sz w:val="24"/>
                <w:szCs w:val="24"/>
              </w:rPr>
              <w:t>2、主要产品及产能</w:t>
            </w:r>
          </w:p>
          <w:p w14:paraId="3204DB5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sz w:val="24"/>
                <w:szCs w:val="24"/>
              </w:rPr>
            </w:pPr>
            <w:r>
              <w:rPr>
                <w:rFonts w:hint="eastAsia"/>
                <w:color w:val="auto"/>
                <w:sz w:val="24"/>
                <w:szCs w:val="24"/>
                <w:lang w:val="en-US" w:eastAsia="zh-CN"/>
              </w:rPr>
              <w:t>略</w:t>
            </w:r>
          </w:p>
          <w:p w14:paraId="32BA966F">
            <w:pPr>
              <w:widowControl/>
              <w:spacing w:before="120" w:beforeLines="50" w:line="360" w:lineRule="auto"/>
              <w:ind w:firstLine="482" w:firstLineChars="200"/>
              <w:jc w:val="left"/>
              <w:rPr>
                <w:b/>
                <w:bCs/>
                <w:color w:val="auto"/>
                <w:sz w:val="24"/>
                <w:szCs w:val="24"/>
              </w:rPr>
            </w:pPr>
            <w:r>
              <w:rPr>
                <w:rFonts w:hint="eastAsia"/>
                <w:b/>
                <w:bCs/>
                <w:color w:val="auto"/>
                <w:sz w:val="24"/>
                <w:szCs w:val="24"/>
              </w:rPr>
              <w:t>3</w:t>
            </w:r>
            <w:r>
              <w:rPr>
                <w:b/>
                <w:bCs/>
                <w:color w:val="auto"/>
                <w:sz w:val="24"/>
                <w:szCs w:val="24"/>
              </w:rPr>
              <w:t>、生产设</w:t>
            </w:r>
            <w:r>
              <w:rPr>
                <w:rFonts w:hint="eastAsia"/>
                <w:b/>
                <w:bCs/>
                <w:color w:val="auto"/>
                <w:sz w:val="24"/>
                <w:szCs w:val="24"/>
              </w:rPr>
              <w:t>施</w:t>
            </w:r>
          </w:p>
          <w:p w14:paraId="1AC89789">
            <w:pPr>
              <w:adjustRightInd w:val="0"/>
              <w:snapToGrid w:val="0"/>
              <w:spacing w:line="360" w:lineRule="auto"/>
              <w:ind w:firstLine="470" w:firstLineChars="196"/>
              <w:rPr>
                <w:color w:val="auto"/>
                <w:sz w:val="24"/>
                <w:szCs w:val="24"/>
              </w:rPr>
            </w:pPr>
            <w:r>
              <w:rPr>
                <w:rFonts w:hint="eastAsia"/>
                <w:color w:val="auto"/>
                <w:sz w:val="24"/>
                <w:szCs w:val="24"/>
                <w:lang w:val="en-US" w:eastAsia="zh-CN"/>
              </w:rPr>
              <w:t>略</w:t>
            </w:r>
          </w:p>
          <w:p w14:paraId="0E396C6F">
            <w:pPr>
              <w:keepNext w:val="0"/>
              <w:keepLines w:val="0"/>
              <w:pageBreakBefore w:val="0"/>
              <w:widowControl w:val="0"/>
              <w:kinsoku/>
              <w:wordWrap/>
              <w:overflowPunct/>
              <w:topLinePunct w:val="0"/>
              <w:autoSpaceDE/>
              <w:autoSpaceDN/>
              <w:bidi w:val="0"/>
              <w:adjustRightInd w:val="0"/>
              <w:snapToGrid w:val="0"/>
              <w:spacing w:line="360" w:lineRule="auto"/>
              <w:ind w:firstLine="472" w:firstLineChars="196"/>
              <w:textAlignment w:val="auto"/>
              <w:rPr>
                <w:b/>
                <w:bCs/>
                <w:snapToGrid w:val="0"/>
                <w:color w:val="auto"/>
                <w:kern w:val="0"/>
                <w:sz w:val="24"/>
                <w:szCs w:val="24"/>
              </w:rPr>
            </w:pPr>
            <w:r>
              <w:rPr>
                <w:rFonts w:hint="eastAsia"/>
                <w:b/>
                <w:bCs/>
                <w:color w:val="auto"/>
                <w:sz w:val="24"/>
                <w:szCs w:val="24"/>
              </w:rPr>
              <w:t>4</w:t>
            </w:r>
            <w:r>
              <w:rPr>
                <w:b/>
                <w:bCs/>
                <w:color w:val="auto"/>
                <w:sz w:val="24"/>
                <w:szCs w:val="24"/>
              </w:rPr>
              <w:t>、原辅材料</w:t>
            </w:r>
          </w:p>
          <w:p w14:paraId="23BF169E">
            <w:pPr>
              <w:adjustRightInd w:val="0"/>
              <w:snapToGrid w:val="0"/>
              <w:spacing w:line="360" w:lineRule="auto"/>
              <w:ind w:firstLine="480" w:firstLineChars="200"/>
              <w:rPr>
                <w:snapToGrid w:val="0"/>
                <w:color w:val="auto"/>
                <w:kern w:val="0"/>
                <w:sz w:val="24"/>
                <w:szCs w:val="24"/>
              </w:rPr>
            </w:pPr>
            <w:r>
              <w:rPr>
                <w:rFonts w:hint="eastAsia"/>
                <w:snapToGrid w:val="0"/>
                <w:color w:val="auto"/>
                <w:kern w:val="0"/>
                <w:sz w:val="24"/>
                <w:szCs w:val="24"/>
                <w:lang w:val="en-US" w:eastAsia="zh-CN"/>
              </w:rPr>
              <w:t>略</w:t>
            </w:r>
          </w:p>
          <w:p w14:paraId="12C8D6A9">
            <w:pPr>
              <w:spacing w:before="120" w:beforeLines="50" w:line="360" w:lineRule="auto"/>
              <w:ind w:firstLine="482" w:firstLineChars="200"/>
              <w:rPr>
                <w:b/>
                <w:bCs/>
                <w:color w:val="auto"/>
                <w:sz w:val="24"/>
                <w:szCs w:val="24"/>
              </w:rPr>
            </w:pPr>
            <w:r>
              <w:rPr>
                <w:rFonts w:hint="eastAsia"/>
                <w:b/>
                <w:bCs/>
                <w:color w:val="auto"/>
                <w:sz w:val="24"/>
                <w:szCs w:val="24"/>
              </w:rPr>
              <w:t>5</w:t>
            </w:r>
            <w:r>
              <w:rPr>
                <w:b/>
                <w:bCs/>
                <w:color w:val="auto"/>
                <w:sz w:val="24"/>
                <w:szCs w:val="24"/>
              </w:rPr>
              <w:t>、建设内容</w:t>
            </w:r>
          </w:p>
          <w:p w14:paraId="4D7B9247">
            <w:pPr>
              <w:spacing w:line="360" w:lineRule="auto"/>
              <w:ind w:firstLine="480" w:firstLineChars="200"/>
              <w:rPr>
                <w:color w:val="auto"/>
                <w:sz w:val="24"/>
                <w:szCs w:val="24"/>
              </w:rPr>
            </w:pPr>
            <w:r>
              <w:rPr>
                <w:rFonts w:hint="eastAsia"/>
                <w:color w:val="auto"/>
                <w:sz w:val="24"/>
                <w:szCs w:val="24"/>
                <w:lang w:val="en-US" w:eastAsia="zh-CN"/>
              </w:rPr>
              <w:t>略</w:t>
            </w:r>
          </w:p>
          <w:p w14:paraId="4B071526">
            <w:pPr>
              <w:numPr>
                <w:ilvl w:val="0"/>
                <w:numId w:val="7"/>
              </w:numPr>
              <w:spacing w:before="120" w:beforeLines="50" w:line="360" w:lineRule="auto"/>
              <w:ind w:firstLine="482" w:firstLineChars="200"/>
              <w:rPr>
                <w:rFonts w:hint="eastAsia"/>
                <w:b/>
                <w:bCs/>
                <w:color w:val="auto"/>
                <w:sz w:val="24"/>
                <w:szCs w:val="24"/>
              </w:rPr>
            </w:pPr>
            <w:r>
              <w:rPr>
                <w:rFonts w:hint="eastAsia"/>
                <w:b/>
                <w:bCs/>
                <w:color w:val="auto"/>
                <w:sz w:val="24"/>
                <w:szCs w:val="24"/>
              </w:rPr>
              <w:t>水平衡</w:t>
            </w:r>
          </w:p>
          <w:p w14:paraId="3C240E05">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b/>
                <w:bCs/>
                <w:color w:val="auto"/>
                <w:sz w:val="24"/>
                <w:szCs w:val="24"/>
              </w:rPr>
            </w:pPr>
            <w:r>
              <w:rPr>
                <w:rFonts w:hint="eastAsia"/>
                <w:b/>
                <w:bCs/>
                <w:color w:val="auto"/>
                <w:sz w:val="24"/>
                <w:szCs w:val="24"/>
              </w:rPr>
              <mc:AlternateContent>
                <mc:Choice Requires="wpc">
                  <w:drawing>
                    <wp:inline distT="0" distB="0" distL="114300" distR="114300">
                      <wp:extent cx="5298440" cy="3370580"/>
                      <wp:effectExtent l="0" t="0" r="0" b="39370"/>
                      <wp:docPr id="4" name="画布 4"/>
                      <wp:cNvGraphicFramePr/>
                      <a:graphic xmlns:a="http://schemas.openxmlformats.org/drawingml/2006/main">
                        <a:graphicData uri="http://schemas.microsoft.com/office/word/2010/wordprocessingCanvas">
                          <wpc:wpc>
                            <wpc:bg/>
                            <wpc:whole/>
                            <wps:wsp>
                              <wps:cNvPr id="156" name="矩形 12"/>
                              <wps:cNvSpPr/>
                              <wps:spPr>
                                <a:xfrm>
                                  <a:off x="2210435" y="412115"/>
                                  <a:ext cx="556895" cy="180340"/>
                                </a:xfrm>
                                <a:prstGeom prst="rect">
                                  <a:avLst/>
                                </a:prstGeom>
                                <a:noFill/>
                                <a:ln w="6350">
                                  <a:solidFill>
                                    <a:schemeClr val="tx1"/>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7BDF96F3">
                                    <w:pPr>
                                      <w:jc w:val="center"/>
                                      <w:rPr>
                                        <w:rFonts w:hint="default" w:eastAsia="宋体"/>
                                        <w:color w:val="000000" w:themeColor="text1"/>
                                        <w:sz w:val="18"/>
                                        <w:szCs w:val="18"/>
                                        <w:lang w:val="en-US" w:eastAsia="zh-CN"/>
                                        <w14:textFill>
                                          <w14:solidFill>
                                            <w14:schemeClr w14:val="tx1"/>
                                          </w14:solidFill>
                                        </w14:textFill>
                                        <w14:props3d w14:extrusionH="0" w14:contourW="0" w14:prstMaterial="clear"/>
                                      </w:rPr>
                                    </w:pPr>
                                    <w:r>
                                      <w:rPr>
                                        <w:rFonts w:hint="eastAsia"/>
                                        <w:color w:val="000000" w:themeColor="text1"/>
                                        <w:sz w:val="18"/>
                                        <w:szCs w:val="18"/>
                                        <w:lang w:val="en-US" w:eastAsia="zh-CN"/>
                                        <w14:textFill>
                                          <w14:solidFill>
                                            <w14:schemeClr w14:val="tx1"/>
                                          </w14:solidFill>
                                        </w14:textFill>
                                        <w14:props3d w14:extrusionH="0" w14:contourW="0" w14:prstMaterial="clear"/>
                                      </w:rPr>
                                      <w:t>化粪池</w:t>
                                    </w:r>
                                  </w:p>
                                </w:txbxContent>
                              </wps:txbx>
                              <wps:bodyPr rot="0" spcFirstLastPara="0" vertOverflow="overflow" horzOverflow="overflow" vert="horz" wrap="square" lIns="0" tIns="0" rIns="0" bIns="0" numCol="1" spcCol="0" rtlCol="0" fromWordArt="0" anchor="ctr" anchorCtr="0" forceAA="0" compatLnSpc="1">
                                <a:noAutofit/>
                              </wps:bodyPr>
                            </wps:wsp>
                            <wps:wsp>
                              <wps:cNvPr id="157" name="矩形 14"/>
                              <wps:cNvSpPr/>
                              <wps:spPr>
                                <a:xfrm>
                                  <a:off x="3183255" y="346710"/>
                                  <a:ext cx="768350" cy="316230"/>
                                </a:xfrm>
                                <a:prstGeom prst="rect">
                                  <a:avLst/>
                                </a:prstGeom>
                                <a:noFill/>
                                <a:ln w="6350">
                                  <a:solidFill>
                                    <a:schemeClr val="tx1"/>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315EA772">
                                    <w:pPr>
                                      <w:jc w:val="center"/>
                                      <w:rPr>
                                        <w:rFonts w:hint="eastAsia"/>
                                        <w:color w:val="000000" w:themeColor="text1"/>
                                        <w:sz w:val="18"/>
                                        <w:szCs w:val="18"/>
                                        <w:lang w:val="en-US" w:eastAsia="zh-CN"/>
                                        <w14:textFill>
                                          <w14:solidFill>
                                            <w14:schemeClr w14:val="tx1"/>
                                          </w14:solidFill>
                                        </w14:textFill>
                                        <w14:props3d w14:extrusionH="0" w14:contourW="0" w14:prstMaterial="clear"/>
                                      </w:rPr>
                                    </w:pPr>
                                    <w:r>
                                      <w:rPr>
                                        <w:rFonts w:hint="default"/>
                                        <w:color w:val="000000" w:themeColor="text1"/>
                                        <w:sz w:val="18"/>
                                        <w:szCs w:val="18"/>
                                        <w:lang w:val="en-US" w:eastAsia="zh-CN"/>
                                        <w14:textFill>
                                          <w14:solidFill>
                                            <w14:schemeClr w14:val="tx1"/>
                                          </w14:solidFill>
                                        </w14:textFill>
                                        <w14:props3d w14:extrusionH="0" w14:contourW="0" w14:prstMaterial="clear"/>
                                      </w:rPr>
                                      <w:t>鹰泰水务海安有限公司</w:t>
                                    </w:r>
                                  </w:p>
                                </w:txbxContent>
                              </wps:txbx>
                              <wps:bodyPr rot="0" spcFirstLastPara="0" vertOverflow="overflow" horzOverflow="overflow" vert="horz" wrap="square" lIns="0" tIns="0" rIns="0" bIns="0" numCol="1" spcCol="0" rtlCol="0" fromWordArt="0" anchor="ctr" anchorCtr="0" forceAA="0" compatLnSpc="1">
                                <a:noAutofit/>
                              </wps:bodyPr>
                            </wps:wsp>
                            <wps:wsp>
                              <wps:cNvPr id="158" name="矩形 16"/>
                              <wps:cNvSpPr/>
                              <wps:spPr>
                                <a:xfrm>
                                  <a:off x="4351020" y="414020"/>
                                  <a:ext cx="500380" cy="189230"/>
                                </a:xfrm>
                                <a:prstGeom prst="rect">
                                  <a:avLst/>
                                </a:prstGeom>
                                <a:noFill/>
                                <a:ln w="6350">
                                  <a:noFill/>
                                </a:ln>
                              </wps:spPr>
                              <wps:style>
                                <a:lnRef idx="2">
                                  <a:schemeClr val="accent1">
                                    <a:lumMod val="75000"/>
                                  </a:schemeClr>
                                </a:lnRef>
                                <a:fillRef idx="1">
                                  <a:schemeClr val="accent1"/>
                                </a:fillRef>
                                <a:effectRef idx="0">
                                  <a:srgbClr val="FFFFFF"/>
                                </a:effectRef>
                                <a:fontRef idx="minor">
                                  <a:schemeClr val="lt1"/>
                                </a:fontRef>
                              </wps:style>
                              <wps:txbx>
                                <w:txbxContent>
                                  <w:p w14:paraId="3C51AEB0">
                                    <w:pPr>
                                      <w:jc w:val="center"/>
                                      <w:rPr>
                                        <w:rFonts w:hint="eastAsia" w:ascii="Times New Roman" w:hAnsi="Times New Roman" w:eastAsia="宋体" w:cs="Times New Roman"/>
                                        <w:color w:val="000000" w:themeColor="text1"/>
                                        <w:sz w:val="18"/>
                                        <w:szCs w:val="18"/>
                                        <w:lang w:val="en-US" w:eastAsia="zh-CN"/>
                                        <w14:textFill>
                                          <w14:solidFill>
                                            <w14:schemeClr w14:val="tx1"/>
                                          </w14:solidFill>
                                        </w14:textFill>
                                        <w14:props3d w14:extrusionH="0" w14:contourW="0" w14:prstMaterial="clear"/>
                                      </w:rPr>
                                    </w:pPr>
                                    <w:r>
                                      <w:rPr>
                                        <w:rFonts w:hint="eastAsia" w:ascii="Times New Roman" w:hAnsi="Times New Roman" w:eastAsia="宋体" w:cs="Times New Roman"/>
                                        <w:color w:val="000000" w:themeColor="text1"/>
                                        <w:sz w:val="18"/>
                                        <w:szCs w:val="18"/>
                                        <w:lang w:val="en-US" w:eastAsia="zh-CN"/>
                                        <w14:textFill>
                                          <w14:solidFill>
                                            <w14:schemeClr w14:val="tx1"/>
                                          </w14:solidFill>
                                        </w14:textFill>
                                        <w14:props3d w14:extrusionH="0" w14:contourW="0" w14:prstMaterial="clear"/>
                                      </w:rPr>
                                      <w:t>栟茶运河</w:t>
                                    </w:r>
                                  </w:p>
                                </w:txbxContent>
                              </wps:txbx>
                              <wps:bodyPr rot="0" spcFirstLastPara="0" vertOverflow="overflow" horzOverflow="overflow" vert="horz" wrap="square" lIns="0" tIns="0" rIns="0" bIns="0" numCol="1" spcCol="0" rtlCol="0" fromWordArt="0" anchor="ctr" anchorCtr="0" forceAA="0" compatLnSpc="1">
                                <a:noAutofit/>
                              </wps:bodyPr>
                            </wps:wsp>
                            <wps:wsp>
                              <wps:cNvPr id="159" name="直接箭头连接符 2"/>
                              <wps:cNvCnPr/>
                              <wps:spPr>
                                <a:xfrm>
                                  <a:off x="1739900" y="506095"/>
                                  <a:ext cx="468000" cy="0"/>
                                </a:xfrm>
                                <a:prstGeom prst="straightConnector1">
                                  <a:avLst/>
                                </a:prstGeom>
                                <a:ln w="6350">
                                  <a:solidFill>
                                    <a:schemeClr val="tx1"/>
                                  </a:solidFill>
                                  <a:tailEnd type="triangle" w="med" len="lg"/>
                                </a:ln>
                              </wps:spPr>
                              <wps:style>
                                <a:lnRef idx="2">
                                  <a:schemeClr val="accent1"/>
                                </a:lnRef>
                                <a:fillRef idx="0">
                                  <a:srgbClr val="FFFFFF"/>
                                </a:fillRef>
                                <a:effectRef idx="0">
                                  <a:srgbClr val="FFFFFF"/>
                                </a:effectRef>
                                <a:fontRef idx="minor">
                                  <a:schemeClr val="tx1"/>
                                </a:fontRef>
                              </wps:style>
                              <wps:bodyPr/>
                            </wps:wsp>
                            <wps:wsp>
                              <wps:cNvPr id="167" name="矩形 6"/>
                              <wps:cNvSpPr/>
                              <wps:spPr>
                                <a:xfrm>
                                  <a:off x="1398270" y="0"/>
                                  <a:ext cx="626745" cy="180340"/>
                                </a:xfrm>
                                <a:prstGeom prst="rect">
                                  <a:avLst/>
                                </a:prstGeom>
                                <a:noFill/>
                                <a:ln w="6350">
                                  <a:noFill/>
                                </a:ln>
                              </wps:spPr>
                              <wps:style>
                                <a:lnRef idx="2">
                                  <a:schemeClr val="accent1">
                                    <a:lumMod val="75000"/>
                                  </a:schemeClr>
                                </a:lnRef>
                                <a:fillRef idx="1">
                                  <a:schemeClr val="accent1"/>
                                </a:fillRef>
                                <a:effectRef idx="0">
                                  <a:srgbClr val="FFFFFF"/>
                                </a:effectRef>
                                <a:fontRef idx="minor">
                                  <a:schemeClr val="lt1"/>
                                </a:fontRef>
                              </wps:style>
                              <wps:txbx>
                                <w:txbxContent>
                                  <w:p w14:paraId="68C98335">
                                    <w:pPr>
                                      <w:jc w:val="center"/>
                                      <w:rPr>
                                        <w:rFonts w:hint="default" w:eastAsia="宋体"/>
                                        <w:color w:val="000000" w:themeColor="text1"/>
                                        <w:sz w:val="18"/>
                                        <w:szCs w:val="18"/>
                                        <w:lang w:val="en-US" w:eastAsia="zh-CN"/>
                                        <w14:textFill>
                                          <w14:solidFill>
                                            <w14:schemeClr w14:val="tx1"/>
                                          </w14:solidFill>
                                        </w14:textFill>
                                        <w14:props3d w14:extrusionH="0" w14:contourW="0" w14:prstMaterial="clear"/>
                                      </w:rPr>
                                    </w:pPr>
                                    <w:r>
                                      <w:rPr>
                                        <w:rFonts w:hint="eastAsia"/>
                                        <w:color w:val="000000" w:themeColor="text1"/>
                                        <w:sz w:val="18"/>
                                        <w:szCs w:val="18"/>
                                        <w14:textFill>
                                          <w14:solidFill>
                                            <w14:schemeClr w14:val="tx1"/>
                                          </w14:solidFill>
                                        </w14:textFill>
                                        <w14:props3d w14:extrusionH="0" w14:contourW="0" w14:prstMaterial="clear"/>
                                      </w:rPr>
                                      <w:t>损耗</w:t>
                                    </w:r>
                                    <w:r>
                                      <w:rPr>
                                        <w:rFonts w:hint="eastAsia"/>
                                        <w:color w:val="000000" w:themeColor="text1"/>
                                        <w:sz w:val="18"/>
                                        <w:szCs w:val="18"/>
                                        <w:lang w:val="en-US" w:eastAsia="zh-CN"/>
                                        <w14:textFill>
                                          <w14:solidFill>
                                            <w14:schemeClr w14:val="tx1"/>
                                          </w14:solidFill>
                                        </w14:textFill>
                                        <w14:props3d w14:extrusionH="0" w14:contourW="0" w14:prstMaterial="clear"/>
                                      </w:rPr>
                                      <w:t>62</w:t>
                                    </w:r>
                                  </w:p>
                                </w:txbxContent>
                              </wps:txbx>
                              <wps:bodyPr rot="0" spcFirstLastPara="0" vertOverflow="overflow" horzOverflow="overflow" vert="horz" wrap="square" lIns="0" tIns="0" rIns="0" bIns="0" numCol="1" spcCol="0" rtlCol="0" fromWordArt="0" anchor="ctr" anchorCtr="0" forceAA="0" compatLnSpc="1">
                                <a:noAutofit/>
                              </wps:bodyPr>
                            </wps:wsp>
                            <wps:wsp>
                              <wps:cNvPr id="168" name="矩形 5"/>
                              <wps:cNvSpPr/>
                              <wps:spPr>
                                <a:xfrm>
                                  <a:off x="1179830" y="412750"/>
                                  <a:ext cx="556895" cy="180340"/>
                                </a:xfrm>
                                <a:prstGeom prst="rect">
                                  <a:avLst/>
                                </a:prstGeom>
                                <a:noFill/>
                                <a:ln w="6350">
                                  <a:solidFill>
                                    <a:schemeClr val="tx1"/>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02D733F2">
                                    <w:pPr>
                                      <w:jc w:val="center"/>
                                      <w:rPr>
                                        <w:rFonts w:hint="eastAsia" w:eastAsia="宋体"/>
                                        <w:color w:val="000000" w:themeColor="text1"/>
                                        <w:sz w:val="18"/>
                                        <w:szCs w:val="18"/>
                                        <w:lang w:val="en-US" w:eastAsia="zh-CN"/>
                                        <w14:textFill>
                                          <w14:solidFill>
                                            <w14:schemeClr w14:val="tx1"/>
                                          </w14:solidFill>
                                        </w14:textFill>
                                        <w14:props3d w14:extrusionH="0" w14:contourW="0" w14:prstMaterial="clear"/>
                                      </w:rPr>
                                    </w:pPr>
                                    <w:r>
                                      <w:rPr>
                                        <w:rFonts w:hint="eastAsia"/>
                                        <w:color w:val="000000" w:themeColor="text1"/>
                                        <w:sz w:val="18"/>
                                        <w:szCs w:val="18"/>
                                        <w:lang w:val="en-US" w:eastAsia="zh-CN"/>
                                        <w14:textFill>
                                          <w14:solidFill>
                                            <w14:schemeClr w14:val="tx1"/>
                                          </w14:solidFill>
                                        </w14:textFill>
                                        <w14:props3d w14:extrusionH="0" w14:contourW="0" w14:prstMaterial="clear"/>
                                      </w:rPr>
                                      <w:t>生活用水</w:t>
                                    </w:r>
                                  </w:p>
                                </w:txbxContent>
                              </wps:txbx>
                              <wps:bodyPr rot="0" spcFirstLastPara="0" vertOverflow="overflow" horzOverflow="overflow" vert="horz" wrap="square" lIns="0" tIns="0" rIns="0" bIns="0" numCol="1" spcCol="0" rtlCol="0" fromWordArt="0" anchor="ctr" anchorCtr="0" forceAA="0" compatLnSpc="1">
                                <a:noAutofit/>
                              </wps:bodyPr>
                            </wps:wsp>
                            <wps:wsp>
                              <wps:cNvPr id="169" name="曲线连接符 22"/>
                              <wps:cNvCnPr/>
                              <wps:spPr>
                                <a:xfrm rot="16200000">
                                  <a:off x="1452245" y="179705"/>
                                  <a:ext cx="259080" cy="219710"/>
                                </a:xfrm>
                                <a:prstGeom prst="curvedConnector3">
                                  <a:avLst>
                                    <a:gd name="adj1" fmla="val 49755"/>
                                  </a:avLst>
                                </a:prstGeom>
                                <a:noFill/>
                                <a:ln w="6350" cap="flat" cmpd="sng" algn="ctr">
                                  <a:solidFill>
                                    <a:sysClr val="windowText" lastClr="000000"/>
                                  </a:solidFill>
                                  <a:prstDash val="solid"/>
                                  <a:tailEnd type="arrow" w="med" len="med"/>
                                </a:ln>
                                <a:effectLst/>
                              </wps:spPr>
                              <wps:style>
                                <a:lnRef idx="1">
                                  <a:schemeClr val="dk1"/>
                                </a:lnRef>
                                <a:fillRef idx="0">
                                  <a:schemeClr val="dk1"/>
                                </a:fillRef>
                                <a:effectRef idx="0">
                                  <a:schemeClr val="dk1"/>
                                </a:effectRef>
                                <a:fontRef idx="minor">
                                  <a:schemeClr val="tx1"/>
                                </a:fontRef>
                              </wps:style>
                              <wps:bodyPr/>
                            </wps:wsp>
                            <wps:wsp>
                              <wps:cNvPr id="170" name="直接箭头连接符 75"/>
                              <wps:cNvCnPr/>
                              <wps:spPr>
                                <a:xfrm>
                                  <a:off x="670560" y="506095"/>
                                  <a:ext cx="504190" cy="0"/>
                                </a:xfrm>
                                <a:prstGeom prst="straightConnector1">
                                  <a:avLst/>
                                </a:prstGeom>
                                <a:ln w="6350">
                                  <a:solidFill>
                                    <a:schemeClr val="tx1"/>
                                  </a:solidFill>
                                  <a:tailEnd type="triangle" w="med" len="lg"/>
                                </a:ln>
                              </wps:spPr>
                              <wps:style>
                                <a:lnRef idx="2">
                                  <a:schemeClr val="accent1"/>
                                </a:lnRef>
                                <a:fillRef idx="0">
                                  <a:srgbClr val="FFFFFF"/>
                                </a:fillRef>
                                <a:effectRef idx="0">
                                  <a:srgbClr val="FFFFFF"/>
                                </a:effectRef>
                                <a:fontRef idx="minor">
                                  <a:schemeClr val="tx1"/>
                                </a:fontRef>
                              </wps:style>
                              <wps:bodyPr/>
                            </wps:wsp>
                            <wps:wsp>
                              <wps:cNvPr id="175" name="矩形 27"/>
                              <wps:cNvSpPr/>
                              <wps:spPr>
                                <a:xfrm>
                                  <a:off x="0" y="1358265"/>
                                  <a:ext cx="207010" cy="735965"/>
                                </a:xfrm>
                                <a:prstGeom prst="rect">
                                  <a:avLst/>
                                </a:prstGeom>
                                <a:noFill/>
                                <a:ln w="6350">
                                  <a:noFill/>
                                </a:ln>
                              </wps:spPr>
                              <wps:style>
                                <a:lnRef idx="2">
                                  <a:schemeClr val="accent1">
                                    <a:lumMod val="75000"/>
                                  </a:schemeClr>
                                </a:lnRef>
                                <a:fillRef idx="1">
                                  <a:schemeClr val="accent1"/>
                                </a:fillRef>
                                <a:effectRef idx="0">
                                  <a:srgbClr val="FFFFFF"/>
                                </a:effectRef>
                                <a:fontRef idx="minor">
                                  <a:schemeClr val="lt1"/>
                                </a:fontRef>
                              </wps:style>
                              <wps:txbx>
                                <w:txbxContent>
                                  <w:p w14:paraId="6EDC3DC5">
                                    <w:pPr>
                                      <w:jc w:val="center"/>
                                      <w:rPr>
                                        <w:color w:val="000000" w:themeColor="text1"/>
                                        <w:sz w:val="18"/>
                                        <w:szCs w:val="18"/>
                                        <w14:textFill>
                                          <w14:solidFill>
                                            <w14:schemeClr w14:val="tx1"/>
                                          </w14:solidFill>
                                        </w14:textFill>
                                        <w14:props3d w14:extrusionH="0" w14:contourW="0" w14:prstMaterial="clear"/>
                                      </w:rPr>
                                    </w:pPr>
                                    <w:r>
                                      <w:rPr>
                                        <w:rFonts w:hint="eastAsia"/>
                                        <w:color w:val="000000" w:themeColor="text1"/>
                                        <w:sz w:val="18"/>
                                        <w:szCs w:val="18"/>
                                        <w14:textFill>
                                          <w14:solidFill>
                                            <w14:schemeClr w14:val="tx1"/>
                                          </w14:solidFill>
                                        </w14:textFill>
                                        <w14:props3d w14:extrusionH="0" w14:contourW="0" w14:prstMaterial="clear"/>
                                      </w:rPr>
                                      <w:t>自来水</w:t>
                                    </w:r>
                                  </w:p>
                                </w:txbxContent>
                              </wps:txbx>
                              <wps:bodyPr rot="0" spcFirstLastPara="0" vertOverflow="overflow" horzOverflow="overflow" vert="horz" wrap="square" lIns="0" tIns="0" rIns="0" bIns="0" numCol="1" spcCol="0" rtlCol="0" fromWordArt="0" anchor="ctr" anchorCtr="0" forceAA="0" compatLnSpc="1">
                                <a:noAutofit/>
                              </wps:bodyPr>
                            </wps:wsp>
                            <wps:wsp>
                              <wps:cNvPr id="176" name="矩形 29"/>
                              <wps:cNvSpPr/>
                              <wps:spPr>
                                <a:xfrm>
                                  <a:off x="641350" y="343535"/>
                                  <a:ext cx="448945" cy="180340"/>
                                </a:xfrm>
                                <a:prstGeom prst="rect">
                                  <a:avLst/>
                                </a:prstGeom>
                                <a:noFill/>
                                <a:ln w="6350">
                                  <a:noFill/>
                                </a:ln>
                              </wps:spPr>
                              <wps:style>
                                <a:lnRef idx="2">
                                  <a:schemeClr val="accent1">
                                    <a:lumMod val="75000"/>
                                  </a:schemeClr>
                                </a:lnRef>
                                <a:fillRef idx="1">
                                  <a:schemeClr val="accent1"/>
                                </a:fillRef>
                                <a:effectRef idx="0">
                                  <a:srgbClr val="FFFFFF"/>
                                </a:effectRef>
                                <a:fontRef idx="minor">
                                  <a:schemeClr val="lt1"/>
                                </a:fontRef>
                              </wps:style>
                              <wps:txbx>
                                <w:txbxContent>
                                  <w:p w14:paraId="67268F10">
                                    <w:pPr>
                                      <w:jc w:val="center"/>
                                      <w:rPr>
                                        <w:rFonts w:hint="default" w:eastAsia="宋体"/>
                                        <w:color w:val="000000" w:themeColor="text1"/>
                                        <w:sz w:val="18"/>
                                        <w:szCs w:val="18"/>
                                        <w:lang w:val="en-US" w:eastAsia="zh-CN"/>
                                        <w14:textFill>
                                          <w14:solidFill>
                                            <w14:schemeClr w14:val="tx1"/>
                                          </w14:solidFill>
                                        </w14:textFill>
                                        <w14:props3d w14:extrusionH="0" w14:contourW="0" w14:prstMaterial="clear"/>
                                      </w:rPr>
                                    </w:pPr>
                                    <w:r>
                                      <w:rPr>
                                        <w:rFonts w:hint="eastAsia"/>
                                        <w:color w:val="000000" w:themeColor="text1"/>
                                        <w:sz w:val="18"/>
                                        <w:szCs w:val="18"/>
                                        <w:lang w:val="en-US" w:eastAsia="zh-CN"/>
                                        <w14:textFill>
                                          <w14:solidFill>
                                            <w14:schemeClr w14:val="tx1"/>
                                          </w14:solidFill>
                                        </w14:textFill>
                                        <w14:props3d w14:extrusionH="0" w14:contourW="0" w14:prstMaterial="clear"/>
                                      </w:rPr>
                                      <w:t>620</w:t>
                                    </w:r>
                                  </w:p>
                                </w:txbxContent>
                              </wps:txbx>
                              <wps:bodyPr rot="0" spcFirstLastPara="0" vertOverflow="overflow" horzOverflow="overflow" vert="horz" wrap="square" lIns="0" tIns="0" rIns="0" bIns="0" numCol="1" spcCol="0" rtlCol="0" fromWordArt="0" anchor="ctr" anchorCtr="0" forceAA="0" compatLnSpc="1">
                                <a:noAutofit/>
                              </wps:bodyPr>
                            </wps:wsp>
                            <wps:wsp>
                              <wps:cNvPr id="184" name="直接连接符 89"/>
                              <wps:cNvCnPr/>
                              <wps:spPr>
                                <a:xfrm>
                                  <a:off x="673100" y="500380"/>
                                  <a:ext cx="7620" cy="2339975"/>
                                </a:xfrm>
                                <a:prstGeom prst="line">
                                  <a:avLst/>
                                </a:prstGeom>
                                <a:ln w="6350">
                                  <a:solidFill>
                                    <a:schemeClr val="tx1"/>
                                  </a:solidFill>
                                </a:ln>
                              </wps:spPr>
                              <wps:style>
                                <a:lnRef idx="2">
                                  <a:schemeClr val="accent1"/>
                                </a:lnRef>
                                <a:fillRef idx="0">
                                  <a:srgbClr val="FFFFFF"/>
                                </a:fillRef>
                                <a:effectRef idx="0">
                                  <a:srgbClr val="FFFFFF"/>
                                </a:effectRef>
                                <a:fontRef idx="minor">
                                  <a:schemeClr val="tx1"/>
                                </a:fontRef>
                              </wps:style>
                              <wps:bodyPr/>
                            </wps:wsp>
                            <wps:wsp>
                              <wps:cNvPr id="203" name="直接箭头连接符 95"/>
                              <wps:cNvCnPr/>
                              <wps:spPr>
                                <a:xfrm>
                                  <a:off x="169545" y="1742440"/>
                                  <a:ext cx="504190" cy="0"/>
                                </a:xfrm>
                                <a:prstGeom prst="straightConnector1">
                                  <a:avLst/>
                                </a:prstGeom>
                                <a:ln w="6350">
                                  <a:solidFill>
                                    <a:schemeClr val="tx1"/>
                                  </a:solidFill>
                                  <a:tailEnd type="triangle" w="med" len="lg"/>
                                </a:ln>
                              </wps:spPr>
                              <wps:style>
                                <a:lnRef idx="2">
                                  <a:schemeClr val="accent1"/>
                                </a:lnRef>
                                <a:fillRef idx="0">
                                  <a:srgbClr val="FFFFFF"/>
                                </a:fillRef>
                                <a:effectRef idx="0">
                                  <a:srgbClr val="FFFFFF"/>
                                </a:effectRef>
                                <a:fontRef idx="minor">
                                  <a:schemeClr val="tx1"/>
                                </a:fontRef>
                              </wps:style>
                              <wps:bodyPr/>
                            </wps:wsp>
                            <wps:wsp>
                              <wps:cNvPr id="208" name="矩形 29"/>
                              <wps:cNvSpPr/>
                              <wps:spPr>
                                <a:xfrm>
                                  <a:off x="1680845" y="346075"/>
                                  <a:ext cx="448945" cy="180340"/>
                                </a:xfrm>
                                <a:prstGeom prst="rect">
                                  <a:avLst/>
                                </a:prstGeom>
                                <a:noFill/>
                                <a:ln w="6350">
                                  <a:noFill/>
                                </a:ln>
                              </wps:spPr>
                              <wps:style>
                                <a:lnRef idx="2">
                                  <a:schemeClr val="accent1">
                                    <a:lumMod val="75000"/>
                                  </a:schemeClr>
                                </a:lnRef>
                                <a:fillRef idx="1">
                                  <a:schemeClr val="accent1"/>
                                </a:fillRef>
                                <a:effectRef idx="0">
                                  <a:srgbClr val="FFFFFF"/>
                                </a:effectRef>
                                <a:fontRef idx="minor">
                                  <a:schemeClr val="lt1"/>
                                </a:fontRef>
                              </wps:style>
                              <wps:txbx>
                                <w:txbxContent>
                                  <w:p w14:paraId="1DFF2E0C">
                                    <w:pPr>
                                      <w:jc w:val="center"/>
                                      <w:rPr>
                                        <w:rFonts w:hint="default" w:eastAsia="宋体"/>
                                        <w:color w:val="000000" w:themeColor="text1"/>
                                        <w:sz w:val="18"/>
                                        <w:szCs w:val="18"/>
                                        <w:lang w:val="en-US" w:eastAsia="zh-CN"/>
                                        <w14:textFill>
                                          <w14:solidFill>
                                            <w14:schemeClr w14:val="tx1"/>
                                          </w14:solidFill>
                                        </w14:textFill>
                                        <w14:props3d w14:extrusionH="0" w14:contourW="0" w14:prstMaterial="clear"/>
                                      </w:rPr>
                                    </w:pPr>
                                    <w:r>
                                      <w:rPr>
                                        <w:rFonts w:hint="eastAsia"/>
                                        <w:color w:val="000000" w:themeColor="text1"/>
                                        <w:sz w:val="18"/>
                                        <w:szCs w:val="18"/>
                                        <w:lang w:val="en-US" w:eastAsia="zh-CN"/>
                                        <w14:textFill>
                                          <w14:solidFill>
                                            <w14:schemeClr w14:val="tx1"/>
                                          </w14:solidFill>
                                        </w14:textFill>
                                        <w14:props3d w14:extrusionH="0" w14:contourW="0" w14:prstMaterial="clear"/>
                                      </w:rPr>
                                      <w:t>558</w:t>
                                    </w:r>
                                  </w:p>
                                </w:txbxContent>
                              </wps:txbx>
                              <wps:bodyPr rot="0" spcFirstLastPara="0" vertOverflow="overflow" horzOverflow="overflow" vert="horz" wrap="square" lIns="0" tIns="0" rIns="0" bIns="0" numCol="1" spcCol="0" rtlCol="0" fromWordArt="0" anchor="ctr" anchorCtr="0" forceAA="0" compatLnSpc="1">
                                <a:noAutofit/>
                              </wps:bodyPr>
                            </wps:wsp>
                            <wps:wsp>
                              <wps:cNvPr id="210" name="直接箭头连接符 91"/>
                              <wps:cNvCnPr/>
                              <wps:spPr>
                                <a:xfrm>
                                  <a:off x="3947160" y="508000"/>
                                  <a:ext cx="416560" cy="0"/>
                                </a:xfrm>
                                <a:prstGeom prst="straightConnector1">
                                  <a:avLst/>
                                </a:prstGeom>
                                <a:ln w="6350">
                                  <a:solidFill>
                                    <a:schemeClr val="tx1"/>
                                  </a:solidFill>
                                  <a:tailEnd type="triangle" w="med" len="lg"/>
                                </a:ln>
                              </wps:spPr>
                              <wps:style>
                                <a:lnRef idx="2">
                                  <a:schemeClr val="accent1"/>
                                </a:lnRef>
                                <a:fillRef idx="0">
                                  <a:srgbClr val="FFFFFF"/>
                                </a:fillRef>
                                <a:effectRef idx="0">
                                  <a:srgbClr val="FFFFFF"/>
                                </a:effectRef>
                                <a:fontRef idx="minor">
                                  <a:schemeClr val="tx1"/>
                                </a:fontRef>
                              </wps:style>
                              <wps:bodyPr/>
                            </wps:wsp>
                            <wpg:wgp>
                              <wpg:cNvPr id="104" name="组合 104"/>
                              <wpg:cNvGrpSpPr/>
                              <wpg:grpSpPr>
                                <a:xfrm>
                                  <a:off x="671830" y="835660"/>
                                  <a:ext cx="1475105" cy="600075"/>
                                  <a:chOff x="1058" y="304"/>
                                  <a:chExt cx="2323" cy="945"/>
                                </a:xfrm>
                              </wpg:grpSpPr>
                              <wps:wsp>
                                <wps:cNvPr id="211" name="直接箭头连接符 91"/>
                                <wps:cNvCnPr/>
                                <wps:spPr>
                                  <a:xfrm>
                                    <a:off x="1058" y="1108"/>
                                    <a:ext cx="737" cy="0"/>
                                  </a:xfrm>
                                  <a:prstGeom prst="straightConnector1">
                                    <a:avLst/>
                                  </a:prstGeom>
                                  <a:ln w="6350">
                                    <a:solidFill>
                                      <a:schemeClr val="tx1"/>
                                    </a:solidFill>
                                    <a:tailEnd type="triangle" w="med" len="lg"/>
                                  </a:ln>
                                </wps:spPr>
                                <wps:style>
                                  <a:lnRef idx="2">
                                    <a:schemeClr val="accent1"/>
                                  </a:lnRef>
                                  <a:fillRef idx="0">
                                    <a:srgbClr val="FFFFFF"/>
                                  </a:fillRef>
                                  <a:effectRef idx="0">
                                    <a:srgbClr val="FFFFFF"/>
                                  </a:effectRef>
                                  <a:fontRef idx="minor">
                                    <a:schemeClr val="tx1"/>
                                  </a:fontRef>
                                </wps:style>
                                <wps:bodyPr/>
                              </wps:wsp>
                              <wps:wsp>
                                <wps:cNvPr id="212" name="矩形 94"/>
                                <wps:cNvSpPr/>
                                <wps:spPr>
                                  <a:xfrm>
                                    <a:off x="1801" y="965"/>
                                    <a:ext cx="1320" cy="284"/>
                                  </a:xfrm>
                                  <a:prstGeom prst="rect">
                                    <a:avLst/>
                                  </a:prstGeom>
                                  <a:noFill/>
                                  <a:ln w="6350">
                                    <a:solidFill>
                                      <a:schemeClr val="tx1"/>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2C8C1C37">
                                      <w:pPr>
                                        <w:jc w:val="center"/>
                                        <w:rPr>
                                          <w:rFonts w:hint="default" w:eastAsia="宋体"/>
                                          <w:color w:val="000000" w:themeColor="text1"/>
                                          <w:sz w:val="18"/>
                                          <w:szCs w:val="18"/>
                                          <w:lang w:val="en-US" w:eastAsia="zh-CN"/>
                                          <w14:textFill>
                                            <w14:solidFill>
                                              <w14:schemeClr w14:val="tx1"/>
                                            </w14:solidFill>
                                          </w14:textFill>
                                          <w14:props3d w14:extrusionH="0" w14:contourW="0" w14:prstMaterial="clear"/>
                                        </w:rPr>
                                      </w:pPr>
                                      <w:r>
                                        <w:rPr>
                                          <w:rFonts w:hint="eastAsia"/>
                                          <w:color w:val="000000" w:themeColor="text1"/>
                                          <w:sz w:val="18"/>
                                          <w:szCs w:val="18"/>
                                          <w:lang w:val="en-US" w:eastAsia="zh-CN"/>
                                          <w14:textFill>
                                            <w14:solidFill>
                                              <w14:schemeClr w14:val="tx1"/>
                                            </w14:solidFill>
                                          </w14:textFill>
                                          <w14:props3d w14:extrusionH="0" w14:contourW="0" w14:prstMaterial="clear"/>
                                        </w:rPr>
                                        <w:t>循环冷却水</w:t>
                                      </w:r>
                                    </w:p>
                                  </w:txbxContent>
                                </wps:txbx>
                                <wps:bodyPr rot="0" spcFirstLastPara="0" vertOverflow="overflow" horzOverflow="overflow" vert="horz" wrap="square" lIns="0" tIns="0" rIns="0" bIns="0" numCol="1" spcCol="0" rtlCol="0" fromWordArt="0" anchor="ctr" anchorCtr="0" forceAA="0" compatLnSpc="1">
                                  <a:noAutofit/>
                                </wps:bodyPr>
                              </wps:wsp>
                              <wps:wsp>
                                <wps:cNvPr id="213" name="曲线连接符 22"/>
                                <wps:cNvCnPr/>
                                <wps:spPr>
                                  <a:xfrm rot="16200000">
                                    <a:off x="2431" y="583"/>
                                    <a:ext cx="408" cy="346"/>
                                  </a:xfrm>
                                  <a:prstGeom prst="curvedConnector3">
                                    <a:avLst>
                                      <a:gd name="adj1" fmla="val 49755"/>
                                    </a:avLst>
                                  </a:prstGeom>
                                  <a:noFill/>
                                  <a:ln w="6350" cap="flat" cmpd="sng" algn="ctr">
                                    <a:solidFill>
                                      <a:sysClr val="windowText" lastClr="000000"/>
                                    </a:solidFill>
                                    <a:prstDash val="solid"/>
                                    <a:tailEnd type="arrow" w="med" len="med"/>
                                  </a:ln>
                                  <a:effectLst/>
                                </wps:spPr>
                                <wps:style>
                                  <a:lnRef idx="1">
                                    <a:schemeClr val="dk1"/>
                                  </a:lnRef>
                                  <a:fillRef idx="0">
                                    <a:schemeClr val="dk1"/>
                                  </a:fillRef>
                                  <a:effectRef idx="0">
                                    <a:schemeClr val="dk1"/>
                                  </a:effectRef>
                                  <a:fontRef idx="minor">
                                    <a:schemeClr val="tx1"/>
                                  </a:fontRef>
                                </wps:style>
                                <wps:bodyPr/>
                              </wps:wsp>
                              <wps:wsp>
                                <wps:cNvPr id="214" name="矩形 93"/>
                                <wps:cNvSpPr/>
                                <wps:spPr>
                                  <a:xfrm>
                                    <a:off x="2394" y="304"/>
                                    <a:ext cx="987" cy="284"/>
                                  </a:xfrm>
                                  <a:prstGeom prst="rect">
                                    <a:avLst/>
                                  </a:prstGeom>
                                  <a:noFill/>
                                  <a:ln w="6350">
                                    <a:noFill/>
                                  </a:ln>
                                </wps:spPr>
                                <wps:style>
                                  <a:lnRef idx="2">
                                    <a:schemeClr val="accent1">
                                      <a:lumMod val="75000"/>
                                    </a:schemeClr>
                                  </a:lnRef>
                                  <a:fillRef idx="1">
                                    <a:schemeClr val="accent1"/>
                                  </a:fillRef>
                                  <a:effectRef idx="0">
                                    <a:srgbClr val="FFFFFF"/>
                                  </a:effectRef>
                                  <a:fontRef idx="minor">
                                    <a:schemeClr val="lt1"/>
                                  </a:fontRef>
                                </wps:style>
                                <wps:txbx>
                                  <w:txbxContent>
                                    <w:p w14:paraId="7C2190BE">
                                      <w:pPr>
                                        <w:jc w:val="center"/>
                                        <w:rPr>
                                          <w:rFonts w:hint="default" w:eastAsia="宋体"/>
                                          <w:color w:val="000000" w:themeColor="text1"/>
                                          <w:sz w:val="18"/>
                                          <w:szCs w:val="18"/>
                                          <w:lang w:val="en-US" w:eastAsia="zh-CN"/>
                                          <w14:textFill>
                                            <w14:solidFill>
                                              <w14:schemeClr w14:val="tx1"/>
                                            </w14:solidFill>
                                          </w14:textFill>
                                          <w14:props3d w14:extrusionH="0" w14:contourW="0" w14:prstMaterial="clear"/>
                                        </w:rPr>
                                      </w:pPr>
                                      <w:r>
                                        <w:rPr>
                                          <w:rFonts w:hint="eastAsia"/>
                                          <w:color w:val="000000" w:themeColor="text1"/>
                                          <w:sz w:val="18"/>
                                          <w:szCs w:val="18"/>
                                          <w14:textFill>
                                            <w14:solidFill>
                                              <w14:schemeClr w14:val="tx1"/>
                                            </w14:solidFill>
                                          </w14:textFill>
                                          <w14:props3d w14:extrusionH="0" w14:contourW="0" w14:prstMaterial="clear"/>
                                        </w:rPr>
                                        <w:t>损耗</w:t>
                                      </w:r>
                                      <w:r>
                                        <w:rPr>
                                          <w:rFonts w:hint="eastAsia"/>
                                          <w:color w:val="000000" w:themeColor="text1"/>
                                          <w:sz w:val="18"/>
                                          <w:szCs w:val="18"/>
                                          <w:lang w:val="en-US" w:eastAsia="zh-CN"/>
                                          <w14:textFill>
                                            <w14:solidFill>
                                              <w14:schemeClr w14:val="tx1"/>
                                            </w14:solidFill>
                                          </w14:textFill>
                                          <w14:props3d w14:extrusionH="0" w14:contourW="0" w14:prstMaterial="clear"/>
                                        </w:rPr>
                                        <w:t>955.8</w:t>
                                      </w:r>
                                    </w:p>
                                  </w:txbxContent>
                                </wps:txbx>
                                <wps:bodyPr rot="0" spcFirstLastPara="0" vertOverflow="overflow" horzOverflow="overflow" vert="horz" wrap="square" lIns="0" tIns="0" rIns="0" bIns="0" numCol="1" spcCol="0" rtlCol="0" fromWordArt="0" anchor="ctr" anchorCtr="0" forceAA="0" compatLnSpc="1">
                                  <a:noAutofit/>
                                </wps:bodyPr>
                              </wps:wsp>
                              <wps:wsp>
                                <wps:cNvPr id="220" name="矩形 30"/>
                                <wps:cNvSpPr/>
                                <wps:spPr>
                                  <a:xfrm>
                                    <a:off x="1060" y="902"/>
                                    <a:ext cx="566" cy="240"/>
                                  </a:xfrm>
                                  <a:prstGeom prst="rect">
                                    <a:avLst/>
                                  </a:prstGeom>
                                  <a:noFill/>
                                  <a:ln w="6350">
                                    <a:noFill/>
                                  </a:ln>
                                </wps:spPr>
                                <wps:style>
                                  <a:lnRef idx="2">
                                    <a:schemeClr val="accent1">
                                      <a:lumMod val="75000"/>
                                    </a:schemeClr>
                                  </a:lnRef>
                                  <a:fillRef idx="1">
                                    <a:schemeClr val="accent1"/>
                                  </a:fillRef>
                                  <a:effectRef idx="0">
                                    <a:srgbClr val="FFFFFF"/>
                                  </a:effectRef>
                                  <a:fontRef idx="minor">
                                    <a:schemeClr val="lt1"/>
                                  </a:fontRef>
                                </wps:style>
                                <wps:txbx>
                                  <w:txbxContent>
                                    <w:p w14:paraId="38166598">
                                      <w:pPr>
                                        <w:jc w:val="center"/>
                                        <w:rPr>
                                          <w:rFonts w:hint="default"/>
                                          <w:color w:val="000000" w:themeColor="text1"/>
                                          <w:sz w:val="18"/>
                                          <w:szCs w:val="18"/>
                                          <w:lang w:val="en-US" w:eastAsia="zh-CN"/>
                                          <w14:textFill>
                                            <w14:solidFill>
                                              <w14:schemeClr w14:val="tx1"/>
                                            </w14:solidFill>
                                          </w14:textFill>
                                          <w14:props3d w14:extrusionH="0" w14:contourW="0" w14:prstMaterial="clear"/>
                                        </w:rPr>
                                      </w:pPr>
                                      <w:r>
                                        <w:rPr>
                                          <w:rFonts w:hint="eastAsia"/>
                                          <w:color w:val="000000" w:themeColor="text1"/>
                                          <w:sz w:val="18"/>
                                          <w:szCs w:val="18"/>
                                          <w:lang w:val="en-US" w:eastAsia="zh-CN"/>
                                          <w14:textFill>
                                            <w14:solidFill>
                                              <w14:schemeClr w14:val="tx1"/>
                                            </w14:solidFill>
                                          </w14:textFill>
                                          <w14:props3d w14:extrusionH="0" w14:contourW="0" w14:prstMaterial="clear"/>
                                        </w:rPr>
                                        <w:t>955.8</w:t>
                                      </w:r>
                                    </w:p>
                                  </w:txbxContent>
                                </wps:txbx>
                                <wps:bodyPr rot="0" spcFirstLastPara="0" vertOverflow="overflow" horzOverflow="overflow" vert="horz" wrap="square" lIns="0" tIns="0" rIns="0" bIns="0" numCol="1" spcCol="0" rtlCol="0" fromWordArt="0" anchor="ctr" anchorCtr="0" forceAA="0" compatLnSpc="1">
                                  <a:noAutofit/>
                                </wps:bodyPr>
                              </wps:wsp>
                            </wpg:wgp>
                            <wps:wsp>
                              <wps:cNvPr id="225" name="矩形 30"/>
                              <wps:cNvSpPr/>
                              <wps:spPr>
                                <a:xfrm>
                                  <a:off x="113665" y="1599565"/>
                                  <a:ext cx="462280" cy="152400"/>
                                </a:xfrm>
                                <a:prstGeom prst="rect">
                                  <a:avLst/>
                                </a:prstGeom>
                                <a:noFill/>
                                <a:ln w="6350">
                                  <a:noFill/>
                                </a:ln>
                              </wps:spPr>
                              <wps:style>
                                <a:lnRef idx="2">
                                  <a:schemeClr val="accent1">
                                    <a:lumMod val="75000"/>
                                  </a:schemeClr>
                                </a:lnRef>
                                <a:fillRef idx="1">
                                  <a:schemeClr val="accent1"/>
                                </a:fillRef>
                                <a:effectRef idx="0">
                                  <a:srgbClr val="FFFFFF"/>
                                </a:effectRef>
                                <a:fontRef idx="minor">
                                  <a:schemeClr val="lt1"/>
                                </a:fontRef>
                              </wps:style>
                              <wps:txbx>
                                <w:txbxContent>
                                  <w:p w14:paraId="526DAB3C">
                                    <w:pPr>
                                      <w:jc w:val="center"/>
                                      <w:rPr>
                                        <w:rFonts w:hint="default" w:eastAsia="宋体"/>
                                        <w:color w:val="000000" w:themeColor="text1"/>
                                        <w:sz w:val="18"/>
                                        <w:szCs w:val="18"/>
                                        <w:lang w:val="en-US" w:eastAsia="zh-CN"/>
                                        <w14:textFill>
                                          <w14:solidFill>
                                            <w14:schemeClr w14:val="tx1"/>
                                          </w14:solidFill>
                                        </w14:textFill>
                                        <w14:props3d w14:extrusionH="0" w14:contourW="0" w14:prstMaterial="clear"/>
                                      </w:rPr>
                                    </w:pPr>
                                    <w:r>
                                      <w:rPr>
                                        <w:rFonts w:hint="eastAsia"/>
                                        <w:color w:val="000000" w:themeColor="text1"/>
                                        <w:sz w:val="18"/>
                                        <w:szCs w:val="18"/>
                                        <w:lang w:val="en-US" w:eastAsia="zh-CN"/>
                                        <w14:textFill>
                                          <w14:solidFill>
                                            <w14:schemeClr w14:val="tx1"/>
                                          </w14:solidFill>
                                        </w14:textFill>
                                        <w14:props3d w14:extrusionH="0" w14:contourW="0" w14:prstMaterial="clear"/>
                                      </w:rPr>
                                      <w:t>1663.44</w:t>
                                    </w:r>
                                  </w:p>
                                </w:txbxContent>
                              </wps:txbx>
                              <wps:bodyPr rot="0" spcFirstLastPara="0" vertOverflow="overflow" horzOverflow="overflow" vert="horz" wrap="square" lIns="0" tIns="0" rIns="0" bIns="0" numCol="1" spcCol="0" rtlCol="0" fromWordArt="0" anchor="ctr" anchorCtr="0" forceAA="0" compatLnSpc="1">
                                <a:noAutofit/>
                              </wps:bodyPr>
                            </wps:wsp>
                            <wps:wsp>
                              <wps:cNvPr id="77" name="直接箭头连接符 2"/>
                              <wps:cNvCnPr/>
                              <wps:spPr>
                                <a:xfrm>
                                  <a:off x="2769235" y="507365"/>
                                  <a:ext cx="417195" cy="0"/>
                                </a:xfrm>
                                <a:prstGeom prst="straightConnector1">
                                  <a:avLst/>
                                </a:prstGeom>
                                <a:ln w="6350">
                                  <a:solidFill>
                                    <a:schemeClr val="tx1"/>
                                  </a:solidFill>
                                  <a:tailEnd type="triangle" w="med" len="lg"/>
                                </a:ln>
                              </wps:spPr>
                              <wps:style>
                                <a:lnRef idx="2">
                                  <a:schemeClr val="accent1"/>
                                </a:lnRef>
                                <a:fillRef idx="0">
                                  <a:srgbClr val="FFFFFF"/>
                                </a:fillRef>
                                <a:effectRef idx="0">
                                  <a:srgbClr val="FFFFFF"/>
                                </a:effectRef>
                                <a:fontRef idx="minor">
                                  <a:schemeClr val="tx1"/>
                                </a:fontRef>
                              </wps:style>
                              <wps:bodyPr/>
                            </wps:wsp>
                            <wps:wsp>
                              <wps:cNvPr id="79" name="矩形 6"/>
                              <wps:cNvSpPr/>
                              <wps:spPr>
                                <a:xfrm>
                                  <a:off x="2667635" y="375285"/>
                                  <a:ext cx="495935" cy="144145"/>
                                </a:xfrm>
                                <a:prstGeom prst="rect">
                                  <a:avLst/>
                                </a:prstGeom>
                                <a:noFill/>
                                <a:ln w="6350">
                                  <a:noFill/>
                                </a:ln>
                              </wps:spPr>
                              <wps:style>
                                <a:lnRef idx="2">
                                  <a:schemeClr val="accent1">
                                    <a:lumMod val="75000"/>
                                  </a:schemeClr>
                                </a:lnRef>
                                <a:fillRef idx="1">
                                  <a:schemeClr val="accent1"/>
                                </a:fillRef>
                                <a:effectRef idx="0">
                                  <a:srgbClr val="FFFFFF"/>
                                </a:effectRef>
                                <a:fontRef idx="minor">
                                  <a:schemeClr val="lt1"/>
                                </a:fontRef>
                              </wps:style>
                              <wps:txbx>
                                <w:txbxContent>
                                  <w:p w14:paraId="4897084F">
                                    <w:pPr>
                                      <w:jc w:val="center"/>
                                      <w:rPr>
                                        <w:rFonts w:hint="default" w:eastAsia="宋体"/>
                                        <w:color w:val="000000" w:themeColor="text1"/>
                                        <w:sz w:val="18"/>
                                        <w:szCs w:val="18"/>
                                        <w:lang w:val="en-US" w:eastAsia="zh-CN"/>
                                        <w14:textFill>
                                          <w14:solidFill>
                                            <w14:schemeClr w14:val="tx1"/>
                                          </w14:solidFill>
                                        </w14:textFill>
                                        <w14:props3d w14:extrusionH="0" w14:contourW="0" w14:prstMaterial="clear"/>
                                      </w:rPr>
                                    </w:pPr>
                                    <w:r>
                                      <w:rPr>
                                        <w:rFonts w:hint="eastAsia"/>
                                        <w:color w:val="000000" w:themeColor="text1"/>
                                        <w:sz w:val="18"/>
                                        <w:szCs w:val="18"/>
                                        <w:lang w:val="en-US" w:eastAsia="zh-CN"/>
                                        <w14:textFill>
                                          <w14:solidFill>
                                            <w14:schemeClr w14:val="tx1"/>
                                          </w14:solidFill>
                                        </w14:textFill>
                                        <w14:props3d w14:extrusionH="0" w14:contourW="0" w14:prstMaterial="clear"/>
                                      </w:rPr>
                                      <w:t>558</w:t>
                                    </w:r>
                                  </w:p>
                                </w:txbxContent>
                              </wps:txbx>
                              <wps:bodyPr rot="0" spcFirstLastPara="0" vertOverflow="overflow" horzOverflow="overflow" vert="horz" wrap="square" lIns="0" tIns="0" rIns="0" bIns="0" numCol="1" spcCol="0" rtlCol="0" fromWordArt="0" anchor="ctr" anchorCtr="0" forceAA="0" compatLnSpc="1">
                                <a:noAutofit/>
                              </wps:bodyPr>
                            </wps:wsp>
                            <wps:wsp>
                              <wps:cNvPr id="89" name="矩形 29"/>
                              <wps:cNvSpPr/>
                              <wps:spPr>
                                <a:xfrm>
                                  <a:off x="3982720" y="357505"/>
                                  <a:ext cx="448945" cy="180340"/>
                                </a:xfrm>
                                <a:prstGeom prst="rect">
                                  <a:avLst/>
                                </a:prstGeom>
                                <a:noFill/>
                                <a:ln w="6350">
                                  <a:noFill/>
                                </a:ln>
                              </wps:spPr>
                              <wps:style>
                                <a:lnRef idx="2">
                                  <a:schemeClr val="accent1">
                                    <a:lumMod val="75000"/>
                                  </a:schemeClr>
                                </a:lnRef>
                                <a:fillRef idx="1">
                                  <a:schemeClr val="accent1"/>
                                </a:fillRef>
                                <a:effectRef idx="0">
                                  <a:srgbClr val="FFFFFF"/>
                                </a:effectRef>
                                <a:fontRef idx="minor">
                                  <a:schemeClr val="lt1"/>
                                </a:fontRef>
                              </wps:style>
                              <wps:txbx>
                                <w:txbxContent>
                                  <w:p w14:paraId="0E3AA20A">
                                    <w:pPr>
                                      <w:jc w:val="both"/>
                                      <w:rPr>
                                        <w:rFonts w:hint="default" w:eastAsia="宋体"/>
                                        <w:color w:val="000000" w:themeColor="text1"/>
                                        <w:sz w:val="18"/>
                                        <w:szCs w:val="18"/>
                                        <w:lang w:val="en-US" w:eastAsia="zh-CN"/>
                                        <w14:textFill>
                                          <w14:solidFill>
                                            <w14:schemeClr w14:val="tx1"/>
                                          </w14:solidFill>
                                        </w14:textFill>
                                        <w14:props3d w14:extrusionH="0" w14:contourW="0" w14:prstMaterial="clear"/>
                                      </w:rPr>
                                    </w:pPr>
                                    <w:r>
                                      <w:rPr>
                                        <w:rFonts w:hint="eastAsia"/>
                                        <w:color w:val="000000" w:themeColor="text1"/>
                                        <w:sz w:val="18"/>
                                        <w:szCs w:val="18"/>
                                        <w:lang w:val="en-US" w:eastAsia="zh-CN"/>
                                        <w14:textFill>
                                          <w14:solidFill>
                                            <w14:schemeClr w14:val="tx1"/>
                                          </w14:solidFill>
                                        </w14:textFill>
                                        <w14:props3d w14:extrusionH="0" w14:contourW="0" w14:prstMaterial="clear"/>
                                      </w:rPr>
                                      <w:t>558</w:t>
                                    </w:r>
                                  </w:p>
                                </w:txbxContent>
                              </wps:txbx>
                              <wps:bodyPr rot="0" spcFirstLastPara="0" vertOverflow="overflow" horzOverflow="overflow" vert="horz" wrap="square" lIns="0" tIns="0" rIns="0" bIns="0" numCol="1" spcCol="0" rtlCol="0" fromWordArt="0" anchor="ctr" anchorCtr="0" forceAA="0" compatLnSpc="1">
                                <a:noAutofit/>
                              </wps:bodyPr>
                            </wps:wsp>
                            <wpg:wgp>
                              <wpg:cNvPr id="42" name="组合 42"/>
                              <wpg:cNvGrpSpPr/>
                              <wpg:grpSpPr>
                                <a:xfrm>
                                  <a:off x="671830" y="1608455"/>
                                  <a:ext cx="4387850" cy="1763395"/>
                                  <a:chOff x="1058" y="304"/>
                                  <a:chExt cx="6910" cy="2777"/>
                                </a:xfrm>
                              </wpg:grpSpPr>
                              <wps:wsp>
                                <wps:cNvPr id="46" name="直接箭头连接符 91"/>
                                <wps:cNvCnPr/>
                                <wps:spPr>
                                  <a:xfrm>
                                    <a:off x="1058" y="1108"/>
                                    <a:ext cx="737" cy="0"/>
                                  </a:xfrm>
                                  <a:prstGeom prst="straightConnector1">
                                    <a:avLst/>
                                  </a:prstGeom>
                                  <a:ln w="6350">
                                    <a:solidFill>
                                      <a:schemeClr val="tx1"/>
                                    </a:solidFill>
                                    <a:tailEnd type="triangle" w="med" len="lg"/>
                                  </a:ln>
                                </wps:spPr>
                                <wps:style>
                                  <a:lnRef idx="2">
                                    <a:schemeClr val="accent1"/>
                                  </a:lnRef>
                                  <a:fillRef idx="0">
                                    <a:srgbClr val="FFFFFF"/>
                                  </a:fillRef>
                                  <a:effectRef idx="0">
                                    <a:srgbClr val="FFFFFF"/>
                                  </a:effectRef>
                                  <a:fontRef idx="minor">
                                    <a:schemeClr val="tx1"/>
                                  </a:fontRef>
                                </wps:style>
                                <wps:bodyPr/>
                              </wps:wsp>
                              <wps:wsp>
                                <wps:cNvPr id="47" name="矩形 94"/>
                                <wps:cNvSpPr/>
                                <wps:spPr>
                                  <a:xfrm>
                                    <a:off x="1801" y="965"/>
                                    <a:ext cx="1320" cy="284"/>
                                  </a:xfrm>
                                  <a:prstGeom prst="rect">
                                    <a:avLst/>
                                  </a:prstGeom>
                                  <a:noFill/>
                                  <a:ln w="6350">
                                    <a:solidFill>
                                      <a:schemeClr val="tx1"/>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5F07553E">
                                      <w:pPr>
                                        <w:jc w:val="center"/>
                                        <w:rPr>
                                          <w:rFonts w:hint="default" w:eastAsia="宋体"/>
                                          <w:color w:val="000000" w:themeColor="text1"/>
                                          <w:sz w:val="18"/>
                                          <w:szCs w:val="18"/>
                                          <w:lang w:val="en-US" w:eastAsia="zh-CN"/>
                                          <w14:textFill>
                                            <w14:solidFill>
                                              <w14:schemeClr w14:val="tx1"/>
                                            </w14:solidFill>
                                          </w14:textFill>
                                          <w14:props3d w14:extrusionH="0" w14:contourW="0" w14:prstMaterial="clear"/>
                                        </w:rPr>
                                      </w:pPr>
                                      <w:r>
                                        <w:rPr>
                                          <w:rFonts w:hint="eastAsia"/>
                                          <w:color w:val="000000" w:themeColor="text1"/>
                                          <w:sz w:val="18"/>
                                          <w:szCs w:val="18"/>
                                          <w:lang w:val="en-US" w:eastAsia="zh-CN"/>
                                          <w14:textFill>
                                            <w14:solidFill>
                                              <w14:schemeClr w14:val="tx1"/>
                                            </w14:solidFill>
                                          </w14:textFill>
                                          <w14:props3d w14:extrusionH="0" w14:contourW="0" w14:prstMaterial="clear"/>
                                        </w:rPr>
                                        <w:t>切削液调配用水</w:t>
                                      </w:r>
                                    </w:p>
                                  </w:txbxContent>
                                </wps:txbx>
                                <wps:bodyPr rot="0" spcFirstLastPara="0" vertOverflow="overflow" horzOverflow="overflow" vert="horz" wrap="square" lIns="0" tIns="0" rIns="0" bIns="0" numCol="1" spcCol="0" rtlCol="0" fromWordArt="0" anchor="ctr" anchorCtr="0" forceAA="0" compatLnSpc="1">
                                  <a:noAutofit/>
                                </wps:bodyPr>
                              </wps:wsp>
                              <wps:wsp>
                                <wps:cNvPr id="48" name="曲线连接符 22"/>
                                <wps:cNvCnPr/>
                                <wps:spPr>
                                  <a:xfrm rot="16200000">
                                    <a:off x="2431" y="583"/>
                                    <a:ext cx="408" cy="346"/>
                                  </a:xfrm>
                                  <a:prstGeom prst="curvedConnector3">
                                    <a:avLst>
                                      <a:gd name="adj1" fmla="val 49755"/>
                                    </a:avLst>
                                  </a:prstGeom>
                                  <a:noFill/>
                                  <a:ln w="6350" cap="flat" cmpd="sng" algn="ctr">
                                    <a:solidFill>
                                      <a:sysClr val="windowText" lastClr="000000"/>
                                    </a:solidFill>
                                    <a:prstDash val="solid"/>
                                    <a:tailEnd type="arrow" w="med" len="med"/>
                                  </a:ln>
                                  <a:effectLst/>
                                </wps:spPr>
                                <wps:style>
                                  <a:lnRef idx="1">
                                    <a:schemeClr val="dk1"/>
                                  </a:lnRef>
                                  <a:fillRef idx="0">
                                    <a:schemeClr val="dk1"/>
                                  </a:fillRef>
                                  <a:effectRef idx="0">
                                    <a:schemeClr val="dk1"/>
                                  </a:effectRef>
                                  <a:fontRef idx="minor">
                                    <a:schemeClr val="tx1"/>
                                  </a:fontRef>
                                </wps:style>
                                <wps:bodyPr/>
                              </wps:wsp>
                              <wps:wsp>
                                <wps:cNvPr id="52" name="矩形 93"/>
                                <wps:cNvSpPr/>
                                <wps:spPr>
                                  <a:xfrm>
                                    <a:off x="2394" y="304"/>
                                    <a:ext cx="987" cy="284"/>
                                  </a:xfrm>
                                  <a:prstGeom prst="rect">
                                    <a:avLst/>
                                  </a:prstGeom>
                                  <a:noFill/>
                                  <a:ln w="6350">
                                    <a:noFill/>
                                  </a:ln>
                                </wps:spPr>
                                <wps:style>
                                  <a:lnRef idx="2">
                                    <a:schemeClr val="accent1">
                                      <a:lumMod val="75000"/>
                                    </a:schemeClr>
                                  </a:lnRef>
                                  <a:fillRef idx="1">
                                    <a:schemeClr val="accent1"/>
                                  </a:fillRef>
                                  <a:effectRef idx="0">
                                    <a:srgbClr val="FFFFFF"/>
                                  </a:effectRef>
                                  <a:fontRef idx="minor">
                                    <a:schemeClr val="lt1"/>
                                  </a:fontRef>
                                </wps:style>
                                <wps:txbx>
                                  <w:txbxContent>
                                    <w:p w14:paraId="512E45ED">
                                      <w:pPr>
                                        <w:jc w:val="center"/>
                                        <w:rPr>
                                          <w:rFonts w:hint="default" w:eastAsia="宋体"/>
                                          <w:color w:val="000000" w:themeColor="text1"/>
                                          <w:sz w:val="18"/>
                                          <w:szCs w:val="18"/>
                                          <w:lang w:val="en-US" w:eastAsia="zh-CN"/>
                                          <w14:textFill>
                                            <w14:solidFill>
                                              <w14:schemeClr w14:val="tx1"/>
                                            </w14:solidFill>
                                          </w14:textFill>
                                          <w14:props3d w14:extrusionH="0" w14:contourW="0" w14:prstMaterial="clear"/>
                                        </w:rPr>
                                      </w:pPr>
                                      <w:r>
                                        <w:rPr>
                                          <w:rFonts w:hint="eastAsia"/>
                                          <w:color w:val="000000" w:themeColor="text1"/>
                                          <w:sz w:val="18"/>
                                          <w:szCs w:val="18"/>
                                          <w14:textFill>
                                            <w14:solidFill>
                                              <w14:schemeClr w14:val="tx1"/>
                                            </w14:solidFill>
                                          </w14:textFill>
                                          <w14:props3d w14:extrusionH="0" w14:contourW="0" w14:prstMaterial="clear"/>
                                        </w:rPr>
                                        <w:t>损耗</w:t>
                                      </w:r>
                                      <w:r>
                                        <w:rPr>
                                          <w:rFonts w:hint="eastAsia"/>
                                          <w:color w:val="000000" w:themeColor="text1"/>
                                          <w:sz w:val="18"/>
                                          <w:szCs w:val="18"/>
                                          <w:lang w:val="en-US" w:eastAsia="zh-CN"/>
                                          <w14:textFill>
                                            <w14:solidFill>
                                              <w14:schemeClr w14:val="tx1"/>
                                            </w14:solidFill>
                                          </w14:textFill>
                                          <w14:props3d w14:extrusionH="0" w14:contourW="0" w14:prstMaterial="clear"/>
                                        </w:rPr>
                                        <w:t>63</w:t>
                                      </w:r>
                                    </w:p>
                                  </w:txbxContent>
                                </wps:txbx>
                                <wps:bodyPr rot="0" spcFirstLastPara="0" vertOverflow="overflow" horzOverflow="overflow" vert="horz" wrap="square" lIns="0" tIns="0" rIns="0" bIns="0" numCol="1" spcCol="0" rtlCol="0" fromWordArt="0" anchor="ctr" anchorCtr="0" forceAA="0" compatLnSpc="1">
                                  <a:noAutofit/>
                                </wps:bodyPr>
                              </wps:wsp>
                              <wps:wsp>
                                <wps:cNvPr id="55" name="矩形 30"/>
                                <wps:cNvSpPr/>
                                <wps:spPr>
                                  <a:xfrm>
                                    <a:off x="1060" y="902"/>
                                    <a:ext cx="566" cy="240"/>
                                  </a:xfrm>
                                  <a:prstGeom prst="rect">
                                    <a:avLst/>
                                  </a:prstGeom>
                                  <a:noFill/>
                                  <a:ln w="6350">
                                    <a:noFill/>
                                  </a:ln>
                                </wps:spPr>
                                <wps:style>
                                  <a:lnRef idx="2">
                                    <a:schemeClr val="accent1">
                                      <a:lumMod val="75000"/>
                                    </a:schemeClr>
                                  </a:lnRef>
                                  <a:fillRef idx="1">
                                    <a:schemeClr val="accent1"/>
                                  </a:fillRef>
                                  <a:effectRef idx="0">
                                    <a:srgbClr val="FFFFFF"/>
                                  </a:effectRef>
                                  <a:fontRef idx="minor">
                                    <a:schemeClr val="lt1"/>
                                  </a:fontRef>
                                </wps:style>
                                <wps:txbx>
                                  <w:txbxContent>
                                    <w:p w14:paraId="64AD664A">
                                      <w:pPr>
                                        <w:jc w:val="center"/>
                                        <w:rPr>
                                          <w:rFonts w:hint="default"/>
                                          <w:color w:val="000000" w:themeColor="text1"/>
                                          <w:sz w:val="18"/>
                                          <w:szCs w:val="18"/>
                                          <w:lang w:val="en-US" w:eastAsia="zh-CN"/>
                                          <w14:textFill>
                                            <w14:solidFill>
                                              <w14:schemeClr w14:val="tx1"/>
                                            </w14:solidFill>
                                          </w14:textFill>
                                          <w14:props3d w14:extrusionH="0" w14:contourW="0" w14:prstMaterial="clear"/>
                                        </w:rPr>
                                      </w:pPr>
                                      <w:r>
                                        <w:rPr>
                                          <w:rFonts w:hint="eastAsia"/>
                                          <w:color w:val="000000" w:themeColor="text1"/>
                                          <w:sz w:val="18"/>
                                          <w:szCs w:val="18"/>
                                          <w:lang w:val="en-US" w:eastAsia="zh-CN"/>
                                          <w14:textFill>
                                            <w14:solidFill>
                                              <w14:schemeClr w14:val="tx1"/>
                                            </w14:solidFill>
                                          </w14:textFill>
                                          <w14:props3d w14:extrusionH="0" w14:contourW="0" w14:prstMaterial="clear"/>
                                        </w:rPr>
                                        <w:t>70</w:t>
                                      </w:r>
                                    </w:p>
                                  </w:txbxContent>
                                </wps:txbx>
                                <wps:bodyPr rot="0" spcFirstLastPara="0" vertOverflow="overflow" horzOverflow="overflow" vert="horz" wrap="square" lIns="0" tIns="0" rIns="0" bIns="0" numCol="1" spcCol="0" rtlCol="0" fromWordArt="0" anchor="ctr" anchorCtr="0" forceAA="0" compatLnSpc="1">
                                  <a:noAutofit/>
                                </wps:bodyPr>
                              </wps:wsp>
                              <wps:wsp>
                                <wps:cNvPr id="57" name="直接箭头连接符 91"/>
                                <wps:cNvCnPr/>
                                <wps:spPr>
                                  <a:xfrm>
                                    <a:off x="3111" y="1108"/>
                                    <a:ext cx="737" cy="0"/>
                                  </a:xfrm>
                                  <a:prstGeom prst="straightConnector1">
                                    <a:avLst/>
                                  </a:prstGeom>
                                  <a:ln w="6350">
                                    <a:solidFill>
                                      <a:schemeClr val="tx1"/>
                                    </a:solidFill>
                                    <a:tailEnd type="triangle" w="med" len="lg"/>
                                  </a:ln>
                                </wps:spPr>
                                <wps:style>
                                  <a:lnRef idx="2">
                                    <a:schemeClr val="accent1"/>
                                  </a:lnRef>
                                  <a:fillRef idx="0">
                                    <a:srgbClr val="FFFFFF"/>
                                  </a:fillRef>
                                  <a:effectRef idx="0">
                                    <a:srgbClr val="FFFFFF"/>
                                  </a:effectRef>
                                  <a:fontRef idx="minor">
                                    <a:schemeClr val="tx1"/>
                                  </a:fontRef>
                                </wps:style>
                                <wps:bodyPr/>
                              </wps:wsp>
                              <wps:wsp>
                                <wps:cNvPr id="58" name="矩形 30"/>
                                <wps:cNvSpPr/>
                                <wps:spPr>
                                  <a:xfrm>
                                    <a:off x="3113" y="902"/>
                                    <a:ext cx="566" cy="240"/>
                                  </a:xfrm>
                                  <a:prstGeom prst="rect">
                                    <a:avLst/>
                                  </a:prstGeom>
                                  <a:noFill/>
                                  <a:ln w="6350">
                                    <a:noFill/>
                                  </a:ln>
                                </wps:spPr>
                                <wps:style>
                                  <a:lnRef idx="2">
                                    <a:schemeClr val="accent1">
                                      <a:lumMod val="75000"/>
                                    </a:schemeClr>
                                  </a:lnRef>
                                  <a:fillRef idx="1">
                                    <a:schemeClr val="accent1"/>
                                  </a:fillRef>
                                  <a:effectRef idx="0">
                                    <a:srgbClr val="FFFFFF"/>
                                  </a:effectRef>
                                  <a:fontRef idx="minor">
                                    <a:schemeClr val="lt1"/>
                                  </a:fontRef>
                                </wps:style>
                                <wps:txbx>
                                  <w:txbxContent>
                                    <w:p w14:paraId="6445B743">
                                      <w:pPr>
                                        <w:jc w:val="center"/>
                                        <w:rPr>
                                          <w:rFonts w:hint="default"/>
                                          <w:color w:val="000000" w:themeColor="text1"/>
                                          <w:sz w:val="18"/>
                                          <w:szCs w:val="18"/>
                                          <w:lang w:val="en-US" w:eastAsia="zh-CN"/>
                                          <w14:textFill>
                                            <w14:solidFill>
                                              <w14:schemeClr w14:val="tx1"/>
                                            </w14:solidFill>
                                          </w14:textFill>
                                          <w14:props3d w14:extrusionH="0" w14:contourW="0" w14:prstMaterial="clear"/>
                                        </w:rPr>
                                      </w:pPr>
                                      <w:r>
                                        <w:rPr>
                                          <w:rFonts w:hint="eastAsia"/>
                                          <w:color w:val="000000" w:themeColor="text1"/>
                                          <w:sz w:val="18"/>
                                          <w:szCs w:val="18"/>
                                          <w:lang w:val="en-US" w:eastAsia="zh-CN"/>
                                          <w14:textFill>
                                            <w14:solidFill>
                                              <w14:schemeClr w14:val="tx1"/>
                                            </w14:solidFill>
                                          </w14:textFill>
                                          <w14:props3d w14:extrusionH="0" w14:contourW="0" w14:prstMaterial="clear"/>
                                        </w:rPr>
                                        <w:t>14</w:t>
                                      </w:r>
                                    </w:p>
                                  </w:txbxContent>
                                </wps:txbx>
                                <wps:bodyPr rot="0" spcFirstLastPara="0" vertOverflow="overflow" horzOverflow="overflow" vert="horz" wrap="square" lIns="0" tIns="0" rIns="0" bIns="0" numCol="1" spcCol="0" rtlCol="0" fromWordArt="0" anchor="ctr" anchorCtr="0" forceAA="0" compatLnSpc="1">
                                  <a:noAutofit/>
                                </wps:bodyPr>
                              </wps:wsp>
                              <wps:wsp>
                                <wps:cNvPr id="59" name="矩形 94"/>
                                <wps:cNvSpPr/>
                                <wps:spPr>
                                  <a:xfrm>
                                    <a:off x="3866" y="977"/>
                                    <a:ext cx="2336" cy="284"/>
                                  </a:xfrm>
                                  <a:prstGeom prst="rect">
                                    <a:avLst/>
                                  </a:prstGeom>
                                  <a:noFill/>
                                  <a:ln w="6350">
                                    <a:solidFill>
                                      <a:schemeClr val="tx1"/>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2F83ACE4">
                                      <w:pPr>
                                        <w:jc w:val="center"/>
                                        <w:rPr>
                                          <w:rFonts w:hint="default" w:eastAsia="宋体"/>
                                          <w:color w:val="000000" w:themeColor="text1"/>
                                          <w:sz w:val="18"/>
                                          <w:szCs w:val="18"/>
                                          <w:lang w:val="en-US" w:eastAsia="zh-CN"/>
                                          <w14:textFill>
                                            <w14:solidFill>
                                              <w14:schemeClr w14:val="tx1"/>
                                            </w14:solidFill>
                                          </w14:textFill>
                                          <w14:props3d w14:extrusionH="0" w14:contourW="0" w14:prstMaterial="clear"/>
                                        </w:rPr>
                                      </w:pPr>
                                      <w:r>
                                        <w:rPr>
                                          <w:rFonts w:hint="eastAsia"/>
                                          <w:color w:val="000000" w:themeColor="text1"/>
                                          <w:sz w:val="18"/>
                                          <w:szCs w:val="18"/>
                                          <w:lang w:val="en-US" w:eastAsia="zh-CN"/>
                                          <w14:textFill>
                                            <w14:solidFill>
                                              <w14:schemeClr w14:val="tx1"/>
                                            </w14:solidFill>
                                          </w14:textFill>
                                          <w14:props3d w14:extrusionH="0" w14:contourW="0" w14:prstMaterial="clear"/>
                                        </w:rPr>
                                        <w:t>废切削液（作危废处置）</w:t>
                                      </w:r>
                                    </w:p>
                                  </w:txbxContent>
                                </wps:txbx>
                                <wps:bodyPr rot="0" spcFirstLastPara="0" vertOverflow="overflow" horzOverflow="overflow" vert="horz" wrap="square" lIns="0" tIns="0" rIns="0" bIns="0" numCol="1" spcCol="0" rtlCol="0" fromWordArt="0" anchor="ctr" anchorCtr="0" forceAA="0" compatLnSpc="1">
                                  <a:noAutofit/>
                                </wps:bodyPr>
                              </wps:wsp>
                              <wps:wsp>
                                <wps:cNvPr id="60" name="直接箭头连接符 91"/>
                                <wps:cNvCnPr/>
                                <wps:spPr>
                                  <a:xfrm>
                                    <a:off x="1059" y="2242"/>
                                    <a:ext cx="737" cy="0"/>
                                  </a:xfrm>
                                  <a:prstGeom prst="straightConnector1">
                                    <a:avLst/>
                                  </a:prstGeom>
                                  <a:ln w="6350">
                                    <a:solidFill>
                                      <a:schemeClr val="tx1"/>
                                    </a:solidFill>
                                    <a:tailEnd type="triangle" w="med" len="lg"/>
                                  </a:ln>
                                </wps:spPr>
                                <wps:style>
                                  <a:lnRef idx="2">
                                    <a:schemeClr val="accent1"/>
                                  </a:lnRef>
                                  <a:fillRef idx="0">
                                    <a:srgbClr val="FFFFFF"/>
                                  </a:fillRef>
                                  <a:effectRef idx="0">
                                    <a:srgbClr val="FFFFFF"/>
                                  </a:effectRef>
                                  <a:fontRef idx="minor">
                                    <a:schemeClr val="tx1"/>
                                  </a:fontRef>
                                </wps:style>
                                <wps:bodyPr/>
                              </wps:wsp>
                              <wps:wsp>
                                <wps:cNvPr id="61" name="矩形 94"/>
                                <wps:cNvSpPr/>
                                <wps:spPr>
                                  <a:xfrm>
                                    <a:off x="1813" y="2165"/>
                                    <a:ext cx="1320" cy="284"/>
                                  </a:xfrm>
                                  <a:prstGeom prst="rect">
                                    <a:avLst/>
                                  </a:prstGeom>
                                  <a:noFill/>
                                  <a:ln w="6350">
                                    <a:solidFill>
                                      <a:schemeClr val="tx1"/>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6C6488C3">
                                      <w:pPr>
                                        <w:jc w:val="center"/>
                                        <w:rPr>
                                          <w:rFonts w:hint="default" w:eastAsia="宋体"/>
                                          <w:color w:val="000000" w:themeColor="text1"/>
                                          <w:sz w:val="18"/>
                                          <w:szCs w:val="18"/>
                                          <w:lang w:val="en-US" w:eastAsia="zh-CN"/>
                                          <w14:textFill>
                                            <w14:solidFill>
                                              <w14:schemeClr w14:val="tx1"/>
                                            </w14:solidFill>
                                          </w14:textFill>
                                          <w14:props3d w14:extrusionH="0" w14:contourW="0" w14:prstMaterial="clear"/>
                                        </w:rPr>
                                      </w:pPr>
                                      <w:r>
                                        <w:rPr>
                                          <w:rFonts w:hint="eastAsia"/>
                                          <w:color w:val="000000" w:themeColor="text1"/>
                                          <w:sz w:val="18"/>
                                          <w:szCs w:val="18"/>
                                          <w:lang w:val="en-US" w:eastAsia="zh-CN"/>
                                          <w14:textFill>
                                            <w14:solidFill>
                                              <w14:schemeClr w14:val="tx1"/>
                                            </w14:solidFill>
                                          </w14:textFill>
                                          <w14:props3d w14:extrusionH="0" w14:contourW="0" w14:prstMaterial="clear"/>
                                        </w:rPr>
                                        <w:t>清洗用水</w:t>
                                      </w:r>
                                    </w:p>
                                  </w:txbxContent>
                                </wps:txbx>
                                <wps:bodyPr rot="0" spcFirstLastPara="0" vertOverflow="overflow" horzOverflow="overflow" vert="horz" wrap="square" lIns="0" tIns="0" rIns="0" bIns="0" numCol="1" spcCol="0" rtlCol="0" fromWordArt="0" anchor="ctr" anchorCtr="0" forceAA="0" compatLnSpc="1">
                                  <a:noAutofit/>
                                </wps:bodyPr>
                              </wps:wsp>
                              <wps:wsp>
                                <wps:cNvPr id="63" name="曲线连接符 22"/>
                                <wps:cNvCnPr/>
                                <wps:spPr>
                                  <a:xfrm rot="16200000">
                                    <a:off x="2707" y="1783"/>
                                    <a:ext cx="408" cy="346"/>
                                  </a:xfrm>
                                  <a:prstGeom prst="curvedConnector3">
                                    <a:avLst>
                                      <a:gd name="adj1" fmla="val 49755"/>
                                    </a:avLst>
                                  </a:prstGeom>
                                  <a:noFill/>
                                  <a:ln w="6350" cap="flat" cmpd="sng" algn="ctr">
                                    <a:solidFill>
                                      <a:sysClr val="windowText" lastClr="000000"/>
                                    </a:solidFill>
                                    <a:prstDash val="solid"/>
                                    <a:tailEnd type="arrow" w="med" len="med"/>
                                  </a:ln>
                                  <a:effectLst/>
                                </wps:spPr>
                                <wps:style>
                                  <a:lnRef idx="1">
                                    <a:schemeClr val="dk1"/>
                                  </a:lnRef>
                                  <a:fillRef idx="0">
                                    <a:schemeClr val="dk1"/>
                                  </a:fillRef>
                                  <a:effectRef idx="0">
                                    <a:schemeClr val="dk1"/>
                                  </a:effectRef>
                                  <a:fontRef idx="minor">
                                    <a:schemeClr val="tx1"/>
                                  </a:fontRef>
                                </wps:style>
                                <wps:bodyPr/>
                              </wps:wsp>
                              <wps:wsp>
                                <wps:cNvPr id="64" name="矩形 93"/>
                                <wps:cNvSpPr/>
                                <wps:spPr>
                                  <a:xfrm>
                                    <a:off x="2582" y="1504"/>
                                    <a:ext cx="987" cy="284"/>
                                  </a:xfrm>
                                  <a:prstGeom prst="rect">
                                    <a:avLst/>
                                  </a:prstGeom>
                                  <a:noFill/>
                                  <a:ln w="6350">
                                    <a:noFill/>
                                  </a:ln>
                                </wps:spPr>
                                <wps:style>
                                  <a:lnRef idx="2">
                                    <a:schemeClr val="accent1">
                                      <a:lumMod val="75000"/>
                                    </a:schemeClr>
                                  </a:lnRef>
                                  <a:fillRef idx="1">
                                    <a:schemeClr val="accent1"/>
                                  </a:fillRef>
                                  <a:effectRef idx="0">
                                    <a:srgbClr val="FFFFFF"/>
                                  </a:effectRef>
                                  <a:fontRef idx="minor">
                                    <a:schemeClr val="lt1"/>
                                  </a:fontRef>
                                </wps:style>
                                <wps:txbx>
                                  <w:txbxContent>
                                    <w:p w14:paraId="5B5A720D">
                                      <w:pPr>
                                        <w:jc w:val="center"/>
                                        <w:rPr>
                                          <w:rFonts w:hint="default" w:eastAsia="宋体"/>
                                          <w:color w:val="000000" w:themeColor="text1"/>
                                          <w:sz w:val="18"/>
                                          <w:szCs w:val="18"/>
                                          <w:lang w:val="en-US" w:eastAsia="zh-CN"/>
                                          <w14:textFill>
                                            <w14:solidFill>
                                              <w14:schemeClr w14:val="tx1"/>
                                            </w14:solidFill>
                                          </w14:textFill>
                                          <w14:props3d w14:extrusionH="0" w14:contourW="0" w14:prstMaterial="clear"/>
                                        </w:rPr>
                                      </w:pPr>
                                      <w:r>
                                        <w:rPr>
                                          <w:rFonts w:hint="eastAsia"/>
                                          <w:color w:val="000000" w:themeColor="text1"/>
                                          <w:sz w:val="18"/>
                                          <w:szCs w:val="18"/>
                                          <w14:textFill>
                                            <w14:solidFill>
                                              <w14:schemeClr w14:val="tx1"/>
                                            </w14:solidFill>
                                          </w14:textFill>
                                          <w14:props3d w14:extrusionH="0" w14:contourW="0" w14:prstMaterial="clear"/>
                                        </w:rPr>
                                        <w:t>损耗</w:t>
                                      </w:r>
                                      <w:r>
                                        <w:rPr>
                                          <w:rFonts w:hint="eastAsia"/>
                                          <w:color w:val="000000" w:themeColor="text1"/>
                                          <w:sz w:val="18"/>
                                          <w:szCs w:val="18"/>
                                          <w:lang w:val="en-US" w:eastAsia="zh-CN"/>
                                          <w14:textFill>
                                            <w14:solidFill>
                                              <w14:schemeClr w14:val="tx1"/>
                                            </w14:solidFill>
                                          </w14:textFill>
                                          <w14:props3d w14:extrusionH="0" w14:contourW="0" w14:prstMaterial="clear"/>
                                        </w:rPr>
                                        <w:t>9.8</w:t>
                                      </w:r>
                                    </w:p>
                                  </w:txbxContent>
                                </wps:txbx>
                                <wps:bodyPr rot="0" spcFirstLastPara="0" vertOverflow="overflow" horzOverflow="overflow" vert="horz" wrap="square" lIns="0" tIns="0" rIns="0" bIns="0" numCol="1" spcCol="0" rtlCol="0" fromWordArt="0" anchor="ctr" anchorCtr="0" forceAA="0" compatLnSpc="1">
                                  <a:noAutofit/>
                                </wps:bodyPr>
                              </wps:wsp>
                              <wps:wsp>
                                <wps:cNvPr id="65" name="矩形 30"/>
                                <wps:cNvSpPr/>
                                <wps:spPr>
                                  <a:xfrm>
                                    <a:off x="1072" y="2025"/>
                                    <a:ext cx="566" cy="240"/>
                                  </a:xfrm>
                                  <a:prstGeom prst="rect">
                                    <a:avLst/>
                                  </a:prstGeom>
                                  <a:noFill/>
                                  <a:ln w="6350">
                                    <a:noFill/>
                                  </a:ln>
                                </wps:spPr>
                                <wps:style>
                                  <a:lnRef idx="2">
                                    <a:schemeClr val="accent1">
                                      <a:lumMod val="75000"/>
                                    </a:schemeClr>
                                  </a:lnRef>
                                  <a:fillRef idx="1">
                                    <a:schemeClr val="accent1"/>
                                  </a:fillRef>
                                  <a:effectRef idx="0">
                                    <a:srgbClr val="FFFFFF"/>
                                  </a:effectRef>
                                  <a:fontRef idx="minor">
                                    <a:schemeClr val="lt1"/>
                                  </a:fontRef>
                                </wps:style>
                                <wps:txbx>
                                  <w:txbxContent>
                                    <w:p w14:paraId="3DBD04D9">
                                      <w:pPr>
                                        <w:jc w:val="center"/>
                                        <w:rPr>
                                          <w:rFonts w:hint="default"/>
                                          <w:color w:val="000000" w:themeColor="text1"/>
                                          <w:sz w:val="18"/>
                                          <w:szCs w:val="18"/>
                                          <w:lang w:val="en-US" w:eastAsia="zh-CN"/>
                                          <w14:textFill>
                                            <w14:solidFill>
                                              <w14:schemeClr w14:val="tx1"/>
                                            </w14:solidFill>
                                          </w14:textFill>
                                          <w14:props3d w14:extrusionH="0" w14:contourW="0" w14:prstMaterial="clear"/>
                                        </w:rPr>
                                      </w:pPr>
                                      <w:r>
                                        <w:rPr>
                                          <w:rFonts w:hint="eastAsia"/>
                                          <w:color w:val="000000" w:themeColor="text1"/>
                                          <w:sz w:val="18"/>
                                          <w:szCs w:val="18"/>
                                          <w:lang w:val="en-US" w:eastAsia="zh-CN"/>
                                          <w14:textFill>
                                            <w14:solidFill>
                                              <w14:schemeClr w14:val="tx1"/>
                                            </w14:solidFill>
                                          </w14:textFill>
                                          <w14:props3d w14:extrusionH="0" w14:contourW="0" w14:prstMaterial="clear"/>
                                        </w:rPr>
                                        <w:t>17.64</w:t>
                                      </w:r>
                                    </w:p>
                                  </w:txbxContent>
                                </wps:txbx>
                                <wps:bodyPr rot="0" spcFirstLastPara="0" vertOverflow="overflow" horzOverflow="overflow" vert="horz" wrap="square" lIns="0" tIns="0" rIns="0" bIns="0" numCol="1" spcCol="0" rtlCol="0" fromWordArt="0" anchor="ctr" anchorCtr="0" forceAA="0" compatLnSpc="1">
                                  <a:noAutofit/>
                                </wps:bodyPr>
                              </wps:wsp>
                              <wps:wsp>
                                <wps:cNvPr id="66" name="直接箭头连接符 91"/>
                                <wps:cNvCnPr/>
                                <wps:spPr>
                                  <a:xfrm>
                                    <a:off x="3123" y="2308"/>
                                    <a:ext cx="737" cy="0"/>
                                  </a:xfrm>
                                  <a:prstGeom prst="straightConnector1">
                                    <a:avLst/>
                                  </a:prstGeom>
                                  <a:ln w="6350">
                                    <a:solidFill>
                                      <a:schemeClr val="tx1"/>
                                    </a:solidFill>
                                    <a:tailEnd type="triangle" w="med" len="lg"/>
                                  </a:ln>
                                </wps:spPr>
                                <wps:style>
                                  <a:lnRef idx="2">
                                    <a:schemeClr val="accent1"/>
                                  </a:lnRef>
                                  <a:fillRef idx="0">
                                    <a:srgbClr val="FFFFFF"/>
                                  </a:fillRef>
                                  <a:effectRef idx="0">
                                    <a:srgbClr val="FFFFFF"/>
                                  </a:effectRef>
                                  <a:fontRef idx="minor">
                                    <a:schemeClr val="tx1"/>
                                  </a:fontRef>
                                </wps:style>
                                <wps:bodyPr/>
                              </wps:wsp>
                              <wps:wsp>
                                <wps:cNvPr id="67" name="矩形 30"/>
                                <wps:cNvSpPr/>
                                <wps:spPr>
                                  <a:xfrm>
                                    <a:off x="3125" y="2102"/>
                                    <a:ext cx="566" cy="240"/>
                                  </a:xfrm>
                                  <a:prstGeom prst="rect">
                                    <a:avLst/>
                                  </a:prstGeom>
                                  <a:noFill/>
                                  <a:ln w="6350">
                                    <a:noFill/>
                                  </a:ln>
                                </wps:spPr>
                                <wps:style>
                                  <a:lnRef idx="2">
                                    <a:schemeClr val="accent1">
                                      <a:lumMod val="75000"/>
                                    </a:schemeClr>
                                  </a:lnRef>
                                  <a:fillRef idx="1">
                                    <a:schemeClr val="accent1"/>
                                  </a:fillRef>
                                  <a:effectRef idx="0">
                                    <a:srgbClr val="FFFFFF"/>
                                  </a:effectRef>
                                  <a:fontRef idx="minor">
                                    <a:schemeClr val="lt1"/>
                                  </a:fontRef>
                                </wps:style>
                                <wps:txbx>
                                  <w:txbxContent>
                                    <w:p w14:paraId="0AF6119E">
                                      <w:pPr>
                                        <w:jc w:val="center"/>
                                        <w:rPr>
                                          <w:rFonts w:hint="default"/>
                                          <w:color w:val="000000" w:themeColor="text1"/>
                                          <w:sz w:val="18"/>
                                          <w:szCs w:val="18"/>
                                          <w:lang w:val="en-US" w:eastAsia="zh-CN"/>
                                          <w14:textFill>
                                            <w14:solidFill>
                                              <w14:schemeClr w14:val="tx1"/>
                                            </w14:solidFill>
                                          </w14:textFill>
                                          <w14:props3d w14:extrusionH="0" w14:contourW="0" w14:prstMaterial="clear"/>
                                        </w:rPr>
                                      </w:pPr>
                                      <w:r>
                                        <w:rPr>
                                          <w:rFonts w:hint="eastAsia"/>
                                          <w:color w:val="000000" w:themeColor="text1"/>
                                          <w:sz w:val="18"/>
                                          <w:szCs w:val="18"/>
                                          <w:lang w:val="en-US" w:eastAsia="zh-CN"/>
                                          <w14:textFill>
                                            <w14:solidFill>
                                              <w14:schemeClr w14:val="tx1"/>
                                            </w14:solidFill>
                                          </w14:textFill>
                                          <w14:props3d w14:extrusionH="0" w14:contourW="0" w14:prstMaterial="clear"/>
                                        </w:rPr>
                                        <w:t>168.8</w:t>
                                      </w:r>
                                    </w:p>
                                  </w:txbxContent>
                                </wps:txbx>
                                <wps:bodyPr rot="0" spcFirstLastPara="0" vertOverflow="overflow" horzOverflow="overflow" vert="horz" wrap="square" lIns="0" tIns="0" rIns="0" bIns="0" numCol="1" spcCol="0" rtlCol="0" fromWordArt="0" anchor="ctr" anchorCtr="0" forceAA="0" compatLnSpc="1">
                                  <a:noAutofit/>
                                </wps:bodyPr>
                              </wps:wsp>
                              <wps:wsp>
                                <wps:cNvPr id="69" name="矩形 94"/>
                                <wps:cNvSpPr/>
                                <wps:spPr>
                                  <a:xfrm>
                                    <a:off x="3878" y="2177"/>
                                    <a:ext cx="1620" cy="284"/>
                                  </a:xfrm>
                                  <a:prstGeom prst="rect">
                                    <a:avLst/>
                                  </a:prstGeom>
                                  <a:noFill/>
                                  <a:ln w="6350">
                                    <a:solidFill>
                                      <a:schemeClr val="tx1"/>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5D80DDA8">
                                      <w:pPr>
                                        <w:jc w:val="center"/>
                                        <w:rPr>
                                          <w:rFonts w:hint="default" w:eastAsia="宋体"/>
                                          <w:color w:val="000000" w:themeColor="text1"/>
                                          <w:sz w:val="18"/>
                                          <w:szCs w:val="18"/>
                                          <w:lang w:val="en-US" w:eastAsia="zh-CN"/>
                                          <w14:textFill>
                                            <w14:solidFill>
                                              <w14:schemeClr w14:val="tx1"/>
                                            </w14:solidFill>
                                          </w14:textFill>
                                          <w14:props3d w14:extrusionH="0" w14:contourW="0" w14:prstMaterial="clear"/>
                                        </w:rPr>
                                      </w:pPr>
                                      <w:r>
                                        <w:rPr>
                                          <w:rFonts w:hint="eastAsia"/>
                                          <w:color w:val="000000" w:themeColor="text1"/>
                                          <w:sz w:val="18"/>
                                          <w:szCs w:val="18"/>
                                          <w:lang w:val="en-US" w:eastAsia="zh-CN"/>
                                          <w14:textFill>
                                            <w14:solidFill>
                                              <w14:schemeClr w14:val="tx1"/>
                                            </w14:solidFill>
                                          </w14:textFill>
                                          <w14:props3d w14:extrusionH="0" w14:contourW="0" w14:prstMaterial="clear"/>
                                        </w:rPr>
                                        <w:t>进入废水处理设施</w:t>
                                      </w:r>
                                    </w:p>
                                  </w:txbxContent>
                                </wps:txbx>
                                <wps:bodyPr rot="0" spcFirstLastPara="0" vertOverflow="overflow" horzOverflow="overflow" vert="horz" wrap="square" lIns="0" tIns="0" rIns="0" bIns="0" numCol="1" spcCol="0" rtlCol="0" fromWordArt="0" anchor="ctr" anchorCtr="0" forceAA="0" compatLnSpc="1">
                                  <a:noAutofit/>
                                </wps:bodyPr>
                              </wps:wsp>
                              <wps:wsp>
                                <wps:cNvPr id="71" name="直接箭头连接符 91"/>
                                <wps:cNvCnPr/>
                                <wps:spPr>
                                  <a:xfrm>
                                    <a:off x="2270" y="1773"/>
                                    <a:ext cx="0" cy="386"/>
                                  </a:xfrm>
                                  <a:prstGeom prst="straightConnector1">
                                    <a:avLst/>
                                  </a:prstGeom>
                                  <a:ln w="6350">
                                    <a:solidFill>
                                      <a:schemeClr val="tx1"/>
                                    </a:solidFill>
                                    <a:tailEnd type="triangle" w="med" len="lg"/>
                                  </a:ln>
                                </wps:spPr>
                                <wps:style>
                                  <a:lnRef idx="2">
                                    <a:schemeClr val="accent1"/>
                                  </a:lnRef>
                                  <a:fillRef idx="0">
                                    <a:srgbClr val="FFFFFF"/>
                                  </a:fillRef>
                                  <a:effectRef idx="0">
                                    <a:srgbClr val="FFFFFF"/>
                                  </a:effectRef>
                                  <a:fontRef idx="minor">
                                    <a:schemeClr val="tx1"/>
                                  </a:fontRef>
                                </wps:style>
                                <wps:bodyPr/>
                              </wps:wsp>
                              <wps:wsp>
                                <wps:cNvPr id="72" name="矩形 93"/>
                                <wps:cNvSpPr/>
                                <wps:spPr>
                                  <a:xfrm>
                                    <a:off x="1640" y="1527"/>
                                    <a:ext cx="987" cy="284"/>
                                  </a:xfrm>
                                  <a:prstGeom prst="rect">
                                    <a:avLst/>
                                  </a:prstGeom>
                                  <a:noFill/>
                                  <a:ln w="6350">
                                    <a:noFill/>
                                  </a:ln>
                                </wps:spPr>
                                <wps:style>
                                  <a:lnRef idx="2">
                                    <a:schemeClr val="accent1">
                                      <a:lumMod val="75000"/>
                                    </a:schemeClr>
                                  </a:lnRef>
                                  <a:fillRef idx="1">
                                    <a:schemeClr val="accent1"/>
                                  </a:fillRef>
                                  <a:effectRef idx="0">
                                    <a:srgbClr val="FFFFFF"/>
                                  </a:effectRef>
                                  <a:fontRef idx="minor">
                                    <a:schemeClr val="lt1"/>
                                  </a:fontRef>
                                </wps:style>
                                <wps:txbx>
                                  <w:txbxContent>
                                    <w:p w14:paraId="78E24216">
                                      <w:pPr>
                                        <w:jc w:val="center"/>
                                        <w:rPr>
                                          <w:rFonts w:hint="default" w:eastAsia="宋体"/>
                                          <w:color w:val="000000" w:themeColor="text1"/>
                                          <w:sz w:val="18"/>
                                          <w:szCs w:val="18"/>
                                          <w:lang w:val="en-US" w:eastAsia="zh-CN"/>
                                          <w14:textFill>
                                            <w14:solidFill>
                                              <w14:schemeClr w14:val="tx1"/>
                                            </w14:solidFill>
                                          </w14:textFill>
                                          <w14:props3d w14:extrusionH="0" w14:contourW="0" w14:prstMaterial="clear"/>
                                        </w:rPr>
                                      </w:pPr>
                                      <w:r>
                                        <w:rPr>
                                          <w:rFonts w:hint="eastAsia"/>
                                          <w:color w:val="000000" w:themeColor="text1"/>
                                          <w:sz w:val="18"/>
                                          <w:szCs w:val="18"/>
                                          <w:lang w:val="en-US" w:eastAsia="zh-CN"/>
                                          <w14:textFill>
                                            <w14:solidFill>
                                              <w14:schemeClr w14:val="tx1"/>
                                            </w14:solidFill>
                                          </w14:textFill>
                                          <w14:props3d w14:extrusionH="0" w14:contourW="0" w14:prstMaterial="clear"/>
                                        </w:rPr>
                                        <w:t>清洗剂0.3</w:t>
                                      </w:r>
                                    </w:p>
                                  </w:txbxContent>
                                </wps:txbx>
                                <wps:bodyPr rot="0" spcFirstLastPara="0" vertOverflow="overflow" horzOverflow="overflow" vert="horz" wrap="square" lIns="0" tIns="0" rIns="0" bIns="0" numCol="1" spcCol="0" rtlCol="0" fromWordArt="0" anchor="ctr" anchorCtr="0" forceAA="0" compatLnSpc="1">
                                  <a:noAutofit/>
                                </wps:bodyPr>
                              </wps:wsp>
                              <wps:wsp>
                                <wps:cNvPr id="73" name="直接箭头连接符 91"/>
                                <wps:cNvCnPr/>
                                <wps:spPr>
                                  <a:xfrm flipV="1">
                                    <a:off x="2460" y="2434"/>
                                    <a:ext cx="0" cy="386"/>
                                  </a:xfrm>
                                  <a:prstGeom prst="straightConnector1">
                                    <a:avLst/>
                                  </a:prstGeom>
                                  <a:ln w="6350">
                                    <a:solidFill>
                                      <a:schemeClr val="tx1"/>
                                    </a:solidFill>
                                    <a:tailEnd type="triangle" w="med" len="lg"/>
                                  </a:ln>
                                </wps:spPr>
                                <wps:style>
                                  <a:lnRef idx="2">
                                    <a:schemeClr val="accent1"/>
                                  </a:lnRef>
                                  <a:fillRef idx="0">
                                    <a:srgbClr val="FFFFFF"/>
                                  </a:fillRef>
                                  <a:effectRef idx="0">
                                    <a:srgbClr val="FFFFFF"/>
                                  </a:effectRef>
                                  <a:fontRef idx="minor">
                                    <a:schemeClr val="tx1"/>
                                  </a:fontRef>
                                </wps:style>
                                <wps:bodyPr/>
                              </wps:wsp>
                              <wps:wsp>
                                <wps:cNvPr id="75" name="矩形 93"/>
                                <wps:cNvSpPr/>
                                <wps:spPr>
                                  <a:xfrm>
                                    <a:off x="1928" y="2797"/>
                                    <a:ext cx="987" cy="284"/>
                                  </a:xfrm>
                                  <a:prstGeom prst="rect">
                                    <a:avLst/>
                                  </a:prstGeom>
                                  <a:noFill/>
                                  <a:ln w="6350">
                                    <a:noFill/>
                                  </a:ln>
                                </wps:spPr>
                                <wps:style>
                                  <a:lnRef idx="2">
                                    <a:schemeClr val="accent1">
                                      <a:lumMod val="75000"/>
                                    </a:schemeClr>
                                  </a:lnRef>
                                  <a:fillRef idx="1">
                                    <a:schemeClr val="accent1"/>
                                  </a:fillRef>
                                  <a:effectRef idx="0">
                                    <a:srgbClr val="FFFFFF"/>
                                  </a:effectRef>
                                  <a:fontRef idx="minor">
                                    <a:schemeClr val="lt1"/>
                                  </a:fontRef>
                                </wps:style>
                                <wps:txbx>
                                  <w:txbxContent>
                                    <w:p w14:paraId="315E2D98">
                                      <w:pPr>
                                        <w:jc w:val="center"/>
                                        <w:rPr>
                                          <w:rFonts w:hint="default" w:eastAsia="宋体"/>
                                          <w:color w:val="000000" w:themeColor="text1"/>
                                          <w:sz w:val="18"/>
                                          <w:szCs w:val="18"/>
                                          <w:lang w:val="en-US" w:eastAsia="zh-CN"/>
                                          <w14:textFill>
                                            <w14:solidFill>
                                              <w14:schemeClr w14:val="tx1"/>
                                            </w14:solidFill>
                                          </w14:textFill>
                                          <w14:props3d w14:extrusionH="0" w14:contourW="0" w14:prstMaterial="clear"/>
                                        </w:rPr>
                                      </w:pPr>
                                      <w:r>
                                        <w:rPr>
                                          <w:rFonts w:hint="eastAsia"/>
                                          <w:color w:val="000000" w:themeColor="text1"/>
                                          <w:sz w:val="18"/>
                                          <w:szCs w:val="18"/>
                                          <w:lang w:val="en-US" w:eastAsia="zh-CN"/>
                                          <w14:textFill>
                                            <w14:solidFill>
                                              <w14:schemeClr w14:val="tx1"/>
                                            </w14:solidFill>
                                          </w14:textFill>
                                          <w14:props3d w14:extrusionH="0" w14:contourW="0" w14:prstMaterial="clear"/>
                                        </w:rPr>
                                        <w:t>防锈剂0.3</w:t>
                                      </w:r>
                                    </w:p>
                                  </w:txbxContent>
                                </wps:txbx>
                                <wps:bodyPr rot="0" spcFirstLastPara="0" vertOverflow="overflow" horzOverflow="overflow" vert="horz" wrap="square" lIns="0" tIns="0" rIns="0" bIns="0" numCol="1" spcCol="0" rtlCol="0" fromWordArt="0" anchor="ctr" anchorCtr="0" forceAA="0" compatLnSpc="1">
                                  <a:noAutofit/>
                                </wps:bodyPr>
                              </wps:wsp>
                              <wps:wsp>
                                <wps:cNvPr id="78" name="直接箭头连接符 91"/>
                                <wps:cNvCnPr/>
                                <wps:spPr>
                                  <a:xfrm>
                                    <a:off x="5489" y="2298"/>
                                    <a:ext cx="737" cy="0"/>
                                  </a:xfrm>
                                  <a:prstGeom prst="straightConnector1">
                                    <a:avLst/>
                                  </a:prstGeom>
                                  <a:ln w="6350">
                                    <a:solidFill>
                                      <a:schemeClr val="tx1"/>
                                    </a:solidFill>
                                    <a:tailEnd type="triangle" w="med" len="lg"/>
                                  </a:ln>
                                </wps:spPr>
                                <wps:style>
                                  <a:lnRef idx="2">
                                    <a:schemeClr val="accent1"/>
                                  </a:lnRef>
                                  <a:fillRef idx="0">
                                    <a:srgbClr val="FFFFFF"/>
                                  </a:fillRef>
                                  <a:effectRef idx="0">
                                    <a:srgbClr val="FFFFFF"/>
                                  </a:effectRef>
                                  <a:fontRef idx="minor">
                                    <a:schemeClr val="tx1"/>
                                  </a:fontRef>
                                </wps:style>
                                <wps:bodyPr/>
                              </wps:wsp>
                              <wps:wsp>
                                <wps:cNvPr id="80" name="矩形 30"/>
                                <wps:cNvSpPr/>
                                <wps:spPr>
                                  <a:xfrm>
                                    <a:off x="5491" y="2092"/>
                                    <a:ext cx="566" cy="240"/>
                                  </a:xfrm>
                                  <a:prstGeom prst="rect">
                                    <a:avLst/>
                                  </a:prstGeom>
                                  <a:noFill/>
                                  <a:ln w="6350">
                                    <a:noFill/>
                                  </a:ln>
                                </wps:spPr>
                                <wps:style>
                                  <a:lnRef idx="2">
                                    <a:schemeClr val="accent1">
                                      <a:lumMod val="75000"/>
                                    </a:schemeClr>
                                  </a:lnRef>
                                  <a:fillRef idx="1">
                                    <a:schemeClr val="accent1"/>
                                  </a:fillRef>
                                  <a:effectRef idx="0">
                                    <a:srgbClr val="FFFFFF"/>
                                  </a:effectRef>
                                  <a:fontRef idx="minor">
                                    <a:schemeClr val="lt1"/>
                                  </a:fontRef>
                                </wps:style>
                                <wps:txbx>
                                  <w:txbxContent>
                                    <w:p w14:paraId="243A73AD">
                                      <w:pPr>
                                        <w:jc w:val="center"/>
                                        <w:rPr>
                                          <w:rFonts w:hint="default"/>
                                          <w:color w:val="000000" w:themeColor="text1"/>
                                          <w:sz w:val="18"/>
                                          <w:szCs w:val="18"/>
                                          <w:lang w:val="en-US" w:eastAsia="zh-CN"/>
                                          <w14:textFill>
                                            <w14:solidFill>
                                              <w14:schemeClr w14:val="tx1"/>
                                            </w14:solidFill>
                                          </w14:textFill>
                                          <w14:props3d w14:extrusionH="0" w14:contourW="0" w14:prstMaterial="clear"/>
                                        </w:rPr>
                                      </w:pPr>
                                      <w:r>
                                        <w:rPr>
                                          <w:rFonts w:hint="eastAsia"/>
                                          <w:color w:val="000000" w:themeColor="text1"/>
                                          <w:sz w:val="18"/>
                                          <w:szCs w:val="18"/>
                                          <w:lang w:val="en-US" w:eastAsia="zh-CN"/>
                                          <w14:textFill>
                                            <w14:solidFill>
                                              <w14:schemeClr w14:val="tx1"/>
                                            </w14:solidFill>
                                          </w14:textFill>
                                          <w14:props3d w14:extrusionH="0" w14:contourW="0" w14:prstMaterial="clear"/>
                                        </w:rPr>
                                        <w:t>8.44</w:t>
                                      </w:r>
                                    </w:p>
                                  </w:txbxContent>
                                </wps:txbx>
                                <wps:bodyPr rot="0" spcFirstLastPara="0" vertOverflow="overflow" horzOverflow="overflow" vert="horz" wrap="square" lIns="0" tIns="0" rIns="0" bIns="0" numCol="1" spcCol="0" rtlCol="0" fromWordArt="0" anchor="ctr" anchorCtr="0" forceAA="0" compatLnSpc="1">
                                  <a:noAutofit/>
                                </wps:bodyPr>
                              </wps:wsp>
                              <wps:wsp>
                                <wps:cNvPr id="81" name="矩形 94"/>
                                <wps:cNvSpPr/>
                                <wps:spPr>
                                  <a:xfrm>
                                    <a:off x="6244" y="2164"/>
                                    <a:ext cx="1724" cy="284"/>
                                  </a:xfrm>
                                  <a:prstGeom prst="rect">
                                    <a:avLst/>
                                  </a:prstGeom>
                                  <a:noFill/>
                                  <a:ln w="6350">
                                    <a:solidFill>
                                      <a:schemeClr val="tx1"/>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09B845F5">
                                      <w:pPr>
                                        <w:jc w:val="center"/>
                                        <w:rPr>
                                          <w:rFonts w:hint="default" w:eastAsia="宋体"/>
                                          <w:color w:val="000000" w:themeColor="text1"/>
                                          <w:sz w:val="18"/>
                                          <w:szCs w:val="18"/>
                                          <w:lang w:val="en-US" w:eastAsia="zh-CN"/>
                                          <w14:textFill>
                                            <w14:solidFill>
                                              <w14:schemeClr w14:val="tx1"/>
                                            </w14:solidFill>
                                          </w14:textFill>
                                          <w14:props3d w14:extrusionH="0" w14:contourW="0" w14:prstMaterial="clear"/>
                                        </w:rPr>
                                      </w:pPr>
                                      <w:r>
                                        <w:rPr>
                                          <w:rFonts w:hint="eastAsia"/>
                                          <w:color w:val="000000" w:themeColor="text1"/>
                                          <w:sz w:val="18"/>
                                          <w:szCs w:val="18"/>
                                          <w:lang w:val="en-US" w:eastAsia="zh-CN"/>
                                          <w14:textFill>
                                            <w14:solidFill>
                                              <w14:schemeClr w14:val="tx1"/>
                                            </w14:solidFill>
                                          </w14:textFill>
                                          <w14:props3d w14:extrusionH="0" w14:contourW="0" w14:prstMaterial="clear"/>
                                        </w:rPr>
                                        <w:t>浓液（作危废处置）</w:t>
                                      </w:r>
                                    </w:p>
                                  </w:txbxContent>
                                </wps:txbx>
                                <wps:bodyPr rot="0" spcFirstLastPara="0" vertOverflow="overflow" horzOverflow="overflow" vert="horz" wrap="square" lIns="0" tIns="0" rIns="0" bIns="0" numCol="1" spcCol="0" rtlCol="0" fromWordArt="0" anchor="ctr" anchorCtr="0" forceAA="0" compatLnSpc="1">
                                  <a:noAutofit/>
                                </wps:bodyPr>
                              </wps:wsp>
                              <wps:wsp>
                                <wps:cNvPr id="87" name="直接箭头连接符 91"/>
                                <wps:cNvCnPr/>
                                <wps:spPr>
                                  <a:xfrm>
                                    <a:off x="1195" y="2370"/>
                                    <a:ext cx="612" cy="0"/>
                                  </a:xfrm>
                                  <a:prstGeom prst="straightConnector1">
                                    <a:avLst/>
                                  </a:prstGeom>
                                  <a:ln w="6350">
                                    <a:solidFill>
                                      <a:schemeClr val="tx1"/>
                                    </a:solidFill>
                                    <a:tailEnd type="triangle" w="med" len="lg"/>
                                  </a:ln>
                                </wps:spPr>
                                <wps:style>
                                  <a:lnRef idx="2">
                                    <a:schemeClr val="accent1"/>
                                  </a:lnRef>
                                  <a:fillRef idx="0">
                                    <a:srgbClr val="FFFFFF"/>
                                  </a:fillRef>
                                  <a:effectRef idx="0">
                                    <a:srgbClr val="FFFFFF"/>
                                  </a:effectRef>
                                  <a:fontRef idx="minor">
                                    <a:schemeClr val="tx1"/>
                                  </a:fontRef>
                                </wps:style>
                                <wps:bodyPr/>
                              </wps:wsp>
                              <wps:wsp>
                                <wps:cNvPr id="88" name="矩形 30"/>
                                <wps:cNvSpPr/>
                                <wps:spPr>
                                  <a:xfrm>
                                    <a:off x="1151" y="2362"/>
                                    <a:ext cx="566" cy="240"/>
                                  </a:xfrm>
                                  <a:prstGeom prst="rect">
                                    <a:avLst/>
                                  </a:prstGeom>
                                  <a:noFill/>
                                  <a:ln w="6350">
                                    <a:noFill/>
                                  </a:ln>
                                </wps:spPr>
                                <wps:style>
                                  <a:lnRef idx="2">
                                    <a:schemeClr val="accent1">
                                      <a:lumMod val="75000"/>
                                    </a:schemeClr>
                                  </a:lnRef>
                                  <a:fillRef idx="1">
                                    <a:schemeClr val="accent1"/>
                                  </a:fillRef>
                                  <a:effectRef idx="0">
                                    <a:srgbClr val="FFFFFF"/>
                                  </a:effectRef>
                                  <a:fontRef idx="minor">
                                    <a:schemeClr val="lt1"/>
                                  </a:fontRef>
                                </wps:style>
                                <wps:txbx>
                                  <w:txbxContent>
                                    <w:p w14:paraId="0809133E">
                                      <w:pPr>
                                        <w:jc w:val="center"/>
                                        <w:rPr>
                                          <w:rFonts w:hint="default"/>
                                          <w:color w:val="000000" w:themeColor="text1"/>
                                          <w:sz w:val="18"/>
                                          <w:szCs w:val="18"/>
                                          <w:lang w:val="en-US" w:eastAsia="zh-CN"/>
                                          <w14:textFill>
                                            <w14:solidFill>
                                              <w14:schemeClr w14:val="tx1"/>
                                            </w14:solidFill>
                                          </w14:textFill>
                                          <w14:props3d w14:extrusionH="0" w14:contourW="0" w14:prstMaterial="clear"/>
                                        </w:rPr>
                                      </w:pPr>
                                      <w:r>
                                        <w:rPr>
                                          <w:rFonts w:hint="eastAsia"/>
                                          <w:color w:val="000000" w:themeColor="text1"/>
                                          <w:sz w:val="18"/>
                                          <w:szCs w:val="18"/>
                                          <w:lang w:val="en-US" w:eastAsia="zh-CN"/>
                                          <w14:textFill>
                                            <w14:solidFill>
                                              <w14:schemeClr w14:val="tx1"/>
                                            </w14:solidFill>
                                          </w14:textFill>
                                          <w14:props3d w14:extrusionH="0" w14:contourW="0" w14:prstMaterial="clear"/>
                                        </w:rPr>
                                        <w:t>160.36</w:t>
                                      </w:r>
                                    </w:p>
                                  </w:txbxContent>
                                </wps:txbx>
                                <wps:bodyPr rot="0" spcFirstLastPara="0" vertOverflow="overflow" horzOverflow="overflow" vert="horz" wrap="square" lIns="0" tIns="0" rIns="0" bIns="0" numCol="1" spcCol="0" rtlCol="0" fromWordArt="0" anchor="ctr" anchorCtr="0" forceAA="0" compatLnSpc="1">
                                  <a:noAutofit/>
                                </wps:bodyPr>
                              </wps:wsp>
                              <wps:wsp>
                                <wps:cNvPr id="19" name="直接箭头连接符 91"/>
                                <wps:cNvCnPr/>
                                <wps:spPr>
                                  <a:xfrm>
                                    <a:off x="2208" y="561"/>
                                    <a:ext cx="0" cy="386"/>
                                  </a:xfrm>
                                  <a:prstGeom prst="straightConnector1">
                                    <a:avLst/>
                                  </a:prstGeom>
                                  <a:ln w="6350">
                                    <a:solidFill>
                                      <a:schemeClr val="tx1"/>
                                    </a:solidFill>
                                    <a:tailEnd type="triangle" w="med" len="lg"/>
                                  </a:ln>
                                </wps:spPr>
                                <wps:style>
                                  <a:lnRef idx="2">
                                    <a:schemeClr val="accent1"/>
                                  </a:lnRef>
                                  <a:fillRef idx="0">
                                    <a:srgbClr val="FFFFFF"/>
                                  </a:fillRef>
                                  <a:effectRef idx="0">
                                    <a:srgbClr val="FFFFFF"/>
                                  </a:effectRef>
                                  <a:fontRef idx="minor">
                                    <a:schemeClr val="tx1"/>
                                  </a:fontRef>
                                </wps:style>
                                <wps:bodyPr/>
                              </wps:wsp>
                              <wps:wsp>
                                <wps:cNvPr id="20" name="矩形 93"/>
                                <wps:cNvSpPr/>
                                <wps:spPr>
                                  <a:xfrm>
                                    <a:off x="1402" y="315"/>
                                    <a:ext cx="1149" cy="284"/>
                                  </a:xfrm>
                                  <a:prstGeom prst="rect">
                                    <a:avLst/>
                                  </a:prstGeom>
                                  <a:noFill/>
                                  <a:ln w="6350">
                                    <a:noFill/>
                                  </a:ln>
                                </wps:spPr>
                                <wps:style>
                                  <a:lnRef idx="2">
                                    <a:schemeClr val="accent1">
                                      <a:lumMod val="75000"/>
                                    </a:schemeClr>
                                  </a:lnRef>
                                  <a:fillRef idx="1">
                                    <a:schemeClr val="accent1"/>
                                  </a:fillRef>
                                  <a:effectRef idx="0">
                                    <a:srgbClr val="FFFFFF"/>
                                  </a:effectRef>
                                  <a:fontRef idx="minor">
                                    <a:schemeClr val="lt1"/>
                                  </a:fontRef>
                                </wps:style>
                                <wps:txbx>
                                  <w:txbxContent>
                                    <w:p w14:paraId="3DF6B2AF">
                                      <w:pPr>
                                        <w:jc w:val="center"/>
                                        <w:rPr>
                                          <w:rFonts w:hint="default" w:eastAsia="宋体"/>
                                          <w:color w:val="000000" w:themeColor="text1"/>
                                          <w:sz w:val="18"/>
                                          <w:szCs w:val="18"/>
                                          <w:lang w:val="en-US" w:eastAsia="zh-CN"/>
                                          <w14:textFill>
                                            <w14:solidFill>
                                              <w14:schemeClr w14:val="tx1"/>
                                            </w14:solidFill>
                                          </w14:textFill>
                                          <w14:props3d w14:extrusionH="0" w14:contourW="0" w14:prstMaterial="clear"/>
                                        </w:rPr>
                                      </w:pPr>
                                      <w:r>
                                        <w:rPr>
                                          <w:rFonts w:hint="eastAsia"/>
                                          <w:color w:val="000000" w:themeColor="text1"/>
                                          <w:sz w:val="18"/>
                                          <w:szCs w:val="18"/>
                                          <w:lang w:val="en-US" w:eastAsia="zh-CN"/>
                                          <w14:textFill>
                                            <w14:solidFill>
                                              <w14:schemeClr w14:val="tx1"/>
                                            </w14:solidFill>
                                          </w14:textFill>
                                          <w14:props3d w14:extrusionH="0" w14:contourW="0" w14:prstMaterial="clear"/>
                                        </w:rPr>
                                        <w:t>切削液7</w:t>
                                      </w:r>
                                    </w:p>
                                  </w:txbxContent>
                                </wps:txbx>
                                <wps:bodyPr rot="0" spcFirstLastPara="0" vertOverflow="overflow" horzOverflow="overflow" vert="horz" wrap="square" lIns="0" tIns="0" rIns="0" bIns="0" numCol="1" spcCol="0" rtlCol="0" fromWordArt="0" anchor="ctr" anchorCtr="0" forceAA="0" compatLnSpc="1">
                                  <a:noAutofit/>
                                </wps:bodyPr>
                              </wps:wsp>
                            </wpg:wgp>
                            <wps:wsp>
                              <wps:cNvPr id="82" name="直接连接符 89"/>
                              <wps:cNvCnPr/>
                              <wps:spPr>
                                <a:xfrm>
                                  <a:off x="2985770" y="2985770"/>
                                  <a:ext cx="0" cy="400685"/>
                                </a:xfrm>
                                <a:prstGeom prst="line">
                                  <a:avLst/>
                                </a:prstGeom>
                                <a:ln w="6350">
                                  <a:solidFill>
                                    <a:schemeClr val="tx1"/>
                                  </a:solidFill>
                                  <a:prstDash val="dash"/>
                                </a:ln>
                              </wps:spPr>
                              <wps:style>
                                <a:lnRef idx="2">
                                  <a:schemeClr val="accent1"/>
                                </a:lnRef>
                                <a:fillRef idx="0">
                                  <a:srgbClr val="FFFFFF"/>
                                </a:fillRef>
                                <a:effectRef idx="0">
                                  <a:srgbClr val="FFFFFF"/>
                                </a:effectRef>
                                <a:fontRef idx="minor">
                                  <a:schemeClr val="tx1"/>
                                </a:fontRef>
                              </wps:style>
                              <wps:bodyPr/>
                            </wps:wsp>
                            <wps:wsp>
                              <wps:cNvPr id="85" name="直接连接符 89"/>
                              <wps:cNvCnPr/>
                              <wps:spPr>
                                <a:xfrm>
                                  <a:off x="759460" y="3388995"/>
                                  <a:ext cx="2223770" cy="0"/>
                                </a:xfrm>
                                <a:prstGeom prst="line">
                                  <a:avLst/>
                                </a:prstGeom>
                                <a:ln w="6350">
                                  <a:solidFill>
                                    <a:schemeClr val="tx1"/>
                                  </a:solidFill>
                                  <a:prstDash val="dash"/>
                                </a:ln>
                              </wps:spPr>
                              <wps:style>
                                <a:lnRef idx="2">
                                  <a:schemeClr val="accent1"/>
                                </a:lnRef>
                                <a:fillRef idx="0">
                                  <a:srgbClr val="FFFFFF"/>
                                </a:fillRef>
                                <a:effectRef idx="0">
                                  <a:srgbClr val="FFFFFF"/>
                                </a:effectRef>
                                <a:fontRef idx="minor">
                                  <a:schemeClr val="tx1"/>
                                </a:fontRef>
                              </wps:style>
                              <wps:bodyPr/>
                            </wps:wsp>
                            <wps:wsp>
                              <wps:cNvPr id="86" name="直接连接符 89"/>
                              <wps:cNvCnPr/>
                              <wps:spPr>
                                <a:xfrm>
                                  <a:off x="765810" y="2932430"/>
                                  <a:ext cx="0" cy="454025"/>
                                </a:xfrm>
                                <a:prstGeom prst="line">
                                  <a:avLst/>
                                </a:prstGeom>
                                <a:ln w="6350">
                                  <a:solidFill>
                                    <a:schemeClr val="tx1"/>
                                  </a:solidFill>
                                  <a:prstDash val="dash"/>
                                </a:ln>
                              </wps:spPr>
                              <wps:style>
                                <a:lnRef idx="2">
                                  <a:schemeClr val="accent1"/>
                                </a:lnRef>
                                <a:fillRef idx="0">
                                  <a:srgbClr val="FFFFFF"/>
                                </a:fillRef>
                                <a:effectRef idx="0">
                                  <a:srgbClr val="FFFFFF"/>
                                </a:effectRef>
                                <a:fontRef idx="minor">
                                  <a:schemeClr val="tx1"/>
                                </a:fontRef>
                              </wps:style>
                              <wps:bodyPr/>
                            </wps:wsp>
                          </wpc:wpc>
                        </a:graphicData>
                      </a:graphic>
                    </wp:inline>
                  </w:drawing>
                </mc:Choice>
                <mc:Fallback>
                  <w:pict>
                    <v:group id="_x0000_s1026" o:spid="_x0000_s1026" o:spt="203" style="height:265.4pt;width:417.2pt;" coordsize="5298440,3370580" editas="canvas" o:gfxdata="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">
                      <o:lock v:ext="edit" aspectratio="f"/>
                      <v:shape id="_x0000_s1026" o:spid="_x0000_s1026" style="position:absolute;left:0;top:0;height:3370580;width:5298440;" filled="f" stroked="f" coordsize="21600,21600" o:gfxdata="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">
                        <v:fill on="f" focussize="0,0"/>
                        <v:stroke on="f"/>
                        <v:imagedata o:title=""/>
                        <o:lock v:ext="edit" aspectratio="f"/>
                      </v:shape>
                      <v:rect id="矩形 12" o:spid="_x0000_s1026" o:spt="1" style="position:absolute;left:2210435;top:412115;height:180340;width:556895;v-text-anchor:middle;" filled="f" stroked="t" coordsize="21600,21600" o:gfxdata="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D16rOt0wAAAAUBAAAPAAAAAAAAAAEAIAAAACIAAABkcnMvZG93bnJldi54bWxQSwECFAAU&#10;AAAACACHTuJAY2fO92gCAAC7BAAADgAAAAAAAAABACAAAAAiAQAAZHJzL2Uyb0RvYy54bWxQSwUG&#10;AAAAAAYABgBZAQAA/AUAAAAA&#10;">
                        <v:fill on="f" focussize="0,0"/>
                        <v:stroke weight="0.5pt" color="#000000 [3213]" joinstyle="round"/>
                        <v:imagedata o:title=""/>
                        <o:lock v:ext="edit" aspectratio="f"/>
                        <v:textbox inset="0mm,0mm,0mm,0mm">
                          <w:txbxContent>
                            <w:p w14:paraId="7BDF96F3">
                              <w:pPr>
                                <w:jc w:val="center"/>
                                <w:rPr>
                                  <w:rFonts w:hint="default" w:eastAsia="宋体"/>
                                  <w:color w:val="000000" w:themeColor="text1"/>
                                  <w:sz w:val="18"/>
                                  <w:szCs w:val="18"/>
                                  <w:lang w:val="en-US" w:eastAsia="zh-CN"/>
                                  <w14:textFill>
                                    <w14:solidFill>
                                      <w14:schemeClr w14:val="tx1"/>
                                    </w14:solidFill>
                                  </w14:textFill>
                                  <w14:props3d w14:extrusionH="0" w14:contourW="0" w14:prstMaterial="clear"/>
                                </w:rPr>
                              </w:pPr>
                              <w:r>
                                <w:rPr>
                                  <w:rFonts w:hint="eastAsia"/>
                                  <w:color w:val="000000" w:themeColor="text1"/>
                                  <w:sz w:val="18"/>
                                  <w:szCs w:val="18"/>
                                  <w:lang w:val="en-US" w:eastAsia="zh-CN"/>
                                  <w14:textFill>
                                    <w14:solidFill>
                                      <w14:schemeClr w14:val="tx1"/>
                                    </w14:solidFill>
                                  </w14:textFill>
                                  <w14:props3d w14:extrusionH="0" w14:contourW="0" w14:prstMaterial="clear"/>
                                </w:rPr>
                                <w:t>化粪池</w:t>
                              </w:r>
                            </w:p>
                          </w:txbxContent>
                        </v:textbox>
                      </v:rect>
                      <v:rect id="矩形 14" o:spid="_x0000_s1026" o:spt="1" style="position:absolute;left:3183255;top:346710;height:316230;width:768350;v-text-anchor:middle;" filled="f" stroked="t" coordsize="21600,21600" o:gfxdata="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PXqs63TAAAABQEAAA8AAAAAAAAAAQAgAAAAIgAAAGRycy9kb3ducmV2LnhtbFBLAQIUABQAAAAI&#10;AIdO4kCg6HATZAIAALsEAAAOAAAAAAAAAAEAIAAAACIBAABkcnMvZTJvRG9jLnhtbFBLBQYAAAAA&#10;BgAGAFkBAAD4BQAAAAA=&#10;">
                        <v:fill on="f" focussize="0,0"/>
                        <v:stroke weight="0.5pt" color="#000000 [3213]" joinstyle="round"/>
                        <v:imagedata o:title=""/>
                        <o:lock v:ext="edit" aspectratio="f"/>
                        <v:textbox inset="0mm,0mm,0mm,0mm">
                          <w:txbxContent>
                            <w:p w14:paraId="315EA772">
                              <w:pPr>
                                <w:jc w:val="center"/>
                                <w:rPr>
                                  <w:rFonts w:hint="eastAsia"/>
                                  <w:color w:val="000000" w:themeColor="text1"/>
                                  <w:sz w:val="18"/>
                                  <w:szCs w:val="18"/>
                                  <w:lang w:val="en-US" w:eastAsia="zh-CN"/>
                                  <w14:textFill>
                                    <w14:solidFill>
                                      <w14:schemeClr w14:val="tx1"/>
                                    </w14:solidFill>
                                  </w14:textFill>
                                  <w14:props3d w14:extrusionH="0" w14:contourW="0" w14:prstMaterial="clear"/>
                                </w:rPr>
                              </w:pPr>
                              <w:r>
                                <w:rPr>
                                  <w:rFonts w:hint="default"/>
                                  <w:color w:val="000000" w:themeColor="text1"/>
                                  <w:sz w:val="18"/>
                                  <w:szCs w:val="18"/>
                                  <w:lang w:val="en-US" w:eastAsia="zh-CN"/>
                                  <w14:textFill>
                                    <w14:solidFill>
                                      <w14:schemeClr w14:val="tx1"/>
                                    </w14:solidFill>
                                  </w14:textFill>
                                  <w14:props3d w14:extrusionH="0" w14:contourW="0" w14:prstMaterial="clear"/>
                                </w:rPr>
                                <w:t>鹰泰水务海安有限公司</w:t>
                              </w:r>
                            </w:p>
                          </w:txbxContent>
                        </v:textbox>
                      </v:rect>
                      <v:rect id="矩形 16" o:spid="_x0000_s1026" o:spt="1" style="position:absolute;left:4351020;top:414020;height:189230;width:500380;v-text-anchor:middle;" filled="f" stroked="f" coordsize="21600,21600" o:gfxdata="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DOxpQi1wAAAAUBAAAP&#10;AAAAAAAAAAEAIAAAACIAAABkcnMvZG93bnJldi54bWxQSwECFAAUAAAACACHTuJAk6h/RFICAACS&#10;BAAADgAAAAAAAAABACAAAAAmAQAAZHJzL2Uyb0RvYy54bWxQSwUGAAAAAAYABgBZAQAA6gUAAAAA&#10;">
                        <v:fill on="f" focussize="0,0"/>
                        <v:stroke on="f" weight="0.5pt"/>
                        <v:imagedata o:title=""/>
                        <o:lock v:ext="edit" aspectratio="f"/>
                        <v:textbox inset="0mm,0mm,0mm,0mm">
                          <w:txbxContent>
                            <w:p w14:paraId="3C51AEB0">
                              <w:pPr>
                                <w:jc w:val="center"/>
                                <w:rPr>
                                  <w:rFonts w:hint="eastAsia" w:ascii="Times New Roman" w:hAnsi="Times New Roman" w:eastAsia="宋体" w:cs="Times New Roman"/>
                                  <w:color w:val="000000" w:themeColor="text1"/>
                                  <w:sz w:val="18"/>
                                  <w:szCs w:val="18"/>
                                  <w:lang w:val="en-US" w:eastAsia="zh-CN"/>
                                  <w14:textFill>
                                    <w14:solidFill>
                                      <w14:schemeClr w14:val="tx1"/>
                                    </w14:solidFill>
                                  </w14:textFill>
                                  <w14:props3d w14:extrusionH="0" w14:contourW="0" w14:prstMaterial="clear"/>
                                </w:rPr>
                              </w:pPr>
                              <w:r>
                                <w:rPr>
                                  <w:rFonts w:hint="eastAsia" w:ascii="Times New Roman" w:hAnsi="Times New Roman" w:eastAsia="宋体" w:cs="Times New Roman"/>
                                  <w:color w:val="000000" w:themeColor="text1"/>
                                  <w:sz w:val="18"/>
                                  <w:szCs w:val="18"/>
                                  <w:lang w:val="en-US" w:eastAsia="zh-CN"/>
                                  <w14:textFill>
                                    <w14:solidFill>
                                      <w14:schemeClr w14:val="tx1"/>
                                    </w14:solidFill>
                                  </w14:textFill>
                                  <w14:props3d w14:extrusionH="0" w14:contourW="0" w14:prstMaterial="clear"/>
                                </w:rPr>
                                <w:t>栟茶运河</w:t>
                              </w:r>
                            </w:p>
                          </w:txbxContent>
                        </v:textbox>
                      </v:rect>
                      <v:shape id="直接箭头连接符 2" o:spid="_x0000_s1026" o:spt="32" type="#_x0000_t32" style="position:absolute;left:1739900;top:506095;height:0;width:468000;" filled="f" stroked="t" coordsize="21600,21600" o:gfxdata="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QKf8a9UAAAAFAQAADwAAAAAAAAABACAA&#10;AAAiAAAAZHJzL2Rvd25yZXYueG1sUEsBAhQAFAAAAAgAh07iQCe+GSsQAgAA5wMAAA4AAAAAAAAA&#10;AQAgAAAAJAEAAGRycy9lMm9Eb2MueG1sUEsFBgAAAAAGAAYAWQEAAKYFAAAAAA==&#10;">
                        <v:fill on="f" focussize="0,0"/>
                        <v:stroke weight="0.5pt" color="#000000 [3213]" joinstyle="round" endarrow="block" endarrowlength="long"/>
                        <v:imagedata o:title=""/>
                        <o:lock v:ext="edit" aspectratio="f"/>
                      </v:shape>
                      <v:rect id="矩形 6" o:spid="_x0000_s1026" o:spt="1" style="position:absolute;left:1398270;top:0;height:180340;width:626745;v-text-anchor:middle;" filled="f" stroked="f" coordsize="21600,21600" o:gfxdata="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zsaUItcAAAAFAQAADwAA&#10;AAAAAAABACAAAAAiAAAAZHJzL2Rvd25yZXYueG1sUEsBAhQAFAAAAAgAh07iQJpEAQNQAgAAjAQA&#10;AA4AAAAAAAAAAQAgAAAAJgEAAGRycy9lMm9Eb2MueG1sUEsFBgAAAAAGAAYAWQEAAOgFAAAAAA==&#10;">
                        <v:fill on="f" focussize="0,0"/>
                        <v:stroke on="f" weight="0.5pt"/>
                        <v:imagedata o:title=""/>
                        <o:lock v:ext="edit" aspectratio="f"/>
                        <v:textbox inset="0mm,0mm,0mm,0mm">
                          <w:txbxContent>
                            <w:p w14:paraId="68C98335">
                              <w:pPr>
                                <w:jc w:val="center"/>
                                <w:rPr>
                                  <w:rFonts w:hint="default" w:eastAsia="宋体"/>
                                  <w:color w:val="000000" w:themeColor="text1"/>
                                  <w:sz w:val="18"/>
                                  <w:szCs w:val="18"/>
                                  <w:lang w:val="en-US" w:eastAsia="zh-CN"/>
                                  <w14:textFill>
                                    <w14:solidFill>
                                      <w14:schemeClr w14:val="tx1"/>
                                    </w14:solidFill>
                                  </w14:textFill>
                                  <w14:props3d w14:extrusionH="0" w14:contourW="0" w14:prstMaterial="clear"/>
                                </w:rPr>
                              </w:pPr>
                              <w:r>
                                <w:rPr>
                                  <w:rFonts w:hint="eastAsia"/>
                                  <w:color w:val="000000" w:themeColor="text1"/>
                                  <w:sz w:val="18"/>
                                  <w:szCs w:val="18"/>
                                  <w14:textFill>
                                    <w14:solidFill>
                                      <w14:schemeClr w14:val="tx1"/>
                                    </w14:solidFill>
                                  </w14:textFill>
                                  <w14:props3d w14:extrusionH="0" w14:contourW="0" w14:prstMaterial="clear"/>
                                </w:rPr>
                                <w:t>损耗</w:t>
                              </w:r>
                              <w:r>
                                <w:rPr>
                                  <w:rFonts w:hint="eastAsia"/>
                                  <w:color w:val="000000" w:themeColor="text1"/>
                                  <w:sz w:val="18"/>
                                  <w:szCs w:val="18"/>
                                  <w:lang w:val="en-US" w:eastAsia="zh-CN"/>
                                  <w14:textFill>
                                    <w14:solidFill>
                                      <w14:schemeClr w14:val="tx1"/>
                                    </w14:solidFill>
                                  </w14:textFill>
                                  <w14:props3d w14:extrusionH="0" w14:contourW="0" w14:prstMaterial="clear"/>
                                </w:rPr>
                                <w:t>62</w:t>
                              </w:r>
                            </w:p>
                          </w:txbxContent>
                        </v:textbox>
                      </v:rect>
                      <v:rect id="矩形 5" o:spid="_x0000_s1026" o:spt="1" style="position:absolute;left:1179830;top:412750;height:180340;width:556895;v-text-anchor:middle;" filled="f" stroked="t" coordsize="21600,21600" o:gfxdata="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9eqzrdMAAAAFAQAADwAAAAAAAAABACAAAAAiAAAAZHJzL2Rvd25yZXYueG1sUEsBAhQAFAAA&#10;AAgAh07iQBCNMrxmAgAAugQAAA4AAAAAAAAAAQAgAAAAIgEAAGRycy9lMm9Eb2MueG1sUEsFBgAA&#10;AAAGAAYAWQEAAPoFAAAAAA==&#10;">
                        <v:fill on="f" focussize="0,0"/>
                        <v:stroke weight="0.5pt" color="#000000 [3213]" joinstyle="round"/>
                        <v:imagedata o:title=""/>
                        <o:lock v:ext="edit" aspectratio="f"/>
                        <v:textbox inset="0mm,0mm,0mm,0mm">
                          <w:txbxContent>
                            <w:p w14:paraId="02D733F2">
                              <w:pPr>
                                <w:jc w:val="center"/>
                                <w:rPr>
                                  <w:rFonts w:hint="eastAsia" w:eastAsia="宋体"/>
                                  <w:color w:val="000000" w:themeColor="text1"/>
                                  <w:sz w:val="18"/>
                                  <w:szCs w:val="18"/>
                                  <w:lang w:val="en-US" w:eastAsia="zh-CN"/>
                                  <w14:textFill>
                                    <w14:solidFill>
                                      <w14:schemeClr w14:val="tx1"/>
                                    </w14:solidFill>
                                  </w14:textFill>
                                  <w14:props3d w14:extrusionH="0" w14:contourW="0" w14:prstMaterial="clear"/>
                                </w:rPr>
                              </w:pPr>
                              <w:r>
                                <w:rPr>
                                  <w:rFonts w:hint="eastAsia"/>
                                  <w:color w:val="000000" w:themeColor="text1"/>
                                  <w:sz w:val="18"/>
                                  <w:szCs w:val="18"/>
                                  <w:lang w:val="en-US" w:eastAsia="zh-CN"/>
                                  <w14:textFill>
                                    <w14:solidFill>
                                      <w14:schemeClr w14:val="tx1"/>
                                    </w14:solidFill>
                                  </w14:textFill>
                                  <w14:props3d w14:extrusionH="0" w14:contourW="0" w14:prstMaterial="clear"/>
                                </w:rPr>
                                <w:t>生活用水</w:t>
                              </w:r>
                            </w:p>
                          </w:txbxContent>
                        </v:textbox>
                      </v:rect>
                      <v:shape id="曲线连接符 22" o:spid="_x0000_s1026" o:spt="38" type="#_x0000_t38" style="position:absolute;left:1452245;top:179705;height:219710;width:259080;rotation:-5898240f;" filled="f" stroked="t" coordsize="21600,21600" o:gfxdata="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A/5q1gAAAAUBAAAPAAAAAAAAAAEAIAAAACIA&#10;AABkcnMvZG93bnJldi54bWxQSwECFAAUAAAACACHTuJA0HB7/kQCAABBBAAADgAAAAAAAAABACAA&#10;AAAlAQAAZHJzL2Uyb0RvYy54bWxQSwUGAAAAAAYABgBZAQAA2wUAAAAA&#10;" adj="10747">
                        <v:fill on="f" focussize="0,0"/>
                        <v:stroke weight="0.5pt" color="#000000 [3200]" joinstyle="round" endarrow="open"/>
                        <v:imagedata o:title=""/>
                        <o:lock v:ext="edit" aspectratio="f"/>
                      </v:shape>
                      <v:shape id="直接箭头连接符 75" o:spid="_x0000_s1026" o:spt="32" type="#_x0000_t32" style="position:absolute;left:670560;top:506095;height:0;width:504190;" filled="f" stroked="t" coordsize="21600,21600" o:gfxdata="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QKf8a9UAAAAFAQAADwAAAAAAAAABACAA&#10;AAAiAAAAZHJzL2Rvd25yZXYueG1sUEsBAhQAFAAAAAgAh07iQLMu6ZwQAgAA5wMAAA4AAAAAAAAA&#10;AQAgAAAAJAEAAGRycy9lMm9Eb2MueG1sUEsFBgAAAAAGAAYAWQEAAKYFAAAAAA==&#10;">
                        <v:fill on="f" focussize="0,0"/>
                        <v:stroke weight="0.5pt" color="#000000 [3213]" joinstyle="round" endarrow="block" endarrowlength="long"/>
                        <v:imagedata o:title=""/>
                        <o:lock v:ext="edit" aspectratio="f"/>
                      </v:shape>
                      <v:rect id="矩形 27" o:spid="_x0000_s1026" o:spt="1" style="position:absolute;left:0;top:1358265;height:735965;width:207010;v-text-anchor:middle;" filled="f" stroked="f" coordsize="21600,21600" o:gfxdata="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DOxpQi1wAAAAUBAAAPAAAA&#10;AAAAAAEAIAAAACIAAABkcnMvZG93bnJldi54bWxQSwECFAAUAAAACACHTuJAi+L3XU8CAACNBAAA&#10;DgAAAAAAAAABACAAAAAmAQAAZHJzL2Uyb0RvYy54bWxQSwUGAAAAAAYABgBZAQAA5wUAAAAA&#10;">
                        <v:fill on="f" focussize="0,0"/>
                        <v:stroke on="f" weight="0.5pt"/>
                        <v:imagedata o:title=""/>
                        <o:lock v:ext="edit" aspectratio="f"/>
                        <v:textbox inset="0mm,0mm,0mm,0mm">
                          <w:txbxContent>
                            <w:p w14:paraId="6EDC3DC5">
                              <w:pPr>
                                <w:jc w:val="center"/>
                                <w:rPr>
                                  <w:color w:val="000000" w:themeColor="text1"/>
                                  <w:sz w:val="18"/>
                                  <w:szCs w:val="18"/>
                                  <w14:textFill>
                                    <w14:solidFill>
                                      <w14:schemeClr w14:val="tx1"/>
                                    </w14:solidFill>
                                  </w14:textFill>
                                  <w14:props3d w14:extrusionH="0" w14:contourW="0" w14:prstMaterial="clear"/>
                                </w:rPr>
                              </w:pPr>
                              <w:r>
                                <w:rPr>
                                  <w:rFonts w:hint="eastAsia"/>
                                  <w:color w:val="000000" w:themeColor="text1"/>
                                  <w:sz w:val="18"/>
                                  <w:szCs w:val="18"/>
                                  <w14:textFill>
                                    <w14:solidFill>
                                      <w14:schemeClr w14:val="tx1"/>
                                    </w14:solidFill>
                                  </w14:textFill>
                                  <w14:props3d w14:extrusionH="0" w14:contourW="0" w14:prstMaterial="clear"/>
                                </w:rPr>
                                <w:t>自来水</w:t>
                              </w:r>
                            </w:p>
                          </w:txbxContent>
                        </v:textbox>
                      </v:rect>
                      <v:rect id="矩形 29" o:spid="_x0000_s1026" o:spt="1" style="position:absolute;left:641350;top:343535;height:180340;width:448945;v-text-anchor:middle;" filled="f" stroked="f" coordsize="21600,21600" o:gfxdata="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M7GlCLXAAAA&#10;BQEAAA8AAAAAAAAAAQAgAAAAIgAAAGRycy9kb3ducmV2LnhtbFBLAQIUABQAAAAIAIdO4kBnWsZn&#10;VwIAAJEEAAAOAAAAAAAAAAEAIAAAACYBAABkcnMvZTJvRG9jLnhtbFBLBQYAAAAABgAGAFkBAADv&#10;BQAAAAA=&#10;">
                        <v:fill on="f" focussize="0,0"/>
                        <v:stroke on="f" weight="0.5pt"/>
                        <v:imagedata o:title=""/>
                        <o:lock v:ext="edit" aspectratio="f"/>
                        <v:textbox inset="0mm,0mm,0mm,0mm">
                          <w:txbxContent>
                            <w:p w14:paraId="67268F10">
                              <w:pPr>
                                <w:jc w:val="center"/>
                                <w:rPr>
                                  <w:rFonts w:hint="default" w:eastAsia="宋体"/>
                                  <w:color w:val="000000" w:themeColor="text1"/>
                                  <w:sz w:val="18"/>
                                  <w:szCs w:val="18"/>
                                  <w:lang w:val="en-US" w:eastAsia="zh-CN"/>
                                  <w14:textFill>
                                    <w14:solidFill>
                                      <w14:schemeClr w14:val="tx1"/>
                                    </w14:solidFill>
                                  </w14:textFill>
                                  <w14:props3d w14:extrusionH="0" w14:contourW="0" w14:prstMaterial="clear"/>
                                </w:rPr>
                              </w:pPr>
                              <w:r>
                                <w:rPr>
                                  <w:rFonts w:hint="eastAsia"/>
                                  <w:color w:val="000000" w:themeColor="text1"/>
                                  <w:sz w:val="18"/>
                                  <w:szCs w:val="18"/>
                                  <w:lang w:val="en-US" w:eastAsia="zh-CN"/>
                                  <w14:textFill>
                                    <w14:solidFill>
                                      <w14:schemeClr w14:val="tx1"/>
                                    </w14:solidFill>
                                  </w14:textFill>
                                  <w14:props3d w14:extrusionH="0" w14:contourW="0" w14:prstMaterial="clear"/>
                                </w:rPr>
                                <w:t>620</w:t>
                              </w:r>
                            </w:p>
                          </w:txbxContent>
                        </v:textbox>
                      </v:rect>
                      <v:line id="直接连接符 89" o:spid="_x0000_s1026" o:spt="20" style="position:absolute;left:673100;top:500380;height:2339975;width:7620;" filled="f" stroked="t" coordsize="21600,21600" o:gfxdata="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RwTzkNQAAAAF&#10;AQAADwAAAAAAAAABACAAAAAiAAAAZHJzL2Rvd25yZXYueG1sUEsBAhQAFAAAAAgAh07iQPlYXe/n&#10;AQAAqgMAAA4AAAAAAAAAAQAgAAAAIwEAAGRycy9lMm9Eb2MueG1sUEsFBgAAAAAGAAYAWQEAAHwF&#10;AAAAAA==&#10;">
                        <v:fill on="f" focussize="0,0"/>
                        <v:stroke weight="0.5pt" color="#000000 [3213]" joinstyle="round"/>
                        <v:imagedata o:title=""/>
                        <o:lock v:ext="edit" aspectratio="f"/>
                      </v:line>
                      <v:shape id="直接箭头连接符 95" o:spid="_x0000_s1026" o:spt="32" type="#_x0000_t32" style="position:absolute;left:169545;top:1742440;height:0;width:504190;" filled="f" stroked="t" coordsize="21600,21600" o:gfxdata="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BAp/xr1QAAAAUBAAAPAAAAAAAAAAEA&#10;IAAAACIAAABkcnMvZG93bnJldi54bWxQSwECFAAUAAAACACHTuJABrBeuBICAADoAwAADgAAAAAA&#10;AAABACAAAAAkAQAAZHJzL2Uyb0RvYy54bWxQSwUGAAAAAAYABgBZAQAAqAUAAAAA&#10;">
                        <v:fill on="f" focussize="0,0"/>
                        <v:stroke weight="0.5pt" color="#000000 [3213]" joinstyle="round" endarrow="block" endarrowlength="long"/>
                        <v:imagedata o:title=""/>
                        <o:lock v:ext="edit" aspectratio="f"/>
                      </v:shape>
                      <v:rect id="矩形 29" o:spid="_x0000_s1026" o:spt="1" style="position:absolute;left:1680845;top:346075;height:180340;width:448945;v-text-anchor:middle;" filled="f" stroked="f" coordsize="21600,21600" o:gfxdata="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OxpQi1wAA&#10;AAUBAAAPAAAAAAAAAAEAIAAAACIAAABkcnMvZG93bnJldi54bWxQSwECFAAUAAAACACHTuJASlsi&#10;YVgCAACSBAAADgAAAAAAAAABACAAAAAmAQAAZHJzL2Uyb0RvYy54bWxQSwUGAAAAAAYABgBZAQAA&#10;8AUAAAAA&#10;">
                        <v:fill on="f" focussize="0,0"/>
                        <v:stroke on="f" weight="0.5pt"/>
                        <v:imagedata o:title=""/>
                        <o:lock v:ext="edit" aspectratio="f"/>
                        <v:textbox inset="0mm,0mm,0mm,0mm">
                          <w:txbxContent>
                            <w:p w14:paraId="1DFF2E0C">
                              <w:pPr>
                                <w:jc w:val="center"/>
                                <w:rPr>
                                  <w:rFonts w:hint="default" w:eastAsia="宋体"/>
                                  <w:color w:val="000000" w:themeColor="text1"/>
                                  <w:sz w:val="18"/>
                                  <w:szCs w:val="18"/>
                                  <w:lang w:val="en-US" w:eastAsia="zh-CN"/>
                                  <w14:textFill>
                                    <w14:solidFill>
                                      <w14:schemeClr w14:val="tx1"/>
                                    </w14:solidFill>
                                  </w14:textFill>
                                  <w14:props3d w14:extrusionH="0" w14:contourW="0" w14:prstMaterial="clear"/>
                                </w:rPr>
                              </w:pPr>
                              <w:r>
                                <w:rPr>
                                  <w:rFonts w:hint="eastAsia"/>
                                  <w:color w:val="000000" w:themeColor="text1"/>
                                  <w:sz w:val="18"/>
                                  <w:szCs w:val="18"/>
                                  <w:lang w:val="en-US" w:eastAsia="zh-CN"/>
                                  <w14:textFill>
                                    <w14:solidFill>
                                      <w14:schemeClr w14:val="tx1"/>
                                    </w14:solidFill>
                                  </w14:textFill>
                                  <w14:props3d w14:extrusionH="0" w14:contourW="0" w14:prstMaterial="clear"/>
                                </w:rPr>
                                <w:t>558</w:t>
                              </w:r>
                            </w:p>
                          </w:txbxContent>
                        </v:textbox>
                      </v:rect>
                      <v:shape id="直接箭头连接符 91" o:spid="_x0000_s1026" o:spt="32" type="#_x0000_t32" style="position:absolute;left:3947160;top:508000;height:0;width:416560;" filled="f" stroked="t" coordsize="21600,21600" o:gfxdata="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ECn/GvVAAAABQEAAA8AAAAAAAAAAQAg&#10;AAAAIgAAAGRycy9kb3ducmV2LnhtbFBLAQIUABQAAAAIAIdO4kCehau0EQIAAOgDAAAOAAAAAAAA&#10;AAEAIAAAACQBAABkcnMvZTJvRG9jLnhtbFBLBQYAAAAABgAGAFkBAACnBQAAAAA=&#10;">
                        <v:fill on="f" focussize="0,0"/>
                        <v:stroke weight="0.5pt" color="#000000 [3213]" joinstyle="round" endarrow="block" endarrowlength="long"/>
                        <v:imagedata o:title=""/>
                        <o:lock v:ext="edit" aspectratio="f"/>
                      </v:shape>
                      <v:group id="_x0000_s1026" o:spid="_x0000_s1026" o:spt="203" style="position:absolute;left:671830;top:835660;height:600075;width:1475105;" coordorigin="1058,304" coordsize="2323,945" o:gfxdata="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">
                        <o:lock v:ext="edit" aspectratio="f"/>
                        <v:shape id="直接箭头连接符 91" o:spid="_x0000_s1026" o:spt="32" type="#_x0000_t32" style="position:absolute;left:1058;top:1108;height:0;width:737;" filled="f" stroked="t" coordsize="21600,21600" o:gfxdata="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HonGbvQAA&#10;ANwAAAAPAAAAAAAAAAEAIAAAACIAAABkcnMvZG93bnJldi54bWxQSwECFAAUAAAACACHTuJAMy8F&#10;njsAAAA5AAAAEAAAAAAAAAABACAAAAAMAQAAZHJzL3NoYXBleG1sLnhtbFBLBQYAAAAABgAGAFsB&#10;AAC2AwAAAAA=&#10;">
                          <v:fill on="f" focussize="0,0"/>
                          <v:stroke weight="0.5pt" color="#000000 [3213]" joinstyle="round" endarrow="block" endarrowlength="long"/>
                          <v:imagedata o:title=""/>
                          <o:lock v:ext="edit" aspectratio="f"/>
                        </v:shape>
                        <v:rect id="矩形 94" o:spid="_x0000_s1026" o:spt="1" style="position:absolute;left:1801;top:965;height:284;width:1320;v-text-anchor:middle;" filled="f" stroked="t" coordsize="21600,21600" o:gfxdata="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wuMuO7gAAADcAAAA&#10;DwAAAAAAAAABACAAAAAiAAAAZHJzL2Rvd25yZXYueG1sUEsBAhQAFAAAAAgAh07iQDMvBZ47AAAA&#10;OQAAABAAAAAAAAAAAQAgAAAABwEAAGRycy9zaGFwZXhtbC54bWxQSwUGAAAAAAYABgBbAQAAsQMA&#10;AAAA&#10;">
                          <v:fill on="f" focussize="0,0"/>
                          <v:stroke weight="0.5pt" color="#000000 [3213]" joinstyle="round"/>
                          <v:imagedata o:title=""/>
                          <o:lock v:ext="edit" aspectratio="f"/>
                          <v:textbox inset="0mm,0mm,0mm,0mm">
                            <w:txbxContent>
                              <w:p w14:paraId="2C8C1C37">
                                <w:pPr>
                                  <w:jc w:val="center"/>
                                  <w:rPr>
                                    <w:rFonts w:hint="default" w:eastAsia="宋体"/>
                                    <w:color w:val="000000" w:themeColor="text1"/>
                                    <w:sz w:val="18"/>
                                    <w:szCs w:val="18"/>
                                    <w:lang w:val="en-US" w:eastAsia="zh-CN"/>
                                    <w14:textFill>
                                      <w14:solidFill>
                                        <w14:schemeClr w14:val="tx1"/>
                                      </w14:solidFill>
                                    </w14:textFill>
                                    <w14:props3d w14:extrusionH="0" w14:contourW="0" w14:prstMaterial="clear"/>
                                  </w:rPr>
                                </w:pPr>
                                <w:r>
                                  <w:rPr>
                                    <w:rFonts w:hint="eastAsia"/>
                                    <w:color w:val="000000" w:themeColor="text1"/>
                                    <w:sz w:val="18"/>
                                    <w:szCs w:val="18"/>
                                    <w:lang w:val="en-US" w:eastAsia="zh-CN"/>
                                    <w14:textFill>
                                      <w14:solidFill>
                                        <w14:schemeClr w14:val="tx1"/>
                                      </w14:solidFill>
                                    </w14:textFill>
                                    <w14:props3d w14:extrusionH="0" w14:contourW="0" w14:prstMaterial="clear"/>
                                  </w:rPr>
                                  <w:t>循环冷却水</w:t>
                                </w:r>
                              </w:p>
                            </w:txbxContent>
                          </v:textbox>
                        </v:rect>
                        <v:shape id="曲线连接符 22" o:spid="_x0000_s1026" o:spt="38" type="#_x0000_t38" style="position:absolute;left:2431;top:583;height:346;width:408;rotation:-5898240f;" filled="f" stroked="t" coordsize="21600,21600" o:gfxdata="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SyuLr4A&#10;AADcAAAADwAAAAAAAAABACAAAAAiAAAAZHJzL2Rvd25yZXYueG1sUEsBAhQAFAAAAAgAh07iQDMv&#10;BZ47AAAAOQAAABAAAAAAAAAAAQAgAAAADQEAAGRycy9zaGFwZXhtbC54bWxQSwUGAAAAAAYABgBb&#10;AQAAtwMAAAAA&#10;" adj="10747">
                          <v:fill on="f" focussize="0,0"/>
                          <v:stroke weight="0.5pt" color="#000000 [3200]" joinstyle="round" endarrow="open"/>
                          <v:imagedata o:title=""/>
                          <o:lock v:ext="edit" aspectratio="f"/>
                        </v:shape>
                        <v:rect id="矩形 93" o:spid="_x0000_s1026" o:spt="1" style="position:absolute;left:2394;top:304;height:284;width:987;v-text-anchor:middle;" filled="f" stroked="f" coordsize="21600,21600" o:gfxdata="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zdSWn&#10;wAAAANwAAAAPAAAAAAAAAAEAIAAAACIAAABkcnMvZG93bnJldi54bWxQSwECFAAUAAAACACHTuJA&#10;My8FnjsAAAA5AAAAEAAAAAAAAAABACAAAAAPAQAAZHJzL3NoYXBleG1sLnhtbFBLBQYAAAAABgAG&#10;AFsBAAC5AwAAAAA=&#10;">
                          <v:fill on="f" focussize="0,0"/>
                          <v:stroke on="f" weight="0.5pt"/>
                          <v:imagedata o:title=""/>
                          <o:lock v:ext="edit" aspectratio="f"/>
                          <v:textbox inset="0mm,0mm,0mm,0mm">
                            <w:txbxContent>
                              <w:p w14:paraId="7C2190BE">
                                <w:pPr>
                                  <w:jc w:val="center"/>
                                  <w:rPr>
                                    <w:rFonts w:hint="default" w:eastAsia="宋体"/>
                                    <w:color w:val="000000" w:themeColor="text1"/>
                                    <w:sz w:val="18"/>
                                    <w:szCs w:val="18"/>
                                    <w:lang w:val="en-US" w:eastAsia="zh-CN"/>
                                    <w14:textFill>
                                      <w14:solidFill>
                                        <w14:schemeClr w14:val="tx1"/>
                                      </w14:solidFill>
                                    </w14:textFill>
                                    <w14:props3d w14:extrusionH="0" w14:contourW="0" w14:prstMaterial="clear"/>
                                  </w:rPr>
                                </w:pPr>
                                <w:r>
                                  <w:rPr>
                                    <w:rFonts w:hint="eastAsia"/>
                                    <w:color w:val="000000" w:themeColor="text1"/>
                                    <w:sz w:val="18"/>
                                    <w:szCs w:val="18"/>
                                    <w14:textFill>
                                      <w14:solidFill>
                                        <w14:schemeClr w14:val="tx1"/>
                                      </w14:solidFill>
                                    </w14:textFill>
                                    <w14:props3d w14:extrusionH="0" w14:contourW="0" w14:prstMaterial="clear"/>
                                  </w:rPr>
                                  <w:t>损耗</w:t>
                                </w:r>
                                <w:r>
                                  <w:rPr>
                                    <w:rFonts w:hint="eastAsia"/>
                                    <w:color w:val="000000" w:themeColor="text1"/>
                                    <w:sz w:val="18"/>
                                    <w:szCs w:val="18"/>
                                    <w:lang w:val="en-US" w:eastAsia="zh-CN"/>
                                    <w14:textFill>
                                      <w14:solidFill>
                                        <w14:schemeClr w14:val="tx1"/>
                                      </w14:solidFill>
                                    </w14:textFill>
                                    <w14:props3d w14:extrusionH="0" w14:contourW="0" w14:prstMaterial="clear"/>
                                  </w:rPr>
                                  <w:t>955.8</w:t>
                                </w:r>
                              </w:p>
                            </w:txbxContent>
                          </v:textbox>
                        </v:rect>
                        <v:rect id="矩形 30" o:spid="_x0000_s1026" o:spt="1" style="position:absolute;left:1060;top:902;height:240;width:566;v-text-anchor:middle;" filled="f" stroked="f" coordsize="21600,21600" o:gfxdata="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CIukZvQAA&#10;ANwAAAAPAAAAAAAAAAEAIAAAACIAAABkcnMvZG93bnJldi54bWxQSwECFAAUAAAACACHTuJAMy8F&#10;njsAAAA5AAAAEAAAAAAAAAABACAAAAAMAQAAZHJzL3NoYXBleG1sLnhtbFBLBQYAAAAABgAGAFsB&#10;AAC2AwAAAAA=&#10;">
                          <v:fill on="f" focussize="0,0"/>
                          <v:stroke on="f" weight="0.5pt"/>
                          <v:imagedata o:title=""/>
                          <o:lock v:ext="edit" aspectratio="f"/>
                          <v:textbox inset="0mm,0mm,0mm,0mm">
                            <w:txbxContent>
                              <w:p w14:paraId="38166598">
                                <w:pPr>
                                  <w:jc w:val="center"/>
                                  <w:rPr>
                                    <w:rFonts w:hint="default"/>
                                    <w:color w:val="000000" w:themeColor="text1"/>
                                    <w:sz w:val="18"/>
                                    <w:szCs w:val="18"/>
                                    <w:lang w:val="en-US" w:eastAsia="zh-CN"/>
                                    <w14:textFill>
                                      <w14:solidFill>
                                        <w14:schemeClr w14:val="tx1"/>
                                      </w14:solidFill>
                                    </w14:textFill>
                                    <w14:props3d w14:extrusionH="0" w14:contourW="0" w14:prstMaterial="clear"/>
                                  </w:rPr>
                                </w:pPr>
                                <w:r>
                                  <w:rPr>
                                    <w:rFonts w:hint="eastAsia"/>
                                    <w:color w:val="000000" w:themeColor="text1"/>
                                    <w:sz w:val="18"/>
                                    <w:szCs w:val="18"/>
                                    <w:lang w:val="en-US" w:eastAsia="zh-CN"/>
                                    <w14:textFill>
                                      <w14:solidFill>
                                        <w14:schemeClr w14:val="tx1"/>
                                      </w14:solidFill>
                                    </w14:textFill>
                                    <w14:props3d w14:extrusionH="0" w14:contourW="0" w14:prstMaterial="clear"/>
                                  </w:rPr>
                                  <w:t>955.8</w:t>
                                </w:r>
                              </w:p>
                            </w:txbxContent>
                          </v:textbox>
                        </v:rect>
                      </v:group>
                      <v:rect id="矩形 30" o:spid="_x0000_s1026" o:spt="1" style="position:absolute;left:113665;top:1599565;height:152400;width:462280;v-text-anchor:middle;" filled="f" stroked="f" coordsize="21600,21600" o:gfxdata="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M7GlCLXAAAABQEAAA8A&#10;AAAAAAAAAQAgAAAAIgAAAGRycy9kb3ducmV2LnhtbFBLAQIUABQAAAAIAIdO4kB1idBMUQIAAJIE&#10;AAAOAAAAAAAAAAEAIAAAACYBAABkcnMvZTJvRG9jLnhtbFBLBQYAAAAABgAGAFkBAADpBQAAAAA=&#10;">
                        <v:fill on="f" focussize="0,0"/>
                        <v:stroke on="f" weight="0.5pt"/>
                        <v:imagedata o:title=""/>
                        <o:lock v:ext="edit" aspectratio="f"/>
                        <v:textbox inset="0mm,0mm,0mm,0mm">
                          <w:txbxContent>
                            <w:p w14:paraId="526DAB3C">
                              <w:pPr>
                                <w:jc w:val="center"/>
                                <w:rPr>
                                  <w:rFonts w:hint="default" w:eastAsia="宋体"/>
                                  <w:color w:val="000000" w:themeColor="text1"/>
                                  <w:sz w:val="18"/>
                                  <w:szCs w:val="18"/>
                                  <w:lang w:val="en-US" w:eastAsia="zh-CN"/>
                                  <w14:textFill>
                                    <w14:solidFill>
                                      <w14:schemeClr w14:val="tx1"/>
                                    </w14:solidFill>
                                  </w14:textFill>
                                  <w14:props3d w14:extrusionH="0" w14:contourW="0" w14:prstMaterial="clear"/>
                                </w:rPr>
                              </w:pPr>
                              <w:r>
                                <w:rPr>
                                  <w:rFonts w:hint="eastAsia"/>
                                  <w:color w:val="000000" w:themeColor="text1"/>
                                  <w:sz w:val="18"/>
                                  <w:szCs w:val="18"/>
                                  <w:lang w:val="en-US" w:eastAsia="zh-CN"/>
                                  <w14:textFill>
                                    <w14:solidFill>
                                      <w14:schemeClr w14:val="tx1"/>
                                    </w14:solidFill>
                                  </w14:textFill>
                                  <w14:props3d w14:extrusionH="0" w14:contourW="0" w14:prstMaterial="clear"/>
                                </w:rPr>
                                <w:t>1663.44</w:t>
                              </w:r>
                            </w:p>
                          </w:txbxContent>
                        </v:textbox>
                      </v:rect>
                      <v:shape id="直接箭头连接符 2" o:spid="_x0000_s1026" o:spt="32" type="#_x0000_t32" style="position:absolute;left:2769235;top:507365;height:0;width:417195;" filled="f" stroked="t" coordsize="21600,21600" o:gfxdata="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BAp/xr1QAAAAUBAAAPAAAAAAAAAAEA&#10;IAAAACIAAABkcnMvZG93bnJldi54bWxQSwECFAAUAAAACACHTuJA4vZvshICAADmAwAADgAAAAAA&#10;AAABACAAAAAkAQAAZHJzL2Uyb0RvYy54bWxQSwUGAAAAAAYABgBZAQAAqAUAAAAA&#10;">
                        <v:fill on="f" focussize="0,0"/>
                        <v:stroke weight="0.5pt" color="#000000 [3213]" joinstyle="round" endarrow="block" endarrowlength="long"/>
                        <v:imagedata o:title=""/>
                        <o:lock v:ext="edit" aspectratio="f"/>
                      </v:shape>
                      <v:rect id="矩形 6" o:spid="_x0000_s1026" o:spt="1" style="position:absolute;left:2667635;top:375285;height:144145;width:495935;v-text-anchor:middle;" filled="f" stroked="f" coordsize="21600,21600" o:gfxdata="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zsaUItcAAAAF&#10;AQAADwAAAAAAAAABACAAAAAiAAAAZHJzL2Rvd25yZXYueG1sUEsBAhQAFAAAAAgAh07iQFcuvKBW&#10;AgAAkAQAAA4AAAAAAAAAAQAgAAAAJgEAAGRycy9lMm9Eb2MueG1sUEsFBgAAAAAGAAYAWQEAAO4F&#10;AAAAAA==&#10;">
                        <v:fill on="f" focussize="0,0"/>
                        <v:stroke on="f" weight="0.5pt"/>
                        <v:imagedata o:title=""/>
                        <o:lock v:ext="edit" aspectratio="f"/>
                        <v:textbox inset="0mm,0mm,0mm,0mm">
                          <w:txbxContent>
                            <w:p w14:paraId="4897084F">
                              <w:pPr>
                                <w:jc w:val="center"/>
                                <w:rPr>
                                  <w:rFonts w:hint="default" w:eastAsia="宋体"/>
                                  <w:color w:val="000000" w:themeColor="text1"/>
                                  <w:sz w:val="18"/>
                                  <w:szCs w:val="18"/>
                                  <w:lang w:val="en-US" w:eastAsia="zh-CN"/>
                                  <w14:textFill>
                                    <w14:solidFill>
                                      <w14:schemeClr w14:val="tx1"/>
                                    </w14:solidFill>
                                  </w14:textFill>
                                  <w14:props3d w14:extrusionH="0" w14:contourW="0" w14:prstMaterial="clear"/>
                                </w:rPr>
                              </w:pPr>
                              <w:r>
                                <w:rPr>
                                  <w:rFonts w:hint="eastAsia"/>
                                  <w:color w:val="000000" w:themeColor="text1"/>
                                  <w:sz w:val="18"/>
                                  <w:szCs w:val="18"/>
                                  <w:lang w:val="en-US" w:eastAsia="zh-CN"/>
                                  <w14:textFill>
                                    <w14:solidFill>
                                      <w14:schemeClr w14:val="tx1"/>
                                    </w14:solidFill>
                                  </w14:textFill>
                                  <w14:props3d w14:extrusionH="0" w14:contourW="0" w14:prstMaterial="clear"/>
                                </w:rPr>
                                <w:t>558</w:t>
                              </w:r>
                            </w:p>
                          </w:txbxContent>
                        </v:textbox>
                      </v:rect>
                      <v:rect id="矩形 29" o:spid="_x0000_s1026" o:spt="1" style="position:absolute;left:3982720;top:357505;height:180340;width:448945;v-text-anchor:middle;" filled="f" stroked="f" coordsize="21600,21600" o:gfxdata="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OxpQi1wAA&#10;AAUBAAAPAAAAAAAAAAEAIAAAACIAAABkcnMvZG93bnJldi54bWxQSwECFAAUAAAACACHTuJA5T5A&#10;xFgCAACRBAAADgAAAAAAAAABACAAAAAmAQAAZHJzL2Uyb0RvYy54bWxQSwUGAAAAAAYABgBZAQAA&#10;8AUAAAAA&#10;">
                        <v:fill on="f" focussize="0,0"/>
                        <v:stroke on="f" weight="0.5pt"/>
                        <v:imagedata o:title=""/>
                        <o:lock v:ext="edit" aspectratio="f"/>
                        <v:textbox inset="0mm,0mm,0mm,0mm">
                          <w:txbxContent>
                            <w:p w14:paraId="0E3AA20A">
                              <w:pPr>
                                <w:jc w:val="both"/>
                                <w:rPr>
                                  <w:rFonts w:hint="default" w:eastAsia="宋体"/>
                                  <w:color w:val="000000" w:themeColor="text1"/>
                                  <w:sz w:val="18"/>
                                  <w:szCs w:val="18"/>
                                  <w:lang w:val="en-US" w:eastAsia="zh-CN"/>
                                  <w14:textFill>
                                    <w14:solidFill>
                                      <w14:schemeClr w14:val="tx1"/>
                                    </w14:solidFill>
                                  </w14:textFill>
                                  <w14:props3d w14:extrusionH="0" w14:contourW="0" w14:prstMaterial="clear"/>
                                </w:rPr>
                              </w:pPr>
                              <w:r>
                                <w:rPr>
                                  <w:rFonts w:hint="eastAsia"/>
                                  <w:color w:val="000000" w:themeColor="text1"/>
                                  <w:sz w:val="18"/>
                                  <w:szCs w:val="18"/>
                                  <w:lang w:val="en-US" w:eastAsia="zh-CN"/>
                                  <w14:textFill>
                                    <w14:solidFill>
                                      <w14:schemeClr w14:val="tx1"/>
                                    </w14:solidFill>
                                  </w14:textFill>
                                  <w14:props3d w14:extrusionH="0" w14:contourW="0" w14:prstMaterial="clear"/>
                                </w:rPr>
                                <w:t>558</w:t>
                              </w:r>
                            </w:p>
                          </w:txbxContent>
                        </v:textbox>
                      </v:rect>
                      <v:group id="_x0000_s1026" o:spid="_x0000_s1026" o:spt="203" style="position:absolute;left:671830;top:1608455;height:1763395;width:4387850;" coordorigin="1058,304" coordsize="6910,2777" o:gfxdata="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">
                        <o:lock v:ext="edit" aspectratio="f"/>
                        <v:shape id="直接箭头连接符 91" o:spid="_x0000_s1026" o:spt="32" type="#_x0000_t32" style="position:absolute;left:1058;top:1108;height:0;width:737;" filled="f" stroked="t" coordsize="21600,21600" o:gfxdata="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Gz/M74A&#10;AADbAAAADwAAAAAAAAABACAAAAAiAAAAZHJzL2Rvd25yZXYueG1sUEsBAhQAFAAAAAgAh07iQDMv&#10;BZ47AAAAOQAAABAAAAAAAAAAAQAgAAAADQEAAGRycy9zaGFwZXhtbC54bWxQSwUGAAAAAAYABgBb&#10;AQAAtwMAAAAA&#10;">
                          <v:fill on="f" focussize="0,0"/>
                          <v:stroke weight="0.5pt" color="#000000 [3213]" joinstyle="round" endarrow="block" endarrowlength="long"/>
                          <v:imagedata o:title=""/>
                          <o:lock v:ext="edit" aspectratio="f"/>
                        </v:shape>
                        <v:rect id="矩形 94" o:spid="_x0000_s1026" o:spt="1" style="position:absolute;left:1801;top:965;height:284;width:1320;v-text-anchor:middle;" filled="f" stroked="t" coordsize="21600,21600" o:gfxdata="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irsbZLgAAADbAAAA&#10;DwAAAAAAAAABACAAAAAiAAAAZHJzL2Rvd25yZXYueG1sUEsBAhQAFAAAAAgAh07iQDMvBZ47AAAA&#10;OQAAABAAAAAAAAAAAQAgAAAABwEAAGRycy9zaGFwZXhtbC54bWxQSwUGAAAAAAYABgBbAQAAsQMA&#10;AAAA&#10;">
                          <v:fill on="f" focussize="0,0"/>
                          <v:stroke weight="0.5pt" color="#000000 [3213]" joinstyle="round"/>
                          <v:imagedata o:title=""/>
                          <o:lock v:ext="edit" aspectratio="f"/>
                          <v:textbox inset="0mm,0mm,0mm,0mm">
                            <w:txbxContent>
                              <w:p w14:paraId="5F07553E">
                                <w:pPr>
                                  <w:jc w:val="center"/>
                                  <w:rPr>
                                    <w:rFonts w:hint="default" w:eastAsia="宋体"/>
                                    <w:color w:val="000000" w:themeColor="text1"/>
                                    <w:sz w:val="18"/>
                                    <w:szCs w:val="18"/>
                                    <w:lang w:val="en-US" w:eastAsia="zh-CN"/>
                                    <w14:textFill>
                                      <w14:solidFill>
                                        <w14:schemeClr w14:val="tx1"/>
                                      </w14:solidFill>
                                    </w14:textFill>
                                    <w14:props3d w14:extrusionH="0" w14:contourW="0" w14:prstMaterial="clear"/>
                                  </w:rPr>
                                </w:pPr>
                                <w:r>
                                  <w:rPr>
                                    <w:rFonts w:hint="eastAsia"/>
                                    <w:color w:val="000000" w:themeColor="text1"/>
                                    <w:sz w:val="18"/>
                                    <w:szCs w:val="18"/>
                                    <w:lang w:val="en-US" w:eastAsia="zh-CN"/>
                                    <w14:textFill>
                                      <w14:solidFill>
                                        <w14:schemeClr w14:val="tx1"/>
                                      </w14:solidFill>
                                    </w14:textFill>
                                    <w14:props3d w14:extrusionH="0" w14:contourW="0" w14:prstMaterial="clear"/>
                                  </w:rPr>
                                  <w:t>切削液调配用水</w:t>
                                </w:r>
                              </w:p>
                            </w:txbxContent>
                          </v:textbox>
                        </v:rect>
                        <v:shape id="曲线连接符 22" o:spid="_x0000_s1026" o:spt="38" type="#_x0000_t38" style="position:absolute;left:2431;top:583;height:346;width:408;rotation:-5898240f;" filled="f" stroked="t" coordsize="21600,21600" o:gfxdata="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mYeONugAAANsA&#10;AAAPAAAAAAAAAAEAIAAAACIAAABkcnMvZG93bnJldi54bWxQSwECFAAUAAAACACHTuJAMy8FnjsA&#10;AAA5AAAAEAAAAAAAAAABACAAAAAJAQAAZHJzL3NoYXBleG1sLnhtbFBLBQYAAAAABgAGAFsBAACz&#10;AwAAAAA=&#10;" adj="10747">
                          <v:fill on="f" focussize="0,0"/>
                          <v:stroke weight="0.5pt" color="#000000 [3200]" joinstyle="round" endarrow="open"/>
                          <v:imagedata o:title=""/>
                          <o:lock v:ext="edit" aspectratio="f"/>
                        </v:shape>
                        <v:rect id="矩形 93" o:spid="_x0000_s1026" o:spt="1" style="position:absolute;left:2394;top:304;height:284;width:987;v-text-anchor:middle;" filled="f" stroked="f" coordsize="21600,21600" o:gfxdata="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YRwvLvQAA&#10;ANsAAAAPAAAAAAAAAAEAIAAAACIAAABkcnMvZG93bnJldi54bWxQSwECFAAUAAAACACHTuJAMy8F&#10;njsAAAA5AAAAEAAAAAAAAAABACAAAAAMAQAAZHJzL3NoYXBleG1sLnhtbFBLBQYAAAAABgAGAFsB&#10;AAC2AwAAAAA=&#10;">
                          <v:fill on="f" focussize="0,0"/>
                          <v:stroke on="f" weight="0.5pt"/>
                          <v:imagedata o:title=""/>
                          <o:lock v:ext="edit" aspectratio="f"/>
                          <v:textbox inset="0mm,0mm,0mm,0mm">
                            <w:txbxContent>
                              <w:p w14:paraId="512E45ED">
                                <w:pPr>
                                  <w:jc w:val="center"/>
                                  <w:rPr>
                                    <w:rFonts w:hint="default" w:eastAsia="宋体"/>
                                    <w:color w:val="000000" w:themeColor="text1"/>
                                    <w:sz w:val="18"/>
                                    <w:szCs w:val="18"/>
                                    <w:lang w:val="en-US" w:eastAsia="zh-CN"/>
                                    <w14:textFill>
                                      <w14:solidFill>
                                        <w14:schemeClr w14:val="tx1"/>
                                      </w14:solidFill>
                                    </w14:textFill>
                                    <w14:props3d w14:extrusionH="0" w14:contourW="0" w14:prstMaterial="clear"/>
                                  </w:rPr>
                                </w:pPr>
                                <w:r>
                                  <w:rPr>
                                    <w:rFonts w:hint="eastAsia"/>
                                    <w:color w:val="000000" w:themeColor="text1"/>
                                    <w:sz w:val="18"/>
                                    <w:szCs w:val="18"/>
                                    <w14:textFill>
                                      <w14:solidFill>
                                        <w14:schemeClr w14:val="tx1"/>
                                      </w14:solidFill>
                                    </w14:textFill>
                                    <w14:props3d w14:extrusionH="0" w14:contourW="0" w14:prstMaterial="clear"/>
                                  </w:rPr>
                                  <w:t>损耗</w:t>
                                </w:r>
                                <w:r>
                                  <w:rPr>
                                    <w:rFonts w:hint="eastAsia"/>
                                    <w:color w:val="000000" w:themeColor="text1"/>
                                    <w:sz w:val="18"/>
                                    <w:szCs w:val="18"/>
                                    <w:lang w:val="en-US" w:eastAsia="zh-CN"/>
                                    <w14:textFill>
                                      <w14:solidFill>
                                        <w14:schemeClr w14:val="tx1"/>
                                      </w14:solidFill>
                                    </w14:textFill>
                                    <w14:props3d w14:extrusionH="0" w14:contourW="0" w14:prstMaterial="clear"/>
                                  </w:rPr>
                                  <w:t>63</w:t>
                                </w:r>
                              </w:p>
                            </w:txbxContent>
                          </v:textbox>
                        </v:rect>
                        <v:rect id="矩形 30" o:spid="_x0000_s1026" o:spt="1" style="position:absolute;left:1060;top:902;height:240;width:566;v-text-anchor:middle;" filled="f" stroked="f" coordsize="21600,21600" o:gfxdata="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66Tv74A&#10;AADbAAAADwAAAAAAAAABACAAAAAiAAAAZHJzL2Rvd25yZXYueG1sUEsBAhQAFAAAAAgAh07iQDMv&#10;BZ47AAAAOQAAABAAAAAAAAAAAQAgAAAADQEAAGRycy9zaGFwZXhtbC54bWxQSwUGAAAAAAYABgBb&#10;AQAAtwMAAAAA&#10;">
                          <v:fill on="f" focussize="0,0"/>
                          <v:stroke on="f" weight="0.5pt"/>
                          <v:imagedata o:title=""/>
                          <o:lock v:ext="edit" aspectratio="f"/>
                          <v:textbox inset="0mm,0mm,0mm,0mm">
                            <w:txbxContent>
                              <w:p w14:paraId="64AD664A">
                                <w:pPr>
                                  <w:jc w:val="center"/>
                                  <w:rPr>
                                    <w:rFonts w:hint="default"/>
                                    <w:color w:val="000000" w:themeColor="text1"/>
                                    <w:sz w:val="18"/>
                                    <w:szCs w:val="18"/>
                                    <w:lang w:val="en-US" w:eastAsia="zh-CN"/>
                                    <w14:textFill>
                                      <w14:solidFill>
                                        <w14:schemeClr w14:val="tx1"/>
                                      </w14:solidFill>
                                    </w14:textFill>
                                    <w14:props3d w14:extrusionH="0" w14:contourW="0" w14:prstMaterial="clear"/>
                                  </w:rPr>
                                </w:pPr>
                                <w:r>
                                  <w:rPr>
                                    <w:rFonts w:hint="eastAsia"/>
                                    <w:color w:val="000000" w:themeColor="text1"/>
                                    <w:sz w:val="18"/>
                                    <w:szCs w:val="18"/>
                                    <w:lang w:val="en-US" w:eastAsia="zh-CN"/>
                                    <w14:textFill>
                                      <w14:solidFill>
                                        <w14:schemeClr w14:val="tx1"/>
                                      </w14:solidFill>
                                    </w14:textFill>
                                    <w14:props3d w14:extrusionH="0" w14:contourW="0" w14:prstMaterial="clear"/>
                                  </w:rPr>
                                  <w:t>70</w:t>
                                </w:r>
                              </w:p>
                            </w:txbxContent>
                          </v:textbox>
                        </v:rect>
                        <v:shape id="直接箭头连接符 91" o:spid="_x0000_s1026" o:spt="32" type="#_x0000_t32" style="position:absolute;left:3111;top:1108;height:0;width:737;" filled="f" stroked="t" coordsize="21600,21600" o:gfxdata="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u+cx1vQAA&#10;ANsAAAAPAAAAAAAAAAEAIAAAACIAAABkcnMvZG93bnJldi54bWxQSwECFAAUAAAACACHTuJAMy8F&#10;njsAAAA5AAAAEAAAAAAAAAABACAAAAAMAQAAZHJzL3NoYXBleG1sLnhtbFBLBQYAAAAABgAGAFsB&#10;AAC2AwAAAAA=&#10;">
                          <v:fill on="f" focussize="0,0"/>
                          <v:stroke weight="0.5pt" color="#000000 [3213]" joinstyle="round" endarrow="block" endarrowlength="long"/>
                          <v:imagedata o:title=""/>
                          <o:lock v:ext="edit" aspectratio="f"/>
                        </v:shape>
                        <v:rect id="矩形 30" o:spid="_x0000_s1026" o:spt="1" style="position:absolute;left:3113;top:902;height:240;width:566;v-text-anchor:middle;" filled="f" stroked="f" coordsize="21600,21600" o:gfxdata="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mvPCG8AAAA&#10;2wAAAA8AAAAAAAAAAQAgAAAAIgAAAGRycy9kb3ducmV2LnhtbFBLAQIUABQAAAAIAIdO4kAzLwWe&#10;OwAAADkAAAAQAAAAAAAAAAEAIAAAAAsBAABkcnMvc2hhcGV4bWwueG1sUEsFBgAAAAAGAAYAWwEA&#10;ALUDAAAAAA==&#10;">
                          <v:fill on="f" focussize="0,0"/>
                          <v:stroke on="f" weight="0.5pt"/>
                          <v:imagedata o:title=""/>
                          <o:lock v:ext="edit" aspectratio="f"/>
                          <v:textbox inset="0mm,0mm,0mm,0mm">
                            <w:txbxContent>
                              <w:p w14:paraId="6445B743">
                                <w:pPr>
                                  <w:jc w:val="center"/>
                                  <w:rPr>
                                    <w:rFonts w:hint="default"/>
                                    <w:color w:val="000000" w:themeColor="text1"/>
                                    <w:sz w:val="18"/>
                                    <w:szCs w:val="18"/>
                                    <w:lang w:val="en-US" w:eastAsia="zh-CN"/>
                                    <w14:textFill>
                                      <w14:solidFill>
                                        <w14:schemeClr w14:val="tx1"/>
                                      </w14:solidFill>
                                    </w14:textFill>
                                    <w14:props3d w14:extrusionH="0" w14:contourW="0" w14:prstMaterial="clear"/>
                                  </w:rPr>
                                </w:pPr>
                                <w:r>
                                  <w:rPr>
                                    <w:rFonts w:hint="eastAsia"/>
                                    <w:color w:val="000000" w:themeColor="text1"/>
                                    <w:sz w:val="18"/>
                                    <w:szCs w:val="18"/>
                                    <w:lang w:val="en-US" w:eastAsia="zh-CN"/>
                                    <w14:textFill>
                                      <w14:solidFill>
                                        <w14:schemeClr w14:val="tx1"/>
                                      </w14:solidFill>
                                    </w14:textFill>
                                    <w14:props3d w14:extrusionH="0" w14:contourW="0" w14:prstMaterial="clear"/>
                                  </w:rPr>
                                  <w:t>14</w:t>
                                </w:r>
                              </w:p>
                            </w:txbxContent>
                          </v:textbox>
                        </v:rect>
                        <v:rect id="矩形 94" o:spid="_x0000_s1026" o:spt="1" style="position:absolute;left:3866;top:977;height:284;width:2336;v-text-anchor:middle;" filled="f" stroked="t" coordsize="21600,21600" o:gfxdata="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EbG8ULgAAADbAAAA&#10;DwAAAAAAAAABACAAAAAiAAAAZHJzL2Rvd25yZXYueG1sUEsBAhQAFAAAAAgAh07iQDMvBZ47AAAA&#10;OQAAABAAAAAAAAAAAQAgAAAABwEAAGRycy9zaGFwZXhtbC54bWxQSwUGAAAAAAYABgBbAQAAsQMA&#10;AAAA&#10;">
                          <v:fill on="f" focussize="0,0"/>
                          <v:stroke weight="0.5pt" color="#000000 [3213]" joinstyle="round"/>
                          <v:imagedata o:title=""/>
                          <o:lock v:ext="edit" aspectratio="f"/>
                          <v:textbox inset="0mm,0mm,0mm,0mm">
                            <w:txbxContent>
                              <w:p w14:paraId="2F83ACE4">
                                <w:pPr>
                                  <w:jc w:val="center"/>
                                  <w:rPr>
                                    <w:rFonts w:hint="default" w:eastAsia="宋体"/>
                                    <w:color w:val="000000" w:themeColor="text1"/>
                                    <w:sz w:val="18"/>
                                    <w:szCs w:val="18"/>
                                    <w:lang w:val="en-US" w:eastAsia="zh-CN"/>
                                    <w14:textFill>
                                      <w14:solidFill>
                                        <w14:schemeClr w14:val="tx1"/>
                                      </w14:solidFill>
                                    </w14:textFill>
                                    <w14:props3d w14:extrusionH="0" w14:contourW="0" w14:prstMaterial="clear"/>
                                  </w:rPr>
                                </w:pPr>
                                <w:r>
                                  <w:rPr>
                                    <w:rFonts w:hint="eastAsia"/>
                                    <w:color w:val="000000" w:themeColor="text1"/>
                                    <w:sz w:val="18"/>
                                    <w:szCs w:val="18"/>
                                    <w:lang w:val="en-US" w:eastAsia="zh-CN"/>
                                    <w14:textFill>
                                      <w14:solidFill>
                                        <w14:schemeClr w14:val="tx1"/>
                                      </w14:solidFill>
                                    </w14:textFill>
                                    <w14:props3d w14:extrusionH="0" w14:contourW="0" w14:prstMaterial="clear"/>
                                  </w:rPr>
                                  <w:t>废切削液（作危废处置）</w:t>
                                </w:r>
                              </w:p>
                            </w:txbxContent>
                          </v:textbox>
                        </v:rect>
                        <v:shape id="直接箭头连接符 91" o:spid="_x0000_s1026" o:spt="32" type="#_x0000_t32" style="position:absolute;left:1059;top:2242;height:0;width:737;" filled="f" stroked="t" coordsize="21600,21600" o:gfxdata="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K98nry5AAAA2wAA&#10;AA8AAAAAAAAAAQAgAAAAIgAAAGRycy9kb3ducmV2LnhtbFBLAQIUABQAAAAIAIdO4kAzLwWeOwAA&#10;ADkAAAAQAAAAAAAAAAEAIAAAAAgBAABkcnMvc2hhcGV4bWwueG1sUEsFBgAAAAAGAAYAWwEAALID&#10;AAAAAA==&#10;">
                          <v:fill on="f" focussize="0,0"/>
                          <v:stroke weight="0.5pt" color="#000000 [3213]" joinstyle="round" endarrow="block" endarrowlength="long"/>
                          <v:imagedata o:title=""/>
                          <o:lock v:ext="edit" aspectratio="f"/>
                        </v:shape>
                        <v:rect id="矩形 94" o:spid="_x0000_s1026" o:spt="1" style="position:absolute;left:1813;top:2165;height:284;width:1320;v-text-anchor:middle;" filled="f" stroked="t" coordsize="21600,21600" o:gfxdata="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Iat667gAAADbAAAA&#10;DwAAAAAAAAABACAAAAAiAAAAZHJzL2Rvd25yZXYueG1sUEsBAhQAFAAAAAgAh07iQDMvBZ47AAAA&#10;OQAAABAAAAAAAAAAAQAgAAAABwEAAGRycy9zaGFwZXhtbC54bWxQSwUGAAAAAAYABgBbAQAAsQMA&#10;AAAA&#10;">
                          <v:fill on="f" focussize="0,0"/>
                          <v:stroke weight="0.5pt" color="#000000 [3213]" joinstyle="round"/>
                          <v:imagedata o:title=""/>
                          <o:lock v:ext="edit" aspectratio="f"/>
                          <v:textbox inset="0mm,0mm,0mm,0mm">
                            <w:txbxContent>
                              <w:p w14:paraId="6C6488C3">
                                <w:pPr>
                                  <w:jc w:val="center"/>
                                  <w:rPr>
                                    <w:rFonts w:hint="default" w:eastAsia="宋体"/>
                                    <w:color w:val="000000" w:themeColor="text1"/>
                                    <w:sz w:val="18"/>
                                    <w:szCs w:val="18"/>
                                    <w:lang w:val="en-US" w:eastAsia="zh-CN"/>
                                    <w14:textFill>
                                      <w14:solidFill>
                                        <w14:schemeClr w14:val="tx1"/>
                                      </w14:solidFill>
                                    </w14:textFill>
                                    <w14:props3d w14:extrusionH="0" w14:contourW="0" w14:prstMaterial="clear"/>
                                  </w:rPr>
                                </w:pPr>
                                <w:r>
                                  <w:rPr>
                                    <w:rFonts w:hint="eastAsia"/>
                                    <w:color w:val="000000" w:themeColor="text1"/>
                                    <w:sz w:val="18"/>
                                    <w:szCs w:val="18"/>
                                    <w:lang w:val="en-US" w:eastAsia="zh-CN"/>
                                    <w14:textFill>
                                      <w14:solidFill>
                                        <w14:schemeClr w14:val="tx1"/>
                                      </w14:solidFill>
                                    </w14:textFill>
                                    <w14:props3d w14:extrusionH="0" w14:contourW="0" w14:prstMaterial="clear"/>
                                  </w:rPr>
                                  <w:t>清洗用水</w:t>
                                </w:r>
                              </w:p>
                            </w:txbxContent>
                          </v:textbox>
                        </v:rect>
                        <v:shape id="曲线连接符 22" o:spid="_x0000_s1026" o:spt="38" type="#_x0000_t38" style="position:absolute;left:2707;top:1783;height:346;width:408;rotation:-5898240f;" filled="f" stroked="t" coordsize="21600,21600" o:gfxdata="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jcC2cvQAA&#10;ANsAAAAPAAAAAAAAAAEAIAAAACIAAABkcnMvZG93bnJldi54bWxQSwECFAAUAAAACACHTuJAMy8F&#10;njsAAAA5AAAAEAAAAAAAAAABACAAAAAMAQAAZHJzL3NoYXBleG1sLnhtbFBLBQYAAAAABgAGAFsB&#10;AAC2AwAAAAA=&#10;" adj="10747">
                          <v:fill on="f" focussize="0,0"/>
                          <v:stroke weight="0.5pt" color="#000000 [3200]" joinstyle="round" endarrow="open"/>
                          <v:imagedata o:title=""/>
                          <o:lock v:ext="edit" aspectratio="f"/>
                        </v:shape>
                        <v:rect id="矩形 93" o:spid="_x0000_s1026" o:spt="1" style="position:absolute;left:2582;top:1504;height:284;width:987;v-text-anchor:middle;" filled="f" stroked="f" coordsize="21600,21600" o:gfxdata="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aO/Jm/&#10;AAAA2wAAAA8AAAAAAAAAAQAgAAAAIgAAAGRycy9kb3ducmV2LnhtbFBLAQIUABQAAAAIAIdO4kAz&#10;LwWeOwAAADkAAAAQAAAAAAAAAAEAIAAAAA4BAABkcnMvc2hhcGV4bWwueG1sUEsFBgAAAAAGAAYA&#10;WwEAALgDAAAAAA==&#10;">
                          <v:fill on="f" focussize="0,0"/>
                          <v:stroke on="f" weight="0.5pt"/>
                          <v:imagedata o:title=""/>
                          <o:lock v:ext="edit" aspectratio="f"/>
                          <v:textbox inset="0mm,0mm,0mm,0mm">
                            <w:txbxContent>
                              <w:p w14:paraId="5B5A720D">
                                <w:pPr>
                                  <w:jc w:val="center"/>
                                  <w:rPr>
                                    <w:rFonts w:hint="default" w:eastAsia="宋体"/>
                                    <w:color w:val="000000" w:themeColor="text1"/>
                                    <w:sz w:val="18"/>
                                    <w:szCs w:val="18"/>
                                    <w:lang w:val="en-US" w:eastAsia="zh-CN"/>
                                    <w14:textFill>
                                      <w14:solidFill>
                                        <w14:schemeClr w14:val="tx1"/>
                                      </w14:solidFill>
                                    </w14:textFill>
                                    <w14:props3d w14:extrusionH="0" w14:contourW="0" w14:prstMaterial="clear"/>
                                  </w:rPr>
                                </w:pPr>
                                <w:r>
                                  <w:rPr>
                                    <w:rFonts w:hint="eastAsia"/>
                                    <w:color w:val="000000" w:themeColor="text1"/>
                                    <w:sz w:val="18"/>
                                    <w:szCs w:val="18"/>
                                    <w14:textFill>
                                      <w14:solidFill>
                                        <w14:schemeClr w14:val="tx1"/>
                                      </w14:solidFill>
                                    </w14:textFill>
                                    <w14:props3d w14:extrusionH="0" w14:contourW="0" w14:prstMaterial="clear"/>
                                  </w:rPr>
                                  <w:t>损耗</w:t>
                                </w:r>
                                <w:r>
                                  <w:rPr>
                                    <w:rFonts w:hint="eastAsia"/>
                                    <w:color w:val="000000" w:themeColor="text1"/>
                                    <w:sz w:val="18"/>
                                    <w:szCs w:val="18"/>
                                    <w:lang w:val="en-US" w:eastAsia="zh-CN"/>
                                    <w14:textFill>
                                      <w14:solidFill>
                                        <w14:schemeClr w14:val="tx1"/>
                                      </w14:solidFill>
                                    </w14:textFill>
                                    <w14:props3d w14:extrusionH="0" w14:contourW="0" w14:prstMaterial="clear"/>
                                  </w:rPr>
                                  <w:t>9.8</w:t>
                                </w:r>
                              </w:p>
                            </w:txbxContent>
                          </v:textbox>
                        </v:rect>
                        <v:rect id="矩形 30" o:spid="_x0000_s1026" o:spt="1" style="position:absolute;left:1072;top:2025;height:240;width:566;v-text-anchor:middle;" filled="f" stroked="f" coordsize="21600,21600" o:gfxdata="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nCWQK/&#10;AAAA2wAAAA8AAAAAAAAAAQAgAAAAIgAAAGRycy9kb3ducmV2LnhtbFBLAQIUABQAAAAIAIdO4kAz&#10;LwWeOwAAADkAAAAQAAAAAAAAAAEAIAAAAA4BAABkcnMvc2hhcGV4bWwueG1sUEsFBgAAAAAGAAYA&#10;WwEAALgDAAAAAA==&#10;">
                          <v:fill on="f" focussize="0,0"/>
                          <v:stroke on="f" weight="0.5pt"/>
                          <v:imagedata o:title=""/>
                          <o:lock v:ext="edit" aspectratio="f"/>
                          <v:textbox inset="0mm,0mm,0mm,0mm">
                            <w:txbxContent>
                              <w:p w14:paraId="3DBD04D9">
                                <w:pPr>
                                  <w:jc w:val="center"/>
                                  <w:rPr>
                                    <w:rFonts w:hint="default"/>
                                    <w:color w:val="000000" w:themeColor="text1"/>
                                    <w:sz w:val="18"/>
                                    <w:szCs w:val="18"/>
                                    <w:lang w:val="en-US" w:eastAsia="zh-CN"/>
                                    <w14:textFill>
                                      <w14:solidFill>
                                        <w14:schemeClr w14:val="tx1"/>
                                      </w14:solidFill>
                                    </w14:textFill>
                                    <w14:props3d w14:extrusionH="0" w14:contourW="0" w14:prstMaterial="clear"/>
                                  </w:rPr>
                                </w:pPr>
                                <w:r>
                                  <w:rPr>
                                    <w:rFonts w:hint="eastAsia"/>
                                    <w:color w:val="000000" w:themeColor="text1"/>
                                    <w:sz w:val="18"/>
                                    <w:szCs w:val="18"/>
                                    <w:lang w:val="en-US" w:eastAsia="zh-CN"/>
                                    <w14:textFill>
                                      <w14:solidFill>
                                        <w14:schemeClr w14:val="tx1"/>
                                      </w14:solidFill>
                                    </w14:textFill>
                                    <w14:props3d w14:extrusionH="0" w14:contourW="0" w14:prstMaterial="clear"/>
                                  </w:rPr>
                                  <w:t>17.64</w:t>
                                </w:r>
                              </w:p>
                            </w:txbxContent>
                          </v:textbox>
                        </v:rect>
                        <v:shape id="直接箭头连接符 91" o:spid="_x0000_s1026" o:spt="32" type="#_x0000_t32" style="position:absolute;left:3123;top:2308;height:0;width:737;" filled="f" stroked="t" coordsize="21600,21600" o:gfxdata="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P2aNTvQAA&#10;ANsAAAAPAAAAAAAAAAEAIAAAACIAAABkcnMvZG93bnJldi54bWxQSwECFAAUAAAACACHTuJAMy8F&#10;njsAAAA5AAAAEAAAAAAAAAABACAAAAAMAQAAZHJzL3NoYXBleG1sLnhtbFBLBQYAAAAABgAGAFsB&#10;AAC2AwAAAAA=&#10;">
                          <v:fill on="f" focussize="0,0"/>
                          <v:stroke weight="0.5pt" color="#000000 [3213]" joinstyle="round" endarrow="block" endarrowlength="long"/>
                          <v:imagedata o:title=""/>
                          <o:lock v:ext="edit" aspectratio="f"/>
                        </v:shape>
                        <v:rect id="矩形 30" o:spid="_x0000_s1026" o:spt="1" style="position:absolute;left:3125;top:2102;height:240;width:566;v-text-anchor:middle;" filled="f" stroked="f" coordsize="21600,21600" o:gfxdata="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ZcYu6/&#10;AAAA2wAAAA8AAAAAAAAAAQAgAAAAIgAAAGRycy9kb3ducmV2LnhtbFBLAQIUABQAAAAIAIdO4kAz&#10;LwWeOwAAADkAAAAQAAAAAAAAAAEAIAAAAA4BAABkcnMvc2hhcGV4bWwueG1sUEsFBgAAAAAGAAYA&#10;WwEAALgDAAAAAA==&#10;">
                          <v:fill on="f" focussize="0,0"/>
                          <v:stroke on="f" weight="0.5pt"/>
                          <v:imagedata o:title=""/>
                          <o:lock v:ext="edit" aspectratio="f"/>
                          <v:textbox inset="0mm,0mm,0mm,0mm">
                            <w:txbxContent>
                              <w:p w14:paraId="0AF6119E">
                                <w:pPr>
                                  <w:jc w:val="center"/>
                                  <w:rPr>
                                    <w:rFonts w:hint="default"/>
                                    <w:color w:val="000000" w:themeColor="text1"/>
                                    <w:sz w:val="18"/>
                                    <w:szCs w:val="18"/>
                                    <w:lang w:val="en-US" w:eastAsia="zh-CN"/>
                                    <w14:textFill>
                                      <w14:solidFill>
                                        <w14:schemeClr w14:val="tx1"/>
                                      </w14:solidFill>
                                    </w14:textFill>
                                    <w14:props3d w14:extrusionH="0" w14:contourW="0" w14:prstMaterial="clear"/>
                                  </w:rPr>
                                </w:pPr>
                                <w:r>
                                  <w:rPr>
                                    <w:rFonts w:hint="eastAsia"/>
                                    <w:color w:val="000000" w:themeColor="text1"/>
                                    <w:sz w:val="18"/>
                                    <w:szCs w:val="18"/>
                                    <w:lang w:val="en-US" w:eastAsia="zh-CN"/>
                                    <w14:textFill>
                                      <w14:solidFill>
                                        <w14:schemeClr w14:val="tx1"/>
                                      </w14:solidFill>
                                    </w14:textFill>
                                    <w14:props3d w14:extrusionH="0" w14:contourW="0" w14:prstMaterial="clear"/>
                                  </w:rPr>
                                  <w:t>168.8</w:t>
                                </w:r>
                              </w:p>
                            </w:txbxContent>
                          </v:textbox>
                        </v:rect>
                        <v:rect id="矩形 94" o:spid="_x0000_s1026" o:spt="1" style="position:absolute;left:3878;top:2177;height:284;width:1620;v-text-anchor:middle;" filled="f" stroked="t" coordsize="21600,21600" o:gfxdata="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39127bgAAADbAAAA&#10;DwAAAAAAAAABACAAAAAiAAAAZHJzL2Rvd25yZXYueG1sUEsBAhQAFAAAAAgAh07iQDMvBZ47AAAA&#10;OQAAABAAAAAAAAAAAQAgAAAABwEAAGRycy9zaGFwZXhtbC54bWxQSwUGAAAAAAYABgBbAQAAsQMA&#10;AAAA&#10;">
                          <v:fill on="f" focussize="0,0"/>
                          <v:stroke weight="0.5pt" color="#000000 [3213]" joinstyle="round"/>
                          <v:imagedata o:title=""/>
                          <o:lock v:ext="edit" aspectratio="f"/>
                          <v:textbox inset="0mm,0mm,0mm,0mm">
                            <w:txbxContent>
                              <w:p w14:paraId="5D80DDA8">
                                <w:pPr>
                                  <w:jc w:val="center"/>
                                  <w:rPr>
                                    <w:rFonts w:hint="default" w:eastAsia="宋体"/>
                                    <w:color w:val="000000" w:themeColor="text1"/>
                                    <w:sz w:val="18"/>
                                    <w:szCs w:val="18"/>
                                    <w:lang w:val="en-US" w:eastAsia="zh-CN"/>
                                    <w14:textFill>
                                      <w14:solidFill>
                                        <w14:schemeClr w14:val="tx1"/>
                                      </w14:solidFill>
                                    </w14:textFill>
                                    <w14:props3d w14:extrusionH="0" w14:contourW="0" w14:prstMaterial="clear"/>
                                  </w:rPr>
                                </w:pPr>
                                <w:r>
                                  <w:rPr>
                                    <w:rFonts w:hint="eastAsia"/>
                                    <w:color w:val="000000" w:themeColor="text1"/>
                                    <w:sz w:val="18"/>
                                    <w:szCs w:val="18"/>
                                    <w:lang w:val="en-US" w:eastAsia="zh-CN"/>
                                    <w14:textFill>
                                      <w14:solidFill>
                                        <w14:schemeClr w14:val="tx1"/>
                                      </w14:solidFill>
                                    </w14:textFill>
                                    <w14:props3d w14:extrusionH="0" w14:contourW="0" w14:prstMaterial="clear"/>
                                  </w:rPr>
                                  <w:t>进入废水处理设施</w:t>
                                </w:r>
                              </w:p>
                            </w:txbxContent>
                          </v:textbox>
                        </v:rect>
                        <v:shape id="直接箭头连接符 91" o:spid="_x0000_s1026" o:spt="32" type="#_x0000_t32" style="position:absolute;left:2270;top:1773;height:386;width:0;" filled="f" stroked="t" coordsize="21600,21600" o:gfxdata="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emt+r4A&#10;AADbAAAADwAAAAAAAAABACAAAAAiAAAAZHJzL2Rvd25yZXYueG1sUEsBAhQAFAAAAAgAh07iQDMv&#10;BZ47AAAAOQAAABAAAAAAAAAAAQAgAAAADQEAAGRycy9zaGFwZXhtbC54bWxQSwUGAAAAAAYABgBb&#10;AQAAtwMAAAAA&#10;">
                          <v:fill on="f" focussize="0,0"/>
                          <v:stroke weight="0.5pt" color="#000000 [3213]" joinstyle="round" endarrow="block" endarrowlength="long"/>
                          <v:imagedata o:title=""/>
                          <o:lock v:ext="edit" aspectratio="f"/>
                        </v:shape>
                        <v:rect id="矩形 93" o:spid="_x0000_s1026" o:spt="1" style="position:absolute;left:1640;top:1527;height:284;width:987;v-text-anchor:middle;" filled="f" stroked="f" coordsize="21600,21600" o:gfxdata="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PyV6u/&#10;AAAA2wAAAA8AAAAAAAAAAQAgAAAAIgAAAGRycy9kb3ducmV2LnhtbFBLAQIUABQAAAAIAIdO4kAz&#10;LwWeOwAAADkAAAAQAAAAAAAAAAEAIAAAAA4BAABkcnMvc2hhcGV4bWwueG1sUEsFBgAAAAAGAAYA&#10;WwEAALgDAAAAAA==&#10;">
                          <v:fill on="f" focussize="0,0"/>
                          <v:stroke on="f" weight="0.5pt"/>
                          <v:imagedata o:title=""/>
                          <o:lock v:ext="edit" aspectratio="f"/>
                          <v:textbox inset="0mm,0mm,0mm,0mm">
                            <w:txbxContent>
                              <w:p w14:paraId="78E24216">
                                <w:pPr>
                                  <w:jc w:val="center"/>
                                  <w:rPr>
                                    <w:rFonts w:hint="default" w:eastAsia="宋体"/>
                                    <w:color w:val="000000" w:themeColor="text1"/>
                                    <w:sz w:val="18"/>
                                    <w:szCs w:val="18"/>
                                    <w:lang w:val="en-US" w:eastAsia="zh-CN"/>
                                    <w14:textFill>
                                      <w14:solidFill>
                                        <w14:schemeClr w14:val="tx1"/>
                                      </w14:solidFill>
                                    </w14:textFill>
                                    <w14:props3d w14:extrusionH="0" w14:contourW="0" w14:prstMaterial="clear"/>
                                  </w:rPr>
                                </w:pPr>
                                <w:r>
                                  <w:rPr>
                                    <w:rFonts w:hint="eastAsia"/>
                                    <w:color w:val="000000" w:themeColor="text1"/>
                                    <w:sz w:val="18"/>
                                    <w:szCs w:val="18"/>
                                    <w:lang w:val="en-US" w:eastAsia="zh-CN"/>
                                    <w14:textFill>
                                      <w14:solidFill>
                                        <w14:schemeClr w14:val="tx1"/>
                                      </w14:solidFill>
                                    </w14:textFill>
                                    <w14:props3d w14:extrusionH="0" w14:contourW="0" w14:prstMaterial="clear"/>
                                  </w:rPr>
                                  <w:t>清洗剂0.3</w:t>
                                </w:r>
                              </w:p>
                            </w:txbxContent>
                          </v:textbox>
                        </v:rect>
                        <v:shape id="直接箭头连接符 91" o:spid="_x0000_s1026" o:spt="32" type="#_x0000_t32" style="position:absolute;left:2460;top:2434;flip:y;height:386;width:0;" filled="f" stroked="t" coordsize="21600,21600" o:gfxdata="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RTm74A&#10;AADbAAAADwAAAAAAAAABACAAAAAiAAAAZHJzL2Rvd25yZXYueG1sUEsBAhQAFAAAAAgAh07iQDMv&#10;BZ47AAAAOQAAABAAAAAAAAAAAQAgAAAADQEAAGRycy9zaGFwZXhtbC54bWxQSwUGAAAAAAYABgBb&#10;AQAAtwMAAAAA&#10;">
                          <v:fill on="f" focussize="0,0"/>
                          <v:stroke weight="0.5pt" color="#000000 [3213]" joinstyle="round" endarrow="block" endarrowlength="long"/>
                          <v:imagedata o:title=""/>
                          <o:lock v:ext="edit" aspectratio="f"/>
                        </v:shape>
                        <v:rect id="矩形 93" o:spid="_x0000_s1026" o:spt="1" style="position:absolute;left:1928;top:2797;height:284;width:987;v-text-anchor:middle;" filled="f" stroked="f" coordsize="21600,21600" o:gfxdata="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BvP374A&#10;AADbAAAADwAAAAAAAAABACAAAAAiAAAAZHJzL2Rvd25yZXYueG1sUEsBAhQAFAAAAAgAh07iQDMv&#10;BZ47AAAAOQAAABAAAAAAAAAAAQAgAAAADQEAAGRycy9zaGFwZXhtbC54bWxQSwUGAAAAAAYABgBb&#10;AQAAtwMAAAAA&#10;">
                          <v:fill on="f" focussize="0,0"/>
                          <v:stroke on="f" weight="0.5pt"/>
                          <v:imagedata o:title=""/>
                          <o:lock v:ext="edit" aspectratio="f"/>
                          <v:textbox inset="0mm,0mm,0mm,0mm">
                            <w:txbxContent>
                              <w:p w14:paraId="315E2D98">
                                <w:pPr>
                                  <w:jc w:val="center"/>
                                  <w:rPr>
                                    <w:rFonts w:hint="default" w:eastAsia="宋体"/>
                                    <w:color w:val="000000" w:themeColor="text1"/>
                                    <w:sz w:val="18"/>
                                    <w:szCs w:val="18"/>
                                    <w:lang w:val="en-US" w:eastAsia="zh-CN"/>
                                    <w14:textFill>
                                      <w14:solidFill>
                                        <w14:schemeClr w14:val="tx1"/>
                                      </w14:solidFill>
                                    </w14:textFill>
                                    <w14:props3d w14:extrusionH="0" w14:contourW="0" w14:prstMaterial="clear"/>
                                  </w:rPr>
                                </w:pPr>
                                <w:r>
                                  <w:rPr>
                                    <w:rFonts w:hint="eastAsia"/>
                                    <w:color w:val="000000" w:themeColor="text1"/>
                                    <w:sz w:val="18"/>
                                    <w:szCs w:val="18"/>
                                    <w:lang w:val="en-US" w:eastAsia="zh-CN"/>
                                    <w14:textFill>
                                      <w14:solidFill>
                                        <w14:schemeClr w14:val="tx1"/>
                                      </w14:solidFill>
                                    </w14:textFill>
                                    <w14:props3d w14:extrusionH="0" w14:contourW="0" w14:prstMaterial="clear"/>
                                  </w:rPr>
                                  <w:t>防锈剂0.3</w:t>
                                </w:r>
                              </w:p>
                            </w:txbxContent>
                          </v:textbox>
                        </v:rect>
                        <v:shape id="直接箭头连接符 91" o:spid="_x0000_s1026" o:spt="32" type="#_x0000_t32" style="position:absolute;left:5489;top:2298;height:0;width:737;" filled="f" stroked="t" coordsize="21600,21600" o:gfxdata="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1NMEZ7sAAADb&#10;AAAADwAAAAAAAAABACAAAAAiAAAAZHJzL2Rvd25yZXYueG1sUEsBAhQAFAAAAAgAh07iQDMvBZ47&#10;AAAAOQAAABAAAAAAAAAAAQAgAAAACgEAAGRycy9zaGFwZXhtbC54bWxQSwUGAAAAAAYABgBbAQAA&#10;tAMAAAAA&#10;">
                          <v:fill on="f" focussize="0,0"/>
                          <v:stroke weight="0.5pt" color="#000000 [3213]" joinstyle="round" endarrow="block" endarrowlength="long"/>
                          <v:imagedata o:title=""/>
                          <o:lock v:ext="edit" aspectratio="f"/>
                        </v:shape>
                        <v:rect id="矩形 30" o:spid="_x0000_s1026" o:spt="1" style="position:absolute;left:5491;top:2092;height:240;width:566;v-text-anchor:middle;" filled="f" stroked="f" coordsize="21600,21600" o:gfxdata="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5uRxgugAAANsA&#10;AAAPAAAAAAAAAAEAIAAAACIAAABkcnMvZG93bnJldi54bWxQSwECFAAUAAAACACHTuJAMy8FnjsA&#10;AAA5AAAAEAAAAAAAAAABACAAAAAJAQAAZHJzL3NoYXBleG1sLnhtbFBLBQYAAAAABgAGAFsBAACz&#10;AwAAAAA=&#10;">
                          <v:fill on="f" focussize="0,0"/>
                          <v:stroke on="f" weight="0.5pt"/>
                          <v:imagedata o:title=""/>
                          <o:lock v:ext="edit" aspectratio="f"/>
                          <v:textbox inset="0mm,0mm,0mm,0mm">
                            <w:txbxContent>
                              <w:p w14:paraId="243A73AD">
                                <w:pPr>
                                  <w:jc w:val="center"/>
                                  <w:rPr>
                                    <w:rFonts w:hint="default"/>
                                    <w:color w:val="000000" w:themeColor="text1"/>
                                    <w:sz w:val="18"/>
                                    <w:szCs w:val="18"/>
                                    <w:lang w:val="en-US" w:eastAsia="zh-CN"/>
                                    <w14:textFill>
                                      <w14:solidFill>
                                        <w14:schemeClr w14:val="tx1"/>
                                      </w14:solidFill>
                                    </w14:textFill>
                                    <w14:props3d w14:extrusionH="0" w14:contourW="0" w14:prstMaterial="clear"/>
                                  </w:rPr>
                                </w:pPr>
                                <w:r>
                                  <w:rPr>
                                    <w:rFonts w:hint="eastAsia"/>
                                    <w:color w:val="000000" w:themeColor="text1"/>
                                    <w:sz w:val="18"/>
                                    <w:szCs w:val="18"/>
                                    <w:lang w:val="en-US" w:eastAsia="zh-CN"/>
                                    <w14:textFill>
                                      <w14:solidFill>
                                        <w14:schemeClr w14:val="tx1"/>
                                      </w14:solidFill>
                                    </w14:textFill>
                                    <w14:props3d w14:extrusionH="0" w14:contourW="0" w14:prstMaterial="clear"/>
                                  </w:rPr>
                                  <w:t>8.44</w:t>
                                </w:r>
                              </w:p>
                            </w:txbxContent>
                          </v:textbox>
                        </v:rect>
                        <v:rect id="矩形 94" o:spid="_x0000_s1026" o:spt="1" style="position:absolute;left:6244;top:2164;height:284;width:1724;v-text-anchor:middle;" filled="f" stroked="t" coordsize="21600,21600" o:gfxdata="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kaecEbgAAADbAAAA&#10;DwAAAAAAAAABACAAAAAiAAAAZHJzL2Rvd25yZXYueG1sUEsBAhQAFAAAAAgAh07iQDMvBZ47AAAA&#10;OQAAABAAAAAAAAAAAQAgAAAABwEAAGRycy9zaGFwZXhtbC54bWxQSwUGAAAAAAYABgBbAQAAsQMA&#10;AAAA&#10;">
                          <v:fill on="f" focussize="0,0"/>
                          <v:stroke weight="0.5pt" color="#000000 [3213]" joinstyle="round"/>
                          <v:imagedata o:title=""/>
                          <o:lock v:ext="edit" aspectratio="f"/>
                          <v:textbox inset="0mm,0mm,0mm,0mm">
                            <w:txbxContent>
                              <w:p w14:paraId="09B845F5">
                                <w:pPr>
                                  <w:jc w:val="center"/>
                                  <w:rPr>
                                    <w:rFonts w:hint="default" w:eastAsia="宋体"/>
                                    <w:color w:val="000000" w:themeColor="text1"/>
                                    <w:sz w:val="18"/>
                                    <w:szCs w:val="18"/>
                                    <w:lang w:val="en-US" w:eastAsia="zh-CN"/>
                                    <w14:textFill>
                                      <w14:solidFill>
                                        <w14:schemeClr w14:val="tx1"/>
                                      </w14:solidFill>
                                    </w14:textFill>
                                    <w14:props3d w14:extrusionH="0" w14:contourW="0" w14:prstMaterial="clear"/>
                                  </w:rPr>
                                </w:pPr>
                                <w:r>
                                  <w:rPr>
                                    <w:rFonts w:hint="eastAsia"/>
                                    <w:color w:val="000000" w:themeColor="text1"/>
                                    <w:sz w:val="18"/>
                                    <w:szCs w:val="18"/>
                                    <w:lang w:val="en-US" w:eastAsia="zh-CN"/>
                                    <w14:textFill>
                                      <w14:solidFill>
                                        <w14:schemeClr w14:val="tx1"/>
                                      </w14:solidFill>
                                    </w14:textFill>
                                    <w14:props3d w14:extrusionH="0" w14:contourW="0" w14:prstMaterial="clear"/>
                                  </w:rPr>
                                  <w:t>浓液（作危废处置）</w:t>
                                </w:r>
                              </w:p>
                            </w:txbxContent>
                          </v:textbox>
                        </v:rect>
                        <v:shape id="直接箭头连接符 91" o:spid="_x0000_s1026" o:spt="32" type="#_x0000_t32" style="position:absolute;left:1195;top:2370;height:0;width:612;" filled="f" stroked="t" coordsize="21600,21600" o:gfxdata="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QmeAyvQAA&#10;ANsAAAAPAAAAAAAAAAEAIAAAACIAAABkcnMvZG93bnJldi54bWxQSwECFAAUAAAACACHTuJAMy8F&#10;njsAAAA5AAAAEAAAAAAAAAABACAAAAAMAQAAZHJzL3NoYXBleG1sLnhtbFBLBQYAAAAABgAGAFsB&#10;AAC2AwAAAAA=&#10;">
                          <v:fill on="f" focussize="0,0"/>
                          <v:stroke weight="0.5pt" color="#000000 [3213]" joinstyle="round" endarrow="block" endarrowlength="long"/>
                          <v:imagedata o:title=""/>
                          <o:lock v:ext="edit" aspectratio="f"/>
                        </v:shape>
                        <v:rect id="矩形 30" o:spid="_x0000_s1026" o:spt="1" style="position:absolute;left:1151;top:2362;height:240;width:566;v-text-anchor:middle;" filled="f" stroked="f" coordsize="21600,21600" o:gfxdata="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HzxBmugAAANsA&#10;AAAPAAAAAAAAAAEAIAAAACIAAABkcnMvZG93bnJldi54bWxQSwECFAAUAAAACACHTuJAMy8FnjsA&#10;AAA5AAAAEAAAAAAAAAABACAAAAAJAQAAZHJzL3NoYXBleG1sLnhtbFBLBQYAAAAABgAGAFsBAACz&#10;AwAAAAA=&#10;">
                          <v:fill on="f" focussize="0,0"/>
                          <v:stroke on="f" weight="0.5pt"/>
                          <v:imagedata o:title=""/>
                          <o:lock v:ext="edit" aspectratio="f"/>
                          <v:textbox inset="0mm,0mm,0mm,0mm">
                            <w:txbxContent>
                              <w:p w14:paraId="0809133E">
                                <w:pPr>
                                  <w:jc w:val="center"/>
                                  <w:rPr>
                                    <w:rFonts w:hint="default"/>
                                    <w:color w:val="000000" w:themeColor="text1"/>
                                    <w:sz w:val="18"/>
                                    <w:szCs w:val="18"/>
                                    <w:lang w:val="en-US" w:eastAsia="zh-CN"/>
                                    <w14:textFill>
                                      <w14:solidFill>
                                        <w14:schemeClr w14:val="tx1"/>
                                      </w14:solidFill>
                                    </w14:textFill>
                                    <w14:props3d w14:extrusionH="0" w14:contourW="0" w14:prstMaterial="clear"/>
                                  </w:rPr>
                                </w:pPr>
                                <w:r>
                                  <w:rPr>
                                    <w:rFonts w:hint="eastAsia"/>
                                    <w:color w:val="000000" w:themeColor="text1"/>
                                    <w:sz w:val="18"/>
                                    <w:szCs w:val="18"/>
                                    <w:lang w:val="en-US" w:eastAsia="zh-CN"/>
                                    <w14:textFill>
                                      <w14:solidFill>
                                        <w14:schemeClr w14:val="tx1"/>
                                      </w14:solidFill>
                                    </w14:textFill>
                                    <w14:props3d w14:extrusionH="0" w14:contourW="0" w14:prstMaterial="clear"/>
                                  </w:rPr>
                                  <w:t>160.36</w:t>
                                </w:r>
                              </w:p>
                            </w:txbxContent>
                          </v:textbox>
                        </v:rect>
                        <v:shape id="直接箭头连接符 91" o:spid="_x0000_s1026" o:spt="32" type="#_x0000_t32" style="position:absolute;left:2208;top:561;height:386;width:0;" filled="f" stroked="t" coordsize="21600,21600" o:gfxdata="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ZkBEXLsAAADb&#10;AAAADwAAAAAAAAABACAAAAAiAAAAZHJzL2Rvd25yZXYueG1sUEsBAhQAFAAAAAgAh07iQDMvBZ47&#10;AAAAOQAAABAAAAAAAAAAAQAgAAAACgEAAGRycy9zaGFwZXhtbC54bWxQSwUGAAAAAAYABgBbAQAA&#10;tAMAAAAA&#10;">
                          <v:fill on="f" focussize="0,0"/>
                          <v:stroke weight="0.5pt" color="#000000 [3213]" joinstyle="round" endarrow="block" endarrowlength="long"/>
                          <v:imagedata o:title=""/>
                          <o:lock v:ext="edit" aspectratio="f"/>
                        </v:shape>
                        <v:rect id="矩形 93" o:spid="_x0000_s1026" o:spt="1" style="position:absolute;left:1402;top:315;height:284;width:1149;v-text-anchor:middle;" filled="f" stroked="f" coordsize="21600,21600" o:gfxdata="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X99DWrsAAADb&#10;AAAADwAAAAAAAAABACAAAAAiAAAAZHJzL2Rvd25yZXYueG1sUEsBAhQAFAAAAAgAh07iQDMvBZ47&#10;AAAAOQAAABAAAAAAAAAAAQAgAAAACgEAAGRycy9zaGFwZXhtbC54bWxQSwUGAAAAAAYABgBbAQAA&#10;tAMAAAAA&#10;">
                          <v:fill on="f" focussize="0,0"/>
                          <v:stroke on="f" weight="0.5pt"/>
                          <v:imagedata o:title=""/>
                          <o:lock v:ext="edit" aspectratio="f"/>
                          <v:textbox inset="0mm,0mm,0mm,0mm">
                            <w:txbxContent>
                              <w:p w14:paraId="3DF6B2AF">
                                <w:pPr>
                                  <w:jc w:val="center"/>
                                  <w:rPr>
                                    <w:rFonts w:hint="default" w:eastAsia="宋体"/>
                                    <w:color w:val="000000" w:themeColor="text1"/>
                                    <w:sz w:val="18"/>
                                    <w:szCs w:val="18"/>
                                    <w:lang w:val="en-US" w:eastAsia="zh-CN"/>
                                    <w14:textFill>
                                      <w14:solidFill>
                                        <w14:schemeClr w14:val="tx1"/>
                                      </w14:solidFill>
                                    </w14:textFill>
                                    <w14:props3d w14:extrusionH="0" w14:contourW="0" w14:prstMaterial="clear"/>
                                  </w:rPr>
                                </w:pPr>
                                <w:r>
                                  <w:rPr>
                                    <w:rFonts w:hint="eastAsia"/>
                                    <w:color w:val="000000" w:themeColor="text1"/>
                                    <w:sz w:val="18"/>
                                    <w:szCs w:val="18"/>
                                    <w:lang w:val="en-US" w:eastAsia="zh-CN"/>
                                    <w14:textFill>
                                      <w14:solidFill>
                                        <w14:schemeClr w14:val="tx1"/>
                                      </w14:solidFill>
                                    </w14:textFill>
                                    <w14:props3d w14:extrusionH="0" w14:contourW="0" w14:prstMaterial="clear"/>
                                  </w:rPr>
                                  <w:t>切削液7</w:t>
                                </w:r>
                              </w:p>
                            </w:txbxContent>
                          </v:textbox>
                        </v:rect>
                      </v:group>
                      <v:line id="直接连接符 89" o:spid="_x0000_s1026" o:spt="20" style="position:absolute;left:2985770;top:2985770;height:400685;width:0;" filled="f" stroked="t" coordsize="21600,21600" o:gfxdata="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P3XZ7vXAAAABQEAAA8A&#10;AAAAAAAAAQAgAAAAIgAAAGRycy9kb3ducmV2LnhtbFBLAQIUABQAAAAIAIdO4kCu69FJ3wEAAKYD&#10;AAAOAAAAAAAAAAEAIAAAACYBAABkcnMvZTJvRG9jLnhtbFBLBQYAAAAABgAGAFkBAAB3BQAAAAA=&#10;">
                        <v:fill on="f" focussize="0,0"/>
                        <v:stroke weight="0.5pt" color="#000000 [3213]" joinstyle="round" dashstyle="dash"/>
                        <v:imagedata o:title=""/>
                        <o:lock v:ext="edit" aspectratio="f"/>
                      </v:line>
                      <v:line id="直接连接符 89" o:spid="_x0000_s1026" o:spt="20" style="position:absolute;left:759460;top:3388995;height:0;width:2223770;" filled="f" stroked="t" coordsize="21600,21600" o:gfxdata="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P3XZ7vX&#10;AAAABQEAAA8AAAAAAAAAAQAgAAAAIgAAAGRycy9kb3ducmV2LnhtbFBLAQIUABQAAAAIAIdO4kDJ&#10;L8Up6AEAAKYDAAAOAAAAAAAAAAEAIAAAACYBAABkcnMvZTJvRG9jLnhtbFBLBQYAAAAABgAGAFkB&#10;AACABQAAAAA=&#10;">
                        <v:fill on="f" focussize="0,0"/>
                        <v:stroke weight="0.5pt" color="#000000 [3213]" joinstyle="round" dashstyle="dash"/>
                        <v:imagedata o:title=""/>
                        <o:lock v:ext="edit" aspectratio="f"/>
                      </v:line>
                      <v:line id="直接连接符 89" o:spid="_x0000_s1026" o:spt="20" style="position:absolute;left:765810;top:2932430;height:454025;width:0;" filled="f" stroked="t" coordsize="21600,21600" o:gfxdata="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P3XZ7vXAAAA&#10;BQEAAA8AAAAAAAAAAQAgAAAAIgAAAGRycy9kb3ducmV2LnhtbFBLAQIUABQAAAAIAIdO4kBVVctn&#10;5QEAAKUDAAAOAAAAAAAAAAEAIAAAACYBAABkcnMvZTJvRG9jLnhtbFBLBQYAAAAABgAGAFkBAAB9&#10;BQAAAAA=&#10;">
                        <v:fill on="f" focussize="0,0"/>
                        <v:stroke weight="0.5pt" color="#000000 [3213]" joinstyle="round" dashstyle="dash"/>
                        <v:imagedata o:title=""/>
                        <o:lock v:ext="edit" aspectratio="f"/>
                      </v:line>
                      <w10:wrap type="none"/>
                      <w10:anchorlock/>
                    </v:group>
                  </w:pict>
                </mc:Fallback>
              </mc:AlternateContent>
            </w:r>
          </w:p>
          <w:p w14:paraId="442967BE">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b/>
                <w:bCs/>
                <w:color w:val="auto"/>
                <w:sz w:val="24"/>
                <w:szCs w:val="24"/>
              </w:rPr>
            </w:pPr>
            <w:r>
              <w:rPr>
                <w:rFonts w:hint="eastAsia"/>
                <w:b/>
                <w:bCs/>
                <w:color w:val="auto"/>
                <w:sz w:val="24"/>
                <w:szCs w:val="24"/>
              </w:rPr>
              <w:t>图2-1 本项目水平衡图（单位t/a）</w:t>
            </w:r>
          </w:p>
          <w:p w14:paraId="06584926">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b/>
                <w:bCs/>
                <w:color w:val="auto"/>
                <w:sz w:val="24"/>
                <w:szCs w:val="24"/>
              </w:rPr>
            </w:pPr>
            <w:r>
              <w:rPr>
                <w:rFonts w:hint="eastAsia"/>
                <w:b/>
                <w:bCs/>
                <w:color w:val="auto"/>
                <w:sz w:val="24"/>
                <w:szCs w:val="24"/>
              </w:rPr>
              <mc:AlternateContent>
                <mc:Choice Requires="wpc">
                  <w:drawing>
                    <wp:inline distT="0" distB="0" distL="114300" distR="114300">
                      <wp:extent cx="5298440" cy="3415030"/>
                      <wp:effectExtent l="0" t="0" r="0" b="13970"/>
                      <wp:docPr id="90" name="画布 90"/>
                      <wp:cNvGraphicFramePr/>
                      <a:graphic xmlns:a="http://schemas.openxmlformats.org/drawingml/2006/main">
                        <a:graphicData uri="http://schemas.microsoft.com/office/word/2010/wordprocessingCanvas">
                          <wpc:wpc>
                            <wpc:bg/>
                            <wpc:whole/>
                            <wps:wsp>
                              <wps:cNvPr id="91" name="矩形 12"/>
                              <wps:cNvSpPr/>
                              <wps:spPr>
                                <a:xfrm>
                                  <a:off x="2210435" y="412115"/>
                                  <a:ext cx="556895" cy="180340"/>
                                </a:xfrm>
                                <a:prstGeom prst="rect">
                                  <a:avLst/>
                                </a:prstGeom>
                                <a:noFill/>
                                <a:ln w="6350">
                                  <a:solidFill>
                                    <a:schemeClr val="tx1"/>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755F459D">
                                    <w:pPr>
                                      <w:jc w:val="center"/>
                                      <w:rPr>
                                        <w:rFonts w:hint="default" w:eastAsia="宋体"/>
                                        <w:color w:val="000000" w:themeColor="text1"/>
                                        <w:sz w:val="18"/>
                                        <w:szCs w:val="18"/>
                                        <w:lang w:val="en-US" w:eastAsia="zh-CN"/>
                                        <w14:textFill>
                                          <w14:solidFill>
                                            <w14:schemeClr w14:val="tx1"/>
                                          </w14:solidFill>
                                        </w14:textFill>
                                        <w14:props3d w14:extrusionH="0" w14:contourW="0" w14:prstMaterial="clear"/>
                                      </w:rPr>
                                    </w:pPr>
                                    <w:r>
                                      <w:rPr>
                                        <w:rFonts w:hint="eastAsia"/>
                                        <w:color w:val="000000" w:themeColor="text1"/>
                                        <w:sz w:val="18"/>
                                        <w:szCs w:val="18"/>
                                        <w:lang w:val="en-US" w:eastAsia="zh-CN"/>
                                        <w14:textFill>
                                          <w14:solidFill>
                                            <w14:schemeClr w14:val="tx1"/>
                                          </w14:solidFill>
                                        </w14:textFill>
                                        <w14:props3d w14:extrusionH="0" w14:contourW="0" w14:prstMaterial="clear"/>
                                      </w:rPr>
                                      <w:t>化粪池</w:t>
                                    </w:r>
                                  </w:p>
                                </w:txbxContent>
                              </wps:txbx>
                              <wps:bodyPr rot="0" spcFirstLastPara="0" vertOverflow="overflow" horzOverflow="overflow" vert="horz" wrap="square" lIns="0" tIns="0" rIns="0" bIns="0" numCol="1" spcCol="0" rtlCol="0" fromWordArt="0" anchor="ctr" anchorCtr="0" forceAA="0" compatLnSpc="1">
                                <a:noAutofit/>
                              </wps:bodyPr>
                            </wps:wsp>
                            <wps:wsp>
                              <wps:cNvPr id="92" name="矩形 14"/>
                              <wps:cNvSpPr/>
                              <wps:spPr>
                                <a:xfrm>
                                  <a:off x="3183255" y="346710"/>
                                  <a:ext cx="768350" cy="316230"/>
                                </a:xfrm>
                                <a:prstGeom prst="rect">
                                  <a:avLst/>
                                </a:prstGeom>
                                <a:noFill/>
                                <a:ln w="6350">
                                  <a:solidFill>
                                    <a:schemeClr val="tx1"/>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69F8F077">
                                    <w:pPr>
                                      <w:jc w:val="center"/>
                                      <w:rPr>
                                        <w:rFonts w:hint="eastAsia"/>
                                        <w:color w:val="000000" w:themeColor="text1"/>
                                        <w:sz w:val="18"/>
                                        <w:szCs w:val="18"/>
                                        <w:lang w:val="en-US" w:eastAsia="zh-CN"/>
                                        <w14:textFill>
                                          <w14:solidFill>
                                            <w14:schemeClr w14:val="tx1"/>
                                          </w14:solidFill>
                                        </w14:textFill>
                                        <w14:props3d w14:extrusionH="0" w14:contourW="0" w14:prstMaterial="clear"/>
                                      </w:rPr>
                                    </w:pPr>
                                    <w:r>
                                      <w:rPr>
                                        <w:rFonts w:hint="default"/>
                                        <w:color w:val="000000" w:themeColor="text1"/>
                                        <w:sz w:val="18"/>
                                        <w:szCs w:val="18"/>
                                        <w:lang w:val="en-US" w:eastAsia="zh-CN"/>
                                        <w14:textFill>
                                          <w14:solidFill>
                                            <w14:schemeClr w14:val="tx1"/>
                                          </w14:solidFill>
                                        </w14:textFill>
                                        <w14:props3d w14:extrusionH="0" w14:contourW="0" w14:prstMaterial="clear"/>
                                      </w:rPr>
                                      <w:t>鹰泰水务海安有限公司</w:t>
                                    </w:r>
                                  </w:p>
                                </w:txbxContent>
                              </wps:txbx>
                              <wps:bodyPr rot="0" spcFirstLastPara="0" vertOverflow="overflow" horzOverflow="overflow" vert="horz" wrap="square" lIns="0" tIns="0" rIns="0" bIns="0" numCol="1" spcCol="0" rtlCol="0" fromWordArt="0" anchor="ctr" anchorCtr="0" forceAA="0" compatLnSpc="1">
                                <a:noAutofit/>
                              </wps:bodyPr>
                            </wps:wsp>
                            <wps:wsp>
                              <wps:cNvPr id="93" name="矩形 16"/>
                              <wps:cNvSpPr/>
                              <wps:spPr>
                                <a:xfrm>
                                  <a:off x="4351020" y="414020"/>
                                  <a:ext cx="500380" cy="189230"/>
                                </a:xfrm>
                                <a:prstGeom prst="rect">
                                  <a:avLst/>
                                </a:prstGeom>
                                <a:noFill/>
                                <a:ln w="6350">
                                  <a:noFill/>
                                </a:ln>
                              </wps:spPr>
                              <wps:style>
                                <a:lnRef idx="2">
                                  <a:schemeClr val="accent1">
                                    <a:lumMod val="75000"/>
                                  </a:schemeClr>
                                </a:lnRef>
                                <a:fillRef idx="1">
                                  <a:schemeClr val="accent1"/>
                                </a:fillRef>
                                <a:effectRef idx="0">
                                  <a:srgbClr val="FFFFFF"/>
                                </a:effectRef>
                                <a:fontRef idx="minor">
                                  <a:schemeClr val="lt1"/>
                                </a:fontRef>
                              </wps:style>
                              <wps:txbx>
                                <w:txbxContent>
                                  <w:p w14:paraId="27B6BCD3">
                                    <w:pPr>
                                      <w:jc w:val="center"/>
                                      <w:rPr>
                                        <w:rFonts w:hint="eastAsia" w:ascii="Times New Roman" w:hAnsi="Times New Roman" w:eastAsia="宋体" w:cs="Times New Roman"/>
                                        <w:color w:val="000000" w:themeColor="text1"/>
                                        <w:sz w:val="18"/>
                                        <w:szCs w:val="18"/>
                                        <w:lang w:val="en-US" w:eastAsia="zh-CN"/>
                                        <w14:textFill>
                                          <w14:solidFill>
                                            <w14:schemeClr w14:val="tx1"/>
                                          </w14:solidFill>
                                        </w14:textFill>
                                        <w14:props3d w14:extrusionH="0" w14:contourW="0" w14:prstMaterial="clear"/>
                                      </w:rPr>
                                    </w:pPr>
                                    <w:r>
                                      <w:rPr>
                                        <w:rFonts w:hint="eastAsia" w:ascii="Times New Roman" w:hAnsi="Times New Roman" w:eastAsia="宋体" w:cs="Times New Roman"/>
                                        <w:color w:val="000000" w:themeColor="text1"/>
                                        <w:sz w:val="18"/>
                                        <w:szCs w:val="18"/>
                                        <w:lang w:val="en-US" w:eastAsia="zh-CN"/>
                                        <w14:textFill>
                                          <w14:solidFill>
                                            <w14:schemeClr w14:val="tx1"/>
                                          </w14:solidFill>
                                        </w14:textFill>
                                        <w14:props3d w14:extrusionH="0" w14:contourW="0" w14:prstMaterial="clear"/>
                                      </w:rPr>
                                      <w:t>栟茶运河</w:t>
                                    </w:r>
                                  </w:p>
                                </w:txbxContent>
                              </wps:txbx>
                              <wps:bodyPr rot="0" spcFirstLastPara="0" vertOverflow="overflow" horzOverflow="overflow" vert="horz" wrap="square" lIns="0" tIns="0" rIns="0" bIns="0" numCol="1" spcCol="0" rtlCol="0" fromWordArt="0" anchor="ctr" anchorCtr="0" forceAA="0" compatLnSpc="1">
                                <a:noAutofit/>
                              </wps:bodyPr>
                            </wps:wsp>
                            <wps:wsp>
                              <wps:cNvPr id="94" name="直接箭头连接符 2"/>
                              <wps:cNvCnPr/>
                              <wps:spPr>
                                <a:xfrm>
                                  <a:off x="1739900" y="506095"/>
                                  <a:ext cx="468000" cy="0"/>
                                </a:xfrm>
                                <a:prstGeom prst="straightConnector1">
                                  <a:avLst/>
                                </a:prstGeom>
                                <a:ln w="6350">
                                  <a:solidFill>
                                    <a:schemeClr val="tx1"/>
                                  </a:solidFill>
                                  <a:tailEnd type="triangle" w="med" len="lg"/>
                                </a:ln>
                              </wps:spPr>
                              <wps:style>
                                <a:lnRef idx="2">
                                  <a:schemeClr val="accent1"/>
                                </a:lnRef>
                                <a:fillRef idx="0">
                                  <a:srgbClr val="FFFFFF"/>
                                </a:fillRef>
                                <a:effectRef idx="0">
                                  <a:srgbClr val="FFFFFF"/>
                                </a:effectRef>
                                <a:fontRef idx="minor">
                                  <a:schemeClr val="tx1"/>
                                </a:fontRef>
                              </wps:style>
                              <wps:bodyPr/>
                            </wps:wsp>
                            <wps:wsp>
                              <wps:cNvPr id="95" name="矩形 6"/>
                              <wps:cNvSpPr/>
                              <wps:spPr>
                                <a:xfrm>
                                  <a:off x="1398270" y="0"/>
                                  <a:ext cx="626745" cy="180340"/>
                                </a:xfrm>
                                <a:prstGeom prst="rect">
                                  <a:avLst/>
                                </a:prstGeom>
                                <a:noFill/>
                                <a:ln w="6350">
                                  <a:noFill/>
                                </a:ln>
                              </wps:spPr>
                              <wps:style>
                                <a:lnRef idx="2">
                                  <a:schemeClr val="accent1">
                                    <a:lumMod val="75000"/>
                                  </a:schemeClr>
                                </a:lnRef>
                                <a:fillRef idx="1">
                                  <a:schemeClr val="accent1"/>
                                </a:fillRef>
                                <a:effectRef idx="0">
                                  <a:srgbClr val="FFFFFF"/>
                                </a:effectRef>
                                <a:fontRef idx="minor">
                                  <a:schemeClr val="lt1"/>
                                </a:fontRef>
                              </wps:style>
                              <wps:txbx>
                                <w:txbxContent>
                                  <w:p w14:paraId="5098DB6B">
                                    <w:pPr>
                                      <w:jc w:val="center"/>
                                      <w:rPr>
                                        <w:rFonts w:hint="default" w:eastAsia="宋体"/>
                                        <w:color w:val="000000" w:themeColor="text1"/>
                                        <w:sz w:val="18"/>
                                        <w:szCs w:val="18"/>
                                        <w:lang w:val="en-US" w:eastAsia="zh-CN"/>
                                        <w14:textFill>
                                          <w14:solidFill>
                                            <w14:schemeClr w14:val="tx1"/>
                                          </w14:solidFill>
                                        </w14:textFill>
                                        <w14:props3d w14:extrusionH="0" w14:contourW="0" w14:prstMaterial="clear"/>
                                      </w:rPr>
                                    </w:pPr>
                                    <w:r>
                                      <w:rPr>
                                        <w:rFonts w:hint="eastAsia"/>
                                        <w:color w:val="000000" w:themeColor="text1"/>
                                        <w:sz w:val="18"/>
                                        <w:szCs w:val="18"/>
                                        <w14:textFill>
                                          <w14:solidFill>
                                            <w14:schemeClr w14:val="tx1"/>
                                          </w14:solidFill>
                                        </w14:textFill>
                                        <w14:props3d w14:extrusionH="0" w14:contourW="0" w14:prstMaterial="clear"/>
                                      </w:rPr>
                                      <w:t>损耗</w:t>
                                    </w:r>
                                    <w:r>
                                      <w:rPr>
                                        <w:rFonts w:hint="eastAsia"/>
                                        <w:color w:val="000000" w:themeColor="text1"/>
                                        <w:sz w:val="18"/>
                                        <w:szCs w:val="18"/>
                                        <w:lang w:val="en-US" w:eastAsia="zh-CN"/>
                                        <w14:textFill>
                                          <w14:solidFill>
                                            <w14:schemeClr w14:val="tx1"/>
                                          </w14:solidFill>
                                        </w14:textFill>
                                        <w14:props3d w14:extrusionH="0" w14:contourW="0" w14:prstMaterial="clear"/>
                                      </w:rPr>
                                      <w:t>462</w:t>
                                    </w:r>
                                  </w:p>
                                </w:txbxContent>
                              </wps:txbx>
                              <wps:bodyPr rot="0" spcFirstLastPara="0" vertOverflow="overflow" horzOverflow="overflow" vert="horz" wrap="square" lIns="0" tIns="0" rIns="0" bIns="0" numCol="1" spcCol="0" rtlCol="0" fromWordArt="0" anchor="ctr" anchorCtr="0" forceAA="0" compatLnSpc="1">
                                <a:noAutofit/>
                              </wps:bodyPr>
                            </wps:wsp>
                            <wps:wsp>
                              <wps:cNvPr id="96" name="矩形 5"/>
                              <wps:cNvSpPr/>
                              <wps:spPr>
                                <a:xfrm>
                                  <a:off x="1179830" y="412750"/>
                                  <a:ext cx="556895" cy="180340"/>
                                </a:xfrm>
                                <a:prstGeom prst="rect">
                                  <a:avLst/>
                                </a:prstGeom>
                                <a:noFill/>
                                <a:ln w="6350">
                                  <a:solidFill>
                                    <a:schemeClr val="tx1"/>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4AF55F5C">
                                    <w:pPr>
                                      <w:jc w:val="center"/>
                                      <w:rPr>
                                        <w:rFonts w:hint="eastAsia" w:eastAsia="宋体"/>
                                        <w:color w:val="000000" w:themeColor="text1"/>
                                        <w:sz w:val="18"/>
                                        <w:szCs w:val="18"/>
                                        <w:lang w:val="en-US" w:eastAsia="zh-CN"/>
                                        <w14:textFill>
                                          <w14:solidFill>
                                            <w14:schemeClr w14:val="tx1"/>
                                          </w14:solidFill>
                                        </w14:textFill>
                                        <w14:props3d w14:extrusionH="0" w14:contourW="0" w14:prstMaterial="clear"/>
                                      </w:rPr>
                                    </w:pPr>
                                    <w:r>
                                      <w:rPr>
                                        <w:rFonts w:hint="eastAsia"/>
                                        <w:color w:val="000000" w:themeColor="text1"/>
                                        <w:sz w:val="18"/>
                                        <w:szCs w:val="18"/>
                                        <w:lang w:val="en-US" w:eastAsia="zh-CN"/>
                                        <w14:textFill>
                                          <w14:solidFill>
                                            <w14:schemeClr w14:val="tx1"/>
                                          </w14:solidFill>
                                        </w14:textFill>
                                        <w14:props3d w14:extrusionH="0" w14:contourW="0" w14:prstMaterial="clear"/>
                                      </w:rPr>
                                      <w:t>生活用水</w:t>
                                    </w:r>
                                  </w:p>
                                </w:txbxContent>
                              </wps:txbx>
                              <wps:bodyPr rot="0" spcFirstLastPara="0" vertOverflow="overflow" horzOverflow="overflow" vert="horz" wrap="square" lIns="0" tIns="0" rIns="0" bIns="0" numCol="1" spcCol="0" rtlCol="0" fromWordArt="0" anchor="ctr" anchorCtr="0" forceAA="0" compatLnSpc="1">
                                <a:noAutofit/>
                              </wps:bodyPr>
                            </wps:wsp>
                            <wps:wsp>
                              <wps:cNvPr id="97" name="曲线连接符 22"/>
                              <wps:cNvCnPr/>
                              <wps:spPr>
                                <a:xfrm rot="16200000">
                                  <a:off x="1452245" y="179705"/>
                                  <a:ext cx="259080" cy="219710"/>
                                </a:xfrm>
                                <a:prstGeom prst="curvedConnector3">
                                  <a:avLst>
                                    <a:gd name="adj1" fmla="val 49755"/>
                                  </a:avLst>
                                </a:prstGeom>
                                <a:noFill/>
                                <a:ln w="6350" cap="flat" cmpd="sng" algn="ctr">
                                  <a:solidFill>
                                    <a:sysClr val="windowText" lastClr="000000"/>
                                  </a:solidFill>
                                  <a:prstDash val="solid"/>
                                  <a:tailEnd type="arrow" w="med" len="med"/>
                                </a:ln>
                                <a:effectLst/>
                              </wps:spPr>
                              <wps:style>
                                <a:lnRef idx="1">
                                  <a:schemeClr val="dk1"/>
                                </a:lnRef>
                                <a:fillRef idx="0">
                                  <a:schemeClr val="dk1"/>
                                </a:fillRef>
                                <a:effectRef idx="0">
                                  <a:schemeClr val="dk1"/>
                                </a:effectRef>
                                <a:fontRef idx="minor">
                                  <a:schemeClr val="tx1"/>
                                </a:fontRef>
                              </wps:style>
                              <wps:bodyPr/>
                            </wps:wsp>
                            <wps:wsp>
                              <wps:cNvPr id="98" name="直接箭头连接符 75"/>
                              <wps:cNvCnPr/>
                              <wps:spPr>
                                <a:xfrm>
                                  <a:off x="670560" y="506095"/>
                                  <a:ext cx="504190" cy="0"/>
                                </a:xfrm>
                                <a:prstGeom prst="straightConnector1">
                                  <a:avLst/>
                                </a:prstGeom>
                                <a:ln w="6350">
                                  <a:solidFill>
                                    <a:schemeClr val="tx1"/>
                                  </a:solidFill>
                                  <a:tailEnd type="triangle" w="med" len="lg"/>
                                </a:ln>
                              </wps:spPr>
                              <wps:style>
                                <a:lnRef idx="2">
                                  <a:schemeClr val="accent1"/>
                                </a:lnRef>
                                <a:fillRef idx="0">
                                  <a:srgbClr val="FFFFFF"/>
                                </a:fillRef>
                                <a:effectRef idx="0">
                                  <a:srgbClr val="FFFFFF"/>
                                </a:effectRef>
                                <a:fontRef idx="minor">
                                  <a:schemeClr val="tx1"/>
                                </a:fontRef>
                              </wps:style>
                              <wps:bodyPr/>
                            </wps:wsp>
                            <wps:wsp>
                              <wps:cNvPr id="99" name="矩形 27"/>
                              <wps:cNvSpPr/>
                              <wps:spPr>
                                <a:xfrm>
                                  <a:off x="0" y="1358265"/>
                                  <a:ext cx="207010" cy="735965"/>
                                </a:xfrm>
                                <a:prstGeom prst="rect">
                                  <a:avLst/>
                                </a:prstGeom>
                                <a:noFill/>
                                <a:ln w="6350">
                                  <a:noFill/>
                                </a:ln>
                              </wps:spPr>
                              <wps:style>
                                <a:lnRef idx="2">
                                  <a:schemeClr val="accent1">
                                    <a:lumMod val="75000"/>
                                  </a:schemeClr>
                                </a:lnRef>
                                <a:fillRef idx="1">
                                  <a:schemeClr val="accent1"/>
                                </a:fillRef>
                                <a:effectRef idx="0">
                                  <a:srgbClr val="FFFFFF"/>
                                </a:effectRef>
                                <a:fontRef idx="minor">
                                  <a:schemeClr val="lt1"/>
                                </a:fontRef>
                              </wps:style>
                              <wps:txbx>
                                <w:txbxContent>
                                  <w:p w14:paraId="39D03AF6">
                                    <w:pPr>
                                      <w:jc w:val="center"/>
                                      <w:rPr>
                                        <w:color w:val="000000" w:themeColor="text1"/>
                                        <w:sz w:val="18"/>
                                        <w:szCs w:val="18"/>
                                        <w14:textFill>
                                          <w14:solidFill>
                                            <w14:schemeClr w14:val="tx1"/>
                                          </w14:solidFill>
                                        </w14:textFill>
                                        <w14:props3d w14:extrusionH="0" w14:contourW="0" w14:prstMaterial="clear"/>
                                      </w:rPr>
                                    </w:pPr>
                                    <w:r>
                                      <w:rPr>
                                        <w:rFonts w:hint="eastAsia"/>
                                        <w:color w:val="000000" w:themeColor="text1"/>
                                        <w:sz w:val="18"/>
                                        <w:szCs w:val="18"/>
                                        <w14:textFill>
                                          <w14:solidFill>
                                            <w14:schemeClr w14:val="tx1"/>
                                          </w14:solidFill>
                                        </w14:textFill>
                                        <w14:props3d w14:extrusionH="0" w14:contourW="0" w14:prstMaterial="clear"/>
                                      </w:rPr>
                                      <w:t>自来水</w:t>
                                    </w:r>
                                  </w:p>
                                </w:txbxContent>
                              </wps:txbx>
                              <wps:bodyPr rot="0" spcFirstLastPara="0" vertOverflow="overflow" horzOverflow="overflow" vert="horz" wrap="square" lIns="0" tIns="0" rIns="0" bIns="0" numCol="1" spcCol="0" rtlCol="0" fromWordArt="0" anchor="ctr" anchorCtr="0" forceAA="0" compatLnSpc="1">
                                <a:noAutofit/>
                              </wps:bodyPr>
                            </wps:wsp>
                            <wps:wsp>
                              <wps:cNvPr id="100" name="矩形 29"/>
                              <wps:cNvSpPr/>
                              <wps:spPr>
                                <a:xfrm>
                                  <a:off x="641350" y="343535"/>
                                  <a:ext cx="448945" cy="180340"/>
                                </a:xfrm>
                                <a:prstGeom prst="rect">
                                  <a:avLst/>
                                </a:prstGeom>
                                <a:noFill/>
                                <a:ln w="6350">
                                  <a:noFill/>
                                </a:ln>
                              </wps:spPr>
                              <wps:style>
                                <a:lnRef idx="2">
                                  <a:schemeClr val="accent1">
                                    <a:lumMod val="75000"/>
                                  </a:schemeClr>
                                </a:lnRef>
                                <a:fillRef idx="1">
                                  <a:schemeClr val="accent1"/>
                                </a:fillRef>
                                <a:effectRef idx="0">
                                  <a:srgbClr val="FFFFFF"/>
                                </a:effectRef>
                                <a:fontRef idx="minor">
                                  <a:schemeClr val="lt1"/>
                                </a:fontRef>
                              </wps:style>
                              <wps:txbx>
                                <w:txbxContent>
                                  <w:p w14:paraId="4E5B269A">
                                    <w:pPr>
                                      <w:jc w:val="center"/>
                                      <w:rPr>
                                        <w:rFonts w:hint="default" w:eastAsia="宋体"/>
                                        <w:color w:val="000000" w:themeColor="text1"/>
                                        <w:sz w:val="18"/>
                                        <w:szCs w:val="18"/>
                                        <w:lang w:val="en-US" w:eastAsia="zh-CN"/>
                                        <w14:textFill>
                                          <w14:solidFill>
                                            <w14:schemeClr w14:val="tx1"/>
                                          </w14:solidFill>
                                        </w14:textFill>
                                        <w14:props3d w14:extrusionH="0" w14:contourW="0" w14:prstMaterial="clear"/>
                                      </w:rPr>
                                    </w:pPr>
                                    <w:r>
                                      <w:rPr>
                                        <w:rFonts w:hint="eastAsia"/>
                                        <w:color w:val="000000" w:themeColor="text1"/>
                                        <w:sz w:val="18"/>
                                        <w:szCs w:val="18"/>
                                        <w:lang w:val="en-US" w:eastAsia="zh-CN"/>
                                        <w14:textFill>
                                          <w14:solidFill>
                                            <w14:schemeClr w14:val="tx1"/>
                                          </w14:solidFill>
                                        </w14:textFill>
                                        <w14:props3d w14:extrusionH="0" w14:contourW="0" w14:prstMaterial="clear"/>
                                      </w:rPr>
                                      <w:t>2620</w:t>
                                    </w:r>
                                  </w:p>
                                </w:txbxContent>
                              </wps:txbx>
                              <wps:bodyPr rot="0" spcFirstLastPara="0" vertOverflow="overflow" horzOverflow="overflow" vert="horz" wrap="square" lIns="0" tIns="0" rIns="0" bIns="0" numCol="1" spcCol="0" rtlCol="0" fromWordArt="0" anchor="ctr" anchorCtr="0" forceAA="0" compatLnSpc="1">
                                <a:noAutofit/>
                              </wps:bodyPr>
                            </wps:wsp>
                            <wps:wsp>
                              <wps:cNvPr id="101" name="直接连接符 89"/>
                              <wps:cNvCnPr/>
                              <wps:spPr>
                                <a:xfrm>
                                  <a:off x="673100" y="500380"/>
                                  <a:ext cx="7620" cy="2339975"/>
                                </a:xfrm>
                                <a:prstGeom prst="line">
                                  <a:avLst/>
                                </a:prstGeom>
                                <a:ln w="6350">
                                  <a:solidFill>
                                    <a:schemeClr val="tx1"/>
                                  </a:solidFill>
                                </a:ln>
                              </wps:spPr>
                              <wps:style>
                                <a:lnRef idx="2">
                                  <a:schemeClr val="accent1"/>
                                </a:lnRef>
                                <a:fillRef idx="0">
                                  <a:srgbClr val="FFFFFF"/>
                                </a:fillRef>
                                <a:effectRef idx="0">
                                  <a:srgbClr val="FFFFFF"/>
                                </a:effectRef>
                                <a:fontRef idx="minor">
                                  <a:schemeClr val="tx1"/>
                                </a:fontRef>
                              </wps:style>
                              <wps:bodyPr/>
                            </wps:wsp>
                            <wps:wsp>
                              <wps:cNvPr id="102" name="直接箭头连接符 95"/>
                              <wps:cNvCnPr/>
                              <wps:spPr>
                                <a:xfrm>
                                  <a:off x="169545" y="1742440"/>
                                  <a:ext cx="504190" cy="0"/>
                                </a:xfrm>
                                <a:prstGeom prst="straightConnector1">
                                  <a:avLst/>
                                </a:prstGeom>
                                <a:ln w="6350">
                                  <a:solidFill>
                                    <a:schemeClr val="tx1"/>
                                  </a:solidFill>
                                  <a:tailEnd type="triangle" w="med" len="lg"/>
                                </a:ln>
                              </wps:spPr>
                              <wps:style>
                                <a:lnRef idx="2">
                                  <a:schemeClr val="accent1"/>
                                </a:lnRef>
                                <a:fillRef idx="0">
                                  <a:srgbClr val="FFFFFF"/>
                                </a:fillRef>
                                <a:effectRef idx="0">
                                  <a:srgbClr val="FFFFFF"/>
                                </a:effectRef>
                                <a:fontRef idx="minor">
                                  <a:schemeClr val="tx1"/>
                                </a:fontRef>
                              </wps:style>
                              <wps:bodyPr/>
                            </wps:wsp>
                            <wps:wsp>
                              <wps:cNvPr id="103" name="矩形 29"/>
                              <wps:cNvSpPr/>
                              <wps:spPr>
                                <a:xfrm>
                                  <a:off x="1680845" y="346075"/>
                                  <a:ext cx="448945" cy="180340"/>
                                </a:xfrm>
                                <a:prstGeom prst="rect">
                                  <a:avLst/>
                                </a:prstGeom>
                                <a:noFill/>
                                <a:ln w="6350">
                                  <a:noFill/>
                                </a:ln>
                              </wps:spPr>
                              <wps:style>
                                <a:lnRef idx="2">
                                  <a:schemeClr val="accent1">
                                    <a:lumMod val="75000"/>
                                  </a:schemeClr>
                                </a:lnRef>
                                <a:fillRef idx="1">
                                  <a:schemeClr val="accent1"/>
                                </a:fillRef>
                                <a:effectRef idx="0">
                                  <a:srgbClr val="FFFFFF"/>
                                </a:effectRef>
                                <a:fontRef idx="minor">
                                  <a:schemeClr val="lt1"/>
                                </a:fontRef>
                              </wps:style>
                              <wps:txbx>
                                <w:txbxContent>
                                  <w:p w14:paraId="1592CABA">
                                    <w:pPr>
                                      <w:jc w:val="center"/>
                                      <w:rPr>
                                        <w:rFonts w:hint="default" w:eastAsia="宋体"/>
                                        <w:color w:val="000000" w:themeColor="text1"/>
                                        <w:sz w:val="18"/>
                                        <w:szCs w:val="18"/>
                                        <w:lang w:val="en-US" w:eastAsia="zh-CN"/>
                                        <w14:textFill>
                                          <w14:solidFill>
                                            <w14:schemeClr w14:val="tx1"/>
                                          </w14:solidFill>
                                        </w14:textFill>
                                        <w14:props3d w14:extrusionH="0" w14:contourW="0" w14:prstMaterial="clear"/>
                                      </w:rPr>
                                    </w:pPr>
                                    <w:r>
                                      <w:rPr>
                                        <w:rFonts w:hint="eastAsia"/>
                                        <w:color w:val="000000" w:themeColor="text1"/>
                                        <w:sz w:val="18"/>
                                        <w:szCs w:val="18"/>
                                        <w:lang w:val="en-US" w:eastAsia="zh-CN"/>
                                        <w14:textFill>
                                          <w14:solidFill>
                                            <w14:schemeClr w14:val="tx1"/>
                                          </w14:solidFill>
                                        </w14:textFill>
                                        <w14:props3d w14:extrusionH="0" w14:contourW="0" w14:prstMaterial="clear"/>
                                      </w:rPr>
                                      <w:t>2158</w:t>
                                    </w:r>
                                  </w:p>
                                </w:txbxContent>
                              </wps:txbx>
                              <wps:bodyPr rot="0" spcFirstLastPara="0" vertOverflow="overflow" horzOverflow="overflow" vert="horz" wrap="square" lIns="0" tIns="0" rIns="0" bIns="0" numCol="1" spcCol="0" rtlCol="0" fromWordArt="0" anchor="ctr" anchorCtr="0" forceAA="0" compatLnSpc="1">
                                <a:noAutofit/>
                              </wps:bodyPr>
                            </wps:wsp>
                            <wps:wsp>
                              <wps:cNvPr id="105" name="直接箭头连接符 91"/>
                              <wps:cNvCnPr/>
                              <wps:spPr>
                                <a:xfrm>
                                  <a:off x="3947160" y="508000"/>
                                  <a:ext cx="416560" cy="0"/>
                                </a:xfrm>
                                <a:prstGeom prst="straightConnector1">
                                  <a:avLst/>
                                </a:prstGeom>
                                <a:ln w="6350">
                                  <a:solidFill>
                                    <a:schemeClr val="tx1"/>
                                  </a:solidFill>
                                  <a:tailEnd type="triangle" w="med" len="lg"/>
                                </a:ln>
                              </wps:spPr>
                              <wps:style>
                                <a:lnRef idx="2">
                                  <a:schemeClr val="accent1"/>
                                </a:lnRef>
                                <a:fillRef idx="0">
                                  <a:srgbClr val="FFFFFF"/>
                                </a:fillRef>
                                <a:effectRef idx="0">
                                  <a:srgbClr val="FFFFFF"/>
                                </a:effectRef>
                                <a:fontRef idx="minor">
                                  <a:schemeClr val="tx1"/>
                                </a:fontRef>
                              </wps:style>
                              <wps:bodyPr/>
                            </wps:wsp>
                            <wpg:wgp>
                              <wpg:cNvPr id="106" name="组合 104"/>
                              <wpg:cNvGrpSpPr/>
                              <wpg:grpSpPr>
                                <a:xfrm>
                                  <a:off x="671830" y="835660"/>
                                  <a:ext cx="1475105" cy="600075"/>
                                  <a:chOff x="1058" y="304"/>
                                  <a:chExt cx="2323" cy="945"/>
                                </a:xfrm>
                              </wpg:grpSpPr>
                              <wps:wsp>
                                <wps:cNvPr id="107" name="直接箭头连接符 91"/>
                                <wps:cNvCnPr/>
                                <wps:spPr>
                                  <a:xfrm>
                                    <a:off x="1058" y="1108"/>
                                    <a:ext cx="737" cy="0"/>
                                  </a:xfrm>
                                  <a:prstGeom prst="straightConnector1">
                                    <a:avLst/>
                                  </a:prstGeom>
                                  <a:ln w="6350">
                                    <a:solidFill>
                                      <a:schemeClr val="tx1"/>
                                    </a:solidFill>
                                    <a:tailEnd type="triangle" w="med" len="lg"/>
                                  </a:ln>
                                </wps:spPr>
                                <wps:style>
                                  <a:lnRef idx="2">
                                    <a:schemeClr val="accent1"/>
                                  </a:lnRef>
                                  <a:fillRef idx="0">
                                    <a:srgbClr val="FFFFFF"/>
                                  </a:fillRef>
                                  <a:effectRef idx="0">
                                    <a:srgbClr val="FFFFFF"/>
                                  </a:effectRef>
                                  <a:fontRef idx="minor">
                                    <a:schemeClr val="tx1"/>
                                  </a:fontRef>
                                </wps:style>
                                <wps:bodyPr/>
                              </wps:wsp>
                              <wps:wsp>
                                <wps:cNvPr id="108" name="矩形 94"/>
                                <wps:cNvSpPr/>
                                <wps:spPr>
                                  <a:xfrm>
                                    <a:off x="1801" y="965"/>
                                    <a:ext cx="1320" cy="284"/>
                                  </a:xfrm>
                                  <a:prstGeom prst="rect">
                                    <a:avLst/>
                                  </a:prstGeom>
                                  <a:noFill/>
                                  <a:ln w="6350">
                                    <a:solidFill>
                                      <a:schemeClr val="tx1"/>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4DDD638E">
                                      <w:pPr>
                                        <w:jc w:val="center"/>
                                        <w:rPr>
                                          <w:rFonts w:hint="default" w:eastAsia="宋体"/>
                                          <w:color w:val="000000" w:themeColor="text1"/>
                                          <w:sz w:val="18"/>
                                          <w:szCs w:val="18"/>
                                          <w:lang w:val="en-US" w:eastAsia="zh-CN"/>
                                          <w14:textFill>
                                            <w14:solidFill>
                                              <w14:schemeClr w14:val="tx1"/>
                                            </w14:solidFill>
                                          </w14:textFill>
                                          <w14:props3d w14:extrusionH="0" w14:contourW="0" w14:prstMaterial="clear"/>
                                        </w:rPr>
                                      </w:pPr>
                                      <w:r>
                                        <w:rPr>
                                          <w:rFonts w:hint="eastAsia"/>
                                          <w:color w:val="000000" w:themeColor="text1"/>
                                          <w:sz w:val="18"/>
                                          <w:szCs w:val="18"/>
                                          <w:lang w:val="en-US" w:eastAsia="zh-CN"/>
                                          <w14:textFill>
                                            <w14:solidFill>
                                              <w14:schemeClr w14:val="tx1"/>
                                            </w14:solidFill>
                                          </w14:textFill>
                                          <w14:props3d w14:extrusionH="0" w14:contourW="0" w14:prstMaterial="clear"/>
                                        </w:rPr>
                                        <w:t>循环冷却水</w:t>
                                      </w:r>
                                    </w:p>
                                  </w:txbxContent>
                                </wps:txbx>
                                <wps:bodyPr rot="0" spcFirstLastPara="0" vertOverflow="overflow" horzOverflow="overflow" vert="horz" wrap="square" lIns="0" tIns="0" rIns="0" bIns="0" numCol="1" spcCol="0" rtlCol="0" fromWordArt="0" anchor="ctr" anchorCtr="0" forceAA="0" compatLnSpc="1">
                                  <a:noAutofit/>
                                </wps:bodyPr>
                              </wps:wsp>
                              <wps:wsp>
                                <wps:cNvPr id="109" name="曲线连接符 22"/>
                                <wps:cNvCnPr/>
                                <wps:spPr>
                                  <a:xfrm rot="16200000">
                                    <a:off x="2431" y="583"/>
                                    <a:ext cx="408" cy="346"/>
                                  </a:xfrm>
                                  <a:prstGeom prst="curvedConnector3">
                                    <a:avLst>
                                      <a:gd name="adj1" fmla="val 49755"/>
                                    </a:avLst>
                                  </a:prstGeom>
                                  <a:noFill/>
                                  <a:ln w="6350" cap="flat" cmpd="sng" algn="ctr">
                                    <a:solidFill>
                                      <a:sysClr val="windowText" lastClr="000000"/>
                                    </a:solidFill>
                                    <a:prstDash val="solid"/>
                                    <a:tailEnd type="arrow" w="med" len="med"/>
                                  </a:ln>
                                  <a:effectLst/>
                                </wps:spPr>
                                <wps:style>
                                  <a:lnRef idx="1">
                                    <a:schemeClr val="dk1"/>
                                  </a:lnRef>
                                  <a:fillRef idx="0">
                                    <a:schemeClr val="dk1"/>
                                  </a:fillRef>
                                  <a:effectRef idx="0">
                                    <a:schemeClr val="dk1"/>
                                  </a:effectRef>
                                  <a:fontRef idx="minor">
                                    <a:schemeClr val="tx1"/>
                                  </a:fontRef>
                                </wps:style>
                                <wps:bodyPr/>
                              </wps:wsp>
                              <wps:wsp>
                                <wps:cNvPr id="110" name="矩形 93"/>
                                <wps:cNvSpPr/>
                                <wps:spPr>
                                  <a:xfrm>
                                    <a:off x="2394" y="304"/>
                                    <a:ext cx="987" cy="284"/>
                                  </a:xfrm>
                                  <a:prstGeom prst="rect">
                                    <a:avLst/>
                                  </a:prstGeom>
                                  <a:noFill/>
                                  <a:ln w="6350">
                                    <a:noFill/>
                                  </a:ln>
                                </wps:spPr>
                                <wps:style>
                                  <a:lnRef idx="2">
                                    <a:schemeClr val="accent1">
                                      <a:lumMod val="75000"/>
                                    </a:schemeClr>
                                  </a:lnRef>
                                  <a:fillRef idx="1">
                                    <a:schemeClr val="accent1"/>
                                  </a:fillRef>
                                  <a:effectRef idx="0">
                                    <a:srgbClr val="FFFFFF"/>
                                  </a:effectRef>
                                  <a:fontRef idx="minor">
                                    <a:schemeClr val="lt1"/>
                                  </a:fontRef>
                                </wps:style>
                                <wps:txbx>
                                  <w:txbxContent>
                                    <w:p w14:paraId="1194AD28">
                                      <w:pPr>
                                        <w:jc w:val="center"/>
                                        <w:rPr>
                                          <w:rFonts w:hint="default" w:eastAsia="宋体"/>
                                          <w:color w:val="000000" w:themeColor="text1"/>
                                          <w:sz w:val="18"/>
                                          <w:szCs w:val="18"/>
                                          <w:lang w:val="en-US" w:eastAsia="zh-CN"/>
                                          <w14:textFill>
                                            <w14:solidFill>
                                              <w14:schemeClr w14:val="tx1"/>
                                            </w14:solidFill>
                                          </w14:textFill>
                                          <w14:props3d w14:extrusionH="0" w14:contourW="0" w14:prstMaterial="clear"/>
                                        </w:rPr>
                                      </w:pPr>
                                      <w:r>
                                        <w:rPr>
                                          <w:rFonts w:hint="eastAsia"/>
                                          <w:color w:val="000000" w:themeColor="text1"/>
                                          <w:sz w:val="18"/>
                                          <w:szCs w:val="18"/>
                                          <w14:textFill>
                                            <w14:solidFill>
                                              <w14:schemeClr w14:val="tx1"/>
                                            </w14:solidFill>
                                          </w14:textFill>
                                          <w14:props3d w14:extrusionH="0" w14:contourW="0" w14:prstMaterial="clear"/>
                                        </w:rPr>
                                        <w:t>损耗</w:t>
                                      </w:r>
                                      <w:r>
                                        <w:rPr>
                                          <w:rFonts w:hint="eastAsia"/>
                                          <w:color w:val="000000" w:themeColor="text1"/>
                                          <w:sz w:val="18"/>
                                          <w:szCs w:val="18"/>
                                          <w:lang w:val="en-US" w:eastAsia="zh-CN"/>
                                          <w14:textFill>
                                            <w14:solidFill>
                                              <w14:schemeClr w14:val="tx1"/>
                                            </w14:solidFill>
                                          </w14:textFill>
                                          <w14:props3d w14:extrusionH="0" w14:contourW="0" w14:prstMaterial="clear"/>
                                        </w:rPr>
                                        <w:t>1755.8</w:t>
                                      </w:r>
                                    </w:p>
                                  </w:txbxContent>
                                </wps:txbx>
                                <wps:bodyPr rot="0" spcFirstLastPara="0" vertOverflow="overflow" horzOverflow="overflow" vert="horz" wrap="square" lIns="0" tIns="0" rIns="0" bIns="0" numCol="1" spcCol="0" rtlCol="0" fromWordArt="0" anchor="ctr" anchorCtr="0" forceAA="0" compatLnSpc="1">
                                  <a:noAutofit/>
                                </wps:bodyPr>
                              </wps:wsp>
                              <wps:wsp>
                                <wps:cNvPr id="111" name="矩形 30"/>
                                <wps:cNvSpPr/>
                                <wps:spPr>
                                  <a:xfrm>
                                    <a:off x="1060" y="902"/>
                                    <a:ext cx="566" cy="203"/>
                                  </a:xfrm>
                                  <a:prstGeom prst="rect">
                                    <a:avLst/>
                                  </a:prstGeom>
                                  <a:noFill/>
                                  <a:ln w="6350">
                                    <a:noFill/>
                                  </a:ln>
                                </wps:spPr>
                                <wps:style>
                                  <a:lnRef idx="2">
                                    <a:schemeClr val="accent1">
                                      <a:lumMod val="75000"/>
                                    </a:schemeClr>
                                  </a:lnRef>
                                  <a:fillRef idx="1">
                                    <a:schemeClr val="accent1"/>
                                  </a:fillRef>
                                  <a:effectRef idx="0">
                                    <a:srgbClr val="FFFFFF"/>
                                  </a:effectRef>
                                  <a:fontRef idx="minor">
                                    <a:schemeClr val="lt1"/>
                                  </a:fontRef>
                                </wps:style>
                                <wps:txbx>
                                  <w:txbxContent>
                                    <w:p w14:paraId="4D7796FB">
                                      <w:pPr>
                                        <w:jc w:val="center"/>
                                        <w:rPr>
                                          <w:rFonts w:hint="default"/>
                                          <w:color w:val="000000" w:themeColor="text1"/>
                                          <w:sz w:val="18"/>
                                          <w:szCs w:val="18"/>
                                          <w:lang w:val="en-US" w:eastAsia="zh-CN"/>
                                          <w14:textFill>
                                            <w14:solidFill>
                                              <w14:schemeClr w14:val="tx1"/>
                                            </w14:solidFill>
                                          </w14:textFill>
                                          <w14:props3d w14:extrusionH="0" w14:contourW="0" w14:prstMaterial="clear"/>
                                        </w:rPr>
                                      </w:pPr>
                                      <w:r>
                                        <w:rPr>
                                          <w:rFonts w:hint="eastAsia"/>
                                          <w:color w:val="000000" w:themeColor="text1"/>
                                          <w:sz w:val="18"/>
                                          <w:szCs w:val="18"/>
                                          <w:lang w:val="en-US" w:eastAsia="zh-CN"/>
                                          <w14:textFill>
                                            <w14:solidFill>
                                              <w14:schemeClr w14:val="tx1"/>
                                            </w14:solidFill>
                                          </w14:textFill>
                                          <w14:props3d w14:extrusionH="0" w14:contourW="0" w14:prstMaterial="clear"/>
                                        </w:rPr>
                                        <w:t>1755.8</w:t>
                                      </w:r>
                                    </w:p>
                                  </w:txbxContent>
                                </wps:txbx>
                                <wps:bodyPr rot="0" spcFirstLastPara="0" vertOverflow="overflow" horzOverflow="overflow" vert="horz" wrap="square" lIns="0" tIns="0" rIns="0" bIns="0" numCol="1" spcCol="0" rtlCol="0" fromWordArt="0" anchor="ctr" anchorCtr="0" forceAA="0" compatLnSpc="1">
                                  <a:noAutofit/>
                                </wps:bodyPr>
                              </wps:wsp>
                            </wpg:wgp>
                            <wps:wsp>
                              <wps:cNvPr id="112" name="矩形 30"/>
                              <wps:cNvSpPr/>
                              <wps:spPr>
                                <a:xfrm>
                                  <a:off x="106045" y="1599565"/>
                                  <a:ext cx="494665" cy="152400"/>
                                </a:xfrm>
                                <a:prstGeom prst="rect">
                                  <a:avLst/>
                                </a:prstGeom>
                                <a:noFill/>
                                <a:ln w="6350">
                                  <a:noFill/>
                                </a:ln>
                              </wps:spPr>
                              <wps:style>
                                <a:lnRef idx="2">
                                  <a:schemeClr val="accent1">
                                    <a:lumMod val="75000"/>
                                  </a:schemeClr>
                                </a:lnRef>
                                <a:fillRef idx="1">
                                  <a:schemeClr val="accent1"/>
                                </a:fillRef>
                                <a:effectRef idx="0">
                                  <a:srgbClr val="FFFFFF"/>
                                </a:effectRef>
                                <a:fontRef idx="minor">
                                  <a:schemeClr val="lt1"/>
                                </a:fontRef>
                              </wps:style>
                              <wps:txbx>
                                <w:txbxContent>
                                  <w:p w14:paraId="26338F85">
                                    <w:pPr>
                                      <w:jc w:val="center"/>
                                      <w:rPr>
                                        <w:rFonts w:hint="default" w:eastAsia="宋体"/>
                                        <w:color w:val="000000" w:themeColor="text1"/>
                                        <w:sz w:val="18"/>
                                        <w:szCs w:val="18"/>
                                        <w:lang w:val="en-US" w:eastAsia="zh-CN"/>
                                        <w14:textFill>
                                          <w14:solidFill>
                                            <w14:schemeClr w14:val="tx1"/>
                                          </w14:solidFill>
                                        </w14:textFill>
                                        <w14:props3d w14:extrusionH="0" w14:contourW="0" w14:prstMaterial="clear"/>
                                      </w:rPr>
                                    </w:pPr>
                                    <w:r>
                                      <w:rPr>
                                        <w:rFonts w:hint="eastAsia"/>
                                        <w:color w:val="000000" w:themeColor="text1"/>
                                        <w:sz w:val="18"/>
                                        <w:szCs w:val="18"/>
                                        <w:lang w:val="en-US" w:eastAsia="zh-CN"/>
                                        <w14:textFill>
                                          <w14:solidFill>
                                            <w14:schemeClr w14:val="tx1"/>
                                          </w14:solidFill>
                                        </w14:textFill>
                                        <w14:props3d w14:extrusionH="0" w14:contourW="0" w14:prstMaterial="clear"/>
                                      </w:rPr>
                                      <w:t>4472.04</w:t>
                                    </w:r>
                                  </w:p>
                                </w:txbxContent>
                              </wps:txbx>
                              <wps:bodyPr rot="0" spcFirstLastPara="0" vertOverflow="overflow" horzOverflow="overflow" vert="horz" wrap="square" lIns="0" tIns="0" rIns="0" bIns="0" numCol="1" spcCol="0" rtlCol="0" fromWordArt="0" anchor="ctr" anchorCtr="0" forceAA="0" compatLnSpc="1">
                                <a:noAutofit/>
                              </wps:bodyPr>
                            </wps:wsp>
                            <wps:wsp>
                              <wps:cNvPr id="113" name="直接箭头连接符 2"/>
                              <wps:cNvCnPr/>
                              <wps:spPr>
                                <a:xfrm>
                                  <a:off x="2769235" y="507365"/>
                                  <a:ext cx="417195" cy="0"/>
                                </a:xfrm>
                                <a:prstGeom prst="straightConnector1">
                                  <a:avLst/>
                                </a:prstGeom>
                                <a:ln w="6350">
                                  <a:solidFill>
                                    <a:schemeClr val="tx1"/>
                                  </a:solidFill>
                                  <a:tailEnd type="triangle" w="med" len="lg"/>
                                </a:ln>
                              </wps:spPr>
                              <wps:style>
                                <a:lnRef idx="2">
                                  <a:schemeClr val="accent1"/>
                                </a:lnRef>
                                <a:fillRef idx="0">
                                  <a:srgbClr val="FFFFFF"/>
                                </a:fillRef>
                                <a:effectRef idx="0">
                                  <a:srgbClr val="FFFFFF"/>
                                </a:effectRef>
                                <a:fontRef idx="minor">
                                  <a:schemeClr val="tx1"/>
                                </a:fontRef>
                              </wps:style>
                              <wps:bodyPr/>
                            </wps:wsp>
                            <wps:wsp>
                              <wps:cNvPr id="114" name="矩形 6"/>
                              <wps:cNvSpPr/>
                              <wps:spPr>
                                <a:xfrm>
                                  <a:off x="2667635" y="375285"/>
                                  <a:ext cx="495935" cy="144145"/>
                                </a:xfrm>
                                <a:prstGeom prst="rect">
                                  <a:avLst/>
                                </a:prstGeom>
                                <a:noFill/>
                                <a:ln w="6350">
                                  <a:noFill/>
                                </a:ln>
                              </wps:spPr>
                              <wps:style>
                                <a:lnRef idx="2">
                                  <a:schemeClr val="accent1">
                                    <a:lumMod val="75000"/>
                                  </a:schemeClr>
                                </a:lnRef>
                                <a:fillRef idx="1">
                                  <a:schemeClr val="accent1"/>
                                </a:fillRef>
                                <a:effectRef idx="0">
                                  <a:srgbClr val="FFFFFF"/>
                                </a:effectRef>
                                <a:fontRef idx="minor">
                                  <a:schemeClr val="lt1"/>
                                </a:fontRef>
                              </wps:style>
                              <wps:txbx>
                                <w:txbxContent>
                                  <w:p w14:paraId="10F0FDC3">
                                    <w:pPr>
                                      <w:jc w:val="center"/>
                                      <w:rPr>
                                        <w:rFonts w:hint="default" w:eastAsia="宋体"/>
                                        <w:color w:val="000000" w:themeColor="text1"/>
                                        <w:sz w:val="18"/>
                                        <w:szCs w:val="18"/>
                                        <w:lang w:val="en-US" w:eastAsia="zh-CN"/>
                                        <w14:textFill>
                                          <w14:solidFill>
                                            <w14:schemeClr w14:val="tx1"/>
                                          </w14:solidFill>
                                        </w14:textFill>
                                        <w14:props3d w14:extrusionH="0" w14:contourW="0" w14:prstMaterial="clear"/>
                                      </w:rPr>
                                    </w:pPr>
                                    <w:r>
                                      <w:rPr>
                                        <w:rFonts w:hint="eastAsia"/>
                                        <w:color w:val="000000" w:themeColor="text1"/>
                                        <w:sz w:val="18"/>
                                        <w:szCs w:val="18"/>
                                        <w:lang w:val="en-US" w:eastAsia="zh-CN"/>
                                        <w14:textFill>
                                          <w14:solidFill>
                                            <w14:schemeClr w14:val="tx1"/>
                                          </w14:solidFill>
                                        </w14:textFill>
                                        <w14:props3d w14:extrusionH="0" w14:contourW="0" w14:prstMaterial="clear"/>
                                      </w:rPr>
                                      <w:t>2158</w:t>
                                    </w:r>
                                  </w:p>
                                </w:txbxContent>
                              </wps:txbx>
                              <wps:bodyPr rot="0" spcFirstLastPara="0" vertOverflow="overflow" horzOverflow="overflow" vert="horz" wrap="square" lIns="0" tIns="0" rIns="0" bIns="0" numCol="1" spcCol="0" rtlCol="0" fromWordArt="0" anchor="ctr" anchorCtr="0" forceAA="0" compatLnSpc="1">
                                <a:noAutofit/>
                              </wps:bodyPr>
                            </wps:wsp>
                            <wps:wsp>
                              <wps:cNvPr id="115" name="矩形 29"/>
                              <wps:cNvSpPr/>
                              <wps:spPr>
                                <a:xfrm>
                                  <a:off x="3982720" y="357505"/>
                                  <a:ext cx="448945" cy="180340"/>
                                </a:xfrm>
                                <a:prstGeom prst="rect">
                                  <a:avLst/>
                                </a:prstGeom>
                                <a:noFill/>
                                <a:ln w="6350">
                                  <a:noFill/>
                                </a:ln>
                              </wps:spPr>
                              <wps:style>
                                <a:lnRef idx="2">
                                  <a:schemeClr val="accent1">
                                    <a:lumMod val="75000"/>
                                  </a:schemeClr>
                                </a:lnRef>
                                <a:fillRef idx="1">
                                  <a:schemeClr val="accent1"/>
                                </a:fillRef>
                                <a:effectRef idx="0">
                                  <a:srgbClr val="FFFFFF"/>
                                </a:effectRef>
                                <a:fontRef idx="minor">
                                  <a:schemeClr val="lt1"/>
                                </a:fontRef>
                              </wps:style>
                              <wps:txbx>
                                <w:txbxContent>
                                  <w:p w14:paraId="2988D085">
                                    <w:pPr>
                                      <w:jc w:val="both"/>
                                      <w:rPr>
                                        <w:rFonts w:hint="default" w:eastAsia="宋体"/>
                                        <w:color w:val="000000" w:themeColor="text1"/>
                                        <w:sz w:val="18"/>
                                        <w:szCs w:val="18"/>
                                        <w:lang w:val="en-US" w:eastAsia="zh-CN"/>
                                        <w14:textFill>
                                          <w14:solidFill>
                                            <w14:schemeClr w14:val="tx1"/>
                                          </w14:solidFill>
                                        </w14:textFill>
                                        <w14:props3d w14:extrusionH="0" w14:contourW="0" w14:prstMaterial="clear"/>
                                      </w:rPr>
                                    </w:pPr>
                                    <w:r>
                                      <w:rPr>
                                        <w:rFonts w:hint="eastAsia"/>
                                        <w:color w:val="000000" w:themeColor="text1"/>
                                        <w:sz w:val="18"/>
                                        <w:szCs w:val="18"/>
                                        <w:lang w:val="en-US" w:eastAsia="zh-CN"/>
                                        <w14:textFill>
                                          <w14:solidFill>
                                            <w14:schemeClr w14:val="tx1"/>
                                          </w14:solidFill>
                                        </w14:textFill>
                                        <w14:props3d w14:extrusionH="0" w14:contourW="0" w14:prstMaterial="clear"/>
                                      </w:rPr>
                                      <w:t>2158</w:t>
                                    </w:r>
                                  </w:p>
                                </w:txbxContent>
                              </wps:txbx>
                              <wps:bodyPr rot="0" spcFirstLastPara="0" vertOverflow="overflow" horzOverflow="overflow" vert="horz" wrap="square" lIns="0" tIns="0" rIns="0" bIns="0" numCol="1" spcCol="0" rtlCol="0" fromWordArt="0" anchor="ctr" anchorCtr="0" forceAA="0" compatLnSpc="1">
                                <a:noAutofit/>
                              </wps:bodyPr>
                            </wps:wsp>
                            <wpg:wgp>
                              <wpg:cNvPr id="116" name="组合 42"/>
                              <wpg:cNvGrpSpPr/>
                              <wpg:grpSpPr>
                                <a:xfrm>
                                  <a:off x="671830" y="1607820"/>
                                  <a:ext cx="4387850" cy="1764030"/>
                                  <a:chOff x="1058" y="303"/>
                                  <a:chExt cx="6910" cy="2778"/>
                                </a:xfrm>
                              </wpg:grpSpPr>
                              <wps:wsp>
                                <wps:cNvPr id="117" name="直接箭头连接符 91"/>
                                <wps:cNvCnPr/>
                                <wps:spPr>
                                  <a:xfrm>
                                    <a:off x="1058" y="1108"/>
                                    <a:ext cx="737" cy="0"/>
                                  </a:xfrm>
                                  <a:prstGeom prst="straightConnector1">
                                    <a:avLst/>
                                  </a:prstGeom>
                                  <a:ln w="6350">
                                    <a:solidFill>
                                      <a:schemeClr val="tx1"/>
                                    </a:solidFill>
                                    <a:tailEnd type="triangle" w="med" len="lg"/>
                                  </a:ln>
                                </wps:spPr>
                                <wps:style>
                                  <a:lnRef idx="2">
                                    <a:schemeClr val="accent1"/>
                                  </a:lnRef>
                                  <a:fillRef idx="0">
                                    <a:srgbClr val="FFFFFF"/>
                                  </a:fillRef>
                                  <a:effectRef idx="0">
                                    <a:srgbClr val="FFFFFF"/>
                                  </a:effectRef>
                                  <a:fontRef idx="minor">
                                    <a:schemeClr val="tx1"/>
                                  </a:fontRef>
                                </wps:style>
                                <wps:bodyPr/>
                              </wps:wsp>
                              <wps:wsp>
                                <wps:cNvPr id="118" name="矩形 94"/>
                                <wps:cNvSpPr/>
                                <wps:spPr>
                                  <a:xfrm>
                                    <a:off x="1801" y="965"/>
                                    <a:ext cx="1320" cy="284"/>
                                  </a:xfrm>
                                  <a:prstGeom prst="rect">
                                    <a:avLst/>
                                  </a:prstGeom>
                                  <a:noFill/>
                                  <a:ln w="6350">
                                    <a:solidFill>
                                      <a:schemeClr val="tx1"/>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27ACB6D7">
                                      <w:pPr>
                                        <w:jc w:val="center"/>
                                        <w:rPr>
                                          <w:rFonts w:hint="default" w:eastAsia="宋体"/>
                                          <w:color w:val="000000" w:themeColor="text1"/>
                                          <w:sz w:val="18"/>
                                          <w:szCs w:val="18"/>
                                          <w:lang w:val="en-US" w:eastAsia="zh-CN"/>
                                          <w14:textFill>
                                            <w14:solidFill>
                                              <w14:schemeClr w14:val="tx1"/>
                                            </w14:solidFill>
                                          </w14:textFill>
                                          <w14:props3d w14:extrusionH="0" w14:contourW="0" w14:prstMaterial="clear"/>
                                        </w:rPr>
                                      </w:pPr>
                                      <w:r>
                                        <w:rPr>
                                          <w:rFonts w:hint="eastAsia"/>
                                          <w:color w:val="000000" w:themeColor="text1"/>
                                          <w:sz w:val="18"/>
                                          <w:szCs w:val="18"/>
                                          <w:lang w:val="en-US" w:eastAsia="zh-CN"/>
                                          <w14:textFill>
                                            <w14:solidFill>
                                              <w14:schemeClr w14:val="tx1"/>
                                            </w14:solidFill>
                                          </w14:textFill>
                                          <w14:props3d w14:extrusionH="0" w14:contourW="0" w14:prstMaterial="clear"/>
                                        </w:rPr>
                                        <w:t>切削液调配用水</w:t>
                                      </w:r>
                                    </w:p>
                                  </w:txbxContent>
                                </wps:txbx>
                                <wps:bodyPr rot="0" spcFirstLastPara="0" vertOverflow="overflow" horzOverflow="overflow" vert="horz" wrap="square" lIns="0" tIns="0" rIns="0" bIns="0" numCol="1" spcCol="0" rtlCol="0" fromWordArt="0" anchor="ctr" anchorCtr="0" forceAA="0" compatLnSpc="1">
                                  <a:noAutofit/>
                                </wps:bodyPr>
                              </wps:wsp>
                              <wps:wsp>
                                <wps:cNvPr id="119" name="曲线连接符 22"/>
                                <wps:cNvCnPr/>
                                <wps:spPr>
                                  <a:xfrm rot="16200000">
                                    <a:off x="2431" y="583"/>
                                    <a:ext cx="408" cy="346"/>
                                  </a:xfrm>
                                  <a:prstGeom prst="curvedConnector3">
                                    <a:avLst>
                                      <a:gd name="adj1" fmla="val 49755"/>
                                    </a:avLst>
                                  </a:prstGeom>
                                  <a:noFill/>
                                  <a:ln w="6350" cap="flat" cmpd="sng" algn="ctr">
                                    <a:solidFill>
                                      <a:sysClr val="windowText" lastClr="000000"/>
                                    </a:solidFill>
                                    <a:prstDash val="solid"/>
                                    <a:tailEnd type="arrow" w="med" len="med"/>
                                  </a:ln>
                                  <a:effectLst/>
                                </wps:spPr>
                                <wps:style>
                                  <a:lnRef idx="1">
                                    <a:schemeClr val="dk1"/>
                                  </a:lnRef>
                                  <a:fillRef idx="0">
                                    <a:schemeClr val="dk1"/>
                                  </a:fillRef>
                                  <a:effectRef idx="0">
                                    <a:schemeClr val="dk1"/>
                                  </a:effectRef>
                                  <a:fontRef idx="minor">
                                    <a:schemeClr val="tx1"/>
                                  </a:fontRef>
                                </wps:style>
                                <wps:bodyPr/>
                              </wps:wsp>
                              <wps:wsp>
                                <wps:cNvPr id="120" name="矩形 93"/>
                                <wps:cNvSpPr/>
                                <wps:spPr>
                                  <a:xfrm>
                                    <a:off x="2394" y="304"/>
                                    <a:ext cx="987" cy="284"/>
                                  </a:xfrm>
                                  <a:prstGeom prst="rect">
                                    <a:avLst/>
                                  </a:prstGeom>
                                  <a:noFill/>
                                  <a:ln w="6350">
                                    <a:noFill/>
                                  </a:ln>
                                </wps:spPr>
                                <wps:style>
                                  <a:lnRef idx="2">
                                    <a:schemeClr val="accent1">
                                      <a:lumMod val="75000"/>
                                    </a:schemeClr>
                                  </a:lnRef>
                                  <a:fillRef idx="1">
                                    <a:schemeClr val="accent1"/>
                                  </a:fillRef>
                                  <a:effectRef idx="0">
                                    <a:srgbClr val="FFFFFF"/>
                                  </a:effectRef>
                                  <a:fontRef idx="minor">
                                    <a:schemeClr val="lt1"/>
                                  </a:fontRef>
                                </wps:style>
                                <wps:txbx>
                                  <w:txbxContent>
                                    <w:p w14:paraId="479CB658">
                                      <w:pPr>
                                        <w:jc w:val="center"/>
                                        <w:rPr>
                                          <w:rFonts w:hint="default" w:eastAsia="宋体"/>
                                          <w:color w:val="000000" w:themeColor="text1"/>
                                          <w:sz w:val="18"/>
                                          <w:szCs w:val="18"/>
                                          <w:lang w:val="en-US" w:eastAsia="zh-CN"/>
                                          <w14:textFill>
                                            <w14:solidFill>
                                              <w14:schemeClr w14:val="tx1"/>
                                            </w14:solidFill>
                                          </w14:textFill>
                                          <w14:props3d w14:extrusionH="0" w14:contourW="0" w14:prstMaterial="clear"/>
                                        </w:rPr>
                                      </w:pPr>
                                      <w:r>
                                        <w:rPr>
                                          <w:rFonts w:hint="eastAsia"/>
                                          <w:color w:val="000000" w:themeColor="text1"/>
                                          <w:sz w:val="18"/>
                                          <w:szCs w:val="18"/>
                                          <w14:textFill>
                                            <w14:solidFill>
                                              <w14:schemeClr w14:val="tx1"/>
                                            </w14:solidFill>
                                          </w14:textFill>
                                          <w14:props3d w14:extrusionH="0" w14:contourW="0" w14:prstMaterial="clear"/>
                                        </w:rPr>
                                        <w:t>损耗</w:t>
                                      </w:r>
                                      <w:r>
                                        <w:rPr>
                                          <w:rFonts w:hint="eastAsia"/>
                                          <w:color w:val="000000" w:themeColor="text1"/>
                                          <w:sz w:val="18"/>
                                          <w:szCs w:val="18"/>
                                          <w:lang w:val="en-US" w:eastAsia="zh-CN"/>
                                          <w14:textFill>
                                            <w14:solidFill>
                                              <w14:schemeClr w14:val="tx1"/>
                                            </w14:solidFill>
                                          </w14:textFill>
                                          <w14:props3d w14:extrusionH="0" w14:contourW="0" w14:prstMaterial="clear"/>
                                        </w:rPr>
                                        <w:t>70.74</w:t>
                                      </w:r>
                                    </w:p>
                                  </w:txbxContent>
                                </wps:txbx>
                                <wps:bodyPr rot="0" spcFirstLastPara="0" vertOverflow="overflow" horzOverflow="overflow" vert="horz" wrap="square" lIns="0" tIns="0" rIns="0" bIns="0" numCol="1" spcCol="0" rtlCol="0" fromWordArt="0" anchor="ctr" anchorCtr="0" forceAA="0" compatLnSpc="1">
                                  <a:noAutofit/>
                                </wps:bodyPr>
                              </wps:wsp>
                              <wps:wsp>
                                <wps:cNvPr id="121" name="矩形 30"/>
                                <wps:cNvSpPr/>
                                <wps:spPr>
                                  <a:xfrm>
                                    <a:off x="1060" y="902"/>
                                    <a:ext cx="566" cy="240"/>
                                  </a:xfrm>
                                  <a:prstGeom prst="rect">
                                    <a:avLst/>
                                  </a:prstGeom>
                                  <a:noFill/>
                                  <a:ln w="6350">
                                    <a:noFill/>
                                  </a:ln>
                                </wps:spPr>
                                <wps:style>
                                  <a:lnRef idx="2">
                                    <a:schemeClr val="accent1">
                                      <a:lumMod val="75000"/>
                                    </a:schemeClr>
                                  </a:lnRef>
                                  <a:fillRef idx="1">
                                    <a:schemeClr val="accent1"/>
                                  </a:fillRef>
                                  <a:effectRef idx="0">
                                    <a:srgbClr val="FFFFFF"/>
                                  </a:effectRef>
                                  <a:fontRef idx="minor">
                                    <a:schemeClr val="lt1"/>
                                  </a:fontRef>
                                </wps:style>
                                <wps:txbx>
                                  <w:txbxContent>
                                    <w:p w14:paraId="7537CD43">
                                      <w:pPr>
                                        <w:jc w:val="center"/>
                                        <w:rPr>
                                          <w:rFonts w:hint="default"/>
                                          <w:color w:val="000000" w:themeColor="text1"/>
                                          <w:sz w:val="18"/>
                                          <w:szCs w:val="18"/>
                                          <w:lang w:val="en-US" w:eastAsia="zh-CN"/>
                                          <w14:textFill>
                                            <w14:solidFill>
                                              <w14:schemeClr w14:val="tx1"/>
                                            </w14:solidFill>
                                          </w14:textFill>
                                          <w14:props3d w14:extrusionH="0" w14:contourW="0" w14:prstMaterial="clear"/>
                                        </w:rPr>
                                      </w:pPr>
                                      <w:r>
                                        <w:rPr>
                                          <w:rFonts w:hint="eastAsia"/>
                                          <w:color w:val="000000" w:themeColor="text1"/>
                                          <w:sz w:val="18"/>
                                          <w:szCs w:val="18"/>
                                          <w:lang w:val="en-US" w:eastAsia="zh-CN"/>
                                          <w14:textFill>
                                            <w14:solidFill>
                                              <w14:schemeClr w14:val="tx1"/>
                                            </w14:solidFill>
                                          </w14:textFill>
                                          <w14:props3d w14:extrusionH="0" w14:contourW="0" w14:prstMaterial="clear"/>
                                        </w:rPr>
                                        <w:t>78.6</w:t>
                                      </w:r>
                                    </w:p>
                                  </w:txbxContent>
                                </wps:txbx>
                                <wps:bodyPr rot="0" spcFirstLastPara="0" vertOverflow="overflow" horzOverflow="overflow" vert="horz" wrap="square" lIns="0" tIns="0" rIns="0" bIns="0" numCol="1" spcCol="0" rtlCol="0" fromWordArt="0" anchor="ctr" anchorCtr="0" forceAA="0" compatLnSpc="1">
                                  <a:noAutofit/>
                                </wps:bodyPr>
                              </wps:wsp>
                              <wps:wsp>
                                <wps:cNvPr id="122" name="直接箭头连接符 91"/>
                                <wps:cNvCnPr/>
                                <wps:spPr>
                                  <a:xfrm>
                                    <a:off x="3111" y="1108"/>
                                    <a:ext cx="737" cy="0"/>
                                  </a:xfrm>
                                  <a:prstGeom prst="straightConnector1">
                                    <a:avLst/>
                                  </a:prstGeom>
                                  <a:ln w="6350">
                                    <a:solidFill>
                                      <a:schemeClr val="tx1"/>
                                    </a:solidFill>
                                    <a:tailEnd type="triangle" w="med" len="lg"/>
                                  </a:ln>
                                </wps:spPr>
                                <wps:style>
                                  <a:lnRef idx="2">
                                    <a:schemeClr val="accent1"/>
                                  </a:lnRef>
                                  <a:fillRef idx="0">
                                    <a:srgbClr val="FFFFFF"/>
                                  </a:fillRef>
                                  <a:effectRef idx="0">
                                    <a:srgbClr val="FFFFFF"/>
                                  </a:effectRef>
                                  <a:fontRef idx="minor">
                                    <a:schemeClr val="tx1"/>
                                  </a:fontRef>
                                </wps:style>
                                <wps:bodyPr/>
                              </wps:wsp>
                              <wps:wsp>
                                <wps:cNvPr id="123" name="矩形 30"/>
                                <wps:cNvSpPr/>
                                <wps:spPr>
                                  <a:xfrm>
                                    <a:off x="3113" y="902"/>
                                    <a:ext cx="566" cy="240"/>
                                  </a:xfrm>
                                  <a:prstGeom prst="rect">
                                    <a:avLst/>
                                  </a:prstGeom>
                                  <a:noFill/>
                                  <a:ln w="6350">
                                    <a:noFill/>
                                  </a:ln>
                                </wps:spPr>
                                <wps:style>
                                  <a:lnRef idx="2">
                                    <a:schemeClr val="accent1">
                                      <a:lumMod val="75000"/>
                                    </a:schemeClr>
                                  </a:lnRef>
                                  <a:fillRef idx="1">
                                    <a:schemeClr val="accent1"/>
                                  </a:fillRef>
                                  <a:effectRef idx="0">
                                    <a:srgbClr val="FFFFFF"/>
                                  </a:effectRef>
                                  <a:fontRef idx="minor">
                                    <a:schemeClr val="lt1"/>
                                  </a:fontRef>
                                </wps:style>
                                <wps:txbx>
                                  <w:txbxContent>
                                    <w:p w14:paraId="5F708DE9">
                                      <w:pPr>
                                        <w:jc w:val="center"/>
                                        <w:rPr>
                                          <w:rFonts w:hint="default"/>
                                          <w:color w:val="000000" w:themeColor="text1"/>
                                          <w:sz w:val="18"/>
                                          <w:szCs w:val="18"/>
                                          <w:lang w:val="en-US" w:eastAsia="zh-CN"/>
                                          <w14:textFill>
                                            <w14:solidFill>
                                              <w14:schemeClr w14:val="tx1"/>
                                            </w14:solidFill>
                                          </w14:textFill>
                                          <w14:props3d w14:extrusionH="0" w14:contourW="0" w14:prstMaterial="clear"/>
                                        </w:rPr>
                                      </w:pPr>
                                      <w:r>
                                        <w:rPr>
                                          <w:rFonts w:hint="eastAsia"/>
                                          <w:color w:val="000000" w:themeColor="text1"/>
                                          <w:sz w:val="18"/>
                                          <w:szCs w:val="18"/>
                                          <w:lang w:val="en-US" w:eastAsia="zh-CN"/>
                                          <w14:textFill>
                                            <w14:solidFill>
                                              <w14:schemeClr w14:val="tx1"/>
                                            </w14:solidFill>
                                          </w14:textFill>
                                          <w14:props3d w14:extrusionH="0" w14:contourW="0" w14:prstMaterial="clear"/>
                                        </w:rPr>
                                        <w:t>15.72</w:t>
                                      </w:r>
                                    </w:p>
                                  </w:txbxContent>
                                </wps:txbx>
                                <wps:bodyPr rot="0" spcFirstLastPara="0" vertOverflow="overflow" horzOverflow="overflow" vert="horz" wrap="square" lIns="0" tIns="0" rIns="0" bIns="0" numCol="1" spcCol="0" rtlCol="0" fromWordArt="0" anchor="ctr" anchorCtr="0" forceAA="0" compatLnSpc="1">
                                  <a:noAutofit/>
                                </wps:bodyPr>
                              </wps:wsp>
                              <wps:wsp>
                                <wps:cNvPr id="124" name="矩形 94"/>
                                <wps:cNvSpPr/>
                                <wps:spPr>
                                  <a:xfrm>
                                    <a:off x="3866" y="977"/>
                                    <a:ext cx="2336" cy="284"/>
                                  </a:xfrm>
                                  <a:prstGeom prst="rect">
                                    <a:avLst/>
                                  </a:prstGeom>
                                  <a:noFill/>
                                  <a:ln w="6350">
                                    <a:solidFill>
                                      <a:schemeClr val="tx1"/>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654AF53B">
                                      <w:pPr>
                                        <w:jc w:val="center"/>
                                        <w:rPr>
                                          <w:rFonts w:hint="default" w:eastAsia="宋体"/>
                                          <w:color w:val="000000" w:themeColor="text1"/>
                                          <w:sz w:val="18"/>
                                          <w:szCs w:val="18"/>
                                          <w:lang w:val="en-US" w:eastAsia="zh-CN"/>
                                          <w14:textFill>
                                            <w14:solidFill>
                                              <w14:schemeClr w14:val="tx1"/>
                                            </w14:solidFill>
                                          </w14:textFill>
                                          <w14:props3d w14:extrusionH="0" w14:contourW="0" w14:prstMaterial="clear"/>
                                        </w:rPr>
                                      </w:pPr>
                                      <w:r>
                                        <w:rPr>
                                          <w:rFonts w:hint="eastAsia"/>
                                          <w:color w:val="000000" w:themeColor="text1"/>
                                          <w:sz w:val="18"/>
                                          <w:szCs w:val="18"/>
                                          <w:lang w:val="en-US" w:eastAsia="zh-CN"/>
                                          <w14:textFill>
                                            <w14:solidFill>
                                              <w14:schemeClr w14:val="tx1"/>
                                            </w14:solidFill>
                                          </w14:textFill>
                                          <w14:props3d w14:extrusionH="0" w14:contourW="0" w14:prstMaterial="clear"/>
                                        </w:rPr>
                                        <w:t>废切削液（作危废处置）</w:t>
                                      </w:r>
                                    </w:p>
                                  </w:txbxContent>
                                </wps:txbx>
                                <wps:bodyPr rot="0" spcFirstLastPara="0" vertOverflow="overflow" horzOverflow="overflow" vert="horz" wrap="square" lIns="0" tIns="0" rIns="0" bIns="0" numCol="1" spcCol="0" rtlCol="0" fromWordArt="0" anchor="ctr" anchorCtr="0" forceAA="0" compatLnSpc="1">
                                  <a:noAutofit/>
                                </wps:bodyPr>
                              </wps:wsp>
                              <wps:wsp>
                                <wps:cNvPr id="125" name="直接箭头连接符 91"/>
                                <wps:cNvCnPr/>
                                <wps:spPr>
                                  <a:xfrm>
                                    <a:off x="1059" y="2242"/>
                                    <a:ext cx="737" cy="0"/>
                                  </a:xfrm>
                                  <a:prstGeom prst="straightConnector1">
                                    <a:avLst/>
                                  </a:prstGeom>
                                  <a:ln w="6350">
                                    <a:solidFill>
                                      <a:schemeClr val="tx1"/>
                                    </a:solidFill>
                                    <a:tailEnd type="triangle" w="med" len="lg"/>
                                  </a:ln>
                                </wps:spPr>
                                <wps:style>
                                  <a:lnRef idx="2">
                                    <a:schemeClr val="accent1"/>
                                  </a:lnRef>
                                  <a:fillRef idx="0">
                                    <a:srgbClr val="FFFFFF"/>
                                  </a:fillRef>
                                  <a:effectRef idx="0">
                                    <a:srgbClr val="FFFFFF"/>
                                  </a:effectRef>
                                  <a:fontRef idx="minor">
                                    <a:schemeClr val="tx1"/>
                                  </a:fontRef>
                                </wps:style>
                                <wps:bodyPr/>
                              </wps:wsp>
                              <wps:wsp>
                                <wps:cNvPr id="126" name="矩形 94"/>
                                <wps:cNvSpPr/>
                                <wps:spPr>
                                  <a:xfrm>
                                    <a:off x="1813" y="2165"/>
                                    <a:ext cx="1320" cy="284"/>
                                  </a:xfrm>
                                  <a:prstGeom prst="rect">
                                    <a:avLst/>
                                  </a:prstGeom>
                                  <a:noFill/>
                                  <a:ln w="6350">
                                    <a:solidFill>
                                      <a:schemeClr val="tx1"/>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181C13E2">
                                      <w:pPr>
                                        <w:jc w:val="center"/>
                                        <w:rPr>
                                          <w:rFonts w:hint="default" w:eastAsia="宋体"/>
                                          <w:color w:val="000000" w:themeColor="text1"/>
                                          <w:sz w:val="18"/>
                                          <w:szCs w:val="18"/>
                                          <w:lang w:val="en-US" w:eastAsia="zh-CN"/>
                                          <w14:textFill>
                                            <w14:solidFill>
                                              <w14:schemeClr w14:val="tx1"/>
                                            </w14:solidFill>
                                          </w14:textFill>
                                          <w14:props3d w14:extrusionH="0" w14:contourW="0" w14:prstMaterial="clear"/>
                                        </w:rPr>
                                      </w:pPr>
                                      <w:r>
                                        <w:rPr>
                                          <w:rFonts w:hint="eastAsia"/>
                                          <w:color w:val="000000" w:themeColor="text1"/>
                                          <w:sz w:val="18"/>
                                          <w:szCs w:val="18"/>
                                          <w:lang w:val="en-US" w:eastAsia="zh-CN"/>
                                          <w14:textFill>
                                            <w14:solidFill>
                                              <w14:schemeClr w14:val="tx1"/>
                                            </w14:solidFill>
                                          </w14:textFill>
                                          <w14:props3d w14:extrusionH="0" w14:contourW="0" w14:prstMaterial="clear"/>
                                        </w:rPr>
                                        <w:t>清洗用水</w:t>
                                      </w:r>
                                    </w:p>
                                  </w:txbxContent>
                                </wps:txbx>
                                <wps:bodyPr rot="0" spcFirstLastPara="0" vertOverflow="overflow" horzOverflow="overflow" vert="horz" wrap="square" lIns="0" tIns="0" rIns="0" bIns="0" numCol="1" spcCol="0" rtlCol="0" fromWordArt="0" anchor="ctr" anchorCtr="0" forceAA="0" compatLnSpc="1">
                                  <a:noAutofit/>
                                </wps:bodyPr>
                              </wps:wsp>
                              <wps:wsp>
                                <wps:cNvPr id="127" name="曲线连接符 22"/>
                                <wps:cNvCnPr/>
                                <wps:spPr>
                                  <a:xfrm rot="16200000">
                                    <a:off x="2707" y="1783"/>
                                    <a:ext cx="408" cy="346"/>
                                  </a:xfrm>
                                  <a:prstGeom prst="curvedConnector3">
                                    <a:avLst>
                                      <a:gd name="adj1" fmla="val 49755"/>
                                    </a:avLst>
                                  </a:prstGeom>
                                  <a:noFill/>
                                  <a:ln w="6350" cap="flat" cmpd="sng" algn="ctr">
                                    <a:solidFill>
                                      <a:sysClr val="windowText" lastClr="000000"/>
                                    </a:solidFill>
                                    <a:prstDash val="solid"/>
                                    <a:tailEnd type="arrow" w="med" len="med"/>
                                  </a:ln>
                                  <a:effectLst/>
                                </wps:spPr>
                                <wps:style>
                                  <a:lnRef idx="1">
                                    <a:schemeClr val="dk1"/>
                                  </a:lnRef>
                                  <a:fillRef idx="0">
                                    <a:schemeClr val="dk1"/>
                                  </a:fillRef>
                                  <a:effectRef idx="0">
                                    <a:schemeClr val="dk1"/>
                                  </a:effectRef>
                                  <a:fontRef idx="minor">
                                    <a:schemeClr val="tx1"/>
                                  </a:fontRef>
                                </wps:style>
                                <wps:bodyPr/>
                              </wps:wsp>
                              <wps:wsp>
                                <wps:cNvPr id="128" name="矩形 93"/>
                                <wps:cNvSpPr/>
                                <wps:spPr>
                                  <a:xfrm>
                                    <a:off x="2582" y="1504"/>
                                    <a:ext cx="987" cy="284"/>
                                  </a:xfrm>
                                  <a:prstGeom prst="rect">
                                    <a:avLst/>
                                  </a:prstGeom>
                                  <a:noFill/>
                                  <a:ln w="6350">
                                    <a:noFill/>
                                  </a:ln>
                                </wps:spPr>
                                <wps:style>
                                  <a:lnRef idx="2">
                                    <a:schemeClr val="accent1">
                                      <a:lumMod val="75000"/>
                                    </a:schemeClr>
                                  </a:lnRef>
                                  <a:fillRef idx="1">
                                    <a:schemeClr val="accent1"/>
                                  </a:fillRef>
                                  <a:effectRef idx="0">
                                    <a:srgbClr val="FFFFFF"/>
                                  </a:effectRef>
                                  <a:fontRef idx="minor">
                                    <a:schemeClr val="lt1"/>
                                  </a:fontRef>
                                </wps:style>
                                <wps:txbx>
                                  <w:txbxContent>
                                    <w:p w14:paraId="6252F708">
                                      <w:pPr>
                                        <w:jc w:val="center"/>
                                        <w:rPr>
                                          <w:rFonts w:hint="default" w:eastAsia="宋体"/>
                                          <w:color w:val="000000" w:themeColor="text1"/>
                                          <w:sz w:val="18"/>
                                          <w:szCs w:val="18"/>
                                          <w:lang w:val="en-US" w:eastAsia="zh-CN"/>
                                          <w14:textFill>
                                            <w14:solidFill>
                                              <w14:schemeClr w14:val="tx1"/>
                                            </w14:solidFill>
                                          </w14:textFill>
                                          <w14:props3d w14:extrusionH="0" w14:contourW="0" w14:prstMaterial="clear"/>
                                        </w:rPr>
                                      </w:pPr>
                                      <w:r>
                                        <w:rPr>
                                          <w:rFonts w:hint="eastAsia"/>
                                          <w:color w:val="000000" w:themeColor="text1"/>
                                          <w:sz w:val="18"/>
                                          <w:szCs w:val="18"/>
                                          <w14:textFill>
                                            <w14:solidFill>
                                              <w14:schemeClr w14:val="tx1"/>
                                            </w14:solidFill>
                                          </w14:textFill>
                                          <w14:props3d w14:extrusionH="0" w14:contourW="0" w14:prstMaterial="clear"/>
                                        </w:rPr>
                                        <w:t>损耗</w:t>
                                      </w:r>
                                      <w:r>
                                        <w:rPr>
                                          <w:rFonts w:hint="eastAsia"/>
                                          <w:color w:val="000000" w:themeColor="text1"/>
                                          <w:sz w:val="18"/>
                                          <w:szCs w:val="18"/>
                                          <w:lang w:val="en-US" w:eastAsia="zh-CN"/>
                                          <w14:textFill>
                                            <w14:solidFill>
                                              <w14:schemeClr w14:val="tx1"/>
                                            </w14:solidFill>
                                          </w14:textFill>
                                          <w14:props3d w14:extrusionH="0" w14:contourW="0" w14:prstMaterial="clear"/>
                                        </w:rPr>
                                        <w:t>9.8</w:t>
                                      </w:r>
                                    </w:p>
                                  </w:txbxContent>
                                </wps:txbx>
                                <wps:bodyPr rot="0" spcFirstLastPara="0" vertOverflow="overflow" horzOverflow="overflow" vert="horz" wrap="square" lIns="0" tIns="0" rIns="0" bIns="0" numCol="1" spcCol="0" rtlCol="0" fromWordArt="0" anchor="ctr" anchorCtr="0" forceAA="0" compatLnSpc="1">
                                  <a:noAutofit/>
                                </wps:bodyPr>
                              </wps:wsp>
                              <wps:wsp>
                                <wps:cNvPr id="129" name="矩形 30"/>
                                <wps:cNvSpPr/>
                                <wps:spPr>
                                  <a:xfrm>
                                    <a:off x="1072" y="2025"/>
                                    <a:ext cx="566" cy="240"/>
                                  </a:xfrm>
                                  <a:prstGeom prst="rect">
                                    <a:avLst/>
                                  </a:prstGeom>
                                  <a:noFill/>
                                  <a:ln w="6350">
                                    <a:noFill/>
                                  </a:ln>
                                </wps:spPr>
                                <wps:style>
                                  <a:lnRef idx="2">
                                    <a:schemeClr val="accent1">
                                      <a:lumMod val="75000"/>
                                    </a:schemeClr>
                                  </a:lnRef>
                                  <a:fillRef idx="1">
                                    <a:schemeClr val="accent1"/>
                                  </a:fillRef>
                                  <a:effectRef idx="0">
                                    <a:srgbClr val="FFFFFF"/>
                                  </a:effectRef>
                                  <a:fontRef idx="minor">
                                    <a:schemeClr val="lt1"/>
                                  </a:fontRef>
                                </wps:style>
                                <wps:txbx>
                                  <w:txbxContent>
                                    <w:p w14:paraId="2FAEBA97">
                                      <w:pPr>
                                        <w:jc w:val="center"/>
                                        <w:rPr>
                                          <w:rFonts w:hint="default"/>
                                          <w:color w:val="000000" w:themeColor="text1"/>
                                          <w:sz w:val="18"/>
                                          <w:szCs w:val="18"/>
                                          <w:lang w:val="en-US" w:eastAsia="zh-CN"/>
                                          <w14:textFill>
                                            <w14:solidFill>
                                              <w14:schemeClr w14:val="tx1"/>
                                            </w14:solidFill>
                                          </w14:textFill>
                                          <w14:props3d w14:extrusionH="0" w14:contourW="0" w14:prstMaterial="clear"/>
                                        </w:rPr>
                                      </w:pPr>
                                      <w:r>
                                        <w:rPr>
                                          <w:rFonts w:hint="eastAsia"/>
                                          <w:color w:val="000000" w:themeColor="text1"/>
                                          <w:sz w:val="18"/>
                                          <w:szCs w:val="18"/>
                                          <w:lang w:val="en-US" w:eastAsia="zh-CN"/>
                                          <w14:textFill>
                                            <w14:solidFill>
                                              <w14:schemeClr w14:val="tx1"/>
                                            </w14:solidFill>
                                          </w14:textFill>
                                          <w14:props3d w14:extrusionH="0" w14:contourW="0" w14:prstMaterial="clear"/>
                                        </w:rPr>
                                        <w:t>17.64</w:t>
                                      </w:r>
                                    </w:p>
                                  </w:txbxContent>
                                </wps:txbx>
                                <wps:bodyPr rot="0" spcFirstLastPara="0" vertOverflow="overflow" horzOverflow="overflow" vert="horz" wrap="square" lIns="0" tIns="0" rIns="0" bIns="0" numCol="1" spcCol="0" rtlCol="0" fromWordArt="0" anchor="ctr" anchorCtr="0" forceAA="0" compatLnSpc="1">
                                  <a:noAutofit/>
                                </wps:bodyPr>
                              </wps:wsp>
                              <wps:wsp>
                                <wps:cNvPr id="130" name="直接箭头连接符 91"/>
                                <wps:cNvCnPr/>
                                <wps:spPr>
                                  <a:xfrm>
                                    <a:off x="3123" y="2308"/>
                                    <a:ext cx="737" cy="0"/>
                                  </a:xfrm>
                                  <a:prstGeom prst="straightConnector1">
                                    <a:avLst/>
                                  </a:prstGeom>
                                  <a:ln w="6350">
                                    <a:solidFill>
                                      <a:schemeClr val="tx1"/>
                                    </a:solidFill>
                                    <a:tailEnd type="triangle" w="med" len="lg"/>
                                  </a:ln>
                                </wps:spPr>
                                <wps:style>
                                  <a:lnRef idx="2">
                                    <a:schemeClr val="accent1"/>
                                  </a:lnRef>
                                  <a:fillRef idx="0">
                                    <a:srgbClr val="FFFFFF"/>
                                  </a:fillRef>
                                  <a:effectRef idx="0">
                                    <a:srgbClr val="FFFFFF"/>
                                  </a:effectRef>
                                  <a:fontRef idx="minor">
                                    <a:schemeClr val="tx1"/>
                                  </a:fontRef>
                                </wps:style>
                                <wps:bodyPr/>
                              </wps:wsp>
                              <wps:wsp>
                                <wps:cNvPr id="131" name="矩形 30"/>
                                <wps:cNvSpPr/>
                                <wps:spPr>
                                  <a:xfrm>
                                    <a:off x="3125" y="2102"/>
                                    <a:ext cx="566" cy="240"/>
                                  </a:xfrm>
                                  <a:prstGeom prst="rect">
                                    <a:avLst/>
                                  </a:prstGeom>
                                  <a:noFill/>
                                  <a:ln w="6350">
                                    <a:noFill/>
                                  </a:ln>
                                </wps:spPr>
                                <wps:style>
                                  <a:lnRef idx="2">
                                    <a:schemeClr val="accent1">
                                      <a:lumMod val="75000"/>
                                    </a:schemeClr>
                                  </a:lnRef>
                                  <a:fillRef idx="1">
                                    <a:schemeClr val="accent1"/>
                                  </a:fillRef>
                                  <a:effectRef idx="0">
                                    <a:srgbClr val="FFFFFF"/>
                                  </a:effectRef>
                                  <a:fontRef idx="minor">
                                    <a:schemeClr val="lt1"/>
                                  </a:fontRef>
                                </wps:style>
                                <wps:txbx>
                                  <w:txbxContent>
                                    <w:p w14:paraId="65968745">
                                      <w:pPr>
                                        <w:jc w:val="center"/>
                                        <w:rPr>
                                          <w:rFonts w:hint="default"/>
                                          <w:color w:val="000000" w:themeColor="text1"/>
                                          <w:sz w:val="18"/>
                                          <w:szCs w:val="18"/>
                                          <w:lang w:val="en-US" w:eastAsia="zh-CN"/>
                                          <w14:textFill>
                                            <w14:solidFill>
                                              <w14:schemeClr w14:val="tx1"/>
                                            </w14:solidFill>
                                          </w14:textFill>
                                          <w14:props3d w14:extrusionH="0" w14:contourW="0" w14:prstMaterial="clear"/>
                                        </w:rPr>
                                      </w:pPr>
                                      <w:r>
                                        <w:rPr>
                                          <w:rFonts w:hint="eastAsia"/>
                                          <w:color w:val="000000" w:themeColor="text1"/>
                                          <w:sz w:val="18"/>
                                          <w:szCs w:val="18"/>
                                          <w:lang w:val="en-US" w:eastAsia="zh-CN"/>
                                          <w14:textFill>
                                            <w14:solidFill>
                                              <w14:schemeClr w14:val="tx1"/>
                                            </w14:solidFill>
                                          </w14:textFill>
                                          <w14:props3d w14:extrusionH="0" w14:contourW="0" w14:prstMaterial="clear"/>
                                        </w:rPr>
                                        <w:t>168.8</w:t>
                                      </w:r>
                                    </w:p>
                                  </w:txbxContent>
                                </wps:txbx>
                                <wps:bodyPr rot="0" spcFirstLastPara="0" vertOverflow="overflow" horzOverflow="overflow" vert="horz" wrap="square" lIns="0" tIns="0" rIns="0" bIns="0" numCol="1" spcCol="0" rtlCol="0" fromWordArt="0" anchor="ctr" anchorCtr="0" forceAA="0" compatLnSpc="1">
                                  <a:noAutofit/>
                                </wps:bodyPr>
                              </wps:wsp>
                              <wps:wsp>
                                <wps:cNvPr id="132" name="矩形 94"/>
                                <wps:cNvSpPr/>
                                <wps:spPr>
                                  <a:xfrm>
                                    <a:off x="3878" y="2177"/>
                                    <a:ext cx="1620" cy="284"/>
                                  </a:xfrm>
                                  <a:prstGeom prst="rect">
                                    <a:avLst/>
                                  </a:prstGeom>
                                  <a:noFill/>
                                  <a:ln w="6350">
                                    <a:solidFill>
                                      <a:schemeClr val="tx1"/>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3E6B931B">
                                      <w:pPr>
                                        <w:jc w:val="center"/>
                                        <w:rPr>
                                          <w:rFonts w:hint="default" w:eastAsia="宋体"/>
                                          <w:color w:val="000000" w:themeColor="text1"/>
                                          <w:sz w:val="18"/>
                                          <w:szCs w:val="18"/>
                                          <w:lang w:val="en-US" w:eastAsia="zh-CN"/>
                                          <w14:textFill>
                                            <w14:solidFill>
                                              <w14:schemeClr w14:val="tx1"/>
                                            </w14:solidFill>
                                          </w14:textFill>
                                          <w14:props3d w14:extrusionH="0" w14:contourW="0" w14:prstMaterial="clear"/>
                                        </w:rPr>
                                      </w:pPr>
                                      <w:r>
                                        <w:rPr>
                                          <w:rFonts w:hint="eastAsia"/>
                                          <w:color w:val="000000" w:themeColor="text1"/>
                                          <w:sz w:val="18"/>
                                          <w:szCs w:val="18"/>
                                          <w:lang w:val="en-US" w:eastAsia="zh-CN"/>
                                          <w14:textFill>
                                            <w14:solidFill>
                                              <w14:schemeClr w14:val="tx1"/>
                                            </w14:solidFill>
                                          </w14:textFill>
                                          <w14:props3d w14:extrusionH="0" w14:contourW="0" w14:prstMaterial="clear"/>
                                        </w:rPr>
                                        <w:t>进入废水处理设施</w:t>
                                      </w:r>
                                    </w:p>
                                  </w:txbxContent>
                                </wps:txbx>
                                <wps:bodyPr rot="0" spcFirstLastPara="0" vertOverflow="overflow" horzOverflow="overflow" vert="horz" wrap="square" lIns="0" tIns="0" rIns="0" bIns="0" numCol="1" spcCol="0" rtlCol="0" fromWordArt="0" anchor="ctr" anchorCtr="0" forceAA="0" compatLnSpc="1">
                                  <a:noAutofit/>
                                </wps:bodyPr>
                              </wps:wsp>
                              <wps:wsp>
                                <wps:cNvPr id="133" name="直接箭头连接符 91"/>
                                <wps:cNvCnPr/>
                                <wps:spPr>
                                  <a:xfrm>
                                    <a:off x="2270" y="1773"/>
                                    <a:ext cx="0" cy="386"/>
                                  </a:xfrm>
                                  <a:prstGeom prst="straightConnector1">
                                    <a:avLst/>
                                  </a:prstGeom>
                                  <a:ln w="6350">
                                    <a:solidFill>
                                      <a:schemeClr val="tx1"/>
                                    </a:solidFill>
                                    <a:tailEnd type="triangle" w="med" len="lg"/>
                                  </a:ln>
                                </wps:spPr>
                                <wps:style>
                                  <a:lnRef idx="2">
                                    <a:schemeClr val="accent1"/>
                                  </a:lnRef>
                                  <a:fillRef idx="0">
                                    <a:srgbClr val="FFFFFF"/>
                                  </a:fillRef>
                                  <a:effectRef idx="0">
                                    <a:srgbClr val="FFFFFF"/>
                                  </a:effectRef>
                                  <a:fontRef idx="minor">
                                    <a:schemeClr val="tx1"/>
                                  </a:fontRef>
                                </wps:style>
                                <wps:bodyPr/>
                              </wps:wsp>
                              <wps:wsp>
                                <wps:cNvPr id="134" name="矩形 93"/>
                                <wps:cNvSpPr/>
                                <wps:spPr>
                                  <a:xfrm>
                                    <a:off x="1640" y="1527"/>
                                    <a:ext cx="987" cy="284"/>
                                  </a:xfrm>
                                  <a:prstGeom prst="rect">
                                    <a:avLst/>
                                  </a:prstGeom>
                                  <a:noFill/>
                                  <a:ln w="6350">
                                    <a:noFill/>
                                  </a:ln>
                                </wps:spPr>
                                <wps:style>
                                  <a:lnRef idx="2">
                                    <a:schemeClr val="accent1">
                                      <a:lumMod val="75000"/>
                                    </a:schemeClr>
                                  </a:lnRef>
                                  <a:fillRef idx="1">
                                    <a:schemeClr val="accent1"/>
                                  </a:fillRef>
                                  <a:effectRef idx="0">
                                    <a:srgbClr val="FFFFFF"/>
                                  </a:effectRef>
                                  <a:fontRef idx="minor">
                                    <a:schemeClr val="lt1"/>
                                  </a:fontRef>
                                </wps:style>
                                <wps:txbx>
                                  <w:txbxContent>
                                    <w:p w14:paraId="18D38773">
                                      <w:pPr>
                                        <w:jc w:val="center"/>
                                        <w:rPr>
                                          <w:rFonts w:hint="default" w:eastAsia="宋体"/>
                                          <w:color w:val="000000" w:themeColor="text1"/>
                                          <w:sz w:val="18"/>
                                          <w:szCs w:val="18"/>
                                          <w:lang w:val="en-US" w:eastAsia="zh-CN"/>
                                          <w14:textFill>
                                            <w14:solidFill>
                                              <w14:schemeClr w14:val="tx1"/>
                                            </w14:solidFill>
                                          </w14:textFill>
                                          <w14:props3d w14:extrusionH="0" w14:contourW="0" w14:prstMaterial="clear"/>
                                        </w:rPr>
                                      </w:pPr>
                                      <w:r>
                                        <w:rPr>
                                          <w:rFonts w:hint="eastAsia"/>
                                          <w:color w:val="000000" w:themeColor="text1"/>
                                          <w:sz w:val="18"/>
                                          <w:szCs w:val="18"/>
                                          <w:lang w:val="en-US" w:eastAsia="zh-CN"/>
                                          <w14:textFill>
                                            <w14:solidFill>
                                              <w14:schemeClr w14:val="tx1"/>
                                            </w14:solidFill>
                                          </w14:textFill>
                                          <w14:props3d w14:extrusionH="0" w14:contourW="0" w14:prstMaterial="clear"/>
                                        </w:rPr>
                                        <w:t>清洗剂0.3</w:t>
                                      </w:r>
                                    </w:p>
                                  </w:txbxContent>
                                </wps:txbx>
                                <wps:bodyPr rot="0" spcFirstLastPara="0" vertOverflow="overflow" horzOverflow="overflow" vert="horz" wrap="square" lIns="0" tIns="0" rIns="0" bIns="0" numCol="1" spcCol="0" rtlCol="0" fromWordArt="0" anchor="ctr" anchorCtr="0" forceAA="0" compatLnSpc="1">
                                  <a:noAutofit/>
                                </wps:bodyPr>
                              </wps:wsp>
                              <wps:wsp>
                                <wps:cNvPr id="135" name="直接箭头连接符 91"/>
                                <wps:cNvCnPr/>
                                <wps:spPr>
                                  <a:xfrm flipV="1">
                                    <a:off x="2460" y="2434"/>
                                    <a:ext cx="0" cy="386"/>
                                  </a:xfrm>
                                  <a:prstGeom prst="straightConnector1">
                                    <a:avLst/>
                                  </a:prstGeom>
                                  <a:ln w="6350">
                                    <a:solidFill>
                                      <a:schemeClr val="tx1"/>
                                    </a:solidFill>
                                    <a:tailEnd type="triangle" w="med" len="lg"/>
                                  </a:ln>
                                </wps:spPr>
                                <wps:style>
                                  <a:lnRef idx="2">
                                    <a:schemeClr val="accent1"/>
                                  </a:lnRef>
                                  <a:fillRef idx="0">
                                    <a:srgbClr val="FFFFFF"/>
                                  </a:fillRef>
                                  <a:effectRef idx="0">
                                    <a:srgbClr val="FFFFFF"/>
                                  </a:effectRef>
                                  <a:fontRef idx="minor">
                                    <a:schemeClr val="tx1"/>
                                  </a:fontRef>
                                </wps:style>
                                <wps:bodyPr/>
                              </wps:wsp>
                              <wps:wsp>
                                <wps:cNvPr id="138" name="矩形 93"/>
                                <wps:cNvSpPr/>
                                <wps:spPr>
                                  <a:xfrm>
                                    <a:off x="1928" y="2797"/>
                                    <a:ext cx="987" cy="284"/>
                                  </a:xfrm>
                                  <a:prstGeom prst="rect">
                                    <a:avLst/>
                                  </a:prstGeom>
                                  <a:noFill/>
                                  <a:ln w="6350">
                                    <a:noFill/>
                                  </a:ln>
                                </wps:spPr>
                                <wps:style>
                                  <a:lnRef idx="2">
                                    <a:schemeClr val="accent1">
                                      <a:lumMod val="75000"/>
                                    </a:schemeClr>
                                  </a:lnRef>
                                  <a:fillRef idx="1">
                                    <a:schemeClr val="accent1"/>
                                  </a:fillRef>
                                  <a:effectRef idx="0">
                                    <a:srgbClr val="FFFFFF"/>
                                  </a:effectRef>
                                  <a:fontRef idx="minor">
                                    <a:schemeClr val="lt1"/>
                                  </a:fontRef>
                                </wps:style>
                                <wps:txbx>
                                  <w:txbxContent>
                                    <w:p w14:paraId="6852643A">
                                      <w:pPr>
                                        <w:jc w:val="center"/>
                                        <w:rPr>
                                          <w:rFonts w:hint="default" w:eastAsia="宋体"/>
                                          <w:color w:val="000000" w:themeColor="text1"/>
                                          <w:sz w:val="18"/>
                                          <w:szCs w:val="18"/>
                                          <w:lang w:val="en-US" w:eastAsia="zh-CN"/>
                                          <w14:textFill>
                                            <w14:solidFill>
                                              <w14:schemeClr w14:val="tx1"/>
                                            </w14:solidFill>
                                          </w14:textFill>
                                          <w14:props3d w14:extrusionH="0" w14:contourW="0" w14:prstMaterial="clear"/>
                                        </w:rPr>
                                      </w:pPr>
                                      <w:r>
                                        <w:rPr>
                                          <w:rFonts w:hint="eastAsia"/>
                                          <w:color w:val="000000" w:themeColor="text1"/>
                                          <w:sz w:val="18"/>
                                          <w:szCs w:val="18"/>
                                          <w:lang w:val="en-US" w:eastAsia="zh-CN"/>
                                          <w14:textFill>
                                            <w14:solidFill>
                                              <w14:schemeClr w14:val="tx1"/>
                                            </w14:solidFill>
                                          </w14:textFill>
                                          <w14:props3d w14:extrusionH="0" w14:contourW="0" w14:prstMaterial="clear"/>
                                        </w:rPr>
                                        <w:t>防锈剂0.3</w:t>
                                      </w:r>
                                    </w:p>
                                  </w:txbxContent>
                                </wps:txbx>
                                <wps:bodyPr rot="0" spcFirstLastPara="0" vertOverflow="overflow" horzOverflow="overflow" vert="horz" wrap="square" lIns="0" tIns="0" rIns="0" bIns="0" numCol="1" spcCol="0" rtlCol="0" fromWordArt="0" anchor="ctr" anchorCtr="0" forceAA="0" compatLnSpc="1">
                                  <a:noAutofit/>
                                </wps:bodyPr>
                              </wps:wsp>
                              <wps:wsp>
                                <wps:cNvPr id="139" name="直接箭头连接符 91"/>
                                <wps:cNvCnPr/>
                                <wps:spPr>
                                  <a:xfrm>
                                    <a:off x="5489" y="2298"/>
                                    <a:ext cx="737" cy="0"/>
                                  </a:xfrm>
                                  <a:prstGeom prst="straightConnector1">
                                    <a:avLst/>
                                  </a:prstGeom>
                                  <a:ln w="6350">
                                    <a:solidFill>
                                      <a:schemeClr val="tx1"/>
                                    </a:solidFill>
                                    <a:tailEnd type="triangle" w="med" len="lg"/>
                                  </a:ln>
                                </wps:spPr>
                                <wps:style>
                                  <a:lnRef idx="2">
                                    <a:schemeClr val="accent1"/>
                                  </a:lnRef>
                                  <a:fillRef idx="0">
                                    <a:srgbClr val="FFFFFF"/>
                                  </a:fillRef>
                                  <a:effectRef idx="0">
                                    <a:srgbClr val="FFFFFF"/>
                                  </a:effectRef>
                                  <a:fontRef idx="minor">
                                    <a:schemeClr val="tx1"/>
                                  </a:fontRef>
                                </wps:style>
                                <wps:bodyPr/>
                              </wps:wsp>
                              <wps:wsp>
                                <wps:cNvPr id="140" name="矩形 30"/>
                                <wps:cNvSpPr/>
                                <wps:spPr>
                                  <a:xfrm>
                                    <a:off x="5491" y="2092"/>
                                    <a:ext cx="566" cy="240"/>
                                  </a:xfrm>
                                  <a:prstGeom prst="rect">
                                    <a:avLst/>
                                  </a:prstGeom>
                                  <a:noFill/>
                                  <a:ln w="6350">
                                    <a:noFill/>
                                  </a:ln>
                                </wps:spPr>
                                <wps:style>
                                  <a:lnRef idx="2">
                                    <a:schemeClr val="accent1">
                                      <a:lumMod val="75000"/>
                                    </a:schemeClr>
                                  </a:lnRef>
                                  <a:fillRef idx="1">
                                    <a:schemeClr val="accent1"/>
                                  </a:fillRef>
                                  <a:effectRef idx="0">
                                    <a:srgbClr val="FFFFFF"/>
                                  </a:effectRef>
                                  <a:fontRef idx="minor">
                                    <a:schemeClr val="lt1"/>
                                  </a:fontRef>
                                </wps:style>
                                <wps:txbx>
                                  <w:txbxContent>
                                    <w:p w14:paraId="58189064">
                                      <w:pPr>
                                        <w:jc w:val="center"/>
                                        <w:rPr>
                                          <w:rFonts w:hint="default"/>
                                          <w:color w:val="000000" w:themeColor="text1"/>
                                          <w:sz w:val="18"/>
                                          <w:szCs w:val="18"/>
                                          <w:lang w:val="en-US" w:eastAsia="zh-CN"/>
                                          <w14:textFill>
                                            <w14:solidFill>
                                              <w14:schemeClr w14:val="tx1"/>
                                            </w14:solidFill>
                                          </w14:textFill>
                                          <w14:props3d w14:extrusionH="0" w14:contourW="0" w14:prstMaterial="clear"/>
                                        </w:rPr>
                                      </w:pPr>
                                      <w:r>
                                        <w:rPr>
                                          <w:rFonts w:hint="eastAsia"/>
                                          <w:color w:val="000000" w:themeColor="text1"/>
                                          <w:sz w:val="18"/>
                                          <w:szCs w:val="18"/>
                                          <w:lang w:val="en-US" w:eastAsia="zh-CN"/>
                                          <w14:textFill>
                                            <w14:solidFill>
                                              <w14:schemeClr w14:val="tx1"/>
                                            </w14:solidFill>
                                          </w14:textFill>
                                          <w14:props3d w14:extrusionH="0" w14:contourW="0" w14:prstMaterial="clear"/>
                                        </w:rPr>
                                        <w:t>8.44</w:t>
                                      </w:r>
                                    </w:p>
                                  </w:txbxContent>
                                </wps:txbx>
                                <wps:bodyPr rot="0" spcFirstLastPara="0" vertOverflow="overflow" horzOverflow="overflow" vert="horz" wrap="square" lIns="0" tIns="0" rIns="0" bIns="0" numCol="1" spcCol="0" rtlCol="0" fromWordArt="0" anchor="ctr" anchorCtr="0" forceAA="0" compatLnSpc="1">
                                  <a:noAutofit/>
                                </wps:bodyPr>
                              </wps:wsp>
                              <wps:wsp>
                                <wps:cNvPr id="141" name="矩形 94"/>
                                <wps:cNvSpPr/>
                                <wps:spPr>
                                  <a:xfrm>
                                    <a:off x="6244" y="2164"/>
                                    <a:ext cx="1724" cy="284"/>
                                  </a:xfrm>
                                  <a:prstGeom prst="rect">
                                    <a:avLst/>
                                  </a:prstGeom>
                                  <a:noFill/>
                                  <a:ln w="6350">
                                    <a:solidFill>
                                      <a:schemeClr val="tx1"/>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47177450">
                                      <w:pPr>
                                        <w:jc w:val="center"/>
                                        <w:rPr>
                                          <w:rFonts w:hint="default" w:eastAsia="宋体"/>
                                          <w:color w:val="000000" w:themeColor="text1"/>
                                          <w:sz w:val="18"/>
                                          <w:szCs w:val="18"/>
                                          <w:lang w:val="en-US" w:eastAsia="zh-CN"/>
                                          <w14:textFill>
                                            <w14:solidFill>
                                              <w14:schemeClr w14:val="tx1"/>
                                            </w14:solidFill>
                                          </w14:textFill>
                                          <w14:props3d w14:extrusionH="0" w14:contourW="0" w14:prstMaterial="clear"/>
                                        </w:rPr>
                                      </w:pPr>
                                      <w:r>
                                        <w:rPr>
                                          <w:rFonts w:hint="eastAsia"/>
                                          <w:color w:val="000000" w:themeColor="text1"/>
                                          <w:sz w:val="18"/>
                                          <w:szCs w:val="18"/>
                                          <w:lang w:val="en-US" w:eastAsia="zh-CN"/>
                                          <w14:textFill>
                                            <w14:solidFill>
                                              <w14:schemeClr w14:val="tx1"/>
                                            </w14:solidFill>
                                          </w14:textFill>
                                          <w14:props3d w14:extrusionH="0" w14:contourW="0" w14:prstMaterial="clear"/>
                                        </w:rPr>
                                        <w:t>浓液（作危废处置）</w:t>
                                      </w:r>
                                    </w:p>
                                  </w:txbxContent>
                                </wps:txbx>
                                <wps:bodyPr rot="0" spcFirstLastPara="0" vertOverflow="overflow" horzOverflow="overflow" vert="horz" wrap="square" lIns="0" tIns="0" rIns="0" bIns="0" numCol="1" spcCol="0" rtlCol="0" fromWordArt="0" anchor="ctr" anchorCtr="0" forceAA="0" compatLnSpc="1">
                                  <a:noAutofit/>
                                </wps:bodyPr>
                              </wps:wsp>
                              <wps:wsp>
                                <wps:cNvPr id="142" name="直接箭头连接符 91"/>
                                <wps:cNvCnPr/>
                                <wps:spPr>
                                  <a:xfrm>
                                    <a:off x="1195" y="2370"/>
                                    <a:ext cx="612" cy="0"/>
                                  </a:xfrm>
                                  <a:prstGeom prst="straightConnector1">
                                    <a:avLst/>
                                  </a:prstGeom>
                                  <a:ln w="6350">
                                    <a:solidFill>
                                      <a:schemeClr val="tx1"/>
                                    </a:solidFill>
                                    <a:tailEnd type="triangle" w="med" len="lg"/>
                                  </a:ln>
                                </wps:spPr>
                                <wps:style>
                                  <a:lnRef idx="2">
                                    <a:schemeClr val="accent1"/>
                                  </a:lnRef>
                                  <a:fillRef idx="0">
                                    <a:srgbClr val="FFFFFF"/>
                                  </a:fillRef>
                                  <a:effectRef idx="0">
                                    <a:srgbClr val="FFFFFF"/>
                                  </a:effectRef>
                                  <a:fontRef idx="minor">
                                    <a:schemeClr val="tx1"/>
                                  </a:fontRef>
                                </wps:style>
                                <wps:bodyPr/>
                              </wps:wsp>
                              <wps:wsp>
                                <wps:cNvPr id="143" name="矩形 30"/>
                                <wps:cNvSpPr/>
                                <wps:spPr>
                                  <a:xfrm>
                                    <a:off x="1151" y="2362"/>
                                    <a:ext cx="566" cy="240"/>
                                  </a:xfrm>
                                  <a:prstGeom prst="rect">
                                    <a:avLst/>
                                  </a:prstGeom>
                                  <a:noFill/>
                                  <a:ln w="6350">
                                    <a:noFill/>
                                  </a:ln>
                                </wps:spPr>
                                <wps:style>
                                  <a:lnRef idx="2">
                                    <a:schemeClr val="accent1">
                                      <a:lumMod val="75000"/>
                                    </a:schemeClr>
                                  </a:lnRef>
                                  <a:fillRef idx="1">
                                    <a:schemeClr val="accent1"/>
                                  </a:fillRef>
                                  <a:effectRef idx="0">
                                    <a:srgbClr val="FFFFFF"/>
                                  </a:effectRef>
                                  <a:fontRef idx="minor">
                                    <a:schemeClr val="lt1"/>
                                  </a:fontRef>
                                </wps:style>
                                <wps:txbx>
                                  <w:txbxContent>
                                    <w:p w14:paraId="5A56394B">
                                      <w:pPr>
                                        <w:jc w:val="center"/>
                                        <w:rPr>
                                          <w:rFonts w:hint="default"/>
                                          <w:color w:val="000000" w:themeColor="text1"/>
                                          <w:sz w:val="18"/>
                                          <w:szCs w:val="18"/>
                                          <w:lang w:val="en-US" w:eastAsia="zh-CN"/>
                                          <w14:textFill>
                                            <w14:solidFill>
                                              <w14:schemeClr w14:val="tx1"/>
                                            </w14:solidFill>
                                          </w14:textFill>
                                          <w14:props3d w14:extrusionH="0" w14:contourW="0" w14:prstMaterial="clear"/>
                                        </w:rPr>
                                      </w:pPr>
                                      <w:r>
                                        <w:rPr>
                                          <w:rFonts w:hint="eastAsia"/>
                                          <w:color w:val="000000" w:themeColor="text1"/>
                                          <w:sz w:val="18"/>
                                          <w:szCs w:val="18"/>
                                          <w:lang w:val="en-US" w:eastAsia="zh-CN"/>
                                          <w14:textFill>
                                            <w14:solidFill>
                                              <w14:schemeClr w14:val="tx1"/>
                                            </w14:solidFill>
                                          </w14:textFill>
                                          <w14:props3d w14:extrusionH="0" w14:contourW="0" w14:prstMaterial="clear"/>
                                        </w:rPr>
                                        <w:t>160.36</w:t>
                                      </w:r>
                                    </w:p>
                                  </w:txbxContent>
                                </wps:txbx>
                                <wps:bodyPr rot="0" spcFirstLastPara="0" vertOverflow="overflow" horzOverflow="overflow" vert="horz" wrap="square" lIns="0" tIns="0" rIns="0" bIns="0" numCol="1" spcCol="0" rtlCol="0" fromWordArt="0" anchor="ctr" anchorCtr="0" forceAA="0" compatLnSpc="1">
                                  <a:noAutofit/>
                                </wps:bodyPr>
                              </wps:wsp>
                              <wps:wsp>
                                <wps:cNvPr id="21" name="直接箭头连接符 91"/>
                                <wps:cNvCnPr/>
                                <wps:spPr>
                                  <a:xfrm>
                                    <a:off x="2108" y="536"/>
                                    <a:ext cx="0" cy="386"/>
                                  </a:xfrm>
                                  <a:prstGeom prst="straightConnector1">
                                    <a:avLst/>
                                  </a:prstGeom>
                                  <a:ln w="6350">
                                    <a:solidFill>
                                      <a:schemeClr val="tx1"/>
                                    </a:solidFill>
                                    <a:tailEnd type="triangle" w="med" len="lg"/>
                                  </a:ln>
                                </wps:spPr>
                                <wps:style>
                                  <a:lnRef idx="2">
                                    <a:schemeClr val="accent1"/>
                                  </a:lnRef>
                                  <a:fillRef idx="0">
                                    <a:srgbClr val="FFFFFF"/>
                                  </a:fillRef>
                                  <a:effectRef idx="0">
                                    <a:srgbClr val="FFFFFF"/>
                                  </a:effectRef>
                                  <a:fontRef idx="minor">
                                    <a:schemeClr val="tx1"/>
                                  </a:fontRef>
                                </wps:style>
                                <wps:bodyPr/>
                              </wps:wsp>
                              <wps:wsp>
                                <wps:cNvPr id="22" name="矩形 93"/>
                                <wps:cNvSpPr/>
                                <wps:spPr>
                                  <a:xfrm>
                                    <a:off x="1399" y="303"/>
                                    <a:ext cx="987" cy="284"/>
                                  </a:xfrm>
                                  <a:prstGeom prst="rect">
                                    <a:avLst/>
                                  </a:prstGeom>
                                  <a:noFill/>
                                  <a:ln w="6350">
                                    <a:noFill/>
                                  </a:ln>
                                </wps:spPr>
                                <wps:style>
                                  <a:lnRef idx="2">
                                    <a:schemeClr val="accent1">
                                      <a:lumMod val="75000"/>
                                    </a:schemeClr>
                                  </a:lnRef>
                                  <a:fillRef idx="1">
                                    <a:schemeClr val="accent1"/>
                                  </a:fillRef>
                                  <a:effectRef idx="0">
                                    <a:srgbClr val="FFFFFF"/>
                                  </a:effectRef>
                                  <a:fontRef idx="minor">
                                    <a:schemeClr val="lt1"/>
                                  </a:fontRef>
                                </wps:style>
                                <wps:txbx>
                                  <w:txbxContent>
                                    <w:p w14:paraId="4C1A76F0">
                                      <w:pPr>
                                        <w:jc w:val="center"/>
                                        <w:rPr>
                                          <w:rFonts w:hint="default" w:eastAsia="宋体"/>
                                          <w:color w:val="000000" w:themeColor="text1"/>
                                          <w:sz w:val="18"/>
                                          <w:szCs w:val="18"/>
                                          <w:lang w:val="en-US" w:eastAsia="zh-CN"/>
                                          <w14:textFill>
                                            <w14:solidFill>
                                              <w14:schemeClr w14:val="tx1"/>
                                            </w14:solidFill>
                                          </w14:textFill>
                                          <w14:props3d w14:extrusionH="0" w14:contourW="0" w14:prstMaterial="clear"/>
                                        </w:rPr>
                                      </w:pPr>
                                      <w:r>
                                        <w:rPr>
                                          <w:rFonts w:hint="eastAsia"/>
                                          <w:color w:val="000000" w:themeColor="text1"/>
                                          <w:sz w:val="18"/>
                                          <w:szCs w:val="18"/>
                                          <w:lang w:val="en-US" w:eastAsia="zh-CN"/>
                                          <w14:textFill>
                                            <w14:solidFill>
                                              <w14:schemeClr w14:val="tx1"/>
                                            </w14:solidFill>
                                          </w14:textFill>
                                          <w14:props3d w14:extrusionH="0" w14:contourW="0" w14:prstMaterial="clear"/>
                                        </w:rPr>
                                        <w:t>切削液7.86</w:t>
                                      </w:r>
                                    </w:p>
                                  </w:txbxContent>
                                </wps:txbx>
                                <wps:bodyPr rot="0" spcFirstLastPara="0" vertOverflow="overflow" horzOverflow="overflow" vert="horz" wrap="square" lIns="0" tIns="0" rIns="0" bIns="0" numCol="1" spcCol="0" rtlCol="0" fromWordArt="0" anchor="ctr" anchorCtr="0" forceAA="0" compatLnSpc="1">
                                  <a:noAutofit/>
                                </wps:bodyPr>
                              </wps:wsp>
                            </wpg:wgp>
                            <wps:wsp>
                              <wps:cNvPr id="144" name="直接连接符 89"/>
                              <wps:cNvCnPr/>
                              <wps:spPr>
                                <a:xfrm>
                                  <a:off x="2985770" y="2985770"/>
                                  <a:ext cx="0" cy="400685"/>
                                </a:xfrm>
                                <a:prstGeom prst="line">
                                  <a:avLst/>
                                </a:prstGeom>
                                <a:ln w="6350">
                                  <a:solidFill>
                                    <a:schemeClr val="tx1"/>
                                  </a:solidFill>
                                  <a:prstDash val="dash"/>
                                </a:ln>
                              </wps:spPr>
                              <wps:style>
                                <a:lnRef idx="2">
                                  <a:schemeClr val="accent1"/>
                                </a:lnRef>
                                <a:fillRef idx="0">
                                  <a:srgbClr val="FFFFFF"/>
                                </a:fillRef>
                                <a:effectRef idx="0">
                                  <a:srgbClr val="FFFFFF"/>
                                </a:effectRef>
                                <a:fontRef idx="minor">
                                  <a:schemeClr val="tx1"/>
                                </a:fontRef>
                              </wps:style>
                              <wps:bodyPr/>
                            </wps:wsp>
                            <wps:wsp>
                              <wps:cNvPr id="145" name="直接连接符 89"/>
                              <wps:cNvCnPr/>
                              <wps:spPr>
                                <a:xfrm>
                                  <a:off x="759460" y="3388995"/>
                                  <a:ext cx="2223770" cy="0"/>
                                </a:xfrm>
                                <a:prstGeom prst="line">
                                  <a:avLst/>
                                </a:prstGeom>
                                <a:ln w="6350">
                                  <a:solidFill>
                                    <a:schemeClr val="tx1"/>
                                  </a:solidFill>
                                  <a:prstDash val="dash"/>
                                </a:ln>
                              </wps:spPr>
                              <wps:style>
                                <a:lnRef idx="2">
                                  <a:schemeClr val="accent1"/>
                                </a:lnRef>
                                <a:fillRef idx="0">
                                  <a:srgbClr val="FFFFFF"/>
                                </a:fillRef>
                                <a:effectRef idx="0">
                                  <a:srgbClr val="FFFFFF"/>
                                </a:effectRef>
                                <a:fontRef idx="minor">
                                  <a:schemeClr val="tx1"/>
                                </a:fontRef>
                              </wps:style>
                              <wps:bodyPr/>
                            </wps:wsp>
                            <wps:wsp>
                              <wps:cNvPr id="146" name="直接连接符 89"/>
                              <wps:cNvCnPr/>
                              <wps:spPr>
                                <a:xfrm>
                                  <a:off x="765810" y="2932430"/>
                                  <a:ext cx="0" cy="454025"/>
                                </a:xfrm>
                                <a:prstGeom prst="line">
                                  <a:avLst/>
                                </a:prstGeom>
                                <a:ln w="6350">
                                  <a:solidFill>
                                    <a:schemeClr val="tx1"/>
                                  </a:solidFill>
                                  <a:prstDash val="dash"/>
                                </a:ln>
                              </wps:spPr>
                              <wps:style>
                                <a:lnRef idx="2">
                                  <a:schemeClr val="accent1"/>
                                </a:lnRef>
                                <a:fillRef idx="0">
                                  <a:srgbClr val="FFFFFF"/>
                                </a:fillRef>
                                <a:effectRef idx="0">
                                  <a:srgbClr val="FFFFFF"/>
                                </a:effectRef>
                                <a:fontRef idx="minor">
                                  <a:schemeClr val="tx1"/>
                                </a:fontRef>
                              </wps:style>
                              <wps:bodyPr/>
                            </wps:wsp>
                          </wpc:wpc>
                        </a:graphicData>
                      </a:graphic>
                    </wp:inline>
                  </w:drawing>
                </mc:Choice>
                <mc:Fallback>
                  <w:pict>
                    <v:group id="_x0000_s1026" o:spid="_x0000_s1026" o:spt="203" style="height:268.9pt;width:417.2pt;" coordsize="5298440,3415030" editas="canvas" o:gfxdata="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">
                      <o:lock v:ext="edit" aspectratio="f"/>
                      <v:shape id="_x0000_s1026" o:spid="_x0000_s1026" style="position:absolute;left:0;top:0;height:3415030;width:5298440;" filled="f" stroked="f" coordsize="21600,21600" o:gfxdata="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">
                        <v:fill on="f" focussize="0,0"/>
                        <v:stroke on="f"/>
                        <v:imagedata o:title=""/>
                        <o:lock v:ext="edit" aspectratio="f"/>
                      </v:shape>
                      <v:rect id="矩形 12" o:spid="_x0000_s1026" o:spt="1" style="position:absolute;left:2210435;top:412115;height:180340;width:556895;v-text-anchor:middle;" filled="f" stroked="t" coordsize="21600,21600" o:gfxdata="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Zkz3TNQAAAAFAQAADwAAAAAAAAABACAAAAAiAAAAZHJzL2Rvd25yZXYueG1sUEsBAhQA&#10;FAAAAAgAh07iQMb97uFoAgAAugQAAA4AAAAAAAAAAQAgAAAAIwEAAGRycy9lMm9Eb2MueG1sUEsF&#10;BgAAAAAGAAYAWQEAAP0FAAAAAA==&#10;">
                        <v:fill on="f" focussize="0,0"/>
                        <v:stroke weight="0.5pt" color="#000000 [3213]" joinstyle="round"/>
                        <v:imagedata o:title=""/>
                        <o:lock v:ext="edit" aspectratio="f"/>
                        <v:textbox inset="0mm,0mm,0mm,0mm">
                          <w:txbxContent>
                            <w:p w14:paraId="755F459D">
                              <w:pPr>
                                <w:jc w:val="center"/>
                                <w:rPr>
                                  <w:rFonts w:hint="default" w:eastAsia="宋体"/>
                                  <w:color w:val="000000" w:themeColor="text1"/>
                                  <w:sz w:val="18"/>
                                  <w:szCs w:val="18"/>
                                  <w:lang w:val="en-US" w:eastAsia="zh-CN"/>
                                  <w14:textFill>
                                    <w14:solidFill>
                                      <w14:schemeClr w14:val="tx1"/>
                                    </w14:solidFill>
                                  </w14:textFill>
                                  <w14:props3d w14:extrusionH="0" w14:contourW="0" w14:prstMaterial="clear"/>
                                </w:rPr>
                              </w:pPr>
                              <w:r>
                                <w:rPr>
                                  <w:rFonts w:hint="eastAsia"/>
                                  <w:color w:val="000000" w:themeColor="text1"/>
                                  <w:sz w:val="18"/>
                                  <w:szCs w:val="18"/>
                                  <w:lang w:val="en-US" w:eastAsia="zh-CN"/>
                                  <w14:textFill>
                                    <w14:solidFill>
                                      <w14:schemeClr w14:val="tx1"/>
                                    </w14:solidFill>
                                  </w14:textFill>
                                  <w14:props3d w14:extrusionH="0" w14:contourW="0" w14:prstMaterial="clear"/>
                                </w:rPr>
                                <w:t>化粪池</w:t>
                              </w:r>
                            </w:p>
                          </w:txbxContent>
                        </v:textbox>
                      </v:rect>
                      <v:rect id="矩形 14" o:spid="_x0000_s1026" o:spt="1" style="position:absolute;left:3183255;top:346710;height:316230;width:768350;v-text-anchor:middle;" filled="f" stroked="t" coordsize="21600,21600" o:gfxdata="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GZM90zUAAAABQEAAA8AAAAAAAAAAQAgAAAAIgAAAGRycy9kb3ducmV2LnhtbFBLAQIUABQAAAAI&#10;AIdO4kBydyy3YwIAALoEAAAOAAAAAAAAAAEAIAAAACMBAABkcnMvZTJvRG9jLnhtbFBLBQYAAAAA&#10;BgAGAFkBAAD4BQAAAAA=&#10;">
                        <v:fill on="f" focussize="0,0"/>
                        <v:stroke weight="0.5pt" color="#000000 [3213]" joinstyle="round"/>
                        <v:imagedata o:title=""/>
                        <o:lock v:ext="edit" aspectratio="f"/>
                        <v:textbox inset="0mm,0mm,0mm,0mm">
                          <w:txbxContent>
                            <w:p w14:paraId="69F8F077">
                              <w:pPr>
                                <w:jc w:val="center"/>
                                <w:rPr>
                                  <w:rFonts w:hint="eastAsia"/>
                                  <w:color w:val="000000" w:themeColor="text1"/>
                                  <w:sz w:val="18"/>
                                  <w:szCs w:val="18"/>
                                  <w:lang w:val="en-US" w:eastAsia="zh-CN"/>
                                  <w14:textFill>
                                    <w14:solidFill>
                                      <w14:schemeClr w14:val="tx1"/>
                                    </w14:solidFill>
                                  </w14:textFill>
                                  <w14:props3d w14:extrusionH="0" w14:contourW="0" w14:prstMaterial="clear"/>
                                </w:rPr>
                              </w:pPr>
                              <w:r>
                                <w:rPr>
                                  <w:rFonts w:hint="default"/>
                                  <w:color w:val="000000" w:themeColor="text1"/>
                                  <w:sz w:val="18"/>
                                  <w:szCs w:val="18"/>
                                  <w:lang w:val="en-US" w:eastAsia="zh-CN"/>
                                  <w14:textFill>
                                    <w14:solidFill>
                                      <w14:schemeClr w14:val="tx1"/>
                                    </w14:solidFill>
                                  </w14:textFill>
                                  <w14:props3d w14:extrusionH="0" w14:contourW="0" w14:prstMaterial="clear"/>
                                </w:rPr>
                                <w:t>鹰泰水务海安有限公司</w:t>
                              </w:r>
                            </w:p>
                          </w:txbxContent>
                        </v:textbox>
                      </v:rect>
                      <v:rect id="矩形 16" o:spid="_x0000_s1026" o:spt="1" style="position:absolute;left:4351020;top:414020;height:189230;width:500380;v-text-anchor:middle;" filled="f" stroked="f" coordsize="21600,21600" o:gfxdata="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XWDQw9gAAAAFAQAA&#10;DwAAAAAAAAABACAAAAAiAAAAZHJzL2Rvd25yZXYueG1sUEsBAhQAFAAAAAgAh07iQPOagOtSAgAA&#10;kQQAAA4AAAAAAAAAAQAgAAAAJwEAAGRycy9lMm9Eb2MueG1sUEsFBgAAAAAGAAYAWQEAAOsFAAAA&#10;AA==&#10;">
                        <v:fill on="f" focussize="0,0"/>
                        <v:stroke on="f" weight="0.5pt"/>
                        <v:imagedata o:title=""/>
                        <o:lock v:ext="edit" aspectratio="f"/>
                        <v:textbox inset="0mm,0mm,0mm,0mm">
                          <w:txbxContent>
                            <w:p w14:paraId="27B6BCD3">
                              <w:pPr>
                                <w:jc w:val="center"/>
                                <w:rPr>
                                  <w:rFonts w:hint="eastAsia" w:ascii="Times New Roman" w:hAnsi="Times New Roman" w:eastAsia="宋体" w:cs="Times New Roman"/>
                                  <w:color w:val="000000" w:themeColor="text1"/>
                                  <w:sz w:val="18"/>
                                  <w:szCs w:val="18"/>
                                  <w:lang w:val="en-US" w:eastAsia="zh-CN"/>
                                  <w14:textFill>
                                    <w14:solidFill>
                                      <w14:schemeClr w14:val="tx1"/>
                                    </w14:solidFill>
                                  </w14:textFill>
                                  <w14:props3d w14:extrusionH="0" w14:contourW="0" w14:prstMaterial="clear"/>
                                </w:rPr>
                              </w:pPr>
                              <w:r>
                                <w:rPr>
                                  <w:rFonts w:hint="eastAsia" w:ascii="Times New Roman" w:hAnsi="Times New Roman" w:eastAsia="宋体" w:cs="Times New Roman"/>
                                  <w:color w:val="000000" w:themeColor="text1"/>
                                  <w:sz w:val="18"/>
                                  <w:szCs w:val="18"/>
                                  <w:lang w:val="en-US" w:eastAsia="zh-CN"/>
                                  <w14:textFill>
                                    <w14:solidFill>
                                      <w14:schemeClr w14:val="tx1"/>
                                    </w14:solidFill>
                                  </w14:textFill>
                                  <w14:props3d w14:extrusionH="0" w14:contourW="0" w14:prstMaterial="clear"/>
                                </w:rPr>
                                <w:t>栟茶运河</w:t>
                              </w:r>
                            </w:p>
                          </w:txbxContent>
                        </v:textbox>
                      </v:rect>
                      <v:shape id="直接箭头连接符 2" o:spid="_x0000_s1026" o:spt="32" type="#_x0000_t32" style="position:absolute;left:1739900;top:506095;height:0;width:468000;" filled="f" stroked="t" coordsize="21600,21600" o:gfxdata="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0wG4itUAAAAFAQAADwAAAAAAAAABACAA&#10;AAAiAAAAZHJzL2Rvd25yZXYueG1sUEsBAhQAFAAAAAgAh07iQEvdwYoQAgAA5gMAAA4AAAAAAAAA&#10;AQAgAAAAJAEAAGRycy9lMm9Eb2MueG1sUEsFBgAAAAAGAAYAWQEAAKYFAAAAAA==&#10;">
                        <v:fill on="f" focussize="0,0"/>
                        <v:stroke weight="0.5pt" color="#000000 [3213]" joinstyle="round" endarrow="block" endarrowlength="long"/>
                        <v:imagedata o:title=""/>
                        <o:lock v:ext="edit" aspectratio="f"/>
                      </v:shape>
                      <v:rect id="矩形 6" o:spid="_x0000_s1026" o:spt="1" style="position:absolute;left:1398270;top:0;height:180340;width:626745;v-text-anchor:middle;" filled="f" stroked="f" coordsize="21600,21600" o:gfxdata="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XWDQw9gAAAAFAQAADwAA&#10;AAAAAAABACAAAAAiAAAAZHJzL2Rvd25yZXYueG1sUEsBAhQAFAAAAAgAh07iQNmfVq9PAgAAiwQA&#10;AA4AAAAAAAAAAQAgAAAAJwEAAGRycy9lMm9Eb2MueG1sUEsFBgAAAAAGAAYAWQEAAOgFAAAAAA==&#10;">
                        <v:fill on="f" focussize="0,0"/>
                        <v:stroke on="f" weight="0.5pt"/>
                        <v:imagedata o:title=""/>
                        <o:lock v:ext="edit" aspectratio="f"/>
                        <v:textbox inset="0mm,0mm,0mm,0mm">
                          <w:txbxContent>
                            <w:p w14:paraId="5098DB6B">
                              <w:pPr>
                                <w:jc w:val="center"/>
                                <w:rPr>
                                  <w:rFonts w:hint="default" w:eastAsia="宋体"/>
                                  <w:color w:val="000000" w:themeColor="text1"/>
                                  <w:sz w:val="18"/>
                                  <w:szCs w:val="18"/>
                                  <w:lang w:val="en-US" w:eastAsia="zh-CN"/>
                                  <w14:textFill>
                                    <w14:solidFill>
                                      <w14:schemeClr w14:val="tx1"/>
                                    </w14:solidFill>
                                  </w14:textFill>
                                  <w14:props3d w14:extrusionH="0" w14:contourW="0" w14:prstMaterial="clear"/>
                                </w:rPr>
                              </w:pPr>
                              <w:r>
                                <w:rPr>
                                  <w:rFonts w:hint="eastAsia"/>
                                  <w:color w:val="000000" w:themeColor="text1"/>
                                  <w:sz w:val="18"/>
                                  <w:szCs w:val="18"/>
                                  <w14:textFill>
                                    <w14:solidFill>
                                      <w14:schemeClr w14:val="tx1"/>
                                    </w14:solidFill>
                                  </w14:textFill>
                                  <w14:props3d w14:extrusionH="0" w14:contourW="0" w14:prstMaterial="clear"/>
                                </w:rPr>
                                <w:t>损耗</w:t>
                              </w:r>
                              <w:r>
                                <w:rPr>
                                  <w:rFonts w:hint="eastAsia"/>
                                  <w:color w:val="000000" w:themeColor="text1"/>
                                  <w:sz w:val="18"/>
                                  <w:szCs w:val="18"/>
                                  <w:lang w:val="en-US" w:eastAsia="zh-CN"/>
                                  <w14:textFill>
                                    <w14:solidFill>
                                      <w14:schemeClr w14:val="tx1"/>
                                    </w14:solidFill>
                                  </w14:textFill>
                                  <w14:props3d w14:extrusionH="0" w14:contourW="0" w14:prstMaterial="clear"/>
                                </w:rPr>
                                <w:t>462</w:t>
                              </w:r>
                            </w:p>
                          </w:txbxContent>
                        </v:textbox>
                      </v:rect>
                      <v:rect id="矩形 5" o:spid="_x0000_s1026" o:spt="1" style="position:absolute;left:1179830;top:412750;height:180340;width:556895;v-text-anchor:middle;" filled="f" stroked="t" coordsize="21600,21600" o:gfxdata="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GZM90zUAAAABQEAAA8AAAAAAAAAAQAgAAAAIgAAAGRycy9kb3ducmV2LnhtbFBLAQIUABQA&#10;AAAIAIdO4kC5N3nJZgIAALkEAAAOAAAAAAAAAAEAIAAAACMBAABkcnMvZTJvRG9jLnhtbFBLBQYA&#10;AAAABgAGAFkBAAD7BQAAAAA=&#10;">
                        <v:fill on="f" focussize="0,0"/>
                        <v:stroke weight="0.5pt" color="#000000 [3213]" joinstyle="round"/>
                        <v:imagedata o:title=""/>
                        <o:lock v:ext="edit" aspectratio="f"/>
                        <v:textbox inset="0mm,0mm,0mm,0mm">
                          <w:txbxContent>
                            <w:p w14:paraId="4AF55F5C">
                              <w:pPr>
                                <w:jc w:val="center"/>
                                <w:rPr>
                                  <w:rFonts w:hint="eastAsia" w:eastAsia="宋体"/>
                                  <w:color w:val="000000" w:themeColor="text1"/>
                                  <w:sz w:val="18"/>
                                  <w:szCs w:val="18"/>
                                  <w:lang w:val="en-US" w:eastAsia="zh-CN"/>
                                  <w14:textFill>
                                    <w14:solidFill>
                                      <w14:schemeClr w14:val="tx1"/>
                                    </w14:solidFill>
                                  </w14:textFill>
                                  <w14:props3d w14:extrusionH="0" w14:contourW="0" w14:prstMaterial="clear"/>
                                </w:rPr>
                              </w:pPr>
                              <w:r>
                                <w:rPr>
                                  <w:rFonts w:hint="eastAsia"/>
                                  <w:color w:val="000000" w:themeColor="text1"/>
                                  <w:sz w:val="18"/>
                                  <w:szCs w:val="18"/>
                                  <w:lang w:val="en-US" w:eastAsia="zh-CN"/>
                                  <w14:textFill>
                                    <w14:solidFill>
                                      <w14:schemeClr w14:val="tx1"/>
                                    </w14:solidFill>
                                  </w14:textFill>
                                  <w14:props3d w14:extrusionH="0" w14:contourW="0" w14:prstMaterial="clear"/>
                                </w:rPr>
                                <w:t>生活用水</w:t>
                              </w:r>
                            </w:p>
                          </w:txbxContent>
                        </v:textbox>
                      </v:rect>
                      <v:shape id="曲线连接符 22" o:spid="_x0000_s1026" o:spt="38" type="#_x0000_t38" style="position:absolute;left:1452245;top:179705;height:219710;width:259080;rotation:-5898240f;" filled="f" stroked="t" coordsize="21600,21600" o:gfxdata="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rKW6i9UAAAAFAQAADwAAAAAAAAABACAAAAAiAAAA&#10;ZHJzL2Rvd25yZXYueG1sUEsBAhQAFAAAAAgAh07iQD5gOEtDAgAAQAQAAA4AAAAAAAAAAQAgAAAA&#10;JAEAAGRycy9lMm9Eb2MueG1sUEsFBgAAAAAGAAYAWQEAANkFAAAAAA==&#10;" adj="10747">
                        <v:fill on="f" focussize="0,0"/>
                        <v:stroke weight="0.5pt" color="#000000 [3200]" joinstyle="round" endarrow="open"/>
                        <v:imagedata o:title=""/>
                        <o:lock v:ext="edit" aspectratio="f"/>
                      </v:shape>
                      <v:shape id="直接箭头连接符 75" o:spid="_x0000_s1026" o:spt="32" type="#_x0000_t32" style="position:absolute;left:670560;top:506095;height:0;width:504190;" filled="f" stroked="t" coordsize="21600,21600" o:gfxdata="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0wG4itUAAAAFAQAADwAAAAAAAAABACAA&#10;AAAiAAAAZHJzL2Rvd25yZXYueG1sUEsBAhQAFAAAAAgAh07iQPR651AQAgAA5gMAAA4AAAAAAAAA&#10;AQAgAAAAJAEAAGRycy9lMm9Eb2MueG1sUEsFBgAAAAAGAAYAWQEAAKYFAAAAAA==&#10;">
                        <v:fill on="f" focussize="0,0"/>
                        <v:stroke weight="0.5pt" color="#000000 [3213]" joinstyle="round" endarrow="block" endarrowlength="long"/>
                        <v:imagedata o:title=""/>
                        <o:lock v:ext="edit" aspectratio="f"/>
                      </v:shape>
                      <v:rect id="矩形 27" o:spid="_x0000_s1026" o:spt="1" style="position:absolute;left:0;top:1358265;height:735965;width:207010;v-text-anchor:middle;" filled="f" stroked="f" coordsize="21600,21600" o:gfxdata="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1g0MPYAAAABQEAAA8A&#10;AAAAAAAAAQAgAAAAIgAAAGRycy9kb3ducmV2LnhtbFBLAQIUABQAAAAIAIdO4kA2/4Y1UAIAAIwE&#10;AAAOAAAAAAAAAAEAIAAAACcBAABkcnMvZTJvRG9jLnhtbFBLBQYAAAAABgAGAFkBAADpBQAAAAA=&#10;">
                        <v:fill on="f" focussize="0,0"/>
                        <v:stroke on="f" weight="0.5pt"/>
                        <v:imagedata o:title=""/>
                        <o:lock v:ext="edit" aspectratio="f"/>
                        <v:textbox inset="0mm,0mm,0mm,0mm">
                          <w:txbxContent>
                            <w:p w14:paraId="39D03AF6">
                              <w:pPr>
                                <w:jc w:val="center"/>
                                <w:rPr>
                                  <w:color w:val="000000" w:themeColor="text1"/>
                                  <w:sz w:val="18"/>
                                  <w:szCs w:val="18"/>
                                  <w14:textFill>
                                    <w14:solidFill>
                                      <w14:schemeClr w14:val="tx1"/>
                                    </w14:solidFill>
                                  </w14:textFill>
                                  <w14:props3d w14:extrusionH="0" w14:contourW="0" w14:prstMaterial="clear"/>
                                </w:rPr>
                              </w:pPr>
                              <w:r>
                                <w:rPr>
                                  <w:rFonts w:hint="eastAsia"/>
                                  <w:color w:val="000000" w:themeColor="text1"/>
                                  <w:sz w:val="18"/>
                                  <w:szCs w:val="18"/>
                                  <w14:textFill>
                                    <w14:solidFill>
                                      <w14:schemeClr w14:val="tx1"/>
                                    </w14:solidFill>
                                  </w14:textFill>
                                  <w14:props3d w14:extrusionH="0" w14:contourW="0" w14:prstMaterial="clear"/>
                                </w:rPr>
                                <w:t>自来水</w:t>
                              </w:r>
                            </w:p>
                          </w:txbxContent>
                        </v:textbox>
                      </v:rect>
                      <v:rect id="矩形 29" o:spid="_x0000_s1026" o:spt="1" style="position:absolute;left:641350;top:343535;height:180340;width:448945;v-text-anchor:middle;" filled="f" stroked="f" coordsize="21600,21600" o:gfxdata="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XWDQw9gAAAAF&#10;AQAADwAAAAAAAAABACAAAAAiAAAAZHJzL2Rvd25yZXYueG1sUEsBAhQAFAAAAAgAh07iQEcEKkZV&#10;AgAAkQQAAA4AAAAAAAAAAQAgAAAAJwEAAGRycy9lMm9Eb2MueG1sUEsFBgAAAAAGAAYAWQEAAO4F&#10;AAAAAA==&#10;">
                        <v:fill on="f" focussize="0,0"/>
                        <v:stroke on="f" weight="0.5pt"/>
                        <v:imagedata o:title=""/>
                        <o:lock v:ext="edit" aspectratio="f"/>
                        <v:textbox inset="0mm,0mm,0mm,0mm">
                          <w:txbxContent>
                            <w:p w14:paraId="4E5B269A">
                              <w:pPr>
                                <w:jc w:val="center"/>
                                <w:rPr>
                                  <w:rFonts w:hint="default" w:eastAsia="宋体"/>
                                  <w:color w:val="000000" w:themeColor="text1"/>
                                  <w:sz w:val="18"/>
                                  <w:szCs w:val="18"/>
                                  <w:lang w:val="en-US" w:eastAsia="zh-CN"/>
                                  <w14:textFill>
                                    <w14:solidFill>
                                      <w14:schemeClr w14:val="tx1"/>
                                    </w14:solidFill>
                                  </w14:textFill>
                                  <w14:props3d w14:extrusionH="0" w14:contourW="0" w14:prstMaterial="clear"/>
                                </w:rPr>
                              </w:pPr>
                              <w:r>
                                <w:rPr>
                                  <w:rFonts w:hint="eastAsia"/>
                                  <w:color w:val="000000" w:themeColor="text1"/>
                                  <w:sz w:val="18"/>
                                  <w:szCs w:val="18"/>
                                  <w:lang w:val="en-US" w:eastAsia="zh-CN"/>
                                  <w14:textFill>
                                    <w14:solidFill>
                                      <w14:schemeClr w14:val="tx1"/>
                                    </w14:solidFill>
                                  </w14:textFill>
                                  <w14:props3d w14:extrusionH="0" w14:contourW="0" w14:prstMaterial="clear"/>
                                </w:rPr>
                                <w:t>2620</w:t>
                              </w:r>
                            </w:p>
                          </w:txbxContent>
                        </v:textbox>
                      </v:rect>
                      <v:line id="直接连接符 89" o:spid="_x0000_s1026" o:spt="20" style="position:absolute;left:673100;top:500380;height:2339975;width:7620;" filled="f" stroked="t" coordsize="21600,21600" o:gfxdata="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DUordx1AAAAAUB&#10;AAAPAAAAAAAAAAEAIAAAACIAAABkcnMvZG93bnJldi54bWxQSwECFAAUAAAACACHTuJAZW3Tl+YB&#10;AACqAwAADgAAAAAAAAABACAAAAAjAQAAZHJzL2Uyb0RvYy54bWxQSwUGAAAAAAYABgBZAQAAewUA&#10;AAAA&#10;">
                        <v:fill on="f" focussize="0,0"/>
                        <v:stroke weight="0.5pt" color="#000000 [3213]" joinstyle="round"/>
                        <v:imagedata o:title=""/>
                        <o:lock v:ext="edit" aspectratio="f"/>
                      </v:line>
                      <v:shape id="直接箭头连接符 95" o:spid="_x0000_s1026" o:spt="32" type="#_x0000_t32" style="position:absolute;left:169545;top:1742440;height:0;width:504190;" filled="f" stroked="t" coordsize="21600,21600" o:gfxdata="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NMBuIrVAAAABQEAAA8AAAAAAAAAAQAg&#10;AAAAIgAAAGRycy9kb3ducmV2LnhtbFBLAQIUABQAAAAIAIdO4kAv5BGbEQIAAOgDAAAOAAAAAAAA&#10;AAEAIAAAACQBAABkcnMvZTJvRG9jLnhtbFBLBQYAAAAABgAGAFkBAACnBQAAAAA=&#10;">
                        <v:fill on="f" focussize="0,0"/>
                        <v:stroke weight="0.5pt" color="#000000 [3213]" joinstyle="round" endarrow="block" endarrowlength="long"/>
                        <v:imagedata o:title=""/>
                        <o:lock v:ext="edit" aspectratio="f"/>
                      </v:shape>
                      <v:rect id="矩形 29" o:spid="_x0000_s1026" o:spt="1" style="position:absolute;left:1680845;top:346075;height:180340;width:448945;v-text-anchor:middle;" filled="f" stroked="f" coordsize="21600,21600" o:gfxdata="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XWDQw9gA&#10;AAAFAQAADwAAAAAAAAABACAAAAAiAAAAZHJzL2Rvd25yZXYueG1sUEsBAhQAFAAAAAgAh07iQAnZ&#10;A79YAgAAkgQAAA4AAAAAAAAAAQAgAAAAJwEAAGRycy9lMm9Eb2MueG1sUEsFBgAAAAAGAAYAWQEA&#10;APEFAAAAAA==&#10;">
                        <v:fill on="f" focussize="0,0"/>
                        <v:stroke on="f" weight="0.5pt"/>
                        <v:imagedata o:title=""/>
                        <o:lock v:ext="edit" aspectratio="f"/>
                        <v:textbox inset="0mm,0mm,0mm,0mm">
                          <w:txbxContent>
                            <w:p w14:paraId="1592CABA">
                              <w:pPr>
                                <w:jc w:val="center"/>
                                <w:rPr>
                                  <w:rFonts w:hint="default" w:eastAsia="宋体"/>
                                  <w:color w:val="000000" w:themeColor="text1"/>
                                  <w:sz w:val="18"/>
                                  <w:szCs w:val="18"/>
                                  <w:lang w:val="en-US" w:eastAsia="zh-CN"/>
                                  <w14:textFill>
                                    <w14:solidFill>
                                      <w14:schemeClr w14:val="tx1"/>
                                    </w14:solidFill>
                                  </w14:textFill>
                                  <w14:props3d w14:extrusionH="0" w14:contourW="0" w14:prstMaterial="clear"/>
                                </w:rPr>
                              </w:pPr>
                              <w:r>
                                <w:rPr>
                                  <w:rFonts w:hint="eastAsia"/>
                                  <w:color w:val="000000" w:themeColor="text1"/>
                                  <w:sz w:val="18"/>
                                  <w:szCs w:val="18"/>
                                  <w:lang w:val="en-US" w:eastAsia="zh-CN"/>
                                  <w14:textFill>
                                    <w14:solidFill>
                                      <w14:schemeClr w14:val="tx1"/>
                                    </w14:solidFill>
                                  </w14:textFill>
                                  <w14:props3d w14:extrusionH="0" w14:contourW="0" w14:prstMaterial="clear"/>
                                </w:rPr>
                                <w:t>2158</w:t>
                              </w:r>
                            </w:p>
                          </w:txbxContent>
                        </v:textbox>
                      </v:rect>
                      <v:shape id="直接箭头连接符 91" o:spid="_x0000_s1026" o:spt="32" type="#_x0000_t32" style="position:absolute;left:3947160;top:508000;height:0;width:416560;" filled="f" stroked="t" coordsize="21600,21600" o:gfxdata="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NMBuIrVAAAABQEAAA8AAAAAAAAAAQAg&#10;AAAAIgAAAGRycy9kb3ducmV2LnhtbFBLAQIUABQAAAAIAIdO4kA3h6VJEQIAAOgDAAAOAAAAAAAA&#10;AAEAIAAAACQBAABkcnMvZTJvRG9jLnhtbFBLBQYAAAAABgAGAFkBAACnBQAAAAA=&#10;">
                        <v:fill on="f" focussize="0,0"/>
                        <v:stroke weight="0.5pt" color="#000000 [3213]" joinstyle="round" endarrow="block" endarrowlength="long"/>
                        <v:imagedata o:title=""/>
                        <o:lock v:ext="edit" aspectratio="f"/>
                      </v:shape>
                      <v:group id="组合 104" o:spid="_x0000_s1026" o:spt="203" style="position:absolute;left:671830;top:835660;height:600075;width:1475105;" coordorigin="1058,304" coordsize="2323,945" o:gfxdata="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">
                        <o:lock v:ext="edit" aspectratio="f"/>
                        <v:shape id="直接箭头连接符 91" o:spid="_x0000_s1026" o:spt="32" type="#_x0000_t32" style="position:absolute;left:1058;top:1108;height:0;width:737;" filled="f" stroked="t" coordsize="21600,21600" o:gfxdata="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n7u9W8AAAA&#10;3AAAAA8AAAAAAAAAAQAgAAAAIgAAAGRycy9kb3ducmV2LnhtbFBLAQIUABQAAAAIAIdO4kAzLwWe&#10;OwAAADkAAAAQAAAAAAAAAAEAIAAAAAsBAABkcnMvc2hhcGV4bWwueG1sUEsFBgAAAAAGAAYAWwEA&#10;ALUDAAAAAA==&#10;">
                          <v:fill on="f" focussize="0,0"/>
                          <v:stroke weight="0.5pt" color="#000000 [3213]" joinstyle="round" endarrow="block" endarrowlength="long"/>
                          <v:imagedata o:title=""/>
                          <o:lock v:ext="edit" aspectratio="f"/>
                        </v:shape>
                        <v:rect id="矩形 94" o:spid="_x0000_s1026" o:spt="1" style="position:absolute;left:1801;top:965;height:284;width:1320;v-text-anchor:middle;" filled="f" stroked="t" coordsize="21600,21600" o:gfxdata="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337nC8AAAA&#10;3AAAAA8AAAAAAAAAAQAgAAAAIgAAAGRycy9kb3ducmV2LnhtbFBLAQIUABQAAAAIAIdO4kAzLwWe&#10;OwAAADkAAAAQAAAAAAAAAAEAIAAAAAsBAABkcnMvc2hhcGV4bWwueG1sUEsFBgAAAAAGAAYAWwEA&#10;ALUDAAAAAA==&#10;">
                          <v:fill on="f" focussize="0,0"/>
                          <v:stroke weight="0.5pt" color="#000000 [3213]" joinstyle="round"/>
                          <v:imagedata o:title=""/>
                          <o:lock v:ext="edit" aspectratio="f"/>
                          <v:textbox inset="0mm,0mm,0mm,0mm">
                            <w:txbxContent>
                              <w:p w14:paraId="4DDD638E">
                                <w:pPr>
                                  <w:jc w:val="center"/>
                                  <w:rPr>
                                    <w:rFonts w:hint="default" w:eastAsia="宋体"/>
                                    <w:color w:val="000000" w:themeColor="text1"/>
                                    <w:sz w:val="18"/>
                                    <w:szCs w:val="18"/>
                                    <w:lang w:val="en-US" w:eastAsia="zh-CN"/>
                                    <w14:textFill>
                                      <w14:solidFill>
                                        <w14:schemeClr w14:val="tx1"/>
                                      </w14:solidFill>
                                    </w14:textFill>
                                    <w14:props3d w14:extrusionH="0" w14:contourW="0" w14:prstMaterial="clear"/>
                                  </w:rPr>
                                </w:pPr>
                                <w:r>
                                  <w:rPr>
                                    <w:rFonts w:hint="eastAsia"/>
                                    <w:color w:val="000000" w:themeColor="text1"/>
                                    <w:sz w:val="18"/>
                                    <w:szCs w:val="18"/>
                                    <w:lang w:val="en-US" w:eastAsia="zh-CN"/>
                                    <w14:textFill>
                                      <w14:solidFill>
                                        <w14:schemeClr w14:val="tx1"/>
                                      </w14:solidFill>
                                    </w14:textFill>
                                    <w14:props3d w14:extrusionH="0" w14:contourW="0" w14:prstMaterial="clear"/>
                                  </w:rPr>
                                  <w:t>循环冷却水</w:t>
                                </w:r>
                              </w:p>
                            </w:txbxContent>
                          </v:textbox>
                        </v:rect>
                        <v:shape id="曲线连接符 22" o:spid="_x0000_s1026" o:spt="38" type="#_x0000_t38" style="position:absolute;left:2431;top:583;height:346;width:408;rotation:-5898240f;" filled="f" stroked="t" coordsize="21600,21600" o:gfxdata="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LjhuZbsAAADc&#10;AAAADwAAAAAAAAABACAAAAAiAAAAZHJzL2Rvd25yZXYueG1sUEsBAhQAFAAAAAgAh07iQDMvBZ47&#10;AAAAOQAAABAAAAAAAAAAAQAgAAAACgEAAGRycy9zaGFwZXhtbC54bWxQSwUGAAAAAAYABgBbAQAA&#10;tAMAAAAA&#10;" adj="10747">
                          <v:fill on="f" focussize="0,0"/>
                          <v:stroke weight="0.5pt" color="#000000 [3200]" joinstyle="round" endarrow="open"/>
                          <v:imagedata o:title=""/>
                          <o:lock v:ext="edit" aspectratio="f"/>
                        </v:shape>
                        <v:rect id="矩形 93" o:spid="_x0000_s1026" o:spt="1" style="position:absolute;left:2394;top:304;height:284;width:987;v-text-anchor:middle;" filled="f" stroked="f" coordsize="21600,21600" o:gfxdata="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drQti/&#10;AAAA3AAAAA8AAAAAAAAAAQAgAAAAIgAAAGRycy9kb3ducmV2LnhtbFBLAQIUABQAAAAIAIdO4kAz&#10;LwWeOwAAADkAAAAQAAAAAAAAAAEAIAAAAA4BAABkcnMvc2hhcGV4bWwueG1sUEsFBgAAAAAGAAYA&#10;WwEAALgDAAAAAA==&#10;">
                          <v:fill on="f" focussize="0,0"/>
                          <v:stroke on="f" weight="0.5pt"/>
                          <v:imagedata o:title=""/>
                          <o:lock v:ext="edit" aspectratio="f"/>
                          <v:textbox inset="0mm,0mm,0mm,0mm">
                            <w:txbxContent>
                              <w:p w14:paraId="1194AD28">
                                <w:pPr>
                                  <w:jc w:val="center"/>
                                  <w:rPr>
                                    <w:rFonts w:hint="default" w:eastAsia="宋体"/>
                                    <w:color w:val="000000" w:themeColor="text1"/>
                                    <w:sz w:val="18"/>
                                    <w:szCs w:val="18"/>
                                    <w:lang w:val="en-US" w:eastAsia="zh-CN"/>
                                    <w14:textFill>
                                      <w14:solidFill>
                                        <w14:schemeClr w14:val="tx1"/>
                                      </w14:solidFill>
                                    </w14:textFill>
                                    <w14:props3d w14:extrusionH="0" w14:contourW="0" w14:prstMaterial="clear"/>
                                  </w:rPr>
                                </w:pPr>
                                <w:r>
                                  <w:rPr>
                                    <w:rFonts w:hint="eastAsia"/>
                                    <w:color w:val="000000" w:themeColor="text1"/>
                                    <w:sz w:val="18"/>
                                    <w:szCs w:val="18"/>
                                    <w14:textFill>
                                      <w14:solidFill>
                                        <w14:schemeClr w14:val="tx1"/>
                                      </w14:solidFill>
                                    </w14:textFill>
                                    <w14:props3d w14:extrusionH="0" w14:contourW="0" w14:prstMaterial="clear"/>
                                  </w:rPr>
                                  <w:t>损耗</w:t>
                                </w:r>
                                <w:r>
                                  <w:rPr>
                                    <w:rFonts w:hint="eastAsia"/>
                                    <w:color w:val="000000" w:themeColor="text1"/>
                                    <w:sz w:val="18"/>
                                    <w:szCs w:val="18"/>
                                    <w:lang w:val="en-US" w:eastAsia="zh-CN"/>
                                    <w14:textFill>
                                      <w14:solidFill>
                                        <w14:schemeClr w14:val="tx1"/>
                                      </w14:solidFill>
                                    </w14:textFill>
                                    <w14:props3d w14:extrusionH="0" w14:contourW="0" w14:prstMaterial="clear"/>
                                  </w:rPr>
                                  <w:t>1755.8</w:t>
                                </w:r>
                              </w:p>
                            </w:txbxContent>
                          </v:textbox>
                        </v:rect>
                        <v:rect id="矩形 30" o:spid="_x0000_s1026" o:spt="1" style="position:absolute;left:1060;top:902;height:203;width:566;v-text-anchor:middle;" filled="f" stroked="f" coordsize="21600,21600" o:gfxdata="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gn50O8AAAA&#10;3AAAAA8AAAAAAAAAAQAgAAAAIgAAAGRycy9kb3ducmV2LnhtbFBLAQIUABQAAAAIAIdO4kAzLwWe&#10;OwAAADkAAAAQAAAAAAAAAAEAIAAAAAsBAABkcnMvc2hhcGV4bWwueG1sUEsFBgAAAAAGAAYAWwEA&#10;ALUDAAAAAA==&#10;">
                          <v:fill on="f" focussize="0,0"/>
                          <v:stroke on="f" weight="0.5pt"/>
                          <v:imagedata o:title=""/>
                          <o:lock v:ext="edit" aspectratio="f"/>
                          <v:textbox inset="0mm,0mm,0mm,0mm">
                            <w:txbxContent>
                              <w:p w14:paraId="4D7796FB">
                                <w:pPr>
                                  <w:jc w:val="center"/>
                                  <w:rPr>
                                    <w:rFonts w:hint="default"/>
                                    <w:color w:val="000000" w:themeColor="text1"/>
                                    <w:sz w:val="18"/>
                                    <w:szCs w:val="18"/>
                                    <w:lang w:val="en-US" w:eastAsia="zh-CN"/>
                                    <w14:textFill>
                                      <w14:solidFill>
                                        <w14:schemeClr w14:val="tx1"/>
                                      </w14:solidFill>
                                    </w14:textFill>
                                    <w14:props3d w14:extrusionH="0" w14:contourW="0" w14:prstMaterial="clear"/>
                                  </w:rPr>
                                </w:pPr>
                                <w:r>
                                  <w:rPr>
                                    <w:rFonts w:hint="eastAsia"/>
                                    <w:color w:val="000000" w:themeColor="text1"/>
                                    <w:sz w:val="18"/>
                                    <w:szCs w:val="18"/>
                                    <w:lang w:val="en-US" w:eastAsia="zh-CN"/>
                                    <w14:textFill>
                                      <w14:solidFill>
                                        <w14:schemeClr w14:val="tx1"/>
                                      </w14:solidFill>
                                    </w14:textFill>
                                    <w14:props3d w14:extrusionH="0" w14:contourW="0" w14:prstMaterial="clear"/>
                                  </w:rPr>
                                  <w:t>1755.8</w:t>
                                </w:r>
                              </w:p>
                            </w:txbxContent>
                          </v:textbox>
                        </v:rect>
                      </v:group>
                      <v:rect id="矩形 30" o:spid="_x0000_s1026" o:spt="1" style="position:absolute;left:106045;top:1599565;height:152400;width:494665;v-text-anchor:middle;" filled="f" stroked="f" coordsize="21600,21600" o:gfxdata="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BdYNDD2AAAAAUB&#10;AAAPAAAAAAAAAAEAIAAAACIAAABkcnMvZG93bnJldi54bWxQSwECFAAUAAAACACHTuJAQOGpDFQC&#10;AACSBAAADgAAAAAAAAABACAAAAAnAQAAZHJzL2Uyb0RvYy54bWxQSwUGAAAAAAYABgBZAQAA7QUA&#10;AAAA&#10;">
                        <v:fill on="f" focussize="0,0"/>
                        <v:stroke on="f" weight="0.5pt"/>
                        <v:imagedata o:title=""/>
                        <o:lock v:ext="edit" aspectratio="f"/>
                        <v:textbox inset="0mm,0mm,0mm,0mm">
                          <w:txbxContent>
                            <w:p w14:paraId="26338F85">
                              <w:pPr>
                                <w:jc w:val="center"/>
                                <w:rPr>
                                  <w:rFonts w:hint="default" w:eastAsia="宋体"/>
                                  <w:color w:val="000000" w:themeColor="text1"/>
                                  <w:sz w:val="18"/>
                                  <w:szCs w:val="18"/>
                                  <w:lang w:val="en-US" w:eastAsia="zh-CN"/>
                                  <w14:textFill>
                                    <w14:solidFill>
                                      <w14:schemeClr w14:val="tx1"/>
                                    </w14:solidFill>
                                  </w14:textFill>
                                  <w14:props3d w14:extrusionH="0" w14:contourW="0" w14:prstMaterial="clear"/>
                                </w:rPr>
                              </w:pPr>
                              <w:r>
                                <w:rPr>
                                  <w:rFonts w:hint="eastAsia"/>
                                  <w:color w:val="000000" w:themeColor="text1"/>
                                  <w:sz w:val="18"/>
                                  <w:szCs w:val="18"/>
                                  <w:lang w:val="en-US" w:eastAsia="zh-CN"/>
                                  <w14:textFill>
                                    <w14:solidFill>
                                      <w14:schemeClr w14:val="tx1"/>
                                    </w14:solidFill>
                                  </w14:textFill>
                                  <w14:props3d w14:extrusionH="0" w14:contourW="0" w14:prstMaterial="clear"/>
                                </w:rPr>
                                <w:t>4472.04</w:t>
                              </w:r>
                            </w:p>
                          </w:txbxContent>
                        </v:textbox>
                      </v:rect>
                      <v:shape id="直接箭头连接符 2" o:spid="_x0000_s1026" o:spt="32" type="#_x0000_t32" style="position:absolute;left:2769235;top:507365;height:0;width:417195;" filled="f" stroked="t" coordsize="21600,21600" o:gfxdata="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DTAbiK1QAAAAUBAAAPAAAAAAAAAAEA&#10;IAAAACIAAABkcnMvZG93bnJldi54bWxQSwECFAAUAAAACACHTuJAr0is9RICAADnAwAADgAAAAAA&#10;AAABACAAAAAkAQAAZHJzL2Uyb0RvYy54bWxQSwUGAAAAAAYABgBZAQAAqAUAAAAA&#10;">
                        <v:fill on="f" focussize="0,0"/>
                        <v:stroke weight="0.5pt" color="#000000 [3213]" joinstyle="round" endarrow="block" endarrowlength="long"/>
                        <v:imagedata o:title=""/>
                        <o:lock v:ext="edit" aspectratio="f"/>
                      </v:shape>
                      <v:rect id="矩形 6" o:spid="_x0000_s1026" o:spt="1" style="position:absolute;left:2667635;top:375285;height:144145;width:495935;v-text-anchor:middle;" filled="f" stroked="f" coordsize="21600,21600" o:gfxdata="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dYNDD2AAA&#10;AAUBAAAPAAAAAAAAAAEAIAAAACIAAABkcnMvZG93bnJldi54bWxQSwECFAAUAAAACACHTuJAvS/B&#10;FlcCAACRBAAADgAAAAAAAAABACAAAAAnAQAAZHJzL2Uyb0RvYy54bWxQSwUGAAAAAAYABgBZAQAA&#10;8AUAAAAA&#10;">
                        <v:fill on="f" focussize="0,0"/>
                        <v:stroke on="f" weight="0.5pt"/>
                        <v:imagedata o:title=""/>
                        <o:lock v:ext="edit" aspectratio="f"/>
                        <v:textbox inset="0mm,0mm,0mm,0mm">
                          <w:txbxContent>
                            <w:p w14:paraId="10F0FDC3">
                              <w:pPr>
                                <w:jc w:val="center"/>
                                <w:rPr>
                                  <w:rFonts w:hint="default" w:eastAsia="宋体"/>
                                  <w:color w:val="000000" w:themeColor="text1"/>
                                  <w:sz w:val="18"/>
                                  <w:szCs w:val="18"/>
                                  <w:lang w:val="en-US" w:eastAsia="zh-CN"/>
                                  <w14:textFill>
                                    <w14:solidFill>
                                      <w14:schemeClr w14:val="tx1"/>
                                    </w14:solidFill>
                                  </w14:textFill>
                                  <w14:props3d w14:extrusionH="0" w14:contourW="0" w14:prstMaterial="clear"/>
                                </w:rPr>
                              </w:pPr>
                              <w:r>
                                <w:rPr>
                                  <w:rFonts w:hint="eastAsia"/>
                                  <w:color w:val="000000" w:themeColor="text1"/>
                                  <w:sz w:val="18"/>
                                  <w:szCs w:val="18"/>
                                  <w:lang w:val="en-US" w:eastAsia="zh-CN"/>
                                  <w14:textFill>
                                    <w14:solidFill>
                                      <w14:schemeClr w14:val="tx1"/>
                                    </w14:solidFill>
                                  </w14:textFill>
                                  <w14:props3d w14:extrusionH="0" w14:contourW="0" w14:prstMaterial="clear"/>
                                </w:rPr>
                                <w:t>2158</w:t>
                              </w:r>
                            </w:p>
                          </w:txbxContent>
                        </v:textbox>
                      </v:rect>
                      <v:rect id="矩形 29" o:spid="_x0000_s1026" o:spt="1" style="position:absolute;left:3982720;top:357505;height:180340;width:448945;v-text-anchor:middle;" filled="f" stroked="f" coordsize="21600,21600" o:gfxdata="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XWDQw9gA&#10;AAAFAQAADwAAAAAAAAABACAAAAAiAAAAZHJzL2Rvd25yZXYueG1sUEsBAhQAFAAAAAgAh07iQBNU&#10;XFNYAgAAkgQAAA4AAAAAAAAAAQAgAAAAJwEAAGRycy9lMm9Eb2MueG1sUEsFBgAAAAAGAAYAWQEA&#10;APEFAAAAAA==&#10;">
                        <v:fill on="f" focussize="0,0"/>
                        <v:stroke on="f" weight="0.5pt"/>
                        <v:imagedata o:title=""/>
                        <o:lock v:ext="edit" aspectratio="f"/>
                        <v:textbox inset="0mm,0mm,0mm,0mm">
                          <w:txbxContent>
                            <w:p w14:paraId="2988D085">
                              <w:pPr>
                                <w:jc w:val="both"/>
                                <w:rPr>
                                  <w:rFonts w:hint="default" w:eastAsia="宋体"/>
                                  <w:color w:val="000000" w:themeColor="text1"/>
                                  <w:sz w:val="18"/>
                                  <w:szCs w:val="18"/>
                                  <w:lang w:val="en-US" w:eastAsia="zh-CN"/>
                                  <w14:textFill>
                                    <w14:solidFill>
                                      <w14:schemeClr w14:val="tx1"/>
                                    </w14:solidFill>
                                  </w14:textFill>
                                  <w14:props3d w14:extrusionH="0" w14:contourW="0" w14:prstMaterial="clear"/>
                                </w:rPr>
                              </w:pPr>
                              <w:r>
                                <w:rPr>
                                  <w:rFonts w:hint="eastAsia"/>
                                  <w:color w:val="000000" w:themeColor="text1"/>
                                  <w:sz w:val="18"/>
                                  <w:szCs w:val="18"/>
                                  <w:lang w:val="en-US" w:eastAsia="zh-CN"/>
                                  <w14:textFill>
                                    <w14:solidFill>
                                      <w14:schemeClr w14:val="tx1"/>
                                    </w14:solidFill>
                                  </w14:textFill>
                                  <w14:props3d w14:extrusionH="0" w14:contourW="0" w14:prstMaterial="clear"/>
                                </w:rPr>
                                <w:t>2158</w:t>
                              </w:r>
                            </w:p>
                          </w:txbxContent>
                        </v:textbox>
                      </v:rect>
                      <v:group id="组合 42" o:spid="_x0000_s1026" o:spt="203" style="position:absolute;left:671830;top:1607820;height:1764030;width:4387850;" coordorigin="1058,303" coordsize="6910,2778" o:gfxdata="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">
                        <o:lock v:ext="edit" aspectratio="f"/>
                        <v:shape id="直接箭头连接符 91" o:spid="_x0000_s1026" o:spt="32" type="#_x0000_t32" style="position:absolute;left:1058;top:1108;height:0;width:737;" filled="f" stroked="t" coordsize="21600,21600" o:gfxdata="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wiLQi8AAAA&#10;3AAAAA8AAAAAAAAAAQAgAAAAIgAAAGRycy9kb3ducmV2LnhtbFBLAQIUABQAAAAIAIdO4kAzLwWe&#10;OwAAADkAAAAQAAAAAAAAAAEAIAAAAAsBAABkcnMvc2hhcGV4bWwueG1sUEsFBgAAAAAGAAYAWwEA&#10;ALUDAAAAAA==&#10;">
                          <v:fill on="f" focussize="0,0"/>
                          <v:stroke weight="0.5pt" color="#000000 [3213]" joinstyle="round" endarrow="block" endarrowlength="long"/>
                          <v:imagedata o:title=""/>
                          <o:lock v:ext="edit" aspectratio="f"/>
                        </v:shape>
                        <v:rect id="矩形 94" o:spid="_x0000_s1026" o:spt="1" style="position:absolute;left:1801;top:965;height:284;width:1320;v-text-anchor:middle;" filled="f" stroked="t" coordsize="21600,21600" o:gfxdata="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gueK28AAAA&#10;3AAAAA8AAAAAAAAAAQAgAAAAIgAAAGRycy9kb3ducmV2LnhtbFBLAQIUABQAAAAIAIdO4kAzLwWe&#10;OwAAADkAAAAQAAAAAAAAAAEAIAAAAAsBAABkcnMvc2hhcGV4bWwueG1sUEsFBgAAAAAGAAYAWwEA&#10;ALUDAAAAAA==&#10;">
                          <v:fill on="f" focussize="0,0"/>
                          <v:stroke weight="0.5pt" color="#000000 [3213]" joinstyle="round"/>
                          <v:imagedata o:title=""/>
                          <o:lock v:ext="edit" aspectratio="f"/>
                          <v:textbox inset="0mm,0mm,0mm,0mm">
                            <w:txbxContent>
                              <w:p w14:paraId="27ACB6D7">
                                <w:pPr>
                                  <w:jc w:val="center"/>
                                  <w:rPr>
                                    <w:rFonts w:hint="default" w:eastAsia="宋体"/>
                                    <w:color w:val="000000" w:themeColor="text1"/>
                                    <w:sz w:val="18"/>
                                    <w:szCs w:val="18"/>
                                    <w:lang w:val="en-US" w:eastAsia="zh-CN"/>
                                    <w14:textFill>
                                      <w14:solidFill>
                                        <w14:schemeClr w14:val="tx1"/>
                                      </w14:solidFill>
                                    </w14:textFill>
                                    <w14:props3d w14:extrusionH="0" w14:contourW="0" w14:prstMaterial="clear"/>
                                  </w:rPr>
                                </w:pPr>
                                <w:r>
                                  <w:rPr>
                                    <w:rFonts w:hint="eastAsia"/>
                                    <w:color w:val="000000" w:themeColor="text1"/>
                                    <w:sz w:val="18"/>
                                    <w:szCs w:val="18"/>
                                    <w:lang w:val="en-US" w:eastAsia="zh-CN"/>
                                    <w14:textFill>
                                      <w14:solidFill>
                                        <w14:schemeClr w14:val="tx1"/>
                                      </w14:solidFill>
                                    </w14:textFill>
                                    <w14:props3d w14:extrusionH="0" w14:contourW="0" w14:prstMaterial="clear"/>
                                  </w:rPr>
                                  <w:t>切削液调配用水</w:t>
                                </w:r>
                              </w:p>
                            </w:txbxContent>
                          </v:textbox>
                        </v:rect>
                        <v:shape id="曲线连接符 22" o:spid="_x0000_s1026" o:spt="38" type="#_x0000_t38" style="position:absolute;left:2431;top:583;height:346;width:408;rotation:-5898240f;" filled="f" stroked="t" coordsize="21600,21600" o:gfxdata="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vh+Li8AAAA&#10;3AAAAA8AAAAAAAAAAQAgAAAAIgAAAGRycy9kb3ducmV2LnhtbFBLAQIUABQAAAAIAIdO4kAzLwWe&#10;OwAAADkAAAAQAAAAAAAAAAEAIAAAAAsBAABkcnMvc2hhcGV4bWwueG1sUEsFBgAAAAAGAAYAWwEA&#10;ALUDAAAAAA==&#10;" adj="10747">
                          <v:fill on="f" focussize="0,0"/>
                          <v:stroke weight="0.5pt" color="#000000 [3200]" joinstyle="round" endarrow="open"/>
                          <v:imagedata o:title=""/>
                          <o:lock v:ext="edit" aspectratio="f"/>
                        </v:shape>
                        <v:rect id="矩形 93" o:spid="_x0000_s1026" o:spt="1" style="position:absolute;left:2394;top:304;height:284;width:987;v-text-anchor:middle;" filled="f" stroked="f" coordsize="21600,21600" o:gfxdata="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kHiGW/&#10;AAAA3AAAAA8AAAAAAAAAAQAgAAAAIgAAAGRycy9kb3ducmV2LnhtbFBLAQIUABQAAAAIAIdO4kAz&#10;LwWeOwAAADkAAAAQAAAAAAAAAAEAIAAAAA4BAABkcnMvc2hhcGV4bWwueG1sUEsFBgAAAAAGAAYA&#10;WwEAALgDAAAAAA==&#10;">
                          <v:fill on="f" focussize="0,0"/>
                          <v:stroke on="f" weight="0.5pt"/>
                          <v:imagedata o:title=""/>
                          <o:lock v:ext="edit" aspectratio="f"/>
                          <v:textbox inset="0mm,0mm,0mm,0mm">
                            <w:txbxContent>
                              <w:p w14:paraId="479CB658">
                                <w:pPr>
                                  <w:jc w:val="center"/>
                                  <w:rPr>
                                    <w:rFonts w:hint="default" w:eastAsia="宋体"/>
                                    <w:color w:val="000000" w:themeColor="text1"/>
                                    <w:sz w:val="18"/>
                                    <w:szCs w:val="18"/>
                                    <w:lang w:val="en-US" w:eastAsia="zh-CN"/>
                                    <w14:textFill>
                                      <w14:solidFill>
                                        <w14:schemeClr w14:val="tx1"/>
                                      </w14:solidFill>
                                    </w14:textFill>
                                    <w14:props3d w14:extrusionH="0" w14:contourW="0" w14:prstMaterial="clear"/>
                                  </w:rPr>
                                </w:pPr>
                                <w:r>
                                  <w:rPr>
                                    <w:rFonts w:hint="eastAsia"/>
                                    <w:color w:val="000000" w:themeColor="text1"/>
                                    <w:sz w:val="18"/>
                                    <w:szCs w:val="18"/>
                                    <w14:textFill>
                                      <w14:solidFill>
                                        <w14:schemeClr w14:val="tx1"/>
                                      </w14:solidFill>
                                    </w14:textFill>
                                    <w14:props3d w14:extrusionH="0" w14:contourW="0" w14:prstMaterial="clear"/>
                                  </w:rPr>
                                  <w:t>损耗</w:t>
                                </w:r>
                                <w:r>
                                  <w:rPr>
                                    <w:rFonts w:hint="eastAsia"/>
                                    <w:color w:val="000000" w:themeColor="text1"/>
                                    <w:sz w:val="18"/>
                                    <w:szCs w:val="18"/>
                                    <w:lang w:val="en-US" w:eastAsia="zh-CN"/>
                                    <w14:textFill>
                                      <w14:solidFill>
                                        <w14:schemeClr w14:val="tx1"/>
                                      </w14:solidFill>
                                    </w14:textFill>
                                    <w14:props3d w14:extrusionH="0" w14:contourW="0" w14:prstMaterial="clear"/>
                                  </w:rPr>
                                  <w:t>70.74</w:t>
                                </w:r>
                              </w:p>
                            </w:txbxContent>
                          </v:textbox>
                        </v:rect>
                        <v:rect id="矩形 30" o:spid="_x0000_s1026" o:spt="1" style="position:absolute;left:1060;top:902;height:240;width:566;v-text-anchor:middle;" filled="f" stroked="f" coordsize="21600,21600" o:gfxdata="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ZLLf68AAAA&#10;3AAAAA8AAAAAAAAAAQAgAAAAIgAAAGRycy9kb3ducmV2LnhtbFBLAQIUABQAAAAIAIdO4kAzLwWe&#10;OwAAADkAAAAQAAAAAAAAAAEAIAAAAAsBAABkcnMvc2hhcGV4bWwueG1sUEsFBgAAAAAGAAYAWwEA&#10;ALUDAAAAAA==&#10;">
                          <v:fill on="f" focussize="0,0"/>
                          <v:stroke on="f" weight="0.5pt"/>
                          <v:imagedata o:title=""/>
                          <o:lock v:ext="edit" aspectratio="f"/>
                          <v:textbox inset="0mm,0mm,0mm,0mm">
                            <w:txbxContent>
                              <w:p w14:paraId="7537CD43">
                                <w:pPr>
                                  <w:jc w:val="center"/>
                                  <w:rPr>
                                    <w:rFonts w:hint="default"/>
                                    <w:color w:val="000000" w:themeColor="text1"/>
                                    <w:sz w:val="18"/>
                                    <w:szCs w:val="18"/>
                                    <w:lang w:val="en-US" w:eastAsia="zh-CN"/>
                                    <w14:textFill>
                                      <w14:solidFill>
                                        <w14:schemeClr w14:val="tx1"/>
                                      </w14:solidFill>
                                    </w14:textFill>
                                    <w14:props3d w14:extrusionH="0" w14:contourW="0" w14:prstMaterial="clear"/>
                                  </w:rPr>
                                </w:pPr>
                                <w:r>
                                  <w:rPr>
                                    <w:rFonts w:hint="eastAsia"/>
                                    <w:color w:val="000000" w:themeColor="text1"/>
                                    <w:sz w:val="18"/>
                                    <w:szCs w:val="18"/>
                                    <w:lang w:val="en-US" w:eastAsia="zh-CN"/>
                                    <w14:textFill>
                                      <w14:solidFill>
                                        <w14:schemeClr w14:val="tx1"/>
                                      </w14:solidFill>
                                    </w14:textFill>
                                    <w14:props3d w14:extrusionH="0" w14:contourW="0" w14:prstMaterial="clear"/>
                                  </w:rPr>
                                  <w:t>78.6</w:t>
                                </w:r>
                              </w:p>
                            </w:txbxContent>
                          </v:textbox>
                        </v:rect>
                        <v:shape id="直接箭头连接符 91" o:spid="_x0000_s1026" o:spt="32" type="#_x0000_t32" style="position:absolute;left:3111;top:1108;height:0;width:737;" filled="f" stroked="t" coordsize="21600,21600" o:gfxdata="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I5RC28AAAA&#10;3AAAAA8AAAAAAAAAAQAgAAAAIgAAAGRycy9kb3ducmV2LnhtbFBLAQIUABQAAAAIAIdO4kAzLwWe&#10;OwAAADkAAAAQAAAAAAAAAAEAIAAAAAsBAABkcnMvc2hhcGV4bWwueG1sUEsFBgAAAAAGAAYAWwEA&#10;ALUDAAAAAA==&#10;">
                          <v:fill on="f" focussize="0,0"/>
                          <v:stroke weight="0.5pt" color="#000000 [3213]" joinstyle="round" endarrow="block" endarrowlength="long"/>
                          <v:imagedata o:title=""/>
                          <o:lock v:ext="edit" aspectratio="f"/>
                        </v:shape>
                        <v:rect id="矩形 30" o:spid="_x0000_s1026" o:spt="1" style="position:absolute;left:3113;top:902;height:240;width:566;v-text-anchor:middle;" filled="f" stroked="f" coordsize="21600,21600" o:gfxdata="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nVFhK8AAAA&#10;3AAAAA8AAAAAAAAAAQAgAAAAIgAAAGRycy9kb3ducmV2LnhtbFBLAQIUABQAAAAIAIdO4kAzLwWe&#10;OwAAADkAAAAQAAAAAAAAAAEAIAAAAAsBAABkcnMvc2hhcGV4bWwueG1sUEsFBgAAAAAGAAYAWwEA&#10;ALUDAAAAAA==&#10;">
                          <v:fill on="f" focussize="0,0"/>
                          <v:stroke on="f" weight="0.5pt"/>
                          <v:imagedata o:title=""/>
                          <o:lock v:ext="edit" aspectratio="f"/>
                          <v:textbox inset="0mm,0mm,0mm,0mm">
                            <w:txbxContent>
                              <w:p w14:paraId="5F708DE9">
                                <w:pPr>
                                  <w:jc w:val="center"/>
                                  <w:rPr>
                                    <w:rFonts w:hint="default"/>
                                    <w:color w:val="000000" w:themeColor="text1"/>
                                    <w:sz w:val="18"/>
                                    <w:szCs w:val="18"/>
                                    <w:lang w:val="en-US" w:eastAsia="zh-CN"/>
                                    <w14:textFill>
                                      <w14:solidFill>
                                        <w14:schemeClr w14:val="tx1"/>
                                      </w14:solidFill>
                                    </w14:textFill>
                                    <w14:props3d w14:extrusionH="0" w14:contourW="0" w14:prstMaterial="clear"/>
                                  </w:rPr>
                                </w:pPr>
                                <w:r>
                                  <w:rPr>
                                    <w:rFonts w:hint="eastAsia"/>
                                    <w:color w:val="000000" w:themeColor="text1"/>
                                    <w:sz w:val="18"/>
                                    <w:szCs w:val="18"/>
                                    <w:lang w:val="en-US" w:eastAsia="zh-CN"/>
                                    <w14:textFill>
                                      <w14:solidFill>
                                        <w14:schemeClr w14:val="tx1"/>
                                      </w14:solidFill>
                                    </w14:textFill>
                                    <w14:props3d w14:extrusionH="0" w14:contourW="0" w14:prstMaterial="clear"/>
                                  </w:rPr>
                                  <w:t>15.72</w:t>
                                </w:r>
                              </w:p>
                            </w:txbxContent>
                          </v:textbox>
                        </v:rect>
                        <v:rect id="矩形 94" o:spid="_x0000_s1026" o:spt="1" style="position:absolute;left:3866;top:977;height:284;width:2336;v-text-anchor:middle;" filled="f" stroked="t" coordsize="21600,21600" o:gfxdata="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DcPuBW2AAAA3AAAAA8A&#10;AAAAAAAAAQAgAAAAIgAAAGRycy9kb3ducmV2LnhtbFBLAQIUABQAAAAIAIdO4kAzLwWeOwAAADkA&#10;AAAQAAAAAAAAAAEAIAAAAAUBAABkcnMvc2hhcGV4bWwueG1sUEsFBgAAAAAGAAYAWwEAAK8DAAAA&#10;AA==&#10;">
                          <v:fill on="f" focussize="0,0"/>
                          <v:stroke weight="0.5pt" color="#000000 [3213]" joinstyle="round"/>
                          <v:imagedata o:title=""/>
                          <o:lock v:ext="edit" aspectratio="f"/>
                          <v:textbox inset="0mm,0mm,0mm,0mm">
                            <w:txbxContent>
                              <w:p w14:paraId="654AF53B">
                                <w:pPr>
                                  <w:jc w:val="center"/>
                                  <w:rPr>
                                    <w:rFonts w:hint="default" w:eastAsia="宋体"/>
                                    <w:color w:val="000000" w:themeColor="text1"/>
                                    <w:sz w:val="18"/>
                                    <w:szCs w:val="18"/>
                                    <w:lang w:val="en-US" w:eastAsia="zh-CN"/>
                                    <w14:textFill>
                                      <w14:solidFill>
                                        <w14:schemeClr w14:val="tx1"/>
                                      </w14:solidFill>
                                    </w14:textFill>
                                    <w14:props3d w14:extrusionH="0" w14:contourW="0" w14:prstMaterial="clear"/>
                                  </w:rPr>
                                </w:pPr>
                                <w:r>
                                  <w:rPr>
                                    <w:rFonts w:hint="eastAsia"/>
                                    <w:color w:val="000000" w:themeColor="text1"/>
                                    <w:sz w:val="18"/>
                                    <w:szCs w:val="18"/>
                                    <w:lang w:val="en-US" w:eastAsia="zh-CN"/>
                                    <w14:textFill>
                                      <w14:solidFill>
                                        <w14:schemeClr w14:val="tx1"/>
                                      </w14:solidFill>
                                    </w14:textFill>
                                    <w14:props3d w14:extrusionH="0" w14:contourW="0" w14:prstMaterial="clear"/>
                                  </w:rPr>
                                  <w:t>废切削液（作危废处置）</w:t>
                                </w:r>
                              </w:p>
                            </w:txbxContent>
                          </v:textbox>
                        </v:rect>
                        <v:shape id="直接箭头连接符 91" o:spid="_x0000_s1026" o:spt="32" type="#_x0000_t32" style="position:absolute;left:1059;top:2242;height:0;width:737;" filled="f" stroked="t" coordsize="21600,21600" o:gfxdata="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3Q3Fm8AAAA&#10;3AAAAA8AAAAAAAAAAQAgAAAAIgAAAGRycy9kb3ducmV2LnhtbFBLAQIUABQAAAAIAIdO4kAzLwWe&#10;OwAAADkAAAAQAAAAAAAAAAEAIAAAAAsBAABkcnMvc2hhcGV4bWwueG1sUEsFBgAAAAAGAAYAWwEA&#10;ALUDAAAAAA==&#10;">
                          <v:fill on="f" focussize="0,0"/>
                          <v:stroke weight="0.5pt" color="#000000 [3213]" joinstyle="round" endarrow="block" endarrowlength="long"/>
                          <v:imagedata o:title=""/>
                          <o:lock v:ext="edit" aspectratio="f"/>
                        </v:shape>
                        <v:rect id="矩形 94" o:spid="_x0000_s1026" o:spt="1" style="position:absolute;left:1813;top:2165;height:284;width:1320;v-text-anchor:middle;" filled="f" stroked="t" coordsize="21600,21600" o:gfxdata="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KiRg/m2AAAA3AAAAA8A&#10;AAAAAAAAAQAgAAAAIgAAAGRycy9kb3ducmV2LnhtbFBLAQIUABQAAAAIAIdO4kAzLwWeOwAAADkA&#10;AAAQAAAAAAAAAAEAIAAAAAUBAABkcnMvc2hhcGV4bWwueG1sUEsFBgAAAAAGAAYAWwEAAK8DAAAA&#10;AA==&#10;">
                          <v:fill on="f" focussize="0,0"/>
                          <v:stroke weight="0.5pt" color="#000000 [3213]" joinstyle="round"/>
                          <v:imagedata o:title=""/>
                          <o:lock v:ext="edit" aspectratio="f"/>
                          <v:textbox inset="0mm,0mm,0mm,0mm">
                            <w:txbxContent>
                              <w:p w14:paraId="181C13E2">
                                <w:pPr>
                                  <w:jc w:val="center"/>
                                  <w:rPr>
                                    <w:rFonts w:hint="default" w:eastAsia="宋体"/>
                                    <w:color w:val="000000" w:themeColor="text1"/>
                                    <w:sz w:val="18"/>
                                    <w:szCs w:val="18"/>
                                    <w:lang w:val="en-US" w:eastAsia="zh-CN"/>
                                    <w14:textFill>
                                      <w14:solidFill>
                                        <w14:schemeClr w14:val="tx1"/>
                                      </w14:solidFill>
                                    </w14:textFill>
                                    <w14:props3d w14:extrusionH="0" w14:contourW="0" w14:prstMaterial="clear"/>
                                  </w:rPr>
                                </w:pPr>
                                <w:r>
                                  <w:rPr>
                                    <w:rFonts w:hint="eastAsia"/>
                                    <w:color w:val="000000" w:themeColor="text1"/>
                                    <w:sz w:val="18"/>
                                    <w:szCs w:val="18"/>
                                    <w:lang w:val="en-US" w:eastAsia="zh-CN"/>
                                    <w14:textFill>
                                      <w14:solidFill>
                                        <w14:schemeClr w14:val="tx1"/>
                                      </w14:solidFill>
                                    </w14:textFill>
                                    <w14:props3d w14:extrusionH="0" w14:contourW="0" w14:prstMaterial="clear"/>
                                  </w:rPr>
                                  <w:t>清洗用水</w:t>
                                </w:r>
                              </w:p>
                            </w:txbxContent>
                          </v:textbox>
                        </v:rect>
                        <v:shape id="曲线连接符 22" o:spid="_x0000_s1026" o:spt="38" type="#_x0000_t38" style="position:absolute;left:2707;top:1783;height:346;width:408;rotation:-5898240f;" filled="f" stroked="t" coordsize="21600,21600" o:gfxdata="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14D7LsAAADc&#10;AAAADwAAAAAAAAABACAAAAAiAAAAZHJzL2Rvd25yZXYueG1sUEsBAhQAFAAAAAgAh07iQDMvBZ47&#10;AAAAOQAAABAAAAAAAAAAAQAgAAAACgEAAGRycy9zaGFwZXhtbC54bWxQSwUGAAAAAAYABgBbAQAA&#10;tAMAAAAA&#10;" adj="10747">
                          <v:fill on="f" focussize="0,0"/>
                          <v:stroke weight="0.5pt" color="#000000 [3200]" joinstyle="round" endarrow="open"/>
                          <v:imagedata o:title=""/>
                          <o:lock v:ext="edit" aspectratio="f"/>
                        </v:shape>
                        <v:rect id="矩形 93" o:spid="_x0000_s1026" o:spt="1" style="position:absolute;left:2582;top:1504;height:284;width:987;v-text-anchor:middle;" filled="f" stroked="f" coordsize="21600,21600" o:gfxdata="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dxhGO/&#10;AAAA3AAAAA8AAAAAAAAAAQAgAAAAIgAAAGRycy9kb3ducmV2LnhtbFBLAQIUABQAAAAIAIdO4kAz&#10;LwWeOwAAADkAAAAQAAAAAAAAAAEAIAAAAA4BAABkcnMvc2hhcGV4bWwueG1sUEsFBgAAAAAGAAYA&#10;WwEAALgDAAAAAA==&#10;">
                          <v:fill on="f" focussize="0,0"/>
                          <v:stroke on="f" weight="0.5pt"/>
                          <v:imagedata o:title=""/>
                          <o:lock v:ext="edit" aspectratio="f"/>
                          <v:textbox inset="0mm,0mm,0mm,0mm">
                            <w:txbxContent>
                              <w:p w14:paraId="6252F708">
                                <w:pPr>
                                  <w:jc w:val="center"/>
                                  <w:rPr>
                                    <w:rFonts w:hint="default" w:eastAsia="宋体"/>
                                    <w:color w:val="000000" w:themeColor="text1"/>
                                    <w:sz w:val="18"/>
                                    <w:szCs w:val="18"/>
                                    <w:lang w:val="en-US" w:eastAsia="zh-CN"/>
                                    <w14:textFill>
                                      <w14:solidFill>
                                        <w14:schemeClr w14:val="tx1"/>
                                      </w14:solidFill>
                                    </w14:textFill>
                                    <w14:props3d w14:extrusionH="0" w14:contourW="0" w14:prstMaterial="clear"/>
                                  </w:rPr>
                                </w:pPr>
                                <w:r>
                                  <w:rPr>
                                    <w:rFonts w:hint="eastAsia"/>
                                    <w:color w:val="000000" w:themeColor="text1"/>
                                    <w:sz w:val="18"/>
                                    <w:szCs w:val="18"/>
                                    <w14:textFill>
                                      <w14:solidFill>
                                        <w14:schemeClr w14:val="tx1"/>
                                      </w14:solidFill>
                                    </w14:textFill>
                                    <w14:props3d w14:extrusionH="0" w14:contourW="0" w14:prstMaterial="clear"/>
                                  </w:rPr>
                                  <w:t>损耗</w:t>
                                </w:r>
                                <w:r>
                                  <w:rPr>
                                    <w:rFonts w:hint="eastAsia"/>
                                    <w:color w:val="000000" w:themeColor="text1"/>
                                    <w:sz w:val="18"/>
                                    <w:szCs w:val="18"/>
                                    <w:lang w:val="en-US" w:eastAsia="zh-CN"/>
                                    <w14:textFill>
                                      <w14:solidFill>
                                        <w14:schemeClr w14:val="tx1"/>
                                      </w14:solidFill>
                                    </w14:textFill>
                                    <w14:props3d w14:extrusionH="0" w14:contourW="0" w14:prstMaterial="clear"/>
                                  </w:rPr>
                                  <w:t>9.8</w:t>
                                </w:r>
                              </w:p>
                            </w:txbxContent>
                          </v:textbox>
                        </v:rect>
                        <v:rect id="矩形 30" o:spid="_x0000_s1026" o:spt="1" style="position:absolute;left:1072;top:2025;height:240;width:566;v-text-anchor:middle;" filled="f" stroked="f" coordsize="21600,21600" o:gfxdata="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g9Ifi8AAAA&#10;3AAAAA8AAAAAAAAAAQAgAAAAIgAAAGRycy9kb3ducmV2LnhtbFBLAQIUABQAAAAIAIdO4kAzLwWe&#10;OwAAADkAAAAQAAAAAAAAAAEAIAAAAAsBAABkcnMvc2hhcGV4bWwueG1sUEsFBgAAAAAGAAYAWwEA&#10;ALUDAAAAAA==&#10;">
                          <v:fill on="f" focussize="0,0"/>
                          <v:stroke on="f" weight="0.5pt"/>
                          <v:imagedata o:title=""/>
                          <o:lock v:ext="edit" aspectratio="f"/>
                          <v:textbox inset="0mm,0mm,0mm,0mm">
                            <w:txbxContent>
                              <w:p w14:paraId="2FAEBA97">
                                <w:pPr>
                                  <w:jc w:val="center"/>
                                  <w:rPr>
                                    <w:rFonts w:hint="default"/>
                                    <w:color w:val="000000" w:themeColor="text1"/>
                                    <w:sz w:val="18"/>
                                    <w:szCs w:val="18"/>
                                    <w:lang w:val="en-US" w:eastAsia="zh-CN"/>
                                    <w14:textFill>
                                      <w14:solidFill>
                                        <w14:schemeClr w14:val="tx1"/>
                                      </w14:solidFill>
                                    </w14:textFill>
                                    <w14:props3d w14:extrusionH="0" w14:contourW="0" w14:prstMaterial="clear"/>
                                  </w:rPr>
                                </w:pPr>
                                <w:r>
                                  <w:rPr>
                                    <w:rFonts w:hint="eastAsia"/>
                                    <w:color w:val="000000" w:themeColor="text1"/>
                                    <w:sz w:val="18"/>
                                    <w:szCs w:val="18"/>
                                    <w:lang w:val="en-US" w:eastAsia="zh-CN"/>
                                    <w14:textFill>
                                      <w14:solidFill>
                                        <w14:schemeClr w14:val="tx1"/>
                                      </w14:solidFill>
                                    </w14:textFill>
                                    <w14:props3d w14:extrusionH="0" w14:contourW="0" w14:prstMaterial="clear"/>
                                  </w:rPr>
                                  <w:t>17.64</w:t>
                                </w:r>
                              </w:p>
                            </w:txbxContent>
                          </v:textbox>
                        </v:rect>
                        <v:shape id="直接箭头连接符 91" o:spid="_x0000_s1026" o:spt="32" type="#_x0000_t32" style="position:absolute;left:3123;top:2308;height:0;width:737;" filled="f" stroked="t" coordsize="21600,21600" o:gfxdata="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h+6Ry/&#10;AAAA3AAAAA8AAAAAAAAAAQAgAAAAIgAAAGRycy9kb3ducmV2LnhtbFBLAQIUABQAAAAIAIdO4kAz&#10;LwWeOwAAADkAAAAQAAAAAAAAAAEAIAAAAA4BAABkcnMvc2hhcGV4bWwueG1sUEsFBgAAAAAGAAYA&#10;WwEAALgDAAAAAA==&#10;">
                          <v:fill on="f" focussize="0,0"/>
                          <v:stroke weight="0.5pt" color="#000000 [3213]" joinstyle="round" endarrow="block" endarrowlength="long"/>
                          <v:imagedata o:title=""/>
                          <o:lock v:ext="edit" aspectratio="f"/>
                        </v:shape>
                        <v:rect id="矩形 30" o:spid="_x0000_s1026" o:spt="1" style="position:absolute;left:3125;top:2102;height:240;width:566;v-text-anchor:middle;" filled="f" stroked="f" coordsize="21600,21600" o:gfxdata="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OSuyO8AAAA&#10;3AAAAA8AAAAAAAAAAQAgAAAAIgAAAGRycy9kb3ducmV2LnhtbFBLAQIUABQAAAAIAIdO4kAzLwWe&#10;OwAAADkAAAAQAAAAAAAAAAEAIAAAAAsBAABkcnMvc2hhcGV4bWwueG1sUEsFBgAAAAAGAAYAWwEA&#10;ALUDAAAAAA==&#10;">
                          <v:fill on="f" focussize="0,0"/>
                          <v:stroke on="f" weight="0.5pt"/>
                          <v:imagedata o:title=""/>
                          <o:lock v:ext="edit" aspectratio="f"/>
                          <v:textbox inset="0mm,0mm,0mm,0mm">
                            <w:txbxContent>
                              <w:p w14:paraId="65968745">
                                <w:pPr>
                                  <w:jc w:val="center"/>
                                  <w:rPr>
                                    <w:rFonts w:hint="default"/>
                                    <w:color w:val="000000" w:themeColor="text1"/>
                                    <w:sz w:val="18"/>
                                    <w:szCs w:val="18"/>
                                    <w:lang w:val="en-US" w:eastAsia="zh-CN"/>
                                    <w14:textFill>
                                      <w14:solidFill>
                                        <w14:schemeClr w14:val="tx1"/>
                                      </w14:solidFill>
                                    </w14:textFill>
                                    <w14:props3d w14:extrusionH="0" w14:contourW="0" w14:prstMaterial="clear"/>
                                  </w:rPr>
                                </w:pPr>
                                <w:r>
                                  <w:rPr>
                                    <w:rFonts w:hint="eastAsia"/>
                                    <w:color w:val="000000" w:themeColor="text1"/>
                                    <w:sz w:val="18"/>
                                    <w:szCs w:val="18"/>
                                    <w:lang w:val="en-US" w:eastAsia="zh-CN"/>
                                    <w14:textFill>
                                      <w14:solidFill>
                                        <w14:schemeClr w14:val="tx1"/>
                                      </w14:solidFill>
                                    </w14:textFill>
                                    <w14:props3d w14:extrusionH="0" w14:contourW="0" w14:prstMaterial="clear"/>
                                  </w:rPr>
                                  <w:t>168.8</w:t>
                                </w:r>
                              </w:p>
                            </w:txbxContent>
                          </v:textbox>
                        </v:rect>
                        <v:rect id="矩形 94" o:spid="_x0000_s1026" o:spt="1" style="position:absolute;left:3878;top:2177;height:284;width:1620;v-text-anchor:middle;" filled="f" stroked="t" coordsize="21600,21600" o:gfxdata="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FJzEye2AAAA3AAAAA8A&#10;AAAAAAAAAQAgAAAAIgAAAGRycy9kb3ducmV2LnhtbFBLAQIUABQAAAAIAIdO4kAzLwWeOwAAADkA&#10;AAAQAAAAAAAAAAEAIAAAAAUBAABkcnMvc2hhcGV4bWwueG1sUEsFBgAAAAAGAAYAWwEAAK8DAAAA&#10;AA==&#10;">
                          <v:fill on="f" focussize="0,0"/>
                          <v:stroke weight="0.5pt" color="#000000 [3213]" joinstyle="round"/>
                          <v:imagedata o:title=""/>
                          <o:lock v:ext="edit" aspectratio="f"/>
                          <v:textbox inset="0mm,0mm,0mm,0mm">
                            <w:txbxContent>
                              <w:p w14:paraId="3E6B931B">
                                <w:pPr>
                                  <w:jc w:val="center"/>
                                  <w:rPr>
                                    <w:rFonts w:hint="default" w:eastAsia="宋体"/>
                                    <w:color w:val="000000" w:themeColor="text1"/>
                                    <w:sz w:val="18"/>
                                    <w:szCs w:val="18"/>
                                    <w:lang w:val="en-US" w:eastAsia="zh-CN"/>
                                    <w14:textFill>
                                      <w14:solidFill>
                                        <w14:schemeClr w14:val="tx1"/>
                                      </w14:solidFill>
                                    </w14:textFill>
                                    <w14:props3d w14:extrusionH="0" w14:contourW="0" w14:prstMaterial="clear"/>
                                  </w:rPr>
                                </w:pPr>
                                <w:r>
                                  <w:rPr>
                                    <w:rFonts w:hint="eastAsia"/>
                                    <w:color w:val="000000" w:themeColor="text1"/>
                                    <w:sz w:val="18"/>
                                    <w:szCs w:val="18"/>
                                    <w:lang w:val="en-US" w:eastAsia="zh-CN"/>
                                    <w14:textFill>
                                      <w14:solidFill>
                                        <w14:schemeClr w14:val="tx1"/>
                                      </w14:solidFill>
                                    </w14:textFill>
                                    <w14:props3d w14:extrusionH="0" w14:contourW="0" w14:prstMaterial="clear"/>
                                  </w:rPr>
                                  <w:t>进入废水处理设施</w:t>
                                </w:r>
                              </w:p>
                            </w:txbxContent>
                          </v:textbox>
                        </v:rect>
                        <v:shape id="直接箭头连接符 91" o:spid="_x0000_s1026" o:spt="32" type="#_x0000_t32" style="position:absolute;left:2270;top:1773;height:386;width:0;" filled="f" stroked="t" coordsize="21600,21600" o:gfxdata="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SKx3a7sAAADc&#10;AAAADwAAAAAAAAABACAAAAAiAAAAZHJzL2Rvd25yZXYueG1sUEsBAhQAFAAAAAgAh07iQDMvBZ47&#10;AAAAOQAAABAAAAAAAAAAAQAgAAAACgEAAGRycy9zaGFwZXhtbC54bWxQSwUGAAAAAAYABgBbAQAA&#10;tAMAAAAA&#10;">
                          <v:fill on="f" focussize="0,0"/>
                          <v:stroke weight="0.5pt" color="#000000 [3213]" joinstyle="round" endarrow="block" endarrowlength="long"/>
                          <v:imagedata o:title=""/>
                          <o:lock v:ext="edit" aspectratio="f"/>
                        </v:shape>
                        <v:rect id="矩形 93" o:spid="_x0000_s1026" o:spt="1" style="position:absolute;left:1640;top:1527;height:284;width:987;v-text-anchor:middle;" filled="f" stroked="f" coordsize="21600,21600" o:gfxdata="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UYu74A&#10;AADcAAAADwAAAAAAAAABACAAAAAiAAAAZHJzL2Rvd25yZXYueG1sUEsBAhQAFAAAAAgAh07iQDMv&#10;BZ47AAAAOQAAABAAAAAAAAAAAQAgAAAADQEAAGRycy9zaGFwZXhtbC54bWxQSwUGAAAAAAYABgBb&#10;AQAAtwMAAAAA&#10;">
                          <v:fill on="f" focussize="0,0"/>
                          <v:stroke on="f" weight="0.5pt"/>
                          <v:imagedata o:title=""/>
                          <o:lock v:ext="edit" aspectratio="f"/>
                          <v:textbox inset="0mm,0mm,0mm,0mm">
                            <w:txbxContent>
                              <w:p w14:paraId="18D38773">
                                <w:pPr>
                                  <w:jc w:val="center"/>
                                  <w:rPr>
                                    <w:rFonts w:hint="default" w:eastAsia="宋体"/>
                                    <w:color w:val="000000" w:themeColor="text1"/>
                                    <w:sz w:val="18"/>
                                    <w:szCs w:val="18"/>
                                    <w:lang w:val="en-US" w:eastAsia="zh-CN"/>
                                    <w14:textFill>
                                      <w14:solidFill>
                                        <w14:schemeClr w14:val="tx1"/>
                                      </w14:solidFill>
                                    </w14:textFill>
                                    <w14:props3d w14:extrusionH="0" w14:contourW="0" w14:prstMaterial="clear"/>
                                  </w:rPr>
                                </w:pPr>
                                <w:r>
                                  <w:rPr>
                                    <w:rFonts w:hint="eastAsia"/>
                                    <w:color w:val="000000" w:themeColor="text1"/>
                                    <w:sz w:val="18"/>
                                    <w:szCs w:val="18"/>
                                    <w:lang w:val="en-US" w:eastAsia="zh-CN"/>
                                    <w14:textFill>
                                      <w14:solidFill>
                                        <w14:schemeClr w14:val="tx1"/>
                                      </w14:solidFill>
                                    </w14:textFill>
                                    <w14:props3d w14:extrusionH="0" w14:contourW="0" w14:prstMaterial="clear"/>
                                  </w:rPr>
                                  <w:t>清洗剂0.3</w:t>
                                </w:r>
                              </w:p>
                            </w:txbxContent>
                          </v:textbox>
                        </v:rect>
                        <v:shape id="直接箭头连接符 91" o:spid="_x0000_s1026" o:spt="32" type="#_x0000_t32" style="position:absolute;left:2460;top:2434;flip:y;height:386;width:0;" filled="f" stroked="t" coordsize="21600,21600" o:gfxdata="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SI3kKvQAA&#10;ANwAAAAPAAAAAAAAAAEAIAAAACIAAABkcnMvZG93bnJldi54bWxQSwECFAAUAAAACACHTuJAMy8F&#10;njsAAAA5AAAAEAAAAAAAAAABACAAAAAMAQAAZHJzL3NoYXBleG1sLnhtbFBLBQYAAAAABgAGAFsB&#10;AAC2AwAAAAA=&#10;">
                          <v:fill on="f" focussize="0,0"/>
                          <v:stroke weight="0.5pt" color="#000000 [3213]" joinstyle="round" endarrow="block" endarrowlength="long"/>
                          <v:imagedata o:title=""/>
                          <o:lock v:ext="edit" aspectratio="f"/>
                        </v:shape>
                        <v:rect id="矩形 93" o:spid="_x0000_s1026" o:spt="1" style="position:absolute;left:1928;top:2797;height:284;width:987;v-text-anchor:middle;" filled="f" stroked="f" coordsize="21600,21600" o:gfxdata="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KoEr6/&#10;AAAA3AAAAA8AAAAAAAAAAQAgAAAAIgAAAGRycy9kb3ducmV2LnhtbFBLAQIUABQAAAAIAIdO4kAz&#10;LwWeOwAAADkAAAAQAAAAAAAAAAEAIAAAAA4BAABkcnMvc2hhcGV4bWwueG1sUEsFBgAAAAAGAAYA&#10;WwEAALgDAAAAAA==&#10;">
                          <v:fill on="f" focussize="0,0"/>
                          <v:stroke on="f" weight="0.5pt"/>
                          <v:imagedata o:title=""/>
                          <o:lock v:ext="edit" aspectratio="f"/>
                          <v:textbox inset="0mm,0mm,0mm,0mm">
                            <w:txbxContent>
                              <w:p w14:paraId="6852643A">
                                <w:pPr>
                                  <w:jc w:val="center"/>
                                  <w:rPr>
                                    <w:rFonts w:hint="default" w:eastAsia="宋体"/>
                                    <w:color w:val="000000" w:themeColor="text1"/>
                                    <w:sz w:val="18"/>
                                    <w:szCs w:val="18"/>
                                    <w:lang w:val="en-US" w:eastAsia="zh-CN"/>
                                    <w14:textFill>
                                      <w14:solidFill>
                                        <w14:schemeClr w14:val="tx1"/>
                                      </w14:solidFill>
                                    </w14:textFill>
                                    <w14:props3d w14:extrusionH="0" w14:contourW="0" w14:prstMaterial="clear"/>
                                  </w:rPr>
                                </w:pPr>
                                <w:r>
                                  <w:rPr>
                                    <w:rFonts w:hint="eastAsia"/>
                                    <w:color w:val="000000" w:themeColor="text1"/>
                                    <w:sz w:val="18"/>
                                    <w:szCs w:val="18"/>
                                    <w:lang w:val="en-US" w:eastAsia="zh-CN"/>
                                    <w14:textFill>
                                      <w14:solidFill>
                                        <w14:schemeClr w14:val="tx1"/>
                                      </w14:solidFill>
                                    </w14:textFill>
                                    <w14:props3d w14:extrusionH="0" w14:contourW="0" w14:prstMaterial="clear"/>
                                  </w:rPr>
                                  <w:t>防锈剂0.3</w:t>
                                </w:r>
                              </w:p>
                            </w:txbxContent>
                          </v:textbox>
                        </v:rect>
                        <v:shape id="直接箭头连接符 91" o:spid="_x0000_s1026" o:spt="32" type="#_x0000_t32" style="position:absolute;left:5489;top:2298;height:0;width:737;" filled="f" stroked="t" coordsize="21600,21600" o:gfxdata="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lEQIG8AAAA&#10;3AAAAA8AAAAAAAAAAQAgAAAAIgAAAGRycy9kb3ducmV2LnhtbFBLAQIUABQAAAAIAIdO4kAzLwWe&#10;OwAAADkAAAAQAAAAAAAAAAEAIAAAAAsBAABkcnMvc2hhcGV4bWwueG1sUEsFBgAAAAAGAAYAWwEA&#10;ALUDAAAAAA==&#10;">
                          <v:fill on="f" focussize="0,0"/>
                          <v:stroke weight="0.5pt" color="#000000 [3213]" joinstyle="round" endarrow="block" endarrowlength="long"/>
                          <v:imagedata o:title=""/>
                          <o:lock v:ext="edit" aspectratio="f"/>
                        </v:shape>
                        <v:rect id="矩形 30" o:spid="_x0000_s1026" o:spt="1" style="position:absolute;left:5491;top:2092;height:240;width:566;v-text-anchor:middle;" filled="f" stroked="f" coordsize="21600,21600" o:gfxdata="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TYbcW/&#10;AAAA3AAAAA8AAAAAAAAAAQAgAAAAIgAAAGRycy9kb3ducmV2LnhtbFBLAQIUABQAAAAIAIdO4kAz&#10;LwWeOwAAADkAAAAQAAAAAAAAAAEAIAAAAA4BAABkcnMvc2hhcGV4bWwueG1sUEsFBgAAAAAGAAYA&#10;WwEAALgDAAAAAA==&#10;">
                          <v:fill on="f" focussize="0,0"/>
                          <v:stroke on="f" weight="0.5pt"/>
                          <v:imagedata o:title=""/>
                          <o:lock v:ext="edit" aspectratio="f"/>
                          <v:textbox inset="0mm,0mm,0mm,0mm">
                            <w:txbxContent>
                              <w:p w14:paraId="58189064">
                                <w:pPr>
                                  <w:jc w:val="center"/>
                                  <w:rPr>
                                    <w:rFonts w:hint="default"/>
                                    <w:color w:val="000000" w:themeColor="text1"/>
                                    <w:sz w:val="18"/>
                                    <w:szCs w:val="18"/>
                                    <w:lang w:val="en-US" w:eastAsia="zh-CN"/>
                                    <w14:textFill>
                                      <w14:solidFill>
                                        <w14:schemeClr w14:val="tx1"/>
                                      </w14:solidFill>
                                    </w14:textFill>
                                    <w14:props3d w14:extrusionH="0" w14:contourW="0" w14:prstMaterial="clear"/>
                                  </w:rPr>
                                </w:pPr>
                                <w:r>
                                  <w:rPr>
                                    <w:rFonts w:hint="eastAsia"/>
                                    <w:color w:val="000000" w:themeColor="text1"/>
                                    <w:sz w:val="18"/>
                                    <w:szCs w:val="18"/>
                                    <w:lang w:val="en-US" w:eastAsia="zh-CN"/>
                                    <w14:textFill>
                                      <w14:solidFill>
                                        <w14:schemeClr w14:val="tx1"/>
                                      </w14:solidFill>
                                    </w14:textFill>
                                    <w14:props3d w14:extrusionH="0" w14:contourW="0" w14:prstMaterial="clear"/>
                                  </w:rPr>
                                  <w:t>8.44</w:t>
                                </w:r>
                              </w:p>
                            </w:txbxContent>
                          </v:textbox>
                        </v:rect>
                        <v:rect id="矩形 94" o:spid="_x0000_s1026" o:spt="1" style="position:absolute;left:6244;top:2164;height:284;width:1724;v-text-anchor:middle;" filled="f" stroked="t" coordsize="21600,21600" o:gfxdata="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Pqn/i22AAAA3AAAAA8A&#10;AAAAAAAAAQAgAAAAIgAAAGRycy9kb3ducmV2LnhtbFBLAQIUABQAAAAIAIdO4kAzLwWeOwAAADkA&#10;AAAQAAAAAAAAAAEAIAAAAAUBAABkcnMvc2hhcGV4bWwueG1sUEsFBgAAAAAGAAYAWwEAAK8DAAAA&#10;AA==&#10;">
                          <v:fill on="f" focussize="0,0"/>
                          <v:stroke weight="0.5pt" color="#000000 [3213]" joinstyle="round"/>
                          <v:imagedata o:title=""/>
                          <o:lock v:ext="edit" aspectratio="f"/>
                          <v:textbox inset="0mm,0mm,0mm,0mm">
                            <w:txbxContent>
                              <w:p w14:paraId="47177450">
                                <w:pPr>
                                  <w:jc w:val="center"/>
                                  <w:rPr>
                                    <w:rFonts w:hint="default" w:eastAsia="宋体"/>
                                    <w:color w:val="000000" w:themeColor="text1"/>
                                    <w:sz w:val="18"/>
                                    <w:szCs w:val="18"/>
                                    <w:lang w:val="en-US" w:eastAsia="zh-CN"/>
                                    <w14:textFill>
                                      <w14:solidFill>
                                        <w14:schemeClr w14:val="tx1"/>
                                      </w14:solidFill>
                                    </w14:textFill>
                                    <w14:props3d w14:extrusionH="0" w14:contourW="0" w14:prstMaterial="clear"/>
                                  </w:rPr>
                                </w:pPr>
                                <w:r>
                                  <w:rPr>
                                    <w:rFonts w:hint="eastAsia"/>
                                    <w:color w:val="000000" w:themeColor="text1"/>
                                    <w:sz w:val="18"/>
                                    <w:szCs w:val="18"/>
                                    <w:lang w:val="en-US" w:eastAsia="zh-CN"/>
                                    <w14:textFill>
                                      <w14:solidFill>
                                        <w14:schemeClr w14:val="tx1"/>
                                      </w14:solidFill>
                                    </w14:textFill>
                                    <w14:props3d w14:extrusionH="0" w14:contourW="0" w14:prstMaterial="clear"/>
                                  </w:rPr>
                                  <w:t>浓液（作危废处置）</w:t>
                                </w:r>
                              </w:p>
                            </w:txbxContent>
                          </v:textbox>
                        </v:rect>
                        <v:shape id="直接箭头连接符 91" o:spid="_x0000_s1026" o:spt="32" type="#_x0000_t32" style="position:absolute;left:1195;top:2370;height:0;width:612;" filled="f" stroked="t" coordsize="21600,21600" o:gfxdata="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moY28AAAA&#10;3AAAAA8AAAAAAAAAAQAgAAAAIgAAAGRycy9kb3ducmV2LnhtbFBLAQIUABQAAAAIAIdO4kAzLwWe&#10;OwAAADkAAAAQAAAAAAAAAAEAIAAAAAsBAABkcnMvc2hhcGV4bWwueG1sUEsFBgAAAAAGAAYAWwEA&#10;ALUDAAAAAA==&#10;">
                          <v:fill on="f" focussize="0,0"/>
                          <v:stroke weight="0.5pt" color="#000000 [3213]" joinstyle="round" endarrow="block" endarrowlength="long"/>
                          <v:imagedata o:title=""/>
                          <o:lock v:ext="edit" aspectratio="f"/>
                        </v:shape>
                        <v:rect id="矩形 30" o:spid="_x0000_s1026" o:spt="1" style="position:absolute;left:1151;top:2362;height:240;width:566;v-text-anchor:middle;" filled="f" stroked="f" coordsize="21600,21600" o:gfxdata="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Arzsr4A&#10;AADcAAAADwAAAAAAAAABACAAAAAiAAAAZHJzL2Rvd25yZXYueG1sUEsBAhQAFAAAAAgAh07iQDMv&#10;BZ47AAAAOQAAABAAAAAAAAAAAQAgAAAADQEAAGRycy9zaGFwZXhtbC54bWxQSwUGAAAAAAYABgBb&#10;AQAAtwMAAAAA&#10;">
                          <v:fill on="f" focussize="0,0"/>
                          <v:stroke on="f" weight="0.5pt"/>
                          <v:imagedata o:title=""/>
                          <o:lock v:ext="edit" aspectratio="f"/>
                          <v:textbox inset="0mm,0mm,0mm,0mm">
                            <w:txbxContent>
                              <w:p w14:paraId="5A56394B">
                                <w:pPr>
                                  <w:jc w:val="center"/>
                                  <w:rPr>
                                    <w:rFonts w:hint="default"/>
                                    <w:color w:val="000000" w:themeColor="text1"/>
                                    <w:sz w:val="18"/>
                                    <w:szCs w:val="18"/>
                                    <w:lang w:val="en-US" w:eastAsia="zh-CN"/>
                                    <w14:textFill>
                                      <w14:solidFill>
                                        <w14:schemeClr w14:val="tx1"/>
                                      </w14:solidFill>
                                    </w14:textFill>
                                    <w14:props3d w14:extrusionH="0" w14:contourW="0" w14:prstMaterial="clear"/>
                                  </w:rPr>
                                </w:pPr>
                                <w:r>
                                  <w:rPr>
                                    <w:rFonts w:hint="eastAsia"/>
                                    <w:color w:val="000000" w:themeColor="text1"/>
                                    <w:sz w:val="18"/>
                                    <w:szCs w:val="18"/>
                                    <w:lang w:val="en-US" w:eastAsia="zh-CN"/>
                                    <w14:textFill>
                                      <w14:solidFill>
                                        <w14:schemeClr w14:val="tx1"/>
                                      </w14:solidFill>
                                    </w14:textFill>
                                    <w14:props3d w14:extrusionH="0" w14:contourW="0" w14:prstMaterial="clear"/>
                                  </w:rPr>
                                  <w:t>160.36</w:t>
                                </w:r>
                              </w:p>
                            </w:txbxContent>
                          </v:textbox>
                        </v:rect>
                        <v:shape id="直接箭头连接符 91" o:spid="_x0000_s1026" o:spt="32" type="#_x0000_t32" style="position:absolute;left:2108;top:536;height:386;width:0;" filled="f" stroked="t" coordsize="21600,21600" o:gfxdata="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WWoLnvQAA&#10;ANsAAAAPAAAAAAAAAAEAIAAAACIAAABkcnMvZG93bnJldi54bWxQSwECFAAUAAAACACHTuJAMy8F&#10;njsAAAA5AAAAEAAAAAAAAAABACAAAAAMAQAAZHJzL3NoYXBleG1sLnhtbFBLBQYAAAAABgAGAFsB&#10;AAC2AwAAAAA=&#10;">
                          <v:fill on="f" focussize="0,0"/>
                          <v:stroke weight="0.5pt" color="#000000 [3213]" joinstyle="round" endarrow="block" endarrowlength="long"/>
                          <v:imagedata o:title=""/>
                          <o:lock v:ext="edit" aspectratio="f"/>
                        </v:shape>
                        <v:rect id="矩形 93" o:spid="_x0000_s1026" o:spt="1" style="position:absolute;left:1399;top:303;height:284;width:987;v-text-anchor:middle;" filled="f" stroked="f" coordsize="21600,21600" o:gfxdata="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AQXi2vQAA&#10;ANsAAAAPAAAAAAAAAAEAIAAAACIAAABkcnMvZG93bnJldi54bWxQSwECFAAUAAAACACHTuJAMy8F&#10;njsAAAA5AAAAEAAAAAAAAAABACAAAAAMAQAAZHJzL3NoYXBleG1sLnhtbFBLBQYAAAAABgAGAFsB&#10;AAC2AwAAAAA=&#10;">
                          <v:fill on="f" focussize="0,0"/>
                          <v:stroke on="f" weight="0.5pt"/>
                          <v:imagedata o:title=""/>
                          <o:lock v:ext="edit" aspectratio="f"/>
                          <v:textbox inset="0mm,0mm,0mm,0mm">
                            <w:txbxContent>
                              <w:p w14:paraId="4C1A76F0">
                                <w:pPr>
                                  <w:jc w:val="center"/>
                                  <w:rPr>
                                    <w:rFonts w:hint="default" w:eastAsia="宋体"/>
                                    <w:color w:val="000000" w:themeColor="text1"/>
                                    <w:sz w:val="18"/>
                                    <w:szCs w:val="18"/>
                                    <w:lang w:val="en-US" w:eastAsia="zh-CN"/>
                                    <w14:textFill>
                                      <w14:solidFill>
                                        <w14:schemeClr w14:val="tx1"/>
                                      </w14:solidFill>
                                    </w14:textFill>
                                    <w14:props3d w14:extrusionH="0" w14:contourW="0" w14:prstMaterial="clear"/>
                                  </w:rPr>
                                </w:pPr>
                                <w:r>
                                  <w:rPr>
                                    <w:rFonts w:hint="eastAsia"/>
                                    <w:color w:val="000000" w:themeColor="text1"/>
                                    <w:sz w:val="18"/>
                                    <w:szCs w:val="18"/>
                                    <w:lang w:val="en-US" w:eastAsia="zh-CN"/>
                                    <w14:textFill>
                                      <w14:solidFill>
                                        <w14:schemeClr w14:val="tx1"/>
                                      </w14:solidFill>
                                    </w14:textFill>
                                    <w14:props3d w14:extrusionH="0" w14:contourW="0" w14:prstMaterial="clear"/>
                                  </w:rPr>
                                  <w:t>切削液7.86</w:t>
                                </w:r>
                              </w:p>
                            </w:txbxContent>
                          </v:textbox>
                        </v:rect>
                      </v:group>
                      <v:line id="直接连接符 89" o:spid="_x0000_s1026" o:spt="20" style="position:absolute;left:2985770;top:2985770;height:400685;width:0;" filled="f" stroked="t" coordsize="21600,21600" o:gfxdata="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BucSNa1wAAAAUBAAAP&#10;AAAAAAAAAAEAIAAAACIAAABkcnMvZG93bnJldi54bWxQSwECFAAUAAAACACHTuJAGdTEN+ABAACn&#10;AwAADgAAAAAAAAABACAAAAAmAQAAZHJzL2Uyb0RvYy54bWxQSwUGAAAAAAYABgBZAQAAeAUAAAAA&#10;">
                        <v:fill on="f" focussize="0,0"/>
                        <v:stroke weight="0.5pt" color="#000000 [3213]" joinstyle="round" dashstyle="dash"/>
                        <v:imagedata o:title=""/>
                        <o:lock v:ext="edit" aspectratio="f"/>
                      </v:line>
                      <v:line id="直接连接符 89" o:spid="_x0000_s1026" o:spt="20" style="position:absolute;left:759460;top:3388995;height:0;width:2223770;" filled="f" stroked="t" coordsize="21600,21600" o:gfxdata="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BucSNa&#10;1wAAAAUBAAAPAAAAAAAAAAEAIAAAACIAAABkcnMvZG93bnJldi54bWxQSwECFAAUAAAACACHTuJA&#10;mm5tvukBAACnAwAADgAAAAAAAAABACAAAAAmAQAAZHJzL2Uyb0RvYy54bWxQSwUGAAAAAAYABgBZ&#10;AQAAgQUAAAAA&#10;">
                        <v:fill on="f" focussize="0,0"/>
                        <v:stroke weight="0.5pt" color="#000000 [3213]" joinstyle="round" dashstyle="dash"/>
                        <v:imagedata o:title=""/>
                        <o:lock v:ext="edit" aspectratio="f"/>
                      </v:line>
                      <v:line id="直接连接符 89" o:spid="_x0000_s1026" o:spt="20" style="position:absolute;left:765810;top:2932430;height:454025;width:0;" filled="f" stroked="t" coordsize="21600,21600" o:gfxdata="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BucSNa1wAA&#10;AAUBAAAPAAAAAAAAAAEAIAAAACIAAABkcnMvZG93bnJldi54bWxQSwECFAAUAAAACACHTuJAXo5T&#10;HeYBAACmAwAADgAAAAAAAAABACAAAAAmAQAAZHJzL2Uyb0RvYy54bWxQSwUGAAAAAAYABgBZAQAA&#10;fgUAAAAA&#10;">
                        <v:fill on="f" focussize="0,0"/>
                        <v:stroke weight="0.5pt" color="#000000 [3213]" joinstyle="round" dashstyle="dash"/>
                        <v:imagedata o:title=""/>
                        <o:lock v:ext="edit" aspectratio="f"/>
                      </v:line>
                      <w10:wrap type="none"/>
                      <w10:anchorlock/>
                    </v:group>
                  </w:pict>
                </mc:Fallback>
              </mc:AlternateContent>
            </w:r>
          </w:p>
          <w:p w14:paraId="08F8FD06">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color w:val="auto"/>
              </w:rPr>
            </w:pPr>
            <w:r>
              <w:rPr>
                <w:rFonts w:hint="eastAsia"/>
                <w:b/>
                <w:bCs/>
                <w:color w:val="auto"/>
                <w:sz w:val="24"/>
                <w:szCs w:val="24"/>
              </w:rPr>
              <w:t>图2-</w:t>
            </w:r>
            <w:r>
              <w:rPr>
                <w:rFonts w:hint="eastAsia"/>
                <w:b/>
                <w:bCs/>
                <w:color w:val="auto"/>
                <w:sz w:val="24"/>
                <w:szCs w:val="24"/>
                <w:lang w:val="en-US" w:eastAsia="zh-CN"/>
              </w:rPr>
              <w:t>2</w:t>
            </w:r>
            <w:r>
              <w:rPr>
                <w:rFonts w:hint="eastAsia"/>
                <w:b/>
                <w:bCs/>
                <w:color w:val="auto"/>
                <w:sz w:val="24"/>
                <w:szCs w:val="24"/>
              </w:rPr>
              <w:t xml:space="preserve"> </w:t>
            </w:r>
            <w:r>
              <w:rPr>
                <w:rFonts w:hint="eastAsia"/>
                <w:b/>
                <w:bCs/>
                <w:color w:val="auto"/>
                <w:sz w:val="24"/>
                <w:szCs w:val="24"/>
                <w:lang w:val="en-US" w:eastAsia="zh-CN"/>
              </w:rPr>
              <w:t>扩建后全厂</w:t>
            </w:r>
            <w:r>
              <w:rPr>
                <w:rFonts w:hint="eastAsia"/>
                <w:b/>
                <w:bCs/>
                <w:color w:val="auto"/>
                <w:sz w:val="24"/>
                <w:szCs w:val="24"/>
              </w:rPr>
              <w:t>水平衡图（单位t/a）</w:t>
            </w:r>
          </w:p>
          <w:p w14:paraId="0449ECCA">
            <w:pPr>
              <w:spacing w:line="360" w:lineRule="auto"/>
              <w:ind w:firstLine="482" w:firstLineChars="200"/>
              <w:rPr>
                <w:b/>
                <w:bCs/>
                <w:color w:val="auto"/>
                <w:sz w:val="24"/>
                <w:szCs w:val="24"/>
              </w:rPr>
            </w:pPr>
            <w:r>
              <w:rPr>
                <w:rFonts w:hint="eastAsia"/>
                <w:b/>
                <w:bCs/>
                <w:color w:val="auto"/>
                <w:sz w:val="24"/>
                <w:szCs w:val="24"/>
              </w:rPr>
              <w:t>7</w:t>
            </w:r>
            <w:r>
              <w:rPr>
                <w:b/>
                <w:bCs/>
                <w:color w:val="auto"/>
                <w:sz w:val="24"/>
                <w:szCs w:val="24"/>
              </w:rPr>
              <w:t>、劳动定员及班制</w:t>
            </w:r>
          </w:p>
          <w:p w14:paraId="5DF85369">
            <w:pPr>
              <w:pStyle w:val="2"/>
              <w:spacing w:before="0" w:after="0" w:line="360" w:lineRule="auto"/>
              <w:ind w:firstLine="480" w:firstLineChars="200"/>
              <w:rPr>
                <w:rFonts w:ascii="Times New Roman" w:hAnsi="Times New Roman"/>
                <w:b w:val="0"/>
                <w:bCs w:val="0"/>
                <w:color w:val="auto"/>
                <w:sz w:val="24"/>
                <w:szCs w:val="24"/>
              </w:rPr>
            </w:pPr>
            <w:r>
              <w:rPr>
                <w:rFonts w:hint="eastAsia" w:ascii="Times New Roman" w:hAnsi="Times New Roman"/>
                <w:b w:val="0"/>
                <w:bCs w:val="0"/>
                <w:color w:val="auto"/>
                <w:sz w:val="24"/>
                <w:szCs w:val="24"/>
                <w:lang w:val="en-US" w:eastAsia="zh-CN"/>
              </w:rPr>
              <w:t>本次扩建新增员工35人，扩建后全厂定员100人，工作班制为年生产354天，三班制，每班工作8h，</w:t>
            </w:r>
            <w:r>
              <w:rPr>
                <w:rFonts w:hint="eastAsia" w:ascii="Times New Roman" w:hAnsi="Times New Roman"/>
                <w:b w:val="0"/>
                <w:bCs w:val="0"/>
                <w:color w:val="auto"/>
                <w:sz w:val="24"/>
                <w:szCs w:val="24"/>
              </w:rPr>
              <w:t>年生产时数8496h。</w:t>
            </w:r>
          </w:p>
          <w:p w14:paraId="4DEE5F5B">
            <w:pPr>
              <w:spacing w:line="360" w:lineRule="auto"/>
              <w:ind w:firstLine="482" w:firstLineChars="200"/>
              <w:rPr>
                <w:b/>
                <w:bCs/>
                <w:color w:val="auto"/>
                <w:sz w:val="24"/>
                <w:szCs w:val="24"/>
              </w:rPr>
            </w:pPr>
            <w:r>
              <w:rPr>
                <w:rFonts w:hint="eastAsia"/>
                <w:b/>
                <w:bCs/>
                <w:color w:val="auto"/>
                <w:sz w:val="24"/>
                <w:szCs w:val="24"/>
              </w:rPr>
              <w:t>8</w:t>
            </w:r>
            <w:r>
              <w:rPr>
                <w:b/>
                <w:bCs/>
                <w:color w:val="auto"/>
                <w:sz w:val="24"/>
                <w:szCs w:val="24"/>
              </w:rPr>
              <w:t>、厂区</w:t>
            </w:r>
            <w:r>
              <w:rPr>
                <w:rFonts w:hint="eastAsia"/>
                <w:b/>
                <w:bCs/>
                <w:color w:val="auto"/>
                <w:sz w:val="24"/>
                <w:szCs w:val="24"/>
              </w:rPr>
              <w:t>位置及</w:t>
            </w:r>
            <w:r>
              <w:rPr>
                <w:b/>
                <w:bCs/>
                <w:color w:val="auto"/>
                <w:sz w:val="24"/>
                <w:szCs w:val="24"/>
              </w:rPr>
              <w:t>平面布置</w:t>
            </w:r>
          </w:p>
          <w:p w14:paraId="775C2BD2">
            <w:pPr>
              <w:snapToGrid w:val="0"/>
              <w:spacing w:line="360" w:lineRule="auto"/>
              <w:ind w:firstLine="482"/>
              <w:rPr>
                <w:color w:val="auto"/>
                <w:sz w:val="24"/>
                <w:szCs w:val="24"/>
              </w:rPr>
            </w:pPr>
            <w:r>
              <w:rPr>
                <w:color w:val="auto"/>
                <w:sz w:val="24"/>
                <w:szCs w:val="24"/>
              </w:rPr>
              <w:t>建设项目</w:t>
            </w:r>
            <w:r>
              <w:rPr>
                <w:rFonts w:hint="eastAsia"/>
                <w:color w:val="auto"/>
                <w:sz w:val="24"/>
                <w:szCs w:val="24"/>
                <w:lang w:val="en-US" w:eastAsia="zh-CN"/>
              </w:rPr>
              <w:t>位于江苏省海安高新技术产业开发区田庄村18组</w:t>
            </w:r>
            <w:r>
              <w:rPr>
                <w:rFonts w:hint="eastAsia"/>
                <w:color w:val="auto"/>
                <w:sz w:val="24"/>
                <w:szCs w:val="24"/>
              </w:rPr>
              <w:t>，</w:t>
            </w:r>
            <w:r>
              <w:rPr>
                <w:rFonts w:hint="eastAsia"/>
                <w:color w:val="auto"/>
                <w:sz w:val="24"/>
                <w:szCs w:val="24"/>
                <w:lang w:val="en-US" w:eastAsia="zh-CN"/>
              </w:rPr>
              <w:t>厂房东</w:t>
            </w:r>
            <w:r>
              <w:rPr>
                <w:rFonts w:hint="eastAsia"/>
                <w:color w:val="auto"/>
                <w:sz w:val="24"/>
                <w:szCs w:val="24"/>
              </w:rPr>
              <w:t>侧</w:t>
            </w:r>
            <w:r>
              <w:rPr>
                <w:rFonts w:hint="eastAsia"/>
                <w:color w:val="auto"/>
                <w:sz w:val="24"/>
                <w:szCs w:val="24"/>
                <w:lang w:val="en-US" w:eastAsia="zh-CN"/>
              </w:rPr>
              <w:t>为江苏富爱科技发展有限公司</w:t>
            </w:r>
            <w:r>
              <w:rPr>
                <w:rFonts w:hint="eastAsia"/>
                <w:color w:val="auto"/>
                <w:sz w:val="24"/>
                <w:szCs w:val="24"/>
                <w:lang w:eastAsia="zh-CN"/>
              </w:rPr>
              <w:t>，</w:t>
            </w:r>
            <w:r>
              <w:rPr>
                <w:rFonts w:hint="eastAsia"/>
                <w:color w:val="auto"/>
                <w:sz w:val="24"/>
                <w:szCs w:val="24"/>
              </w:rPr>
              <w:t>南侧</w:t>
            </w:r>
            <w:r>
              <w:rPr>
                <w:rFonts w:hint="eastAsia"/>
                <w:color w:val="auto"/>
                <w:sz w:val="24"/>
                <w:szCs w:val="24"/>
                <w:lang w:val="en-US" w:eastAsia="zh-CN"/>
              </w:rPr>
              <w:t>为G328国道，隔路为江苏铁锚科技股份有限公司，西</w:t>
            </w:r>
            <w:r>
              <w:rPr>
                <w:rFonts w:hint="eastAsia"/>
                <w:color w:val="auto"/>
                <w:sz w:val="24"/>
                <w:szCs w:val="24"/>
              </w:rPr>
              <w:t>侧为</w:t>
            </w:r>
            <w:r>
              <w:rPr>
                <w:rFonts w:hint="eastAsia"/>
                <w:color w:val="auto"/>
                <w:sz w:val="24"/>
                <w:szCs w:val="24"/>
                <w:lang w:val="en-US" w:eastAsia="zh-CN"/>
              </w:rPr>
              <w:t>西园大道</w:t>
            </w:r>
            <w:r>
              <w:rPr>
                <w:rFonts w:hint="eastAsia"/>
                <w:color w:val="auto"/>
                <w:sz w:val="24"/>
                <w:szCs w:val="24"/>
              </w:rPr>
              <w:t>，</w:t>
            </w:r>
            <w:r>
              <w:rPr>
                <w:rFonts w:hint="eastAsia"/>
                <w:color w:val="auto"/>
                <w:sz w:val="24"/>
                <w:szCs w:val="24"/>
                <w:lang w:val="en-US" w:eastAsia="zh-CN"/>
              </w:rPr>
              <w:t>隔路为南通米兰特电气有限公司，北</w:t>
            </w:r>
            <w:r>
              <w:rPr>
                <w:rFonts w:hint="eastAsia"/>
                <w:color w:val="auto"/>
                <w:sz w:val="24"/>
                <w:szCs w:val="24"/>
              </w:rPr>
              <w:t>侧为</w:t>
            </w:r>
            <w:r>
              <w:rPr>
                <w:rFonts w:hint="eastAsia"/>
                <w:color w:val="auto"/>
                <w:sz w:val="24"/>
                <w:szCs w:val="24"/>
                <w:lang w:val="en-US" w:eastAsia="zh-CN"/>
              </w:rPr>
              <w:t>居民</w:t>
            </w:r>
            <w:r>
              <w:rPr>
                <w:color w:val="auto"/>
                <w:sz w:val="24"/>
                <w:szCs w:val="24"/>
              </w:rPr>
              <w:t>。</w:t>
            </w:r>
          </w:p>
          <w:p w14:paraId="1559E66F">
            <w:pPr>
              <w:snapToGrid w:val="0"/>
              <w:spacing w:line="360" w:lineRule="auto"/>
              <w:ind w:firstLine="482"/>
              <w:rPr>
                <w:rFonts w:hint="eastAsia" w:eastAsia="宋体"/>
                <w:color w:val="auto"/>
                <w:sz w:val="24"/>
                <w:szCs w:val="24"/>
                <w:lang w:val="en-US" w:eastAsia="zh-CN"/>
              </w:rPr>
            </w:pPr>
            <w:r>
              <w:rPr>
                <w:rFonts w:hint="eastAsia"/>
                <w:color w:val="auto"/>
                <w:sz w:val="24"/>
                <w:szCs w:val="24"/>
                <w:lang w:val="en-US" w:eastAsia="zh-CN"/>
              </w:rPr>
              <w:t>希彼埃姆机械（南通）有限公司厂区主要设置1栋厂房，包括生产车间和办公区，生产车间东部由北到南依次设置精密机械加工、钻孔、原辅料仓库，中部由北到南依次设置精加工、钻孔、深度钻孔、钻孔、表面处理、倒角，西部由北到南依次设置抛光测试、成品区、精密机械加工、真空热处理、淬火、回火、清洗、废水站、办公区。</w:t>
            </w:r>
          </w:p>
          <w:p w14:paraId="02DAC09F">
            <w:pPr>
              <w:snapToGrid w:val="0"/>
              <w:spacing w:line="360" w:lineRule="auto"/>
              <w:ind w:firstLine="482"/>
              <w:rPr>
                <w:color w:val="auto"/>
                <w:sz w:val="24"/>
                <w:szCs w:val="24"/>
              </w:rPr>
            </w:pPr>
            <w:r>
              <w:rPr>
                <w:color w:val="auto"/>
                <w:sz w:val="24"/>
                <w:szCs w:val="24"/>
              </w:rPr>
              <w:t>纵观厂区总平面布置图，工艺流程布置合理顺畅，有利于工厂的生产、运输和管理，降低能耗</w:t>
            </w:r>
            <w:r>
              <w:rPr>
                <w:rFonts w:hint="eastAsia"/>
                <w:color w:val="auto"/>
                <w:sz w:val="24"/>
                <w:szCs w:val="24"/>
              </w:rPr>
              <w:t>，</w:t>
            </w:r>
            <w:r>
              <w:rPr>
                <w:color w:val="auto"/>
                <w:sz w:val="24"/>
                <w:szCs w:val="24"/>
              </w:rPr>
              <w:t>平面布置较合理。厂区平面布置见附图</w:t>
            </w:r>
            <w:r>
              <w:rPr>
                <w:rFonts w:hint="eastAsia"/>
                <w:color w:val="auto"/>
                <w:sz w:val="24"/>
                <w:szCs w:val="24"/>
                <w:lang w:val="en-US" w:eastAsia="zh-CN"/>
              </w:rPr>
              <w:t>9-1、9-3</w:t>
            </w:r>
            <w:r>
              <w:rPr>
                <w:rFonts w:hint="eastAsia"/>
                <w:color w:val="auto"/>
                <w:sz w:val="24"/>
                <w:szCs w:val="24"/>
              </w:rPr>
              <w:t>。</w:t>
            </w:r>
          </w:p>
        </w:tc>
      </w:tr>
      <w:tr w14:paraId="4A286B1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322" w:hRule="atLeast"/>
          <w:jc w:val="center"/>
        </w:trPr>
        <w:tc>
          <w:tcPr>
            <w:tcW w:w="452" w:type="dxa"/>
            <w:vAlign w:val="center"/>
          </w:tcPr>
          <w:p w14:paraId="0E0D9735">
            <w:pPr>
              <w:pStyle w:val="22"/>
              <w:adjustRightInd w:val="0"/>
              <w:snapToGrid w:val="0"/>
              <w:spacing w:before="0" w:beforeAutospacing="0" w:after="0" w:afterAutospacing="0"/>
              <w:jc w:val="center"/>
              <w:rPr>
                <w:rFonts w:cs="宋体"/>
                <w:bCs/>
                <w:color w:val="auto"/>
                <w:kern w:val="2"/>
                <w:sz w:val="24"/>
                <w:szCs w:val="24"/>
              </w:rPr>
            </w:pPr>
            <w:r>
              <w:rPr>
                <w:rFonts w:hint="eastAsia" w:cs="宋体"/>
                <w:color w:val="auto"/>
                <w:sz w:val="24"/>
                <w:szCs w:val="24"/>
              </w:rPr>
              <w:t>工艺流程和产排污环节</w:t>
            </w:r>
          </w:p>
        </w:tc>
        <w:tc>
          <w:tcPr>
            <w:tcW w:w="8608" w:type="dxa"/>
          </w:tcPr>
          <w:p w14:paraId="070E0FDE">
            <w:pPr>
              <w:widowControl/>
              <w:adjustRightInd w:val="0"/>
              <w:snapToGrid w:val="0"/>
              <w:spacing w:before="120" w:beforeLines="50" w:line="360" w:lineRule="auto"/>
              <w:ind w:left="420"/>
              <w:jc w:val="left"/>
              <w:rPr>
                <w:b/>
                <w:color w:val="auto"/>
                <w:sz w:val="24"/>
                <w:szCs w:val="24"/>
              </w:rPr>
            </w:pPr>
            <w:r>
              <w:rPr>
                <w:b/>
                <w:color w:val="auto"/>
                <w:sz w:val="24"/>
                <w:szCs w:val="24"/>
              </w:rPr>
              <w:t>1、</w:t>
            </w:r>
            <w:r>
              <w:rPr>
                <w:b/>
                <w:bCs/>
                <w:color w:val="auto"/>
                <w:sz w:val="24"/>
                <w:szCs w:val="24"/>
              </w:rPr>
              <w:t>施工期</w:t>
            </w:r>
            <w:r>
              <w:rPr>
                <w:b/>
                <w:color w:val="auto"/>
                <w:sz w:val="24"/>
                <w:szCs w:val="24"/>
              </w:rPr>
              <w:t>工艺流程</w:t>
            </w:r>
          </w:p>
          <w:p w14:paraId="0098FE20">
            <w:pPr>
              <w:adjustRightInd w:val="0"/>
              <w:snapToGrid w:val="0"/>
              <w:spacing w:line="360" w:lineRule="auto"/>
              <w:ind w:firstLine="480" w:firstLineChars="200"/>
              <w:rPr>
                <w:color w:val="auto"/>
                <w:kern w:val="0"/>
                <w:sz w:val="24"/>
                <w:szCs w:val="24"/>
              </w:rPr>
            </w:pPr>
            <w:r>
              <w:rPr>
                <w:color w:val="auto"/>
                <w:kern w:val="0"/>
                <w:sz w:val="24"/>
                <w:szCs w:val="24"/>
                <w:lang w:bidi="ar"/>
              </w:rPr>
              <w:t>本</w:t>
            </w:r>
            <w:r>
              <w:rPr>
                <w:rFonts w:hint="eastAsia"/>
                <w:color w:val="auto"/>
                <w:kern w:val="0"/>
                <w:sz w:val="24"/>
                <w:szCs w:val="24"/>
                <w:lang w:bidi="ar"/>
              </w:rPr>
              <w:t>项目利用已建厂房进行生产，施工期主要为生产设备安装与调试。故不对施工期做详细分析</w:t>
            </w:r>
            <w:r>
              <w:rPr>
                <w:color w:val="auto"/>
                <w:kern w:val="0"/>
                <w:sz w:val="24"/>
                <w:szCs w:val="24"/>
                <w:lang w:bidi="ar"/>
              </w:rPr>
              <w:t>。</w:t>
            </w:r>
          </w:p>
          <w:p w14:paraId="4CA7ABEE">
            <w:pPr>
              <w:pStyle w:val="22"/>
              <w:widowControl w:val="0"/>
              <w:adjustRightInd w:val="0"/>
              <w:snapToGrid w:val="0"/>
              <w:spacing w:before="0" w:beforeAutospacing="0" w:after="0" w:afterAutospacing="0" w:line="360" w:lineRule="auto"/>
              <w:ind w:firstLine="482" w:firstLineChars="200"/>
              <w:jc w:val="both"/>
              <w:rPr>
                <w:rFonts w:ascii="Times New Roman" w:hAnsi="Times New Roman"/>
                <w:b/>
                <w:bCs/>
                <w:color w:val="auto"/>
                <w:sz w:val="24"/>
                <w:szCs w:val="24"/>
              </w:rPr>
            </w:pPr>
            <w:r>
              <w:rPr>
                <w:rFonts w:hint="eastAsia" w:ascii="Times New Roman" w:hAnsi="Times New Roman"/>
                <w:b/>
                <w:bCs/>
                <w:color w:val="auto"/>
                <w:sz w:val="24"/>
                <w:szCs w:val="24"/>
              </w:rPr>
              <w:t>2</w:t>
            </w:r>
            <w:r>
              <w:rPr>
                <w:rFonts w:ascii="Times New Roman" w:hAnsi="Times New Roman"/>
                <w:b/>
                <w:bCs/>
                <w:color w:val="auto"/>
                <w:sz w:val="24"/>
                <w:szCs w:val="24"/>
              </w:rPr>
              <w:t>、</w:t>
            </w:r>
            <w:r>
              <w:rPr>
                <w:rFonts w:hint="eastAsia" w:ascii="Times New Roman" w:hAnsi="Times New Roman"/>
                <w:b/>
                <w:bCs/>
                <w:color w:val="auto"/>
                <w:sz w:val="24"/>
                <w:szCs w:val="24"/>
              </w:rPr>
              <w:t>运营</w:t>
            </w:r>
            <w:r>
              <w:rPr>
                <w:rFonts w:ascii="Times New Roman" w:hAnsi="Times New Roman"/>
                <w:b/>
                <w:bCs/>
                <w:color w:val="auto"/>
                <w:sz w:val="24"/>
                <w:szCs w:val="24"/>
              </w:rPr>
              <w:t>期工艺流程</w:t>
            </w:r>
          </w:p>
          <w:p w14:paraId="02CB3C11">
            <w:pPr>
              <w:spacing w:line="360" w:lineRule="auto"/>
              <w:ind w:firstLine="480" w:firstLineChars="200"/>
              <w:rPr>
                <w:rFonts w:hint="eastAsia"/>
                <w:color w:val="auto"/>
                <w:sz w:val="24"/>
                <w:szCs w:val="24"/>
              </w:rPr>
            </w:pPr>
            <w:r>
              <w:rPr>
                <w:rFonts w:hint="eastAsia"/>
                <w:color w:val="auto"/>
                <w:sz w:val="24"/>
                <w:szCs w:val="24"/>
                <w:lang w:val="en-US" w:eastAsia="zh-CN"/>
              </w:rPr>
              <w:t>扩建</w:t>
            </w:r>
            <w:r>
              <w:rPr>
                <w:rFonts w:hint="eastAsia"/>
                <w:color w:val="auto"/>
                <w:sz w:val="24"/>
                <w:szCs w:val="24"/>
              </w:rPr>
              <w:t>项目产品</w:t>
            </w:r>
            <w:r>
              <w:rPr>
                <w:rFonts w:hint="eastAsia"/>
                <w:color w:val="auto"/>
                <w:sz w:val="24"/>
                <w:szCs w:val="24"/>
                <w:lang w:val="en-US" w:eastAsia="zh-CN"/>
              </w:rPr>
              <w:t>为饲料加工系统关键部件</w:t>
            </w:r>
            <w:r>
              <w:rPr>
                <w:rFonts w:hint="eastAsia"/>
                <w:color w:val="auto"/>
                <w:sz w:val="24"/>
                <w:szCs w:val="24"/>
              </w:rPr>
              <w:t>，具体生产工艺流程</w:t>
            </w:r>
            <w:r>
              <w:rPr>
                <w:rFonts w:hint="eastAsia"/>
                <w:color w:val="auto"/>
                <w:sz w:val="24"/>
                <w:szCs w:val="24"/>
                <w:lang w:val="en-US" w:eastAsia="zh-CN"/>
              </w:rPr>
              <w:t>如下</w:t>
            </w:r>
            <w:r>
              <w:rPr>
                <w:rFonts w:hint="eastAsia"/>
                <w:color w:val="auto"/>
                <w:sz w:val="24"/>
                <w:szCs w:val="24"/>
              </w:rPr>
              <w:t>。</w:t>
            </w:r>
          </w:p>
          <w:p w14:paraId="2B9D7EE8">
            <w:pPr>
              <w:numPr>
                <w:numId w:val="0"/>
              </w:numPr>
              <w:spacing w:line="360" w:lineRule="auto"/>
              <w:ind w:leftChars="200"/>
              <w:jc w:val="left"/>
              <w:rPr>
                <w:rFonts w:hint="eastAsia" w:ascii="Times New Roman" w:hAnsi="Times New Roman" w:eastAsia="宋体" w:cs="Times New Roman"/>
                <w:color w:val="auto"/>
                <w:sz w:val="24"/>
                <w:szCs w:val="24"/>
                <w:lang w:eastAsia="zh-CN"/>
              </w:rPr>
            </w:pPr>
            <w:r>
              <w:rPr>
                <w:rFonts w:hint="eastAsia" w:ascii="Times New Roman" w:hAnsi="Times New Roman" w:eastAsia="宋体" w:cs="Times New Roman"/>
                <w:color w:val="auto"/>
                <w:sz w:val="24"/>
                <w:szCs w:val="24"/>
                <w:lang w:val="en-US" w:eastAsia="zh-CN"/>
              </w:rPr>
              <w:t>略</w:t>
            </w:r>
          </w:p>
          <w:p w14:paraId="08AA54CC">
            <w:pPr>
              <w:spacing w:line="360" w:lineRule="auto"/>
              <w:ind w:firstLine="482" w:firstLineChars="200"/>
              <w:jc w:val="left"/>
              <w:rPr>
                <w:color w:val="auto"/>
                <w:sz w:val="24"/>
                <w:szCs w:val="24"/>
              </w:rPr>
            </w:pPr>
            <w:r>
              <w:rPr>
                <w:b/>
                <w:bCs/>
                <w:color w:val="auto"/>
                <w:sz w:val="24"/>
                <w:szCs w:val="24"/>
              </w:rPr>
              <w:t>其他工艺流程中未说明的产污环节在此处进行补充说明：</w:t>
            </w:r>
          </w:p>
          <w:p w14:paraId="7D9C8881">
            <w:pPr>
              <w:spacing w:line="360" w:lineRule="auto"/>
              <w:ind w:firstLine="480" w:firstLineChars="200"/>
              <w:jc w:val="left"/>
              <w:rPr>
                <w:rFonts w:hint="eastAsia" w:eastAsia="宋体"/>
                <w:color w:val="auto"/>
                <w:sz w:val="24"/>
                <w:szCs w:val="24"/>
                <w:vertAlign w:val="baseline"/>
                <w:lang w:val="en-US" w:eastAsia="zh-CN"/>
              </w:rPr>
            </w:pPr>
            <w:r>
              <w:rPr>
                <w:rFonts w:hint="eastAsia"/>
                <w:color w:val="auto"/>
                <w:sz w:val="24"/>
                <w:szCs w:val="24"/>
                <w:vertAlign w:val="baseline"/>
              </w:rPr>
              <w:t>此外，</w:t>
            </w:r>
            <w:r>
              <w:rPr>
                <w:rFonts w:hint="eastAsia" w:cs="宋体"/>
                <w:color w:val="auto"/>
                <w:sz w:val="24"/>
                <w:szCs w:val="24"/>
                <w:vertAlign w:val="baseline"/>
              </w:rPr>
              <w:t>本项目危废</w:t>
            </w:r>
            <w:r>
              <w:rPr>
                <w:rFonts w:hint="eastAsia" w:cs="宋体"/>
                <w:color w:val="auto"/>
                <w:sz w:val="24"/>
                <w:szCs w:val="24"/>
                <w:vertAlign w:val="baseline"/>
                <w:lang w:val="en-US" w:eastAsia="zh-CN"/>
              </w:rPr>
              <w:t>仓库</w:t>
            </w:r>
            <w:r>
              <w:rPr>
                <w:rFonts w:hint="eastAsia" w:cs="宋体"/>
                <w:color w:val="auto"/>
                <w:sz w:val="24"/>
                <w:szCs w:val="24"/>
                <w:vertAlign w:val="baseline"/>
              </w:rPr>
              <w:t>暂存危废</w:t>
            </w:r>
            <w:r>
              <w:rPr>
                <w:rFonts w:hint="eastAsia"/>
                <w:color w:val="auto"/>
                <w:sz w:val="24"/>
                <w:szCs w:val="24"/>
                <w:vertAlign w:val="baseline"/>
              </w:rPr>
              <w:t>过程产生危废</w:t>
            </w:r>
            <w:r>
              <w:rPr>
                <w:rFonts w:hint="eastAsia"/>
                <w:color w:val="auto"/>
                <w:sz w:val="24"/>
                <w:szCs w:val="24"/>
                <w:vertAlign w:val="baseline"/>
                <w:lang w:val="en-US" w:eastAsia="zh-CN"/>
              </w:rPr>
              <w:t>贮存</w:t>
            </w:r>
            <w:r>
              <w:rPr>
                <w:rFonts w:hint="eastAsia"/>
                <w:color w:val="auto"/>
                <w:sz w:val="24"/>
                <w:szCs w:val="24"/>
                <w:vertAlign w:val="baseline"/>
              </w:rPr>
              <w:t>废气</w:t>
            </w:r>
            <w:r>
              <w:rPr>
                <w:rFonts w:hint="eastAsia"/>
                <w:color w:val="auto"/>
                <w:sz w:val="24"/>
                <w:szCs w:val="24"/>
                <w:vertAlign w:val="baseline"/>
                <w:lang w:val="en-US" w:eastAsia="zh-CN"/>
              </w:rPr>
              <w:t>G5</w:t>
            </w:r>
            <w:r>
              <w:rPr>
                <w:rFonts w:hint="eastAsia"/>
                <w:color w:val="auto"/>
                <w:sz w:val="24"/>
                <w:szCs w:val="24"/>
                <w:vertAlign w:val="baseline"/>
              </w:rPr>
              <w:t>；废水处理过程产生废水处理废气G</w:t>
            </w:r>
            <w:r>
              <w:rPr>
                <w:rFonts w:hint="eastAsia"/>
                <w:color w:val="auto"/>
                <w:sz w:val="24"/>
                <w:szCs w:val="24"/>
                <w:vertAlign w:val="baseline"/>
                <w:lang w:val="en-US" w:eastAsia="zh-CN"/>
              </w:rPr>
              <w:t>6</w:t>
            </w:r>
            <w:r>
              <w:rPr>
                <w:rFonts w:hint="eastAsia"/>
                <w:color w:val="auto"/>
                <w:sz w:val="24"/>
                <w:szCs w:val="24"/>
                <w:vertAlign w:val="baseline"/>
                <w:lang w:eastAsia="zh-CN"/>
              </w:rPr>
              <w:t>；</w:t>
            </w:r>
            <w:r>
              <w:rPr>
                <w:rFonts w:hint="eastAsia"/>
                <w:color w:val="auto"/>
                <w:sz w:val="24"/>
                <w:szCs w:val="24"/>
                <w:vertAlign w:val="baseline"/>
              </w:rPr>
              <w:t>职工生活产生生活垃圾</w:t>
            </w:r>
            <w:r>
              <w:rPr>
                <w:rFonts w:hint="eastAsia" w:ascii="Times New Roman" w:hAnsi="Times New Roman" w:eastAsia="宋体" w:cs="Times New Roman"/>
                <w:color w:val="auto"/>
                <w:sz w:val="24"/>
                <w:szCs w:val="24"/>
                <w:vertAlign w:val="baseline"/>
                <w:lang w:val="en-US" w:eastAsia="zh-CN"/>
              </w:rPr>
              <w:t>S</w:t>
            </w:r>
            <w:r>
              <w:rPr>
                <w:rFonts w:hint="eastAsia" w:cs="Times New Roman"/>
                <w:color w:val="auto"/>
                <w:sz w:val="24"/>
                <w:szCs w:val="24"/>
                <w:vertAlign w:val="baseline"/>
                <w:lang w:val="en-US" w:eastAsia="zh-CN"/>
              </w:rPr>
              <w:t>14</w:t>
            </w:r>
            <w:r>
              <w:rPr>
                <w:rFonts w:hint="eastAsia"/>
                <w:color w:val="auto"/>
                <w:sz w:val="24"/>
                <w:szCs w:val="24"/>
                <w:vertAlign w:val="baseline"/>
              </w:rPr>
              <w:t>、生活污水</w:t>
            </w:r>
            <w:r>
              <w:rPr>
                <w:rFonts w:hint="eastAsia"/>
                <w:color w:val="auto"/>
                <w:sz w:val="24"/>
                <w:szCs w:val="24"/>
                <w:vertAlign w:val="baseline"/>
                <w:lang w:val="en-US" w:eastAsia="zh-CN"/>
              </w:rPr>
              <w:t>W2</w:t>
            </w:r>
            <w:r>
              <w:rPr>
                <w:rFonts w:hint="eastAsia"/>
                <w:color w:val="auto"/>
                <w:sz w:val="24"/>
                <w:szCs w:val="24"/>
                <w:vertAlign w:val="baseline"/>
              </w:rPr>
              <w:t>；员工佩戴手套工作时手套、抹布均会沾上油污等形成废抹布及手套</w:t>
            </w:r>
            <w:r>
              <w:rPr>
                <w:rFonts w:hint="eastAsia" w:ascii="Times New Roman" w:hAnsi="Times New Roman" w:eastAsia="宋体" w:cs="Times New Roman"/>
                <w:color w:val="auto"/>
                <w:sz w:val="24"/>
                <w:szCs w:val="24"/>
                <w:vertAlign w:val="baseline"/>
                <w:lang w:val="en-US" w:eastAsia="zh-CN"/>
              </w:rPr>
              <w:t>S</w:t>
            </w:r>
            <w:r>
              <w:rPr>
                <w:rFonts w:hint="eastAsia" w:cs="Times New Roman"/>
                <w:color w:val="auto"/>
                <w:sz w:val="24"/>
                <w:szCs w:val="24"/>
                <w:vertAlign w:val="baseline"/>
                <w:lang w:val="en-US" w:eastAsia="zh-CN"/>
              </w:rPr>
              <w:t>15</w:t>
            </w:r>
            <w:r>
              <w:rPr>
                <w:rFonts w:hint="eastAsia"/>
                <w:color w:val="auto"/>
                <w:sz w:val="24"/>
                <w:szCs w:val="24"/>
                <w:vertAlign w:val="baseline"/>
              </w:rPr>
              <w:t>；切削液</w:t>
            </w:r>
            <w:r>
              <w:rPr>
                <w:rFonts w:hint="eastAsia"/>
                <w:color w:val="auto"/>
                <w:sz w:val="24"/>
                <w:szCs w:val="24"/>
                <w:vertAlign w:val="baseline"/>
                <w:lang w:eastAsia="zh-CN"/>
              </w:rPr>
              <w:t>、清洗剂、防锈剂</w:t>
            </w:r>
            <w:r>
              <w:rPr>
                <w:rFonts w:hint="eastAsia"/>
                <w:color w:val="auto"/>
                <w:sz w:val="24"/>
                <w:szCs w:val="24"/>
                <w:vertAlign w:val="baseline"/>
              </w:rPr>
              <w:t>使用产生废包装桶</w:t>
            </w:r>
            <w:r>
              <w:rPr>
                <w:rFonts w:hint="eastAsia" w:ascii="Times New Roman" w:hAnsi="Times New Roman" w:eastAsia="宋体" w:cs="Times New Roman"/>
                <w:color w:val="auto"/>
                <w:sz w:val="24"/>
                <w:szCs w:val="24"/>
                <w:vertAlign w:val="baseline"/>
                <w:lang w:val="en-US" w:eastAsia="zh-CN"/>
              </w:rPr>
              <w:t>S</w:t>
            </w:r>
            <w:r>
              <w:rPr>
                <w:rFonts w:hint="eastAsia" w:cs="Times New Roman"/>
                <w:color w:val="auto"/>
                <w:sz w:val="24"/>
                <w:szCs w:val="24"/>
                <w:vertAlign w:val="baseline"/>
                <w:lang w:val="en-US" w:eastAsia="zh-CN"/>
              </w:rPr>
              <w:t>16</w:t>
            </w:r>
            <w:r>
              <w:rPr>
                <w:rFonts w:hint="eastAsia"/>
                <w:color w:val="auto"/>
                <w:sz w:val="24"/>
                <w:szCs w:val="24"/>
                <w:vertAlign w:val="baseline"/>
              </w:rPr>
              <w:t>；</w:t>
            </w:r>
            <w:r>
              <w:rPr>
                <w:rFonts w:hint="eastAsia"/>
                <w:color w:val="auto"/>
                <w:sz w:val="24"/>
                <w:szCs w:val="24"/>
                <w:vertAlign w:val="baseline"/>
                <w:lang w:val="en-US" w:eastAsia="zh-CN"/>
              </w:rPr>
              <w:t>移动式布袋除尘器、布袋除尘器</w:t>
            </w:r>
            <w:r>
              <w:rPr>
                <w:rFonts w:hint="eastAsia"/>
                <w:color w:val="auto"/>
                <w:sz w:val="24"/>
                <w:szCs w:val="24"/>
                <w:vertAlign w:val="baseline"/>
              </w:rPr>
              <w:t>处理粉尘过程会产生废</w:t>
            </w:r>
            <w:r>
              <w:rPr>
                <w:rFonts w:hint="eastAsia"/>
                <w:color w:val="auto"/>
                <w:sz w:val="24"/>
                <w:szCs w:val="24"/>
                <w:lang w:val="en-US" w:eastAsia="zh-CN"/>
              </w:rPr>
              <w:t>布袋</w:t>
            </w:r>
            <w:r>
              <w:rPr>
                <w:rFonts w:hint="eastAsia"/>
                <w:color w:val="auto"/>
                <w:sz w:val="24"/>
                <w:szCs w:val="24"/>
                <w:vertAlign w:val="baseline"/>
              </w:rPr>
              <w:t>S</w:t>
            </w:r>
            <w:r>
              <w:rPr>
                <w:rFonts w:hint="eastAsia"/>
                <w:color w:val="auto"/>
                <w:sz w:val="24"/>
                <w:szCs w:val="24"/>
                <w:vertAlign w:val="baseline"/>
                <w:lang w:val="en-US" w:eastAsia="zh-CN"/>
              </w:rPr>
              <w:t>17、收集尘</w:t>
            </w:r>
            <w:r>
              <w:rPr>
                <w:rFonts w:hint="eastAsia"/>
                <w:color w:val="auto"/>
                <w:sz w:val="24"/>
                <w:szCs w:val="24"/>
                <w:vertAlign w:val="baseline"/>
              </w:rPr>
              <w:t>S</w:t>
            </w:r>
            <w:r>
              <w:rPr>
                <w:rFonts w:hint="eastAsia"/>
                <w:color w:val="auto"/>
                <w:sz w:val="24"/>
                <w:szCs w:val="24"/>
                <w:vertAlign w:val="baseline"/>
                <w:lang w:val="en-US" w:eastAsia="zh-CN"/>
              </w:rPr>
              <w:t>18</w:t>
            </w:r>
            <w:r>
              <w:rPr>
                <w:rFonts w:hint="eastAsia"/>
                <w:color w:val="auto"/>
                <w:sz w:val="24"/>
                <w:szCs w:val="24"/>
                <w:vertAlign w:val="baseline"/>
              </w:rPr>
              <w:t>；防锈油</w:t>
            </w:r>
            <w:r>
              <w:rPr>
                <w:rFonts w:hint="eastAsia"/>
                <w:color w:val="auto"/>
                <w:sz w:val="24"/>
                <w:szCs w:val="24"/>
                <w:vertAlign w:val="baseline"/>
                <w:lang w:eastAsia="zh-CN"/>
              </w:rPr>
              <w:t>、</w:t>
            </w:r>
            <w:r>
              <w:rPr>
                <w:rFonts w:hint="eastAsia"/>
                <w:color w:val="auto"/>
                <w:sz w:val="24"/>
                <w:szCs w:val="24"/>
                <w:vertAlign w:val="baseline"/>
                <w:lang w:val="en-US" w:eastAsia="zh-CN"/>
              </w:rPr>
              <w:t>液压油、深孔钻油、润滑油、轻质白油使用过程产生废油桶S19、废液压油S20、废润滑油S21；原料使用过程会产生废包装材料S22；</w:t>
            </w:r>
            <w:r>
              <w:rPr>
                <w:rFonts w:hint="eastAsia"/>
                <w:color w:val="auto"/>
                <w:sz w:val="24"/>
                <w:szCs w:val="24"/>
                <w:vertAlign w:val="baseline"/>
              </w:rPr>
              <w:t>废水处理过程产生</w:t>
            </w:r>
            <w:r>
              <w:rPr>
                <w:rFonts w:hint="eastAsia"/>
                <w:color w:val="auto"/>
                <w:sz w:val="24"/>
                <w:szCs w:val="24"/>
                <w:vertAlign w:val="baseline"/>
                <w:lang w:val="en-US" w:eastAsia="zh-CN"/>
              </w:rPr>
              <w:t>浓液</w:t>
            </w:r>
            <w:r>
              <w:rPr>
                <w:rFonts w:hint="eastAsia"/>
                <w:color w:val="auto"/>
                <w:sz w:val="24"/>
                <w:szCs w:val="24"/>
                <w:vertAlign w:val="baseline"/>
              </w:rPr>
              <w:t>S</w:t>
            </w:r>
            <w:r>
              <w:rPr>
                <w:rFonts w:hint="eastAsia"/>
                <w:color w:val="auto"/>
                <w:sz w:val="24"/>
                <w:szCs w:val="24"/>
                <w:vertAlign w:val="baseline"/>
                <w:lang w:val="en-US" w:eastAsia="zh-CN"/>
              </w:rPr>
              <w:t>23；废水处理设施滤袋、陶瓷膜定期更换产生过滤材料</w:t>
            </w:r>
            <w:r>
              <w:rPr>
                <w:rFonts w:hint="eastAsia"/>
                <w:color w:val="auto"/>
                <w:sz w:val="24"/>
                <w:szCs w:val="24"/>
                <w:vertAlign w:val="baseline"/>
              </w:rPr>
              <w:t>S</w:t>
            </w:r>
            <w:r>
              <w:rPr>
                <w:rFonts w:hint="eastAsia"/>
                <w:color w:val="auto"/>
                <w:sz w:val="24"/>
                <w:szCs w:val="24"/>
                <w:vertAlign w:val="baseline"/>
                <w:lang w:val="en-US" w:eastAsia="zh-CN"/>
              </w:rPr>
              <w:t>24；空压机运行过程定期排放空压机含油废水S25；</w:t>
            </w:r>
            <w:r>
              <w:rPr>
                <w:rFonts w:hint="eastAsia"/>
                <w:color w:val="auto"/>
                <w:sz w:val="24"/>
                <w:szCs w:val="24"/>
                <w:lang w:val="en-US" w:eastAsia="zh-CN"/>
              </w:rPr>
              <w:t>厂内运输使用的电叉车每三年更换一次电池，产生废电池</w:t>
            </w:r>
            <w:r>
              <w:rPr>
                <w:rFonts w:hint="eastAsia"/>
                <w:color w:val="auto"/>
                <w:sz w:val="24"/>
                <w:szCs w:val="24"/>
              </w:rPr>
              <w:t>S</w:t>
            </w:r>
            <w:r>
              <w:rPr>
                <w:rFonts w:hint="eastAsia"/>
                <w:color w:val="auto"/>
                <w:sz w:val="24"/>
                <w:szCs w:val="24"/>
                <w:lang w:val="en-US" w:eastAsia="zh-CN"/>
              </w:rPr>
              <w:t>26；真空炉每五年更换一次耐火材料，产生废耐火材料S27；生产过程产生的</w:t>
            </w:r>
            <w:r>
              <w:rPr>
                <w:rFonts w:hint="eastAsia"/>
                <w:color w:val="auto"/>
                <w:sz w:val="24"/>
                <w:szCs w:val="24"/>
              </w:rPr>
              <w:t>含油废屑</w:t>
            </w:r>
            <w:r>
              <w:rPr>
                <w:rFonts w:hint="eastAsia"/>
                <w:color w:val="auto"/>
                <w:sz w:val="24"/>
                <w:szCs w:val="24"/>
                <w:lang w:eastAsia="zh-CN"/>
              </w:rPr>
              <w:t>（S4、S6、S9、S11）</w:t>
            </w:r>
            <w:r>
              <w:rPr>
                <w:rFonts w:hint="eastAsia"/>
                <w:color w:val="auto"/>
                <w:sz w:val="24"/>
                <w:szCs w:val="24"/>
                <w:lang w:val="en-US" w:eastAsia="zh-CN"/>
              </w:rPr>
              <w:t>经压块机</w:t>
            </w:r>
            <w:r>
              <w:rPr>
                <w:rFonts w:hint="eastAsia" w:cs="Times New Roman"/>
                <w:b w:val="0"/>
                <w:bCs w:val="0"/>
                <w:color w:val="auto"/>
                <w:kern w:val="2"/>
                <w:sz w:val="24"/>
                <w:szCs w:val="24"/>
                <w:lang w:val="en-US" w:eastAsia="zh-CN" w:bidi="ar"/>
              </w:rPr>
              <w:t>压滤后分为废油S28、金属屑S29</w:t>
            </w:r>
            <w:r>
              <w:rPr>
                <w:rFonts w:hint="eastAsia"/>
                <w:color w:val="auto"/>
                <w:sz w:val="24"/>
                <w:szCs w:val="24"/>
              </w:rPr>
              <w:t>。</w:t>
            </w:r>
            <w:r>
              <w:rPr>
                <w:rFonts w:hint="eastAsia"/>
                <w:color w:val="auto"/>
                <w:sz w:val="24"/>
                <w:szCs w:val="24"/>
                <w:vertAlign w:val="baseline"/>
                <w:lang w:val="en-US" w:eastAsia="zh-CN"/>
              </w:rPr>
              <w:t>根据</w:t>
            </w:r>
            <w:r>
              <w:rPr>
                <w:rFonts w:hint="eastAsia"/>
                <w:color w:val="auto"/>
                <w:sz w:val="24"/>
                <w:szCs w:val="24"/>
                <w:vertAlign w:val="baseline"/>
                <w:lang w:eastAsia="zh-CN"/>
              </w:rPr>
              <w:t>《固体废物鉴别标准 通则》（GB34330-2025）“</w:t>
            </w:r>
            <w:r>
              <w:rPr>
                <w:rFonts w:hint="eastAsia"/>
                <w:color w:val="auto"/>
                <w:sz w:val="24"/>
                <w:szCs w:val="24"/>
                <w:vertAlign w:val="baseline"/>
                <w:lang w:val="en-US" w:eastAsia="zh-CN"/>
              </w:rPr>
              <w:t>4.3</w:t>
            </w:r>
            <w:r>
              <w:rPr>
                <w:rFonts w:hint="eastAsia"/>
                <w:color w:val="auto"/>
                <w:sz w:val="24"/>
                <w:szCs w:val="24"/>
                <w:vertAlign w:val="baseline"/>
                <w:lang w:eastAsia="zh-CN"/>
              </w:rPr>
              <w:t>拟通过修复、加工后按原始用途使用的物质，不属于固体废物”，</w:t>
            </w:r>
            <w:r>
              <w:rPr>
                <w:rFonts w:hint="eastAsia"/>
                <w:color w:val="auto"/>
                <w:sz w:val="24"/>
                <w:szCs w:val="24"/>
                <w:vertAlign w:val="baseline"/>
              </w:rPr>
              <w:t>本项目使用</w:t>
            </w:r>
            <w:r>
              <w:rPr>
                <w:rFonts w:hint="eastAsia"/>
                <w:color w:val="auto"/>
                <w:sz w:val="24"/>
                <w:szCs w:val="24"/>
                <w:vertAlign w:val="baseline"/>
                <w:lang w:val="en-US" w:eastAsia="zh-CN"/>
              </w:rPr>
              <w:t>氮气</w:t>
            </w:r>
            <w:r>
              <w:rPr>
                <w:rFonts w:hint="eastAsia"/>
                <w:color w:val="auto"/>
                <w:sz w:val="24"/>
                <w:szCs w:val="24"/>
                <w:vertAlign w:val="baseline"/>
              </w:rPr>
              <w:t>产生的</w:t>
            </w:r>
            <w:r>
              <w:rPr>
                <w:rFonts w:hint="eastAsia"/>
                <w:color w:val="auto"/>
                <w:sz w:val="24"/>
                <w:szCs w:val="24"/>
                <w:vertAlign w:val="baseline"/>
                <w:lang w:val="en-US" w:eastAsia="zh-CN"/>
              </w:rPr>
              <w:t>储气罐</w:t>
            </w:r>
            <w:r>
              <w:rPr>
                <w:rFonts w:hint="eastAsia"/>
                <w:color w:val="auto"/>
                <w:sz w:val="24"/>
                <w:szCs w:val="24"/>
                <w:vertAlign w:val="baseline"/>
              </w:rPr>
              <w:t>由厂家回收，循环使用</w:t>
            </w:r>
            <w:r>
              <w:rPr>
                <w:rFonts w:hint="eastAsia"/>
                <w:color w:val="auto"/>
                <w:sz w:val="24"/>
                <w:szCs w:val="24"/>
                <w:vertAlign w:val="baseline"/>
                <w:lang w:eastAsia="zh-CN"/>
              </w:rPr>
              <w:t>，</w:t>
            </w:r>
            <w:r>
              <w:rPr>
                <w:rFonts w:hint="eastAsia"/>
                <w:color w:val="auto"/>
                <w:sz w:val="24"/>
                <w:szCs w:val="24"/>
                <w:vertAlign w:val="baseline"/>
                <w:lang w:val="en-US" w:eastAsia="zh-CN"/>
              </w:rPr>
              <w:t>不属于固体废物，不按照固废管理</w:t>
            </w:r>
            <w:r>
              <w:rPr>
                <w:rFonts w:hint="eastAsia"/>
                <w:color w:val="auto"/>
                <w:sz w:val="24"/>
                <w:szCs w:val="24"/>
                <w:vertAlign w:val="baseline"/>
              </w:rPr>
              <w:t>。本项目车间地面清洁主要采用地面清扫的方式，无需用水冲洗。</w:t>
            </w:r>
          </w:p>
          <w:p w14:paraId="1084B54A">
            <w:pPr>
              <w:spacing w:line="360" w:lineRule="auto"/>
              <w:ind w:firstLine="482" w:firstLineChars="200"/>
              <w:rPr>
                <w:b/>
                <w:bCs/>
                <w:color w:val="auto"/>
                <w:sz w:val="24"/>
                <w:szCs w:val="24"/>
              </w:rPr>
            </w:pPr>
            <w:r>
              <w:rPr>
                <w:rFonts w:hint="eastAsia"/>
                <w:b/>
                <w:bCs/>
                <w:color w:val="auto"/>
                <w:sz w:val="24"/>
                <w:szCs w:val="24"/>
                <w:lang w:val="en-US" w:eastAsia="zh-CN"/>
              </w:rPr>
              <w:t>本</w:t>
            </w:r>
            <w:r>
              <w:rPr>
                <w:rFonts w:hint="eastAsia"/>
                <w:b/>
                <w:bCs/>
                <w:color w:val="auto"/>
                <w:sz w:val="24"/>
                <w:szCs w:val="24"/>
              </w:rPr>
              <w:t>项目</w:t>
            </w:r>
            <w:r>
              <w:rPr>
                <w:b/>
                <w:bCs/>
                <w:color w:val="auto"/>
                <w:sz w:val="24"/>
                <w:szCs w:val="24"/>
              </w:rPr>
              <w:t>主要产污环节如下：</w:t>
            </w:r>
          </w:p>
          <w:p w14:paraId="1F7FC526">
            <w:pPr>
              <w:jc w:val="center"/>
              <w:rPr>
                <w:b/>
                <w:bCs/>
                <w:color w:val="auto"/>
                <w:sz w:val="24"/>
                <w:szCs w:val="24"/>
              </w:rPr>
            </w:pPr>
            <w:r>
              <w:rPr>
                <w:b/>
                <w:bCs/>
                <w:color w:val="auto"/>
                <w:sz w:val="24"/>
                <w:szCs w:val="24"/>
              </w:rPr>
              <w:t>表2-</w:t>
            </w:r>
            <w:r>
              <w:rPr>
                <w:rFonts w:hint="eastAsia"/>
                <w:b/>
                <w:bCs/>
                <w:color w:val="auto"/>
                <w:sz w:val="24"/>
                <w:szCs w:val="24"/>
                <w:lang w:val="en-US" w:eastAsia="zh-CN"/>
              </w:rPr>
              <w:t>6</w:t>
            </w:r>
            <w:r>
              <w:rPr>
                <w:rFonts w:hint="eastAsia"/>
                <w:b/>
                <w:bCs/>
                <w:color w:val="auto"/>
                <w:sz w:val="24"/>
                <w:szCs w:val="24"/>
              </w:rPr>
              <w:t xml:space="preserve"> </w:t>
            </w:r>
            <w:r>
              <w:rPr>
                <w:rFonts w:hint="eastAsia"/>
                <w:b/>
                <w:bCs/>
                <w:color w:val="auto"/>
                <w:sz w:val="24"/>
                <w:szCs w:val="24"/>
                <w:lang w:val="en-US" w:eastAsia="zh-CN"/>
              </w:rPr>
              <w:t>本</w:t>
            </w:r>
            <w:r>
              <w:rPr>
                <w:rFonts w:hint="eastAsia"/>
                <w:b/>
                <w:bCs/>
                <w:color w:val="auto"/>
                <w:sz w:val="24"/>
                <w:szCs w:val="24"/>
              </w:rPr>
              <w:t>项目</w:t>
            </w:r>
            <w:r>
              <w:rPr>
                <w:b/>
                <w:bCs/>
                <w:color w:val="auto"/>
                <w:sz w:val="24"/>
                <w:szCs w:val="24"/>
              </w:rPr>
              <w:t>主要产污环节</w:t>
            </w:r>
          </w:p>
          <w:tbl>
            <w:tblPr>
              <w:tblStyle w:val="26"/>
              <w:tblW w:w="4997"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64"/>
              <w:gridCol w:w="764"/>
              <w:gridCol w:w="1087"/>
              <w:gridCol w:w="1504"/>
              <w:gridCol w:w="1650"/>
              <w:gridCol w:w="2719"/>
            </w:tblGrid>
            <w:tr w14:paraId="7E9C591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95" w:type="pct"/>
                  <w:vAlign w:val="center"/>
                </w:tcPr>
                <w:p w14:paraId="0979B7A5">
                  <w:pPr>
                    <w:pStyle w:val="34"/>
                    <w:spacing w:before="0" w:beforeLines="0" w:after="0" w:afterLines="0" w:line="240" w:lineRule="auto"/>
                    <w:rPr>
                      <w:rFonts w:ascii="Times New Roman" w:eastAsia="宋体"/>
                      <w:b/>
                      <w:color w:val="auto"/>
                      <w:sz w:val="21"/>
                      <w:szCs w:val="21"/>
                    </w:rPr>
                  </w:pPr>
                  <w:r>
                    <w:rPr>
                      <w:rFonts w:ascii="Times New Roman" w:eastAsia="宋体"/>
                      <w:b/>
                      <w:color w:val="auto"/>
                      <w:sz w:val="21"/>
                      <w:szCs w:val="21"/>
                    </w:rPr>
                    <w:t>类别</w:t>
                  </w:r>
                </w:p>
              </w:tc>
              <w:tc>
                <w:tcPr>
                  <w:tcW w:w="455" w:type="pct"/>
                  <w:vAlign w:val="center"/>
                </w:tcPr>
                <w:p w14:paraId="5A9CAC97">
                  <w:pPr>
                    <w:pStyle w:val="34"/>
                    <w:spacing w:before="0" w:beforeLines="0" w:after="0" w:afterLines="0" w:line="240" w:lineRule="auto"/>
                    <w:rPr>
                      <w:rFonts w:ascii="Times New Roman" w:eastAsia="宋体"/>
                      <w:b/>
                      <w:color w:val="auto"/>
                      <w:sz w:val="21"/>
                      <w:szCs w:val="21"/>
                    </w:rPr>
                  </w:pPr>
                  <w:r>
                    <w:rPr>
                      <w:rFonts w:ascii="Times New Roman" w:eastAsia="宋体"/>
                      <w:b/>
                      <w:color w:val="auto"/>
                      <w:sz w:val="21"/>
                      <w:szCs w:val="21"/>
                    </w:rPr>
                    <w:t>代码</w:t>
                  </w:r>
                </w:p>
              </w:tc>
              <w:tc>
                <w:tcPr>
                  <w:tcW w:w="1544" w:type="pct"/>
                  <w:gridSpan w:val="2"/>
                  <w:vAlign w:val="center"/>
                </w:tcPr>
                <w:p w14:paraId="0795FD10">
                  <w:pPr>
                    <w:pStyle w:val="34"/>
                    <w:spacing w:before="0" w:beforeLines="0" w:after="0" w:afterLines="0" w:line="240" w:lineRule="auto"/>
                    <w:rPr>
                      <w:rFonts w:ascii="Times New Roman" w:eastAsia="宋体"/>
                      <w:b/>
                      <w:color w:val="auto"/>
                      <w:sz w:val="21"/>
                      <w:szCs w:val="21"/>
                    </w:rPr>
                  </w:pPr>
                  <w:r>
                    <w:rPr>
                      <w:rFonts w:ascii="Times New Roman" w:eastAsia="宋体"/>
                      <w:b/>
                      <w:color w:val="auto"/>
                      <w:sz w:val="21"/>
                      <w:szCs w:val="21"/>
                    </w:rPr>
                    <w:t>产生点</w:t>
                  </w:r>
                </w:p>
              </w:tc>
              <w:tc>
                <w:tcPr>
                  <w:tcW w:w="983" w:type="pct"/>
                  <w:vAlign w:val="center"/>
                </w:tcPr>
                <w:p w14:paraId="25C7F442">
                  <w:pPr>
                    <w:pStyle w:val="34"/>
                    <w:spacing w:before="0" w:beforeLines="0" w:after="0" w:afterLines="0" w:line="240" w:lineRule="auto"/>
                    <w:rPr>
                      <w:rFonts w:ascii="Times New Roman" w:eastAsia="宋体"/>
                      <w:b/>
                      <w:color w:val="auto"/>
                      <w:sz w:val="21"/>
                      <w:szCs w:val="21"/>
                    </w:rPr>
                  </w:pPr>
                  <w:r>
                    <w:rPr>
                      <w:rFonts w:ascii="Times New Roman" w:eastAsia="宋体"/>
                      <w:b/>
                      <w:color w:val="auto"/>
                      <w:sz w:val="21"/>
                      <w:szCs w:val="21"/>
                    </w:rPr>
                    <w:t>污染物</w:t>
                  </w:r>
                </w:p>
              </w:tc>
              <w:tc>
                <w:tcPr>
                  <w:tcW w:w="1620" w:type="pct"/>
                  <w:vAlign w:val="center"/>
                </w:tcPr>
                <w:p w14:paraId="1F78E80F">
                  <w:pPr>
                    <w:pStyle w:val="34"/>
                    <w:spacing w:before="0" w:beforeLines="0" w:after="0" w:afterLines="0" w:line="240" w:lineRule="auto"/>
                    <w:rPr>
                      <w:rFonts w:ascii="Times New Roman" w:eastAsia="宋体"/>
                      <w:b/>
                      <w:color w:val="auto"/>
                      <w:sz w:val="21"/>
                      <w:szCs w:val="21"/>
                    </w:rPr>
                  </w:pPr>
                  <w:r>
                    <w:rPr>
                      <w:rFonts w:ascii="Times New Roman" w:eastAsia="宋体"/>
                      <w:b/>
                      <w:color w:val="auto"/>
                      <w:sz w:val="21"/>
                      <w:szCs w:val="21"/>
                    </w:rPr>
                    <w:t>处理措施及排放去向</w:t>
                  </w:r>
                </w:p>
              </w:tc>
            </w:tr>
            <w:tr w14:paraId="0FDAE75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95" w:type="pct"/>
                  <w:vMerge w:val="restart"/>
                  <w:vAlign w:val="center"/>
                </w:tcPr>
                <w:p w14:paraId="75E27E24">
                  <w:pPr>
                    <w:pStyle w:val="34"/>
                    <w:spacing w:before="0" w:beforeLines="0" w:after="0" w:afterLines="0" w:line="240" w:lineRule="auto"/>
                    <w:rPr>
                      <w:rFonts w:ascii="Times New Roman" w:eastAsia="宋体"/>
                      <w:color w:val="auto"/>
                      <w:sz w:val="21"/>
                      <w:szCs w:val="21"/>
                    </w:rPr>
                  </w:pPr>
                  <w:r>
                    <w:rPr>
                      <w:rFonts w:hint="eastAsia" w:ascii="Times New Roman" w:eastAsia="宋体"/>
                      <w:color w:val="auto"/>
                      <w:sz w:val="21"/>
                      <w:szCs w:val="21"/>
                    </w:rPr>
                    <w:t>废水</w:t>
                  </w:r>
                </w:p>
              </w:tc>
              <w:tc>
                <w:tcPr>
                  <w:tcW w:w="455" w:type="pct"/>
                  <w:vAlign w:val="center"/>
                </w:tcPr>
                <w:p w14:paraId="05450F83">
                  <w:pPr>
                    <w:snapToGrid w:val="0"/>
                    <w:jc w:val="center"/>
                    <w:rPr>
                      <w:rFonts w:hint="default" w:eastAsia="宋体"/>
                      <w:color w:val="auto"/>
                      <w:sz w:val="21"/>
                      <w:szCs w:val="21"/>
                      <w:vertAlign w:val="baseline"/>
                      <w:lang w:val="en-US" w:eastAsia="zh-CN"/>
                    </w:rPr>
                  </w:pPr>
                  <w:r>
                    <w:rPr>
                      <w:rFonts w:hint="eastAsia"/>
                      <w:color w:val="auto"/>
                      <w:sz w:val="21"/>
                      <w:szCs w:val="21"/>
                      <w:vertAlign w:val="baseline"/>
                      <w:lang w:val="en-US" w:eastAsia="zh-CN"/>
                    </w:rPr>
                    <w:t>W2</w:t>
                  </w:r>
                </w:p>
              </w:tc>
              <w:tc>
                <w:tcPr>
                  <w:tcW w:w="647" w:type="pct"/>
                  <w:shd w:val="clear" w:color="auto" w:fill="auto"/>
                  <w:vAlign w:val="center"/>
                </w:tcPr>
                <w:p w14:paraId="77B3DC67">
                  <w:pPr>
                    <w:snapToGrid w:val="0"/>
                    <w:jc w:val="center"/>
                    <w:rPr>
                      <w:rFonts w:hint="default" w:ascii="Times New Roman" w:hAnsi="Times New Roman" w:eastAsia="宋体" w:cs="Times New Roman"/>
                      <w:color w:val="auto"/>
                      <w:kern w:val="2"/>
                      <w:sz w:val="21"/>
                      <w:szCs w:val="21"/>
                      <w:lang w:val="en-US" w:eastAsia="zh-CN" w:bidi="ar"/>
                    </w:rPr>
                  </w:pPr>
                  <w:r>
                    <w:rPr>
                      <w:rFonts w:hint="eastAsia" w:cs="Times New Roman"/>
                      <w:color w:val="auto"/>
                      <w:kern w:val="2"/>
                      <w:sz w:val="21"/>
                      <w:szCs w:val="21"/>
                      <w:lang w:val="en-US" w:eastAsia="zh-CN" w:bidi="ar"/>
                    </w:rPr>
                    <w:t>职工生活</w:t>
                  </w:r>
                </w:p>
              </w:tc>
              <w:tc>
                <w:tcPr>
                  <w:tcW w:w="896" w:type="pct"/>
                  <w:shd w:val="clear" w:color="auto" w:fill="auto"/>
                  <w:vAlign w:val="center"/>
                </w:tcPr>
                <w:p w14:paraId="2283A342">
                  <w:pPr>
                    <w:snapToGrid w:val="0"/>
                    <w:jc w:val="center"/>
                    <w:rPr>
                      <w:rFonts w:hint="eastAsia" w:ascii="Times New Roman" w:hAnsi="Times New Roman" w:eastAsia="宋体" w:cs="Times New Roman"/>
                      <w:color w:val="auto"/>
                      <w:kern w:val="2"/>
                      <w:sz w:val="21"/>
                      <w:szCs w:val="21"/>
                      <w:lang w:val="en-US" w:eastAsia="zh-CN" w:bidi="ar"/>
                    </w:rPr>
                  </w:pPr>
                  <w:r>
                    <w:rPr>
                      <w:rFonts w:hint="eastAsia"/>
                      <w:color w:val="auto"/>
                      <w:sz w:val="21"/>
                      <w:szCs w:val="21"/>
                    </w:rPr>
                    <w:t>生活污水</w:t>
                  </w:r>
                </w:p>
              </w:tc>
              <w:tc>
                <w:tcPr>
                  <w:tcW w:w="983" w:type="pct"/>
                  <w:shd w:val="clear" w:color="auto" w:fill="auto"/>
                  <w:vAlign w:val="center"/>
                </w:tcPr>
                <w:p w14:paraId="4CFE35EF">
                  <w:pPr>
                    <w:snapToGrid w:val="0"/>
                    <w:jc w:val="center"/>
                    <w:rPr>
                      <w:rFonts w:hint="default" w:ascii="Times New Roman" w:hAnsi="Times New Roman" w:eastAsia="宋体" w:cs="Times New Roman"/>
                      <w:color w:val="auto"/>
                      <w:kern w:val="2"/>
                      <w:sz w:val="21"/>
                      <w:szCs w:val="21"/>
                      <w:lang w:val="en-US" w:eastAsia="zh-CN" w:bidi="ar"/>
                    </w:rPr>
                  </w:pPr>
                  <w:r>
                    <w:rPr>
                      <w:color w:val="auto"/>
                      <w:sz w:val="21"/>
                      <w:szCs w:val="21"/>
                    </w:rPr>
                    <w:t>pH、COD、SS、NH</w:t>
                  </w:r>
                  <w:r>
                    <w:rPr>
                      <w:color w:val="auto"/>
                      <w:sz w:val="21"/>
                      <w:szCs w:val="21"/>
                      <w:vertAlign w:val="subscript"/>
                    </w:rPr>
                    <w:t>3</w:t>
                  </w:r>
                  <w:r>
                    <w:rPr>
                      <w:color w:val="auto"/>
                      <w:sz w:val="21"/>
                      <w:szCs w:val="21"/>
                    </w:rPr>
                    <w:t>-N、TP、TN</w:t>
                  </w:r>
                </w:p>
              </w:tc>
              <w:tc>
                <w:tcPr>
                  <w:tcW w:w="1620" w:type="pct"/>
                  <w:shd w:val="clear" w:color="auto" w:fill="auto"/>
                  <w:vAlign w:val="center"/>
                </w:tcPr>
                <w:p w14:paraId="2408F4F2">
                  <w:pPr>
                    <w:pStyle w:val="34"/>
                    <w:spacing w:before="0" w:beforeLines="0" w:after="0" w:afterLines="0" w:line="240" w:lineRule="auto"/>
                    <w:ind w:firstLine="0" w:firstLineChars="0"/>
                    <w:jc w:val="center"/>
                    <w:rPr>
                      <w:rFonts w:hint="default" w:ascii="Times New Roman" w:hAnsi="宋体" w:eastAsia="宋体" w:cs="Times New Roman"/>
                      <w:color w:val="auto"/>
                      <w:spacing w:val="-10"/>
                      <w:kern w:val="0"/>
                      <w:sz w:val="21"/>
                      <w:szCs w:val="21"/>
                      <w:lang w:val="en-US" w:eastAsia="zh-CN" w:bidi="ar"/>
                    </w:rPr>
                  </w:pPr>
                  <w:r>
                    <w:rPr>
                      <w:rFonts w:hint="default" w:ascii="Times New Roman" w:hAnsi="宋体" w:eastAsia="宋体" w:cs="Times New Roman"/>
                      <w:color w:val="auto"/>
                      <w:spacing w:val="-10"/>
                      <w:kern w:val="0"/>
                      <w:sz w:val="21"/>
                      <w:szCs w:val="21"/>
                      <w:lang w:val="en-US" w:eastAsia="zh-CN" w:bidi="ar"/>
                    </w:rPr>
                    <w:t>生活污水经化粪池处理后接管至鹰泰水务海安有限公司处理，处理后的达标尾水排入栟茶运河</w:t>
                  </w:r>
                </w:p>
              </w:tc>
            </w:tr>
            <w:tr w14:paraId="0363EE3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95" w:type="pct"/>
                  <w:vMerge w:val="continue"/>
                  <w:vAlign w:val="center"/>
                </w:tcPr>
                <w:p w14:paraId="2A205638">
                  <w:pPr>
                    <w:pStyle w:val="34"/>
                    <w:spacing w:before="0" w:beforeLines="0" w:after="0" w:afterLines="0" w:line="240" w:lineRule="auto"/>
                    <w:rPr>
                      <w:rFonts w:hint="eastAsia" w:ascii="Times New Roman" w:eastAsia="宋体"/>
                      <w:color w:val="auto"/>
                      <w:sz w:val="21"/>
                      <w:szCs w:val="21"/>
                    </w:rPr>
                  </w:pPr>
                  <w:bookmarkStart w:id="7" w:name="OLE_LINK55" w:colFirst="1" w:colLast="2"/>
                  <w:bookmarkStart w:id="8" w:name="OLE_LINK43" w:colFirst="2" w:colLast="2"/>
                </w:p>
              </w:tc>
              <w:tc>
                <w:tcPr>
                  <w:tcW w:w="455" w:type="pct"/>
                  <w:vAlign w:val="center"/>
                </w:tcPr>
                <w:p w14:paraId="3780EF8B">
                  <w:pPr>
                    <w:snapToGrid w:val="0"/>
                    <w:jc w:val="center"/>
                    <w:rPr>
                      <w:rFonts w:hint="eastAsia"/>
                      <w:color w:val="auto"/>
                      <w:sz w:val="21"/>
                      <w:szCs w:val="21"/>
                      <w:vertAlign w:val="baseline"/>
                      <w:lang w:val="en-US" w:eastAsia="zh-CN"/>
                    </w:rPr>
                  </w:pPr>
                  <w:r>
                    <w:rPr>
                      <w:rFonts w:hint="eastAsia"/>
                      <w:color w:val="auto"/>
                      <w:sz w:val="21"/>
                      <w:szCs w:val="21"/>
                    </w:rPr>
                    <w:t>W1</w:t>
                  </w:r>
                </w:p>
              </w:tc>
              <w:tc>
                <w:tcPr>
                  <w:tcW w:w="647" w:type="pct"/>
                  <w:shd w:val="clear" w:color="auto" w:fill="auto"/>
                  <w:vAlign w:val="center"/>
                </w:tcPr>
                <w:p w14:paraId="7CA9EE30">
                  <w:pPr>
                    <w:snapToGrid w:val="0"/>
                    <w:jc w:val="center"/>
                    <w:rPr>
                      <w:rFonts w:hint="eastAsia" w:cs="Times New Roman"/>
                      <w:color w:val="auto"/>
                      <w:kern w:val="2"/>
                      <w:sz w:val="21"/>
                      <w:szCs w:val="21"/>
                      <w:lang w:val="en-US" w:eastAsia="zh-CN" w:bidi="ar"/>
                    </w:rPr>
                  </w:pPr>
                  <w:r>
                    <w:rPr>
                      <w:rFonts w:hint="eastAsia" w:cs="Times New Roman"/>
                      <w:color w:val="auto"/>
                      <w:kern w:val="2"/>
                      <w:sz w:val="21"/>
                      <w:szCs w:val="21"/>
                      <w:lang w:val="en-US" w:eastAsia="zh-CN" w:bidi="ar"/>
                    </w:rPr>
                    <w:t>清洗</w:t>
                  </w:r>
                </w:p>
              </w:tc>
              <w:tc>
                <w:tcPr>
                  <w:tcW w:w="896" w:type="pct"/>
                  <w:shd w:val="clear" w:color="auto" w:fill="auto"/>
                  <w:vAlign w:val="center"/>
                </w:tcPr>
                <w:p w14:paraId="5A7A0B20">
                  <w:pPr>
                    <w:snapToGrid w:val="0"/>
                    <w:jc w:val="center"/>
                    <w:rPr>
                      <w:rFonts w:hint="eastAsia"/>
                      <w:color w:val="auto"/>
                      <w:sz w:val="21"/>
                      <w:szCs w:val="21"/>
                    </w:rPr>
                  </w:pPr>
                  <w:r>
                    <w:rPr>
                      <w:rFonts w:hint="eastAsia"/>
                      <w:color w:val="auto"/>
                      <w:sz w:val="21"/>
                      <w:szCs w:val="21"/>
                    </w:rPr>
                    <w:t>清洗废水</w:t>
                  </w:r>
                </w:p>
              </w:tc>
              <w:tc>
                <w:tcPr>
                  <w:tcW w:w="983" w:type="pct"/>
                  <w:shd w:val="clear" w:color="auto" w:fill="auto"/>
                  <w:vAlign w:val="center"/>
                </w:tcPr>
                <w:p w14:paraId="3BF85F1C">
                  <w:pPr>
                    <w:snapToGrid w:val="0"/>
                    <w:jc w:val="center"/>
                    <w:rPr>
                      <w:rFonts w:hint="default" w:eastAsia="宋体"/>
                      <w:color w:val="auto"/>
                      <w:sz w:val="21"/>
                      <w:szCs w:val="21"/>
                      <w:lang w:val="en-US" w:eastAsia="zh-CN"/>
                    </w:rPr>
                  </w:pPr>
                  <w:r>
                    <w:rPr>
                      <w:color w:val="auto"/>
                      <w:sz w:val="21"/>
                      <w:szCs w:val="21"/>
                    </w:rPr>
                    <w:t>pH、COD、SS、</w:t>
                  </w:r>
                  <w:r>
                    <w:rPr>
                      <w:rFonts w:hint="eastAsia"/>
                      <w:color w:val="auto"/>
                      <w:sz w:val="21"/>
                      <w:szCs w:val="21"/>
                      <w:lang w:val="en-US" w:eastAsia="zh-CN"/>
                    </w:rPr>
                    <w:t>TDS、石油类</w:t>
                  </w:r>
                </w:p>
              </w:tc>
              <w:tc>
                <w:tcPr>
                  <w:tcW w:w="1620" w:type="pct"/>
                  <w:shd w:val="clear" w:color="auto" w:fill="auto"/>
                  <w:vAlign w:val="center"/>
                </w:tcPr>
                <w:p w14:paraId="58CBBFC8">
                  <w:pPr>
                    <w:pStyle w:val="34"/>
                    <w:spacing w:before="0" w:beforeLines="0" w:after="0" w:afterLines="0" w:line="240" w:lineRule="auto"/>
                    <w:ind w:firstLine="0" w:firstLineChars="0"/>
                    <w:jc w:val="center"/>
                    <w:rPr>
                      <w:rFonts w:hint="default" w:ascii="Times New Roman" w:hAnsi="宋体" w:eastAsia="宋体" w:cs="Times New Roman"/>
                      <w:color w:val="auto"/>
                      <w:spacing w:val="-10"/>
                      <w:kern w:val="0"/>
                      <w:sz w:val="21"/>
                      <w:szCs w:val="21"/>
                      <w:lang w:val="en-US" w:eastAsia="zh-CN" w:bidi="ar"/>
                    </w:rPr>
                  </w:pPr>
                  <w:r>
                    <w:rPr>
                      <w:rFonts w:hint="eastAsia" w:ascii="Times New Roman" w:eastAsia="宋体" w:cs="Times New Roman"/>
                      <w:color w:val="auto"/>
                      <w:spacing w:val="-10"/>
                      <w:kern w:val="0"/>
                      <w:sz w:val="21"/>
                      <w:szCs w:val="21"/>
                      <w:lang w:val="en-US" w:eastAsia="zh-CN" w:bidi="ar"/>
                    </w:rPr>
                    <w:t>废水处理设施处理后回用</w:t>
                  </w:r>
                </w:p>
              </w:tc>
            </w:tr>
            <w:tr w14:paraId="0588784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95" w:type="pct"/>
                  <w:vMerge w:val="restart"/>
                  <w:vAlign w:val="center"/>
                </w:tcPr>
                <w:p w14:paraId="5F14614E">
                  <w:pPr>
                    <w:pStyle w:val="34"/>
                    <w:spacing w:before="0" w:beforeLines="0" w:after="0" w:afterLines="0" w:line="240" w:lineRule="auto"/>
                    <w:rPr>
                      <w:rFonts w:ascii="Times New Roman" w:eastAsia="宋体"/>
                      <w:color w:val="auto"/>
                      <w:sz w:val="21"/>
                      <w:szCs w:val="21"/>
                    </w:rPr>
                  </w:pPr>
                  <w:r>
                    <w:rPr>
                      <w:rFonts w:ascii="Times New Roman" w:eastAsia="宋体"/>
                      <w:color w:val="auto"/>
                      <w:sz w:val="21"/>
                      <w:szCs w:val="21"/>
                    </w:rPr>
                    <w:t>废气</w:t>
                  </w:r>
                </w:p>
              </w:tc>
              <w:tc>
                <w:tcPr>
                  <w:tcW w:w="455" w:type="pct"/>
                  <w:shd w:val="clear" w:color="auto" w:fill="auto"/>
                  <w:vAlign w:val="center"/>
                </w:tcPr>
                <w:p w14:paraId="234E96D7">
                  <w:pPr>
                    <w:pStyle w:val="34"/>
                    <w:spacing w:before="0" w:beforeLines="0" w:after="0" w:afterLines="0" w:line="240" w:lineRule="auto"/>
                    <w:ind w:firstLine="0" w:firstLineChars="0"/>
                    <w:rPr>
                      <w:rFonts w:hint="eastAsia" w:ascii="Times New Roman" w:hAnsi="宋体" w:eastAsia="宋体" w:cs="Times New Roman"/>
                      <w:color w:val="auto"/>
                      <w:spacing w:val="-10"/>
                      <w:kern w:val="0"/>
                      <w:sz w:val="21"/>
                      <w:szCs w:val="21"/>
                      <w:lang w:val="en-US" w:eastAsia="zh-CN" w:bidi="ar"/>
                    </w:rPr>
                  </w:pPr>
                  <w:r>
                    <w:rPr>
                      <w:rFonts w:hint="default" w:ascii="Times New Roman" w:hAnsi="宋体" w:eastAsia="宋体" w:cs="Times New Roman"/>
                      <w:color w:val="auto"/>
                      <w:spacing w:val="-10"/>
                      <w:kern w:val="0"/>
                      <w:sz w:val="21"/>
                      <w:szCs w:val="21"/>
                      <w:lang w:val="en-US" w:eastAsia="zh-CN" w:bidi="ar-SA"/>
                    </w:rPr>
                    <w:t>G</w:t>
                  </w:r>
                  <w:r>
                    <w:rPr>
                      <w:rFonts w:hint="eastAsia" w:ascii="Times New Roman" w:eastAsia="宋体" w:cs="Times New Roman"/>
                      <w:color w:val="auto"/>
                      <w:spacing w:val="-10"/>
                      <w:kern w:val="0"/>
                      <w:sz w:val="21"/>
                      <w:szCs w:val="21"/>
                      <w:lang w:val="en-US" w:eastAsia="zh-CN" w:bidi="ar-SA"/>
                    </w:rPr>
                    <w:t>4</w:t>
                  </w:r>
                </w:p>
              </w:tc>
              <w:tc>
                <w:tcPr>
                  <w:tcW w:w="647" w:type="pct"/>
                  <w:shd w:val="clear" w:color="auto" w:fill="auto"/>
                  <w:vAlign w:val="center"/>
                </w:tcPr>
                <w:p w14:paraId="57CA3D8B">
                  <w:pPr>
                    <w:pStyle w:val="34"/>
                    <w:spacing w:before="0" w:beforeLines="0" w:after="0" w:afterLines="0" w:line="240" w:lineRule="auto"/>
                    <w:ind w:firstLine="0" w:firstLineChars="0"/>
                    <w:rPr>
                      <w:rFonts w:hint="default" w:ascii="Times New Roman" w:hAnsi="宋体" w:eastAsia="宋体" w:cs="Times New Roman"/>
                      <w:color w:val="auto"/>
                      <w:spacing w:val="-10"/>
                      <w:kern w:val="0"/>
                      <w:sz w:val="21"/>
                      <w:szCs w:val="21"/>
                      <w:lang w:val="en-US" w:eastAsia="zh-CN" w:bidi="ar-SA"/>
                    </w:rPr>
                  </w:pPr>
                  <w:r>
                    <w:rPr>
                      <w:rFonts w:hint="default" w:ascii="Times New Roman" w:eastAsia="宋体" w:cs="Times New Roman"/>
                      <w:color w:val="auto"/>
                      <w:spacing w:val="-10"/>
                      <w:kern w:val="0"/>
                      <w:sz w:val="21"/>
                      <w:szCs w:val="21"/>
                      <w:lang w:val="en-US" w:eastAsia="zh-CN" w:bidi="ar-SA"/>
                    </w:rPr>
                    <w:t>抛光测试</w:t>
                  </w:r>
                </w:p>
              </w:tc>
              <w:tc>
                <w:tcPr>
                  <w:tcW w:w="896" w:type="pct"/>
                  <w:shd w:val="clear" w:color="auto" w:fill="auto"/>
                  <w:vAlign w:val="center"/>
                </w:tcPr>
                <w:p w14:paraId="4ADB2790">
                  <w:pPr>
                    <w:pStyle w:val="34"/>
                    <w:spacing w:before="0" w:beforeLines="0" w:after="0" w:afterLines="0" w:line="240" w:lineRule="auto"/>
                    <w:ind w:firstLine="0" w:firstLineChars="0"/>
                    <w:rPr>
                      <w:rFonts w:hint="default" w:ascii="Times New Roman" w:hAnsi="宋体" w:eastAsia="宋体" w:cs="Times New Roman"/>
                      <w:color w:val="auto"/>
                      <w:spacing w:val="-10"/>
                      <w:kern w:val="0"/>
                      <w:sz w:val="21"/>
                      <w:szCs w:val="21"/>
                      <w:lang w:val="en-US" w:eastAsia="zh-CN" w:bidi="ar-SA"/>
                    </w:rPr>
                  </w:pPr>
                  <w:r>
                    <w:rPr>
                      <w:rFonts w:hint="default" w:ascii="Times New Roman" w:hAnsi="宋体" w:eastAsia="宋体" w:cs="Times New Roman"/>
                      <w:color w:val="auto"/>
                      <w:spacing w:val="-10"/>
                      <w:kern w:val="0"/>
                      <w:sz w:val="21"/>
                      <w:szCs w:val="21"/>
                      <w:lang w:val="en-US" w:eastAsia="zh-CN" w:bidi="ar-SA"/>
                    </w:rPr>
                    <w:t>制粒粉尘</w:t>
                  </w:r>
                </w:p>
              </w:tc>
              <w:tc>
                <w:tcPr>
                  <w:tcW w:w="983" w:type="pct"/>
                  <w:shd w:val="clear" w:color="auto" w:fill="auto"/>
                  <w:vAlign w:val="center"/>
                </w:tcPr>
                <w:p w14:paraId="2D420AC9">
                  <w:pPr>
                    <w:jc w:val="center"/>
                    <w:rPr>
                      <w:rFonts w:hint="default" w:ascii="Times New Roman" w:hAnsi="宋体" w:eastAsia="宋体" w:cs="Times New Roman"/>
                      <w:color w:val="auto"/>
                      <w:kern w:val="21"/>
                      <w:sz w:val="21"/>
                      <w:szCs w:val="21"/>
                      <w:lang w:val="en-US" w:eastAsia="zh-CN" w:bidi="ar"/>
                    </w:rPr>
                  </w:pPr>
                  <w:r>
                    <w:rPr>
                      <w:rFonts w:hint="eastAsia" w:hAnsi="宋体"/>
                      <w:color w:val="auto"/>
                      <w:kern w:val="21"/>
                      <w:sz w:val="21"/>
                      <w:szCs w:val="21"/>
                      <w:lang w:val="en-US" w:eastAsia="zh-CN"/>
                    </w:rPr>
                    <w:t>颗粒物</w:t>
                  </w:r>
                </w:p>
              </w:tc>
              <w:tc>
                <w:tcPr>
                  <w:tcW w:w="1620" w:type="pct"/>
                  <w:shd w:val="clear" w:color="auto" w:fill="auto"/>
                  <w:vAlign w:val="center"/>
                </w:tcPr>
                <w:p w14:paraId="64A98112">
                  <w:pPr>
                    <w:pStyle w:val="34"/>
                    <w:spacing w:before="0" w:beforeLines="0" w:after="0" w:afterLines="0" w:line="240" w:lineRule="auto"/>
                    <w:ind w:firstLine="0" w:firstLineChars="0"/>
                    <w:rPr>
                      <w:rFonts w:hint="eastAsia" w:ascii="Times New Roman" w:hAnsi="宋体" w:eastAsia="宋体" w:cs="Times New Roman"/>
                      <w:color w:val="auto"/>
                      <w:spacing w:val="0"/>
                      <w:kern w:val="21"/>
                      <w:sz w:val="21"/>
                      <w:szCs w:val="21"/>
                      <w:lang w:val="en-US" w:eastAsia="zh-CN" w:bidi="ar"/>
                    </w:rPr>
                  </w:pPr>
                  <w:r>
                    <w:rPr>
                      <w:rFonts w:hint="eastAsia" w:ascii="Times New Roman" w:eastAsia="宋体"/>
                      <w:color w:val="auto"/>
                      <w:spacing w:val="0"/>
                      <w:kern w:val="21"/>
                      <w:sz w:val="21"/>
                      <w:szCs w:val="21"/>
                    </w:rPr>
                    <w:t>布袋除尘器</w:t>
                  </w:r>
                  <w:r>
                    <w:rPr>
                      <w:rFonts w:hint="eastAsia" w:ascii="Times New Roman" w:eastAsia="宋体"/>
                      <w:color w:val="auto"/>
                      <w:spacing w:val="0"/>
                      <w:kern w:val="21"/>
                      <w:sz w:val="21"/>
                      <w:szCs w:val="21"/>
                      <w:lang w:val="en-US" w:eastAsia="zh-CN"/>
                    </w:rPr>
                    <w:t>+15m高排气筒排放（DA001）</w:t>
                  </w:r>
                </w:p>
              </w:tc>
            </w:tr>
            <w:tr w14:paraId="28C7596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95" w:type="pct"/>
                  <w:vMerge w:val="continue"/>
                  <w:vAlign w:val="center"/>
                </w:tcPr>
                <w:p w14:paraId="53B3F5A9">
                  <w:pPr>
                    <w:pStyle w:val="34"/>
                    <w:spacing w:before="0" w:beforeLines="0" w:after="0" w:afterLines="0" w:line="240" w:lineRule="auto"/>
                    <w:rPr>
                      <w:rFonts w:ascii="Times New Roman" w:eastAsia="宋体"/>
                      <w:color w:val="auto"/>
                      <w:sz w:val="21"/>
                      <w:szCs w:val="21"/>
                    </w:rPr>
                  </w:pPr>
                  <w:bookmarkStart w:id="9" w:name="OLE_LINK18" w:colFirst="2" w:colLast="2"/>
                </w:p>
              </w:tc>
              <w:tc>
                <w:tcPr>
                  <w:tcW w:w="455" w:type="pct"/>
                  <w:shd w:val="clear" w:color="auto" w:fill="auto"/>
                  <w:vAlign w:val="center"/>
                </w:tcPr>
                <w:p w14:paraId="083A34A8">
                  <w:pPr>
                    <w:pStyle w:val="34"/>
                    <w:spacing w:before="0" w:beforeLines="0" w:after="0" w:afterLines="0" w:line="240" w:lineRule="auto"/>
                    <w:ind w:firstLine="0" w:firstLineChars="0"/>
                    <w:rPr>
                      <w:rFonts w:hint="eastAsia" w:ascii="Times New Roman" w:eastAsia="宋体"/>
                      <w:color w:val="auto"/>
                      <w:sz w:val="21"/>
                      <w:szCs w:val="21"/>
                      <w:lang w:eastAsia="zh-CN"/>
                    </w:rPr>
                  </w:pPr>
                  <w:r>
                    <w:rPr>
                      <w:rFonts w:hint="default" w:ascii="Times New Roman" w:eastAsia="宋体" w:cs="Times New Roman"/>
                      <w:color w:val="auto"/>
                      <w:spacing w:val="-10"/>
                      <w:kern w:val="0"/>
                      <w:sz w:val="21"/>
                      <w:szCs w:val="21"/>
                      <w:lang w:val="en-US" w:eastAsia="zh-CN" w:bidi="ar-SA"/>
                    </w:rPr>
                    <w:t>G</w:t>
                  </w:r>
                  <w:r>
                    <w:rPr>
                      <w:rFonts w:hint="eastAsia" w:ascii="Times New Roman" w:eastAsia="宋体" w:cs="Times New Roman"/>
                      <w:color w:val="auto"/>
                      <w:spacing w:val="-10"/>
                      <w:kern w:val="0"/>
                      <w:sz w:val="21"/>
                      <w:szCs w:val="21"/>
                      <w:lang w:val="en-US" w:eastAsia="zh-CN" w:bidi="ar-SA"/>
                    </w:rPr>
                    <w:t>3</w:t>
                  </w:r>
                </w:p>
              </w:tc>
              <w:tc>
                <w:tcPr>
                  <w:tcW w:w="647" w:type="pct"/>
                  <w:shd w:val="clear" w:color="auto" w:fill="auto"/>
                  <w:vAlign w:val="center"/>
                </w:tcPr>
                <w:p w14:paraId="72795E48">
                  <w:pPr>
                    <w:pStyle w:val="34"/>
                    <w:spacing w:before="0" w:beforeLines="0" w:after="0" w:afterLines="0" w:line="240" w:lineRule="auto"/>
                    <w:ind w:firstLine="0" w:firstLineChars="0"/>
                    <w:rPr>
                      <w:rFonts w:hint="default" w:ascii="Times New Roman" w:eastAsia="宋体" w:cs="Times New Roman"/>
                      <w:color w:val="auto"/>
                      <w:spacing w:val="-10"/>
                      <w:kern w:val="0"/>
                      <w:sz w:val="21"/>
                      <w:szCs w:val="21"/>
                      <w:lang w:val="en-US" w:eastAsia="zh-CN" w:bidi="ar-SA"/>
                    </w:rPr>
                  </w:pPr>
                  <w:r>
                    <w:rPr>
                      <w:rFonts w:hint="default" w:ascii="Times New Roman" w:eastAsia="宋体" w:cs="Times New Roman"/>
                      <w:color w:val="auto"/>
                      <w:spacing w:val="-10"/>
                      <w:kern w:val="0"/>
                      <w:sz w:val="21"/>
                      <w:szCs w:val="21"/>
                      <w:lang w:val="en-US" w:eastAsia="zh-CN" w:bidi="ar-SA"/>
                    </w:rPr>
                    <w:t>抛光测试</w:t>
                  </w:r>
                </w:p>
              </w:tc>
              <w:tc>
                <w:tcPr>
                  <w:tcW w:w="896" w:type="pct"/>
                  <w:shd w:val="clear" w:color="auto" w:fill="auto"/>
                  <w:vAlign w:val="center"/>
                </w:tcPr>
                <w:p w14:paraId="7AF4D8BD">
                  <w:pPr>
                    <w:pStyle w:val="34"/>
                    <w:spacing w:before="0" w:beforeLines="0" w:after="0" w:afterLines="0" w:line="240" w:lineRule="auto"/>
                    <w:ind w:firstLine="0" w:firstLineChars="0"/>
                    <w:rPr>
                      <w:rFonts w:hint="default" w:ascii="Times New Roman" w:eastAsia="宋体" w:cs="Times New Roman"/>
                      <w:color w:val="auto"/>
                      <w:spacing w:val="-10"/>
                      <w:kern w:val="0"/>
                      <w:sz w:val="21"/>
                      <w:szCs w:val="21"/>
                      <w:lang w:val="en-US" w:eastAsia="zh-CN" w:bidi="ar-SA"/>
                    </w:rPr>
                  </w:pPr>
                  <w:r>
                    <w:rPr>
                      <w:rFonts w:hint="default" w:ascii="Times New Roman" w:eastAsia="宋体" w:cs="Times New Roman"/>
                      <w:color w:val="auto"/>
                      <w:spacing w:val="-10"/>
                      <w:kern w:val="0"/>
                      <w:sz w:val="21"/>
                      <w:szCs w:val="21"/>
                      <w:lang w:val="en-US" w:eastAsia="zh-CN" w:bidi="ar-SA"/>
                    </w:rPr>
                    <w:t>配料粉尘</w:t>
                  </w:r>
                </w:p>
              </w:tc>
              <w:tc>
                <w:tcPr>
                  <w:tcW w:w="983" w:type="pct"/>
                  <w:shd w:val="clear" w:color="auto" w:fill="auto"/>
                  <w:vAlign w:val="center"/>
                </w:tcPr>
                <w:p w14:paraId="078226CD">
                  <w:pPr>
                    <w:jc w:val="center"/>
                    <w:rPr>
                      <w:rFonts w:hint="default" w:hAnsi="宋体"/>
                      <w:color w:val="auto"/>
                      <w:kern w:val="21"/>
                      <w:sz w:val="21"/>
                      <w:szCs w:val="21"/>
                      <w:lang w:val="en-US" w:eastAsia="zh-CN"/>
                    </w:rPr>
                  </w:pPr>
                  <w:r>
                    <w:rPr>
                      <w:rFonts w:hint="eastAsia" w:hAnsi="宋体"/>
                      <w:color w:val="auto"/>
                      <w:kern w:val="21"/>
                      <w:sz w:val="21"/>
                      <w:szCs w:val="21"/>
                      <w:lang w:val="en-US" w:eastAsia="zh-CN"/>
                    </w:rPr>
                    <w:t>颗粒物</w:t>
                  </w:r>
                </w:p>
              </w:tc>
              <w:tc>
                <w:tcPr>
                  <w:tcW w:w="1620" w:type="pct"/>
                  <w:shd w:val="clear" w:color="auto" w:fill="auto"/>
                  <w:vAlign w:val="center"/>
                </w:tcPr>
                <w:p w14:paraId="3499B594">
                  <w:pPr>
                    <w:pStyle w:val="34"/>
                    <w:spacing w:before="0" w:beforeLines="0" w:after="0" w:afterLines="0" w:line="240" w:lineRule="auto"/>
                    <w:ind w:firstLine="0" w:firstLineChars="0"/>
                    <w:rPr>
                      <w:rFonts w:hint="default" w:ascii="Times New Roman" w:eastAsia="宋体"/>
                      <w:color w:val="auto"/>
                      <w:spacing w:val="0"/>
                      <w:kern w:val="21"/>
                      <w:sz w:val="21"/>
                      <w:szCs w:val="21"/>
                      <w:lang w:val="en-US"/>
                    </w:rPr>
                  </w:pPr>
                  <w:r>
                    <w:rPr>
                      <w:rFonts w:hint="default" w:ascii="Times New Roman" w:eastAsia="宋体"/>
                      <w:color w:val="auto"/>
                      <w:spacing w:val="0"/>
                      <w:kern w:val="21"/>
                      <w:sz w:val="21"/>
                      <w:szCs w:val="21"/>
                      <w:lang w:val="en-US" w:eastAsia="zh-CN"/>
                    </w:rPr>
                    <w:t>移动式</w:t>
                  </w:r>
                  <w:r>
                    <w:rPr>
                      <w:rFonts w:hint="eastAsia" w:ascii="Times New Roman" w:eastAsia="宋体"/>
                      <w:color w:val="auto"/>
                      <w:spacing w:val="0"/>
                      <w:kern w:val="21"/>
                      <w:sz w:val="21"/>
                      <w:szCs w:val="21"/>
                      <w:lang w:val="en-US" w:eastAsia="zh-CN"/>
                    </w:rPr>
                    <w:t>布袋除尘器处理后无组织达标排放</w:t>
                  </w:r>
                </w:p>
              </w:tc>
            </w:tr>
            <w:tr w14:paraId="65FD855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95" w:type="pct"/>
                  <w:vMerge w:val="continue"/>
                  <w:vAlign w:val="center"/>
                </w:tcPr>
                <w:p w14:paraId="00088CA0">
                  <w:pPr>
                    <w:pStyle w:val="34"/>
                    <w:spacing w:before="0" w:beforeLines="0" w:after="0" w:afterLines="0" w:line="240" w:lineRule="auto"/>
                    <w:rPr>
                      <w:rFonts w:ascii="Times New Roman" w:eastAsia="宋体"/>
                      <w:color w:val="auto"/>
                      <w:sz w:val="21"/>
                      <w:szCs w:val="21"/>
                    </w:rPr>
                  </w:pPr>
                </w:p>
              </w:tc>
              <w:tc>
                <w:tcPr>
                  <w:tcW w:w="455" w:type="pct"/>
                  <w:shd w:val="clear" w:color="auto" w:fill="auto"/>
                  <w:vAlign w:val="center"/>
                </w:tcPr>
                <w:p w14:paraId="5A92980A">
                  <w:pPr>
                    <w:pStyle w:val="34"/>
                    <w:spacing w:before="0" w:beforeLines="0" w:after="0" w:afterLines="0" w:line="240" w:lineRule="auto"/>
                    <w:ind w:firstLine="0" w:firstLineChars="0"/>
                    <w:rPr>
                      <w:rFonts w:hint="eastAsia" w:ascii="Times New Roman" w:hAnsi="宋体" w:eastAsia="宋体" w:cs="Times New Roman"/>
                      <w:color w:val="auto"/>
                      <w:spacing w:val="-10"/>
                      <w:kern w:val="0"/>
                      <w:sz w:val="21"/>
                      <w:szCs w:val="21"/>
                      <w:vertAlign w:val="baseline"/>
                      <w:lang w:val="en-US" w:eastAsia="zh-CN" w:bidi="ar-SA"/>
                    </w:rPr>
                  </w:pPr>
                  <w:r>
                    <w:rPr>
                      <w:rFonts w:hint="eastAsia" w:ascii="Times New Roman" w:hAnsi="宋体" w:eastAsia="宋体" w:cs="Times New Roman"/>
                      <w:color w:val="auto"/>
                      <w:spacing w:val="-10"/>
                      <w:kern w:val="0"/>
                      <w:sz w:val="21"/>
                      <w:szCs w:val="21"/>
                      <w:lang w:val="en-US" w:eastAsia="zh-CN" w:bidi="ar"/>
                    </w:rPr>
                    <w:t>G1</w:t>
                  </w:r>
                  <w:r>
                    <w:rPr>
                      <w:rFonts w:hint="eastAsia" w:ascii="Times New Roman" w:eastAsia="宋体" w:cs="Times New Roman"/>
                      <w:color w:val="auto"/>
                      <w:spacing w:val="-10"/>
                      <w:kern w:val="0"/>
                      <w:sz w:val="21"/>
                      <w:szCs w:val="21"/>
                      <w:lang w:val="en-US" w:eastAsia="zh-CN" w:bidi="ar"/>
                    </w:rPr>
                    <w:t>、</w:t>
                  </w:r>
                  <w:r>
                    <w:rPr>
                      <w:rFonts w:hint="default" w:ascii="Times New Roman" w:eastAsia="宋体" w:cs="Times New Roman"/>
                      <w:color w:val="auto"/>
                      <w:spacing w:val="-10"/>
                      <w:kern w:val="0"/>
                      <w:sz w:val="21"/>
                      <w:szCs w:val="21"/>
                      <w:lang w:val="en-US" w:eastAsia="zh-CN" w:bidi="ar-SA"/>
                    </w:rPr>
                    <w:t>G2</w:t>
                  </w:r>
                </w:p>
              </w:tc>
              <w:tc>
                <w:tcPr>
                  <w:tcW w:w="647" w:type="pct"/>
                  <w:shd w:val="clear" w:color="auto" w:fill="auto"/>
                  <w:vAlign w:val="center"/>
                </w:tcPr>
                <w:p w14:paraId="2E32F425">
                  <w:pPr>
                    <w:pStyle w:val="34"/>
                    <w:spacing w:before="0" w:beforeLines="0" w:after="0" w:afterLines="0" w:line="240" w:lineRule="auto"/>
                    <w:ind w:firstLine="0" w:firstLineChars="0"/>
                    <w:rPr>
                      <w:rFonts w:hint="eastAsia" w:ascii="Times New Roman" w:eastAsia="宋体" w:cs="Times New Roman"/>
                      <w:color w:val="auto"/>
                      <w:spacing w:val="-10"/>
                      <w:kern w:val="0"/>
                      <w:sz w:val="21"/>
                      <w:szCs w:val="21"/>
                      <w:lang w:val="en-US" w:eastAsia="zh-CN" w:bidi="ar-SA"/>
                    </w:rPr>
                  </w:pPr>
                  <w:r>
                    <w:rPr>
                      <w:rFonts w:hint="eastAsia" w:ascii="Times New Roman" w:eastAsia="宋体" w:cs="Times New Roman"/>
                      <w:color w:val="auto"/>
                      <w:spacing w:val="-10"/>
                      <w:kern w:val="0"/>
                      <w:sz w:val="21"/>
                      <w:szCs w:val="21"/>
                      <w:lang w:val="en-US" w:eastAsia="zh-CN" w:bidi="ar-SA"/>
                    </w:rPr>
                    <w:t>CNC加工、精加工</w:t>
                  </w:r>
                </w:p>
              </w:tc>
              <w:tc>
                <w:tcPr>
                  <w:tcW w:w="896" w:type="pct"/>
                  <w:shd w:val="clear" w:color="auto" w:fill="auto"/>
                  <w:vAlign w:val="center"/>
                </w:tcPr>
                <w:p w14:paraId="188BC86C">
                  <w:pPr>
                    <w:pStyle w:val="34"/>
                    <w:spacing w:before="24" w:after="24"/>
                    <w:ind w:firstLine="0" w:firstLineChars="0"/>
                    <w:rPr>
                      <w:rFonts w:hint="eastAsia" w:ascii="Times New Roman" w:hAnsi="宋体" w:eastAsia="宋体" w:cs="Times New Roman"/>
                      <w:color w:val="auto"/>
                      <w:spacing w:val="-10"/>
                      <w:kern w:val="0"/>
                      <w:sz w:val="21"/>
                      <w:szCs w:val="21"/>
                      <w:lang w:val="en-US" w:eastAsia="zh-CN" w:bidi="ar"/>
                    </w:rPr>
                  </w:pPr>
                  <w:r>
                    <w:rPr>
                      <w:rFonts w:hint="eastAsia" w:ascii="Times New Roman" w:hAnsi="宋体" w:eastAsia="宋体" w:cs="Times New Roman"/>
                      <w:color w:val="auto"/>
                      <w:spacing w:val="-10"/>
                      <w:kern w:val="0"/>
                      <w:sz w:val="21"/>
                      <w:szCs w:val="21"/>
                      <w:lang w:val="en-US" w:eastAsia="zh-CN" w:bidi="ar"/>
                    </w:rPr>
                    <w:t>切削液废气</w:t>
                  </w:r>
                </w:p>
              </w:tc>
              <w:tc>
                <w:tcPr>
                  <w:tcW w:w="983" w:type="pct"/>
                  <w:shd w:val="clear" w:color="auto" w:fill="auto"/>
                  <w:vAlign w:val="center"/>
                </w:tcPr>
                <w:p w14:paraId="137CE6DC">
                  <w:pPr>
                    <w:jc w:val="center"/>
                    <w:rPr>
                      <w:rFonts w:hint="eastAsia" w:ascii="Times New Roman" w:hAnsi="Times New Roman" w:eastAsia="宋体" w:cs="Times New Roman"/>
                      <w:color w:val="auto"/>
                      <w:kern w:val="2"/>
                      <w:sz w:val="21"/>
                      <w:szCs w:val="21"/>
                      <w:lang w:val="en-US" w:eastAsia="zh-CN" w:bidi="ar"/>
                    </w:rPr>
                  </w:pPr>
                  <w:r>
                    <w:rPr>
                      <w:rFonts w:hint="eastAsia"/>
                      <w:color w:val="auto"/>
                      <w:sz w:val="21"/>
                      <w:szCs w:val="21"/>
                    </w:rPr>
                    <w:t>非甲烷总烃</w:t>
                  </w:r>
                </w:p>
              </w:tc>
              <w:tc>
                <w:tcPr>
                  <w:tcW w:w="1620" w:type="pct"/>
                  <w:vMerge w:val="restart"/>
                  <w:shd w:val="clear" w:color="auto" w:fill="auto"/>
                  <w:vAlign w:val="center"/>
                </w:tcPr>
                <w:p w14:paraId="43B67248">
                  <w:pPr>
                    <w:pStyle w:val="34"/>
                    <w:spacing w:before="24" w:after="24"/>
                    <w:ind w:firstLine="0" w:firstLineChars="0"/>
                    <w:rPr>
                      <w:rFonts w:hint="default" w:ascii="Times New Roman" w:hAnsi="宋体" w:eastAsia="宋体" w:cs="Times New Roman"/>
                      <w:color w:val="auto"/>
                      <w:spacing w:val="-10"/>
                      <w:kern w:val="0"/>
                      <w:sz w:val="21"/>
                      <w:szCs w:val="21"/>
                      <w:lang w:val="en-US" w:eastAsia="zh-CN" w:bidi="ar"/>
                    </w:rPr>
                  </w:pPr>
                  <w:r>
                    <w:rPr>
                      <w:rFonts w:hint="eastAsia" w:ascii="Times New Roman" w:hAnsi="Times New Roman" w:eastAsia="宋体" w:cs="Times New Roman"/>
                      <w:color w:val="auto"/>
                      <w:kern w:val="2"/>
                      <w:sz w:val="21"/>
                      <w:szCs w:val="21"/>
                      <w:lang w:val="en-US" w:eastAsia="zh-CN" w:bidi="ar-SA"/>
                    </w:rPr>
                    <w:t>无组织排放</w:t>
                  </w:r>
                </w:p>
              </w:tc>
            </w:tr>
            <w:tr w14:paraId="19C3B1E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95" w:type="pct"/>
                  <w:vMerge w:val="continue"/>
                  <w:vAlign w:val="center"/>
                </w:tcPr>
                <w:p w14:paraId="27B101F6">
                  <w:pPr>
                    <w:pStyle w:val="34"/>
                    <w:spacing w:before="0" w:beforeLines="0" w:after="0" w:afterLines="0" w:line="240" w:lineRule="auto"/>
                    <w:rPr>
                      <w:rFonts w:ascii="Times New Roman" w:eastAsia="宋体"/>
                      <w:color w:val="auto"/>
                      <w:sz w:val="21"/>
                      <w:szCs w:val="21"/>
                    </w:rPr>
                  </w:pPr>
                </w:p>
              </w:tc>
              <w:tc>
                <w:tcPr>
                  <w:tcW w:w="455" w:type="pct"/>
                  <w:shd w:val="clear" w:color="auto" w:fill="auto"/>
                  <w:vAlign w:val="center"/>
                </w:tcPr>
                <w:p w14:paraId="0198013A">
                  <w:pPr>
                    <w:pStyle w:val="34"/>
                    <w:spacing w:before="0" w:beforeLines="0" w:after="0" w:afterLines="0" w:line="240" w:lineRule="auto"/>
                    <w:ind w:firstLine="0" w:firstLineChars="0"/>
                    <w:rPr>
                      <w:rFonts w:hint="eastAsia" w:ascii="Times New Roman" w:hAnsi="宋体" w:eastAsia="宋体" w:cs="Times New Roman"/>
                      <w:color w:val="auto"/>
                      <w:spacing w:val="-10"/>
                      <w:kern w:val="0"/>
                      <w:sz w:val="21"/>
                      <w:szCs w:val="21"/>
                      <w:lang w:val="en-US" w:eastAsia="zh-CN" w:bidi="ar"/>
                    </w:rPr>
                  </w:pPr>
                  <w:r>
                    <w:rPr>
                      <w:rFonts w:hint="eastAsia" w:ascii="Times New Roman" w:hAnsi="宋体" w:eastAsia="宋体" w:cs="Times New Roman"/>
                      <w:color w:val="auto"/>
                      <w:spacing w:val="-10"/>
                      <w:kern w:val="0"/>
                      <w:sz w:val="21"/>
                      <w:szCs w:val="21"/>
                      <w:lang w:val="en-US" w:eastAsia="zh-CN" w:bidi="ar"/>
                    </w:rPr>
                    <w:t>G</w:t>
                  </w:r>
                  <w:r>
                    <w:rPr>
                      <w:rFonts w:hint="eastAsia" w:ascii="Times New Roman" w:eastAsia="宋体" w:cs="Times New Roman"/>
                      <w:color w:val="auto"/>
                      <w:spacing w:val="-10"/>
                      <w:kern w:val="0"/>
                      <w:sz w:val="21"/>
                      <w:szCs w:val="21"/>
                      <w:lang w:val="en-US" w:eastAsia="zh-CN" w:bidi="ar"/>
                    </w:rPr>
                    <w:t>5</w:t>
                  </w:r>
                </w:p>
              </w:tc>
              <w:tc>
                <w:tcPr>
                  <w:tcW w:w="647" w:type="pct"/>
                  <w:shd w:val="clear" w:color="auto" w:fill="auto"/>
                  <w:vAlign w:val="center"/>
                </w:tcPr>
                <w:p w14:paraId="7DD04CE2">
                  <w:pPr>
                    <w:pStyle w:val="34"/>
                    <w:spacing w:before="0" w:beforeLines="0" w:after="0" w:afterLines="0" w:line="240" w:lineRule="auto"/>
                    <w:ind w:firstLine="0" w:firstLineChars="0"/>
                    <w:rPr>
                      <w:rFonts w:hint="eastAsia" w:ascii="Times New Roman" w:hAnsi="宋体" w:eastAsia="宋体" w:cs="Times New Roman"/>
                      <w:color w:val="auto"/>
                      <w:spacing w:val="-10"/>
                      <w:kern w:val="0"/>
                      <w:sz w:val="21"/>
                      <w:szCs w:val="21"/>
                      <w:lang w:val="en-US" w:eastAsia="zh-CN" w:bidi="ar-SA"/>
                    </w:rPr>
                  </w:pPr>
                  <w:r>
                    <w:rPr>
                      <w:rFonts w:hint="eastAsia" w:ascii="Times New Roman" w:eastAsia="宋体" w:cs="Times New Roman"/>
                      <w:color w:val="auto"/>
                      <w:spacing w:val="-10"/>
                      <w:kern w:val="0"/>
                      <w:sz w:val="21"/>
                      <w:szCs w:val="21"/>
                      <w:lang w:val="en-US" w:eastAsia="zh-CN" w:bidi="ar-SA"/>
                    </w:rPr>
                    <w:t>危废贮存</w:t>
                  </w:r>
                </w:p>
              </w:tc>
              <w:tc>
                <w:tcPr>
                  <w:tcW w:w="896" w:type="pct"/>
                  <w:shd w:val="clear" w:color="auto" w:fill="auto"/>
                  <w:vAlign w:val="center"/>
                </w:tcPr>
                <w:p w14:paraId="5C45DAC4">
                  <w:pPr>
                    <w:pStyle w:val="34"/>
                    <w:spacing w:before="0" w:beforeLines="0" w:after="0" w:afterLines="0" w:line="240" w:lineRule="auto"/>
                    <w:ind w:firstLine="0" w:firstLineChars="0"/>
                    <w:rPr>
                      <w:rFonts w:hint="eastAsia" w:ascii="Times New Roman" w:hAnsi="宋体" w:eastAsia="宋体" w:cs="Times New Roman"/>
                      <w:color w:val="auto"/>
                      <w:spacing w:val="-10"/>
                      <w:kern w:val="0"/>
                      <w:sz w:val="21"/>
                      <w:szCs w:val="21"/>
                      <w:lang w:val="en-US" w:eastAsia="zh-CN" w:bidi="ar-SA"/>
                    </w:rPr>
                  </w:pPr>
                  <w:r>
                    <w:rPr>
                      <w:rFonts w:hint="eastAsia" w:ascii="Times New Roman" w:eastAsia="宋体" w:cs="Times New Roman"/>
                      <w:color w:val="auto"/>
                      <w:spacing w:val="-10"/>
                      <w:kern w:val="0"/>
                      <w:sz w:val="21"/>
                      <w:szCs w:val="21"/>
                      <w:lang w:val="en-US" w:eastAsia="zh-CN" w:bidi="ar-SA"/>
                    </w:rPr>
                    <w:t>危废贮存废气</w:t>
                  </w:r>
                </w:p>
              </w:tc>
              <w:tc>
                <w:tcPr>
                  <w:tcW w:w="983" w:type="pct"/>
                  <w:shd w:val="clear" w:color="auto" w:fill="auto"/>
                  <w:vAlign w:val="center"/>
                </w:tcPr>
                <w:p w14:paraId="2FE8DE84">
                  <w:pPr>
                    <w:jc w:val="center"/>
                    <w:rPr>
                      <w:rFonts w:hint="eastAsia" w:ascii="Times New Roman" w:hAnsi="宋体" w:eastAsia="宋体" w:cs="Times New Roman"/>
                      <w:color w:val="auto"/>
                      <w:kern w:val="21"/>
                      <w:sz w:val="21"/>
                      <w:szCs w:val="21"/>
                      <w:lang w:val="en-US" w:eastAsia="zh-CN" w:bidi="ar"/>
                    </w:rPr>
                  </w:pPr>
                  <w:r>
                    <w:rPr>
                      <w:rFonts w:hint="eastAsia" w:hAnsi="宋体"/>
                      <w:color w:val="auto"/>
                      <w:kern w:val="21"/>
                      <w:sz w:val="21"/>
                      <w:szCs w:val="21"/>
                      <w:lang w:val="en-US" w:eastAsia="zh-CN"/>
                    </w:rPr>
                    <w:t>非甲烷总烃</w:t>
                  </w:r>
                </w:p>
              </w:tc>
              <w:tc>
                <w:tcPr>
                  <w:tcW w:w="1620" w:type="pct"/>
                  <w:vMerge w:val="continue"/>
                  <w:shd w:val="clear" w:color="auto" w:fill="auto"/>
                  <w:vAlign w:val="center"/>
                </w:tcPr>
                <w:p w14:paraId="7AD937A5">
                  <w:pPr>
                    <w:pStyle w:val="34"/>
                    <w:spacing w:before="24" w:after="24"/>
                    <w:ind w:firstLine="0" w:firstLineChars="0"/>
                    <w:rPr>
                      <w:rFonts w:hint="eastAsia" w:ascii="Times New Roman" w:hAnsi="Times New Roman" w:eastAsia="宋体" w:cs="Times New Roman"/>
                      <w:color w:val="auto"/>
                      <w:kern w:val="2"/>
                      <w:sz w:val="21"/>
                      <w:szCs w:val="21"/>
                      <w:lang w:val="en-US" w:eastAsia="zh-CN" w:bidi="ar-SA"/>
                    </w:rPr>
                  </w:pPr>
                </w:p>
              </w:tc>
            </w:tr>
            <w:tr w14:paraId="55D50F7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95" w:type="pct"/>
                  <w:vMerge w:val="continue"/>
                  <w:vAlign w:val="center"/>
                </w:tcPr>
                <w:p w14:paraId="2EA03661">
                  <w:pPr>
                    <w:pStyle w:val="34"/>
                    <w:spacing w:before="0" w:beforeLines="0" w:after="0" w:afterLines="0" w:line="240" w:lineRule="auto"/>
                    <w:rPr>
                      <w:rFonts w:ascii="Times New Roman" w:eastAsia="宋体"/>
                      <w:color w:val="auto"/>
                      <w:sz w:val="21"/>
                      <w:szCs w:val="21"/>
                    </w:rPr>
                  </w:pPr>
                </w:p>
              </w:tc>
              <w:tc>
                <w:tcPr>
                  <w:tcW w:w="455" w:type="pct"/>
                  <w:shd w:val="clear" w:color="auto" w:fill="auto"/>
                  <w:vAlign w:val="center"/>
                </w:tcPr>
                <w:p w14:paraId="25CE5D98">
                  <w:pPr>
                    <w:pStyle w:val="34"/>
                    <w:spacing w:before="0" w:beforeLines="0" w:after="0" w:afterLines="0" w:line="240" w:lineRule="auto"/>
                    <w:ind w:firstLine="0" w:firstLineChars="0"/>
                    <w:rPr>
                      <w:rFonts w:hint="eastAsia" w:ascii="Times New Roman" w:hAnsi="宋体" w:eastAsia="宋体" w:cs="Times New Roman"/>
                      <w:color w:val="auto"/>
                      <w:spacing w:val="-10"/>
                      <w:kern w:val="0"/>
                      <w:sz w:val="21"/>
                      <w:szCs w:val="21"/>
                      <w:lang w:val="en-US" w:eastAsia="zh-CN" w:bidi="ar"/>
                    </w:rPr>
                  </w:pPr>
                  <w:r>
                    <w:rPr>
                      <w:rFonts w:hint="eastAsia" w:ascii="Times New Roman" w:eastAsia="宋体" w:cs="Times New Roman"/>
                      <w:color w:val="auto"/>
                      <w:spacing w:val="-10"/>
                      <w:kern w:val="0"/>
                      <w:sz w:val="21"/>
                      <w:szCs w:val="21"/>
                      <w:lang w:val="en-US" w:eastAsia="zh-CN" w:bidi="ar-SA"/>
                    </w:rPr>
                    <w:t>G6</w:t>
                  </w:r>
                </w:p>
              </w:tc>
              <w:tc>
                <w:tcPr>
                  <w:tcW w:w="647" w:type="pct"/>
                  <w:shd w:val="clear" w:color="auto" w:fill="auto"/>
                  <w:vAlign w:val="center"/>
                </w:tcPr>
                <w:p w14:paraId="4A81E9F0">
                  <w:pPr>
                    <w:pStyle w:val="34"/>
                    <w:spacing w:before="0" w:beforeLines="0" w:after="0" w:afterLines="0" w:line="240" w:lineRule="auto"/>
                    <w:ind w:firstLine="0" w:firstLineChars="0"/>
                    <w:rPr>
                      <w:rFonts w:hint="eastAsia" w:ascii="Times New Roman" w:eastAsia="宋体" w:cs="Times New Roman"/>
                      <w:color w:val="auto"/>
                      <w:spacing w:val="-10"/>
                      <w:kern w:val="0"/>
                      <w:sz w:val="21"/>
                      <w:szCs w:val="21"/>
                      <w:lang w:val="en-US" w:eastAsia="zh-CN" w:bidi="ar-SA"/>
                    </w:rPr>
                  </w:pPr>
                  <w:r>
                    <w:rPr>
                      <w:rFonts w:hint="eastAsia" w:ascii="Times New Roman" w:eastAsia="宋体" w:cs="Times New Roman"/>
                      <w:color w:val="auto"/>
                      <w:spacing w:val="-10"/>
                      <w:kern w:val="0"/>
                      <w:sz w:val="21"/>
                      <w:szCs w:val="21"/>
                      <w:lang w:val="en-US" w:eastAsia="zh-CN" w:bidi="ar-SA"/>
                    </w:rPr>
                    <w:t>废水处理</w:t>
                  </w:r>
                </w:p>
              </w:tc>
              <w:tc>
                <w:tcPr>
                  <w:tcW w:w="896" w:type="pct"/>
                  <w:shd w:val="clear" w:color="auto" w:fill="auto"/>
                  <w:vAlign w:val="center"/>
                </w:tcPr>
                <w:p w14:paraId="1199F028">
                  <w:pPr>
                    <w:pStyle w:val="34"/>
                    <w:spacing w:before="0" w:beforeLines="0" w:after="0" w:afterLines="0" w:line="240" w:lineRule="auto"/>
                    <w:ind w:firstLine="0" w:firstLineChars="0"/>
                    <w:rPr>
                      <w:rFonts w:hint="eastAsia" w:ascii="Times New Roman" w:eastAsia="宋体" w:cs="Times New Roman"/>
                      <w:color w:val="auto"/>
                      <w:spacing w:val="-10"/>
                      <w:kern w:val="0"/>
                      <w:sz w:val="21"/>
                      <w:szCs w:val="21"/>
                      <w:lang w:val="en-US" w:eastAsia="zh-CN" w:bidi="ar-SA"/>
                    </w:rPr>
                  </w:pPr>
                  <w:r>
                    <w:rPr>
                      <w:rFonts w:hint="eastAsia" w:ascii="Times New Roman" w:eastAsia="宋体" w:cs="Times New Roman"/>
                      <w:color w:val="auto"/>
                      <w:spacing w:val="-10"/>
                      <w:kern w:val="0"/>
                      <w:sz w:val="21"/>
                      <w:szCs w:val="21"/>
                      <w:lang w:val="en-US" w:eastAsia="zh-CN" w:bidi="ar-SA"/>
                    </w:rPr>
                    <w:t>废水处理废气</w:t>
                  </w:r>
                </w:p>
              </w:tc>
              <w:tc>
                <w:tcPr>
                  <w:tcW w:w="983" w:type="pct"/>
                  <w:shd w:val="clear" w:color="auto" w:fill="auto"/>
                  <w:vAlign w:val="center"/>
                </w:tcPr>
                <w:p w14:paraId="3FB8259F">
                  <w:pPr>
                    <w:jc w:val="center"/>
                    <w:rPr>
                      <w:rFonts w:hint="default" w:hAnsi="宋体"/>
                      <w:color w:val="auto"/>
                      <w:kern w:val="21"/>
                      <w:sz w:val="21"/>
                      <w:szCs w:val="21"/>
                      <w:lang w:val="en-US" w:eastAsia="zh-CN"/>
                    </w:rPr>
                  </w:pPr>
                  <w:r>
                    <w:rPr>
                      <w:rFonts w:hint="eastAsia" w:hAnsi="宋体"/>
                      <w:color w:val="auto"/>
                      <w:kern w:val="21"/>
                      <w:sz w:val="21"/>
                      <w:szCs w:val="21"/>
                      <w:lang w:val="en-US" w:eastAsia="zh-CN"/>
                    </w:rPr>
                    <w:t>硫化氢、氨、臭气浓度</w:t>
                  </w:r>
                </w:p>
              </w:tc>
              <w:tc>
                <w:tcPr>
                  <w:tcW w:w="1620" w:type="pct"/>
                  <w:vMerge w:val="continue"/>
                  <w:shd w:val="clear" w:color="auto" w:fill="auto"/>
                  <w:vAlign w:val="center"/>
                </w:tcPr>
                <w:p w14:paraId="69617441">
                  <w:pPr>
                    <w:pStyle w:val="34"/>
                    <w:spacing w:before="24" w:after="24"/>
                    <w:ind w:firstLine="0" w:firstLineChars="0"/>
                    <w:rPr>
                      <w:rFonts w:hint="eastAsia" w:ascii="Times New Roman" w:hAnsi="Times New Roman" w:eastAsia="宋体" w:cs="Times New Roman"/>
                      <w:color w:val="auto"/>
                      <w:kern w:val="2"/>
                      <w:sz w:val="21"/>
                      <w:szCs w:val="21"/>
                      <w:lang w:val="en-US" w:eastAsia="zh-CN" w:bidi="ar-SA"/>
                    </w:rPr>
                  </w:pPr>
                </w:p>
              </w:tc>
            </w:tr>
            <w:bookmarkEnd w:id="7"/>
            <w:bookmarkEnd w:id="8"/>
            <w:bookmarkEnd w:id="9"/>
            <w:tr w14:paraId="5DA38C5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95" w:type="pct"/>
                  <w:vAlign w:val="center"/>
                </w:tcPr>
                <w:p w14:paraId="5867E62D">
                  <w:pPr>
                    <w:pStyle w:val="34"/>
                    <w:spacing w:before="0" w:beforeLines="0" w:after="0" w:afterLines="0" w:line="240" w:lineRule="auto"/>
                    <w:rPr>
                      <w:rFonts w:ascii="Times New Roman" w:eastAsia="宋体"/>
                      <w:color w:val="auto"/>
                      <w:sz w:val="21"/>
                      <w:szCs w:val="21"/>
                    </w:rPr>
                  </w:pPr>
                  <w:r>
                    <w:rPr>
                      <w:rFonts w:ascii="Times New Roman" w:eastAsia="宋体"/>
                      <w:color w:val="auto"/>
                      <w:sz w:val="21"/>
                      <w:szCs w:val="21"/>
                    </w:rPr>
                    <w:t>噪声</w:t>
                  </w:r>
                </w:p>
              </w:tc>
              <w:tc>
                <w:tcPr>
                  <w:tcW w:w="455" w:type="pct"/>
                  <w:vAlign w:val="center"/>
                </w:tcPr>
                <w:p w14:paraId="2FF2537C">
                  <w:pPr>
                    <w:pStyle w:val="34"/>
                    <w:spacing w:before="0" w:beforeLines="0" w:after="0" w:afterLines="0" w:line="240" w:lineRule="auto"/>
                    <w:rPr>
                      <w:rFonts w:ascii="Times New Roman" w:eastAsia="宋体"/>
                      <w:color w:val="auto"/>
                      <w:sz w:val="21"/>
                      <w:szCs w:val="21"/>
                    </w:rPr>
                  </w:pPr>
                  <w:r>
                    <w:rPr>
                      <w:rFonts w:ascii="Times New Roman" w:eastAsia="宋体"/>
                      <w:color w:val="auto"/>
                      <w:sz w:val="21"/>
                      <w:szCs w:val="21"/>
                    </w:rPr>
                    <w:t>N</w:t>
                  </w:r>
                </w:p>
              </w:tc>
              <w:tc>
                <w:tcPr>
                  <w:tcW w:w="1544" w:type="pct"/>
                  <w:gridSpan w:val="2"/>
                  <w:vAlign w:val="center"/>
                </w:tcPr>
                <w:p w14:paraId="3DD88EC4">
                  <w:pPr>
                    <w:pStyle w:val="34"/>
                    <w:spacing w:before="0" w:beforeLines="0" w:after="0" w:afterLines="0" w:line="240" w:lineRule="auto"/>
                    <w:rPr>
                      <w:rFonts w:ascii="Times New Roman" w:eastAsia="宋体"/>
                      <w:color w:val="auto"/>
                      <w:sz w:val="21"/>
                      <w:szCs w:val="21"/>
                    </w:rPr>
                  </w:pPr>
                  <w:r>
                    <w:rPr>
                      <w:rFonts w:hint="eastAsia" w:ascii="Times New Roman" w:eastAsia="宋体"/>
                      <w:color w:val="auto"/>
                      <w:sz w:val="21"/>
                      <w:szCs w:val="21"/>
                    </w:rPr>
                    <w:t>生产</w:t>
                  </w:r>
                  <w:r>
                    <w:rPr>
                      <w:rFonts w:ascii="Times New Roman" w:eastAsia="宋体"/>
                      <w:color w:val="auto"/>
                      <w:sz w:val="21"/>
                      <w:szCs w:val="21"/>
                    </w:rPr>
                    <w:t>设备</w:t>
                  </w:r>
                </w:p>
              </w:tc>
              <w:tc>
                <w:tcPr>
                  <w:tcW w:w="983" w:type="pct"/>
                  <w:vAlign w:val="center"/>
                </w:tcPr>
                <w:p w14:paraId="0F8E365F">
                  <w:pPr>
                    <w:pStyle w:val="34"/>
                    <w:spacing w:before="0" w:beforeLines="0" w:after="0" w:afterLines="0" w:line="240" w:lineRule="auto"/>
                    <w:rPr>
                      <w:rFonts w:ascii="Times New Roman" w:eastAsia="宋体"/>
                      <w:color w:val="auto"/>
                      <w:sz w:val="21"/>
                      <w:szCs w:val="21"/>
                    </w:rPr>
                  </w:pPr>
                  <w:r>
                    <w:rPr>
                      <w:rFonts w:ascii="Times New Roman" w:eastAsia="宋体"/>
                      <w:color w:val="auto"/>
                      <w:sz w:val="21"/>
                      <w:szCs w:val="21"/>
                    </w:rPr>
                    <w:t>噪声</w:t>
                  </w:r>
                </w:p>
              </w:tc>
              <w:tc>
                <w:tcPr>
                  <w:tcW w:w="1620" w:type="pct"/>
                  <w:vAlign w:val="center"/>
                </w:tcPr>
                <w:p w14:paraId="7C548F02">
                  <w:pPr>
                    <w:pStyle w:val="34"/>
                    <w:spacing w:before="0" w:beforeLines="0" w:after="0" w:afterLines="0" w:line="240" w:lineRule="auto"/>
                    <w:rPr>
                      <w:rFonts w:ascii="Times New Roman" w:eastAsia="宋体"/>
                      <w:color w:val="auto"/>
                      <w:sz w:val="21"/>
                      <w:szCs w:val="21"/>
                    </w:rPr>
                  </w:pPr>
                  <w:r>
                    <w:rPr>
                      <w:rFonts w:hint="eastAsia" w:ascii="Times New Roman" w:eastAsia="宋体"/>
                      <w:color w:val="auto"/>
                      <w:sz w:val="21"/>
                      <w:szCs w:val="21"/>
                    </w:rPr>
                    <w:t>隔声、减振、距离衰减</w:t>
                  </w:r>
                </w:p>
              </w:tc>
            </w:tr>
            <w:tr w14:paraId="475FEFA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95" w:type="pct"/>
                  <w:vMerge w:val="restart"/>
                  <w:vAlign w:val="center"/>
                </w:tcPr>
                <w:p w14:paraId="42EC67A9">
                  <w:pPr>
                    <w:pStyle w:val="34"/>
                    <w:spacing w:before="0" w:beforeLines="0" w:after="0" w:afterLines="0" w:line="240" w:lineRule="auto"/>
                    <w:rPr>
                      <w:rFonts w:ascii="Times New Roman" w:eastAsia="宋体"/>
                      <w:color w:val="auto"/>
                      <w:sz w:val="21"/>
                      <w:szCs w:val="21"/>
                    </w:rPr>
                  </w:pPr>
                  <w:r>
                    <w:rPr>
                      <w:rFonts w:hint="eastAsia" w:ascii="Times New Roman" w:eastAsia="宋体"/>
                      <w:color w:val="auto"/>
                      <w:sz w:val="21"/>
                      <w:szCs w:val="21"/>
                    </w:rPr>
                    <w:t>固废</w:t>
                  </w:r>
                </w:p>
              </w:tc>
              <w:tc>
                <w:tcPr>
                  <w:tcW w:w="455" w:type="pct"/>
                  <w:shd w:val="clear" w:color="auto" w:fill="auto"/>
                  <w:vAlign w:val="center"/>
                </w:tcPr>
                <w:p w14:paraId="768D789A">
                  <w:pPr>
                    <w:spacing w:before="0" w:beforeLines="0" w:after="0" w:afterLines="0" w:line="240" w:lineRule="auto"/>
                    <w:jc w:val="center"/>
                    <w:rPr>
                      <w:rFonts w:hint="default" w:ascii="Times New Roman" w:hAnsi="宋体" w:eastAsia="宋体" w:cs="Times New Roman"/>
                      <w:color w:val="auto"/>
                      <w:spacing w:val="-10"/>
                      <w:kern w:val="0"/>
                      <w:sz w:val="21"/>
                      <w:szCs w:val="21"/>
                      <w:lang w:val="en-US" w:eastAsia="zh-CN" w:bidi="ar-SA"/>
                    </w:rPr>
                  </w:pPr>
                  <w:r>
                    <w:rPr>
                      <w:rFonts w:hint="eastAsia" w:ascii="Times New Roman" w:hAnsi="宋体" w:eastAsia="宋体" w:cs="Times New Roman"/>
                      <w:color w:val="auto"/>
                      <w:spacing w:val="-10"/>
                      <w:kern w:val="0"/>
                      <w:sz w:val="21"/>
                      <w:szCs w:val="21"/>
                      <w:lang w:val="en-US" w:eastAsia="zh-CN" w:bidi="ar-SA"/>
                    </w:rPr>
                    <w:t>S3、</w:t>
                  </w:r>
                  <w:r>
                    <w:rPr>
                      <w:rFonts w:hint="default" w:ascii="Times New Roman" w:hAnsi="宋体" w:eastAsia="宋体" w:cs="Times New Roman"/>
                      <w:color w:val="auto"/>
                      <w:spacing w:val="-10"/>
                      <w:kern w:val="0"/>
                      <w:sz w:val="21"/>
                      <w:szCs w:val="21"/>
                      <w:lang w:val="en-US" w:eastAsia="zh-CN" w:bidi="ar-SA"/>
                    </w:rPr>
                    <w:t>S</w:t>
                  </w:r>
                  <w:r>
                    <w:rPr>
                      <w:rFonts w:hint="eastAsia" w:hAnsi="宋体" w:cs="Times New Roman"/>
                      <w:color w:val="auto"/>
                      <w:spacing w:val="-10"/>
                      <w:kern w:val="0"/>
                      <w:sz w:val="21"/>
                      <w:szCs w:val="21"/>
                      <w:lang w:val="en-US" w:eastAsia="zh-CN" w:bidi="ar-SA"/>
                    </w:rPr>
                    <w:t>7</w:t>
                  </w:r>
                </w:p>
              </w:tc>
              <w:tc>
                <w:tcPr>
                  <w:tcW w:w="1544" w:type="pct"/>
                  <w:gridSpan w:val="2"/>
                  <w:shd w:val="clear" w:color="auto" w:fill="auto"/>
                  <w:vAlign w:val="center"/>
                </w:tcPr>
                <w:p w14:paraId="32E1CC40">
                  <w:pPr>
                    <w:pStyle w:val="34"/>
                    <w:spacing w:before="0" w:beforeLines="0" w:after="0" w:afterLines="0" w:line="240" w:lineRule="auto"/>
                    <w:ind w:firstLine="0" w:firstLineChars="0"/>
                    <w:rPr>
                      <w:rFonts w:hint="default" w:ascii="Times New Roman" w:hAnsi="宋体" w:eastAsia="宋体" w:cs="Times New Roman"/>
                      <w:color w:val="auto"/>
                      <w:spacing w:val="-10"/>
                      <w:kern w:val="0"/>
                      <w:sz w:val="21"/>
                      <w:szCs w:val="21"/>
                      <w:lang w:val="en-US" w:eastAsia="zh-CN" w:bidi="ar-SA"/>
                    </w:rPr>
                  </w:pPr>
                  <w:r>
                    <w:rPr>
                      <w:rFonts w:hint="default" w:ascii="Times New Roman" w:hAnsi="宋体" w:eastAsia="宋体" w:cs="Times New Roman"/>
                      <w:color w:val="auto"/>
                      <w:spacing w:val="-10"/>
                      <w:kern w:val="0"/>
                      <w:sz w:val="21"/>
                      <w:szCs w:val="21"/>
                      <w:lang w:val="en-US" w:eastAsia="zh-CN" w:bidi="ar-SA"/>
                    </w:rPr>
                    <w:t>CNC加工、精加工</w:t>
                  </w:r>
                </w:p>
              </w:tc>
              <w:tc>
                <w:tcPr>
                  <w:tcW w:w="983" w:type="pct"/>
                  <w:shd w:val="clear" w:color="auto" w:fill="auto"/>
                  <w:vAlign w:val="center"/>
                </w:tcPr>
                <w:p w14:paraId="4A52B275">
                  <w:pPr>
                    <w:pStyle w:val="34"/>
                    <w:spacing w:before="0" w:beforeLines="0" w:after="0" w:afterLines="0" w:line="240" w:lineRule="auto"/>
                    <w:ind w:firstLine="0" w:firstLineChars="0"/>
                    <w:rPr>
                      <w:rFonts w:hint="eastAsia" w:ascii="Times New Roman" w:hAnsi="宋体" w:eastAsia="宋体" w:cs="Times New Roman"/>
                      <w:color w:val="auto"/>
                      <w:spacing w:val="-10"/>
                      <w:kern w:val="0"/>
                      <w:sz w:val="21"/>
                      <w:szCs w:val="21"/>
                      <w:lang w:val="en-US" w:eastAsia="zh-CN" w:bidi="ar-SA"/>
                    </w:rPr>
                  </w:pPr>
                  <w:r>
                    <w:rPr>
                      <w:rFonts w:hint="eastAsia" w:ascii="Times New Roman" w:hAnsi="宋体" w:eastAsia="宋体" w:cs="Times New Roman"/>
                      <w:color w:val="auto"/>
                      <w:spacing w:val="-10"/>
                      <w:kern w:val="0"/>
                      <w:sz w:val="21"/>
                      <w:szCs w:val="21"/>
                      <w:lang w:val="en-US" w:eastAsia="zh-CN" w:bidi="ar-SA"/>
                    </w:rPr>
                    <w:t>边角料</w:t>
                  </w:r>
                </w:p>
              </w:tc>
              <w:tc>
                <w:tcPr>
                  <w:tcW w:w="1620" w:type="pct"/>
                  <w:vMerge w:val="restart"/>
                  <w:vAlign w:val="center"/>
                </w:tcPr>
                <w:p w14:paraId="7C7C62B6">
                  <w:pPr>
                    <w:pStyle w:val="34"/>
                    <w:spacing w:before="0" w:beforeLines="0" w:after="0" w:afterLines="0" w:line="240" w:lineRule="auto"/>
                    <w:rPr>
                      <w:rFonts w:hint="eastAsia" w:ascii="Times New Roman" w:eastAsia="宋体"/>
                      <w:color w:val="auto"/>
                      <w:sz w:val="21"/>
                      <w:szCs w:val="21"/>
                    </w:rPr>
                  </w:pPr>
                  <w:r>
                    <w:rPr>
                      <w:rFonts w:hint="eastAsia" w:ascii="Times New Roman" w:eastAsia="宋体"/>
                      <w:color w:val="auto"/>
                      <w:sz w:val="21"/>
                      <w:szCs w:val="21"/>
                    </w:rPr>
                    <w:t>收集后外售综合利用</w:t>
                  </w:r>
                </w:p>
              </w:tc>
            </w:tr>
            <w:tr w14:paraId="20216A9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95" w:type="pct"/>
                  <w:vMerge w:val="continue"/>
                  <w:vAlign w:val="center"/>
                </w:tcPr>
                <w:p w14:paraId="1658B979">
                  <w:pPr>
                    <w:pStyle w:val="34"/>
                    <w:spacing w:before="0" w:beforeLines="0" w:after="0" w:afterLines="0" w:line="240" w:lineRule="auto"/>
                    <w:rPr>
                      <w:rFonts w:hint="eastAsia" w:ascii="Times New Roman" w:eastAsia="宋体"/>
                      <w:color w:val="auto"/>
                      <w:sz w:val="21"/>
                      <w:szCs w:val="21"/>
                    </w:rPr>
                  </w:pPr>
                </w:p>
              </w:tc>
              <w:tc>
                <w:tcPr>
                  <w:tcW w:w="455" w:type="pct"/>
                  <w:shd w:val="clear" w:color="auto" w:fill="auto"/>
                  <w:vAlign w:val="center"/>
                </w:tcPr>
                <w:p w14:paraId="2679FD1E">
                  <w:pPr>
                    <w:spacing w:before="0" w:beforeLines="0" w:after="0" w:afterLines="0" w:line="240" w:lineRule="auto"/>
                    <w:jc w:val="center"/>
                    <w:rPr>
                      <w:rFonts w:hint="eastAsia" w:ascii="Times New Roman" w:hAnsi="宋体" w:eastAsia="宋体" w:cs="Times New Roman"/>
                      <w:color w:val="auto"/>
                      <w:spacing w:val="-10"/>
                      <w:kern w:val="0"/>
                      <w:sz w:val="21"/>
                      <w:szCs w:val="21"/>
                      <w:lang w:val="en-US" w:eastAsia="zh-CN" w:bidi="ar-SA"/>
                    </w:rPr>
                  </w:pPr>
                  <w:r>
                    <w:rPr>
                      <w:rFonts w:hint="eastAsia" w:ascii="Times New Roman" w:hAnsi="宋体" w:eastAsia="宋体" w:cs="Times New Roman"/>
                      <w:color w:val="auto"/>
                      <w:spacing w:val="-10"/>
                      <w:kern w:val="0"/>
                      <w:sz w:val="21"/>
                      <w:szCs w:val="21"/>
                      <w:lang w:val="en-US" w:eastAsia="zh-CN" w:bidi="ar-SA"/>
                    </w:rPr>
                    <w:t>S1</w:t>
                  </w:r>
                  <w:r>
                    <w:rPr>
                      <w:rFonts w:hint="eastAsia" w:hAnsi="宋体" w:cs="Times New Roman"/>
                      <w:color w:val="auto"/>
                      <w:spacing w:val="-10"/>
                      <w:kern w:val="0"/>
                      <w:sz w:val="21"/>
                      <w:szCs w:val="21"/>
                      <w:lang w:val="en-US" w:eastAsia="zh-CN" w:bidi="ar-SA"/>
                    </w:rPr>
                    <w:t>7</w:t>
                  </w:r>
                </w:p>
              </w:tc>
              <w:tc>
                <w:tcPr>
                  <w:tcW w:w="1544" w:type="pct"/>
                  <w:gridSpan w:val="2"/>
                  <w:shd w:val="clear" w:color="auto" w:fill="auto"/>
                  <w:vAlign w:val="center"/>
                </w:tcPr>
                <w:p w14:paraId="52952096">
                  <w:pPr>
                    <w:pStyle w:val="34"/>
                    <w:spacing w:before="0" w:beforeLines="0" w:after="0" w:afterLines="0" w:line="240" w:lineRule="auto"/>
                    <w:ind w:firstLine="0" w:firstLineChars="0"/>
                    <w:rPr>
                      <w:rFonts w:hint="eastAsia" w:ascii="Times New Roman" w:hAnsi="宋体" w:eastAsia="宋体" w:cs="Times New Roman"/>
                      <w:color w:val="auto"/>
                      <w:spacing w:val="-10"/>
                      <w:kern w:val="0"/>
                      <w:sz w:val="21"/>
                      <w:szCs w:val="21"/>
                      <w:lang w:val="en-US" w:eastAsia="zh-CN" w:bidi="ar-SA"/>
                    </w:rPr>
                  </w:pPr>
                  <w:r>
                    <w:rPr>
                      <w:rFonts w:hint="eastAsia" w:ascii="Times New Roman" w:eastAsia="宋体" w:cs="Times New Roman"/>
                      <w:color w:val="auto"/>
                      <w:spacing w:val="-10"/>
                      <w:kern w:val="0"/>
                      <w:sz w:val="21"/>
                      <w:szCs w:val="21"/>
                      <w:lang w:val="en-US" w:eastAsia="zh-CN" w:bidi="ar-SA"/>
                    </w:rPr>
                    <w:t>废气处理</w:t>
                  </w:r>
                </w:p>
              </w:tc>
              <w:tc>
                <w:tcPr>
                  <w:tcW w:w="983" w:type="pct"/>
                  <w:shd w:val="clear" w:color="auto" w:fill="auto"/>
                  <w:vAlign w:val="center"/>
                </w:tcPr>
                <w:p w14:paraId="520E6433">
                  <w:pPr>
                    <w:pStyle w:val="34"/>
                    <w:spacing w:before="0" w:beforeLines="0" w:after="0" w:afterLines="0" w:line="240" w:lineRule="auto"/>
                    <w:ind w:firstLine="0" w:firstLineChars="0"/>
                    <w:rPr>
                      <w:rFonts w:hint="eastAsia" w:ascii="Times New Roman" w:hAnsi="宋体" w:eastAsia="宋体" w:cs="Times New Roman"/>
                      <w:color w:val="auto"/>
                      <w:spacing w:val="-10"/>
                      <w:kern w:val="0"/>
                      <w:sz w:val="21"/>
                      <w:szCs w:val="21"/>
                      <w:lang w:val="en-US" w:eastAsia="zh-CN" w:bidi="ar-SA"/>
                    </w:rPr>
                  </w:pPr>
                  <w:r>
                    <w:rPr>
                      <w:rFonts w:hint="eastAsia" w:ascii="Times New Roman" w:hAnsi="宋体" w:eastAsia="宋体" w:cs="Times New Roman"/>
                      <w:color w:val="auto"/>
                      <w:spacing w:val="-10"/>
                      <w:kern w:val="0"/>
                      <w:sz w:val="21"/>
                      <w:szCs w:val="21"/>
                      <w:lang w:val="en-US" w:eastAsia="zh-CN" w:bidi="ar-SA"/>
                    </w:rPr>
                    <w:t>废布袋</w:t>
                  </w:r>
                </w:p>
              </w:tc>
              <w:tc>
                <w:tcPr>
                  <w:tcW w:w="1620" w:type="pct"/>
                  <w:vMerge w:val="continue"/>
                  <w:vAlign w:val="center"/>
                </w:tcPr>
                <w:p w14:paraId="3E452D9C">
                  <w:pPr>
                    <w:pStyle w:val="34"/>
                    <w:spacing w:before="0" w:beforeLines="0" w:after="0" w:afterLines="0" w:line="240" w:lineRule="auto"/>
                    <w:rPr>
                      <w:rFonts w:hint="eastAsia" w:ascii="Times New Roman" w:eastAsia="宋体"/>
                      <w:color w:val="auto"/>
                      <w:sz w:val="21"/>
                      <w:szCs w:val="21"/>
                    </w:rPr>
                  </w:pPr>
                </w:p>
              </w:tc>
            </w:tr>
            <w:tr w14:paraId="310EDF7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95" w:type="pct"/>
                  <w:vMerge w:val="continue"/>
                  <w:vAlign w:val="center"/>
                </w:tcPr>
                <w:p w14:paraId="376925E1">
                  <w:pPr>
                    <w:pStyle w:val="34"/>
                    <w:spacing w:before="0" w:beforeLines="0" w:after="0" w:afterLines="0" w:line="240" w:lineRule="auto"/>
                    <w:rPr>
                      <w:rFonts w:hint="eastAsia" w:ascii="Times New Roman" w:eastAsia="宋体"/>
                      <w:color w:val="auto"/>
                      <w:sz w:val="21"/>
                      <w:szCs w:val="21"/>
                    </w:rPr>
                  </w:pPr>
                </w:p>
              </w:tc>
              <w:tc>
                <w:tcPr>
                  <w:tcW w:w="455" w:type="pct"/>
                  <w:shd w:val="clear" w:color="auto" w:fill="auto"/>
                  <w:vAlign w:val="center"/>
                </w:tcPr>
                <w:p w14:paraId="0912BDFE">
                  <w:pPr>
                    <w:spacing w:before="0" w:beforeLines="0" w:after="0" w:afterLines="0" w:line="240" w:lineRule="auto"/>
                    <w:jc w:val="center"/>
                    <w:rPr>
                      <w:rFonts w:hint="eastAsia" w:ascii="Times New Roman" w:hAnsi="宋体" w:eastAsia="宋体" w:cs="Times New Roman"/>
                      <w:color w:val="auto"/>
                      <w:spacing w:val="-10"/>
                      <w:kern w:val="0"/>
                      <w:sz w:val="21"/>
                      <w:szCs w:val="21"/>
                      <w:lang w:val="en-US" w:eastAsia="zh-CN" w:bidi="ar-SA"/>
                    </w:rPr>
                  </w:pPr>
                  <w:r>
                    <w:rPr>
                      <w:rFonts w:hint="eastAsia" w:ascii="Times New Roman" w:hAnsi="宋体" w:eastAsia="宋体" w:cs="Times New Roman"/>
                      <w:color w:val="auto"/>
                      <w:spacing w:val="-10"/>
                      <w:kern w:val="0"/>
                      <w:sz w:val="21"/>
                      <w:szCs w:val="21"/>
                      <w:lang w:val="en-US" w:eastAsia="zh-CN" w:bidi="ar-SA"/>
                    </w:rPr>
                    <w:t>S1</w:t>
                  </w:r>
                  <w:r>
                    <w:rPr>
                      <w:rFonts w:hint="eastAsia" w:hAnsi="宋体" w:cs="Times New Roman"/>
                      <w:color w:val="auto"/>
                      <w:spacing w:val="-10"/>
                      <w:kern w:val="0"/>
                      <w:sz w:val="21"/>
                      <w:szCs w:val="21"/>
                      <w:lang w:val="en-US" w:eastAsia="zh-CN" w:bidi="ar-SA"/>
                    </w:rPr>
                    <w:t>8</w:t>
                  </w:r>
                </w:p>
              </w:tc>
              <w:tc>
                <w:tcPr>
                  <w:tcW w:w="1544" w:type="pct"/>
                  <w:gridSpan w:val="2"/>
                  <w:shd w:val="clear" w:color="auto" w:fill="auto"/>
                  <w:vAlign w:val="center"/>
                </w:tcPr>
                <w:p w14:paraId="36E4A981">
                  <w:pPr>
                    <w:pStyle w:val="34"/>
                    <w:spacing w:before="0" w:beforeLines="0" w:after="0" w:afterLines="0" w:line="240" w:lineRule="auto"/>
                    <w:ind w:firstLine="0" w:firstLineChars="0"/>
                    <w:rPr>
                      <w:rFonts w:hint="eastAsia" w:ascii="Times New Roman" w:hAnsi="宋体" w:eastAsia="宋体" w:cs="Times New Roman"/>
                      <w:color w:val="auto"/>
                      <w:spacing w:val="-10"/>
                      <w:kern w:val="0"/>
                      <w:sz w:val="21"/>
                      <w:szCs w:val="21"/>
                      <w:lang w:val="en-US" w:eastAsia="zh-CN" w:bidi="ar-SA"/>
                    </w:rPr>
                  </w:pPr>
                  <w:r>
                    <w:rPr>
                      <w:rFonts w:hint="eastAsia" w:ascii="Times New Roman" w:eastAsia="宋体" w:cs="Times New Roman"/>
                      <w:color w:val="auto"/>
                      <w:spacing w:val="-10"/>
                      <w:kern w:val="0"/>
                      <w:sz w:val="21"/>
                      <w:szCs w:val="21"/>
                      <w:lang w:val="en-US" w:eastAsia="zh-CN" w:bidi="ar-SA"/>
                    </w:rPr>
                    <w:t>废气处理</w:t>
                  </w:r>
                </w:p>
              </w:tc>
              <w:tc>
                <w:tcPr>
                  <w:tcW w:w="983" w:type="pct"/>
                  <w:shd w:val="clear" w:color="auto" w:fill="auto"/>
                  <w:vAlign w:val="center"/>
                </w:tcPr>
                <w:p w14:paraId="0619EC3C">
                  <w:pPr>
                    <w:pStyle w:val="34"/>
                    <w:spacing w:before="0" w:beforeLines="0" w:after="0" w:afterLines="0" w:line="240" w:lineRule="auto"/>
                    <w:ind w:firstLine="0" w:firstLineChars="0"/>
                    <w:rPr>
                      <w:rFonts w:hint="eastAsia" w:ascii="Times New Roman" w:hAnsi="宋体" w:eastAsia="宋体" w:cs="Times New Roman"/>
                      <w:color w:val="auto"/>
                      <w:spacing w:val="-10"/>
                      <w:kern w:val="0"/>
                      <w:sz w:val="21"/>
                      <w:szCs w:val="21"/>
                      <w:lang w:val="en-US" w:eastAsia="zh-CN" w:bidi="ar-SA"/>
                    </w:rPr>
                  </w:pPr>
                  <w:r>
                    <w:rPr>
                      <w:rFonts w:hint="eastAsia" w:ascii="Times New Roman" w:hAnsi="宋体" w:eastAsia="宋体" w:cs="Times New Roman"/>
                      <w:color w:val="auto"/>
                      <w:spacing w:val="-10"/>
                      <w:kern w:val="0"/>
                      <w:sz w:val="21"/>
                      <w:szCs w:val="21"/>
                      <w:lang w:val="en-US" w:eastAsia="zh-CN" w:bidi="ar-SA"/>
                    </w:rPr>
                    <w:t>收集尘</w:t>
                  </w:r>
                </w:p>
              </w:tc>
              <w:tc>
                <w:tcPr>
                  <w:tcW w:w="1620" w:type="pct"/>
                  <w:vMerge w:val="continue"/>
                  <w:vAlign w:val="center"/>
                </w:tcPr>
                <w:p w14:paraId="0AEF6ACA">
                  <w:pPr>
                    <w:pStyle w:val="34"/>
                    <w:spacing w:before="0" w:beforeLines="0" w:after="0" w:afterLines="0" w:line="240" w:lineRule="auto"/>
                    <w:rPr>
                      <w:rFonts w:hint="eastAsia" w:ascii="Times New Roman" w:eastAsia="宋体"/>
                      <w:color w:val="auto"/>
                      <w:sz w:val="21"/>
                      <w:szCs w:val="21"/>
                    </w:rPr>
                  </w:pPr>
                </w:p>
              </w:tc>
            </w:tr>
            <w:tr w14:paraId="3121D89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95" w:type="pct"/>
                  <w:vMerge w:val="continue"/>
                  <w:vAlign w:val="center"/>
                </w:tcPr>
                <w:p w14:paraId="748A3A34">
                  <w:pPr>
                    <w:pStyle w:val="34"/>
                    <w:spacing w:before="0" w:beforeLines="0" w:after="0" w:afterLines="0" w:line="240" w:lineRule="auto"/>
                    <w:rPr>
                      <w:rFonts w:hint="eastAsia" w:ascii="Times New Roman" w:eastAsia="宋体"/>
                      <w:color w:val="auto"/>
                      <w:sz w:val="21"/>
                      <w:szCs w:val="21"/>
                    </w:rPr>
                  </w:pPr>
                </w:p>
              </w:tc>
              <w:tc>
                <w:tcPr>
                  <w:tcW w:w="455" w:type="pct"/>
                  <w:shd w:val="clear" w:color="auto" w:fill="auto"/>
                  <w:vAlign w:val="center"/>
                </w:tcPr>
                <w:p w14:paraId="2F8A5961">
                  <w:pPr>
                    <w:spacing w:before="0" w:beforeLines="0" w:after="0" w:afterLines="0" w:line="240" w:lineRule="auto"/>
                    <w:jc w:val="center"/>
                    <w:rPr>
                      <w:rFonts w:hint="default" w:ascii="Times New Roman" w:hAnsi="宋体" w:eastAsia="宋体" w:cs="Times New Roman"/>
                      <w:color w:val="auto"/>
                      <w:spacing w:val="-10"/>
                      <w:kern w:val="0"/>
                      <w:sz w:val="21"/>
                      <w:szCs w:val="21"/>
                      <w:lang w:val="en-US" w:eastAsia="zh-CN" w:bidi="ar-SA"/>
                    </w:rPr>
                  </w:pPr>
                  <w:r>
                    <w:rPr>
                      <w:rFonts w:hint="default" w:ascii="Times New Roman" w:hAnsi="宋体" w:eastAsia="宋体" w:cs="Times New Roman"/>
                      <w:color w:val="auto"/>
                      <w:spacing w:val="-10"/>
                      <w:kern w:val="0"/>
                      <w:sz w:val="21"/>
                      <w:szCs w:val="21"/>
                      <w:lang w:val="en-US" w:eastAsia="zh-CN" w:bidi="ar-SA"/>
                    </w:rPr>
                    <w:t>S2</w:t>
                  </w:r>
                  <w:r>
                    <w:rPr>
                      <w:rFonts w:hint="eastAsia" w:hAnsi="宋体" w:cs="Times New Roman"/>
                      <w:color w:val="auto"/>
                      <w:spacing w:val="-10"/>
                      <w:kern w:val="0"/>
                      <w:sz w:val="21"/>
                      <w:szCs w:val="21"/>
                      <w:lang w:val="en-US" w:eastAsia="zh-CN" w:bidi="ar-SA"/>
                    </w:rPr>
                    <w:t>2</w:t>
                  </w:r>
                </w:p>
              </w:tc>
              <w:tc>
                <w:tcPr>
                  <w:tcW w:w="1544" w:type="pct"/>
                  <w:gridSpan w:val="2"/>
                  <w:shd w:val="clear" w:color="auto" w:fill="auto"/>
                  <w:vAlign w:val="center"/>
                </w:tcPr>
                <w:p w14:paraId="48B77F3D">
                  <w:pPr>
                    <w:pStyle w:val="34"/>
                    <w:spacing w:before="0" w:beforeLines="0" w:after="0" w:afterLines="0" w:line="240" w:lineRule="auto"/>
                    <w:ind w:firstLine="0" w:firstLineChars="0"/>
                    <w:rPr>
                      <w:rFonts w:hint="eastAsia" w:ascii="Times New Roman" w:hAnsi="宋体" w:eastAsia="宋体" w:cs="Times New Roman"/>
                      <w:color w:val="auto"/>
                      <w:spacing w:val="-10"/>
                      <w:kern w:val="0"/>
                      <w:sz w:val="21"/>
                      <w:szCs w:val="21"/>
                      <w:lang w:val="en-US" w:eastAsia="zh-CN" w:bidi="ar-SA"/>
                    </w:rPr>
                  </w:pPr>
                  <w:r>
                    <w:rPr>
                      <w:rFonts w:hint="default" w:ascii="Times New Roman" w:eastAsia="宋体" w:cs="Times New Roman"/>
                      <w:color w:val="auto"/>
                      <w:spacing w:val="-10"/>
                      <w:kern w:val="0"/>
                      <w:sz w:val="21"/>
                      <w:szCs w:val="21"/>
                      <w:lang w:val="en-US" w:eastAsia="zh-CN" w:bidi="ar-SA"/>
                    </w:rPr>
                    <w:t>原料包装</w:t>
                  </w:r>
                </w:p>
              </w:tc>
              <w:tc>
                <w:tcPr>
                  <w:tcW w:w="983" w:type="pct"/>
                  <w:shd w:val="clear" w:color="auto" w:fill="auto"/>
                  <w:vAlign w:val="center"/>
                </w:tcPr>
                <w:p w14:paraId="651CE4FD">
                  <w:pPr>
                    <w:pStyle w:val="34"/>
                    <w:spacing w:before="0" w:beforeLines="0" w:after="0" w:afterLines="0" w:line="240" w:lineRule="auto"/>
                    <w:ind w:firstLine="0" w:firstLineChars="0"/>
                    <w:rPr>
                      <w:rFonts w:hint="eastAsia" w:ascii="Times New Roman" w:hAnsi="宋体" w:eastAsia="宋体" w:cs="Times New Roman"/>
                      <w:color w:val="auto"/>
                      <w:spacing w:val="-10"/>
                      <w:kern w:val="0"/>
                      <w:sz w:val="21"/>
                      <w:szCs w:val="21"/>
                      <w:lang w:val="en-US" w:eastAsia="zh-CN" w:bidi="ar-SA"/>
                    </w:rPr>
                  </w:pPr>
                  <w:r>
                    <w:rPr>
                      <w:rFonts w:hint="eastAsia" w:ascii="Times New Roman" w:hAnsi="宋体" w:eastAsia="宋体" w:cs="Times New Roman"/>
                      <w:color w:val="auto"/>
                      <w:spacing w:val="-10"/>
                      <w:kern w:val="0"/>
                      <w:sz w:val="21"/>
                      <w:szCs w:val="21"/>
                      <w:lang w:val="en-US" w:eastAsia="zh-CN" w:bidi="ar-SA"/>
                    </w:rPr>
                    <w:t>废包装材料</w:t>
                  </w:r>
                </w:p>
              </w:tc>
              <w:tc>
                <w:tcPr>
                  <w:tcW w:w="1620" w:type="pct"/>
                  <w:vMerge w:val="continue"/>
                  <w:vAlign w:val="center"/>
                </w:tcPr>
                <w:p w14:paraId="5CCB448E">
                  <w:pPr>
                    <w:pStyle w:val="34"/>
                    <w:spacing w:before="0" w:beforeLines="0" w:after="0" w:afterLines="0" w:line="240" w:lineRule="auto"/>
                    <w:rPr>
                      <w:rFonts w:hint="eastAsia" w:ascii="Times New Roman" w:eastAsia="宋体"/>
                      <w:color w:val="auto"/>
                      <w:sz w:val="21"/>
                      <w:szCs w:val="21"/>
                    </w:rPr>
                  </w:pPr>
                </w:p>
              </w:tc>
            </w:tr>
            <w:tr w14:paraId="6FF4171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95" w:type="pct"/>
                  <w:vMerge w:val="continue"/>
                  <w:vAlign w:val="center"/>
                </w:tcPr>
                <w:p w14:paraId="43ACDE82">
                  <w:pPr>
                    <w:pStyle w:val="34"/>
                    <w:spacing w:before="0" w:beforeLines="0" w:after="0" w:afterLines="0" w:line="240" w:lineRule="auto"/>
                    <w:rPr>
                      <w:rFonts w:hint="eastAsia" w:ascii="Times New Roman" w:eastAsia="宋体"/>
                      <w:color w:val="auto"/>
                      <w:sz w:val="21"/>
                      <w:szCs w:val="21"/>
                    </w:rPr>
                  </w:pPr>
                </w:p>
              </w:tc>
              <w:tc>
                <w:tcPr>
                  <w:tcW w:w="455" w:type="pct"/>
                  <w:shd w:val="clear" w:color="auto" w:fill="auto"/>
                  <w:vAlign w:val="center"/>
                </w:tcPr>
                <w:p w14:paraId="4299C425">
                  <w:pPr>
                    <w:spacing w:before="0" w:beforeLines="0" w:after="0" w:afterLines="0" w:line="240" w:lineRule="auto"/>
                    <w:jc w:val="center"/>
                    <w:rPr>
                      <w:rFonts w:hint="default" w:ascii="Times New Roman" w:hAnsi="宋体" w:eastAsia="宋体" w:cs="Times New Roman"/>
                      <w:color w:val="auto"/>
                      <w:spacing w:val="-10"/>
                      <w:kern w:val="0"/>
                      <w:sz w:val="21"/>
                      <w:szCs w:val="21"/>
                      <w:lang w:val="en-US" w:eastAsia="zh-CN" w:bidi="ar-SA"/>
                    </w:rPr>
                  </w:pPr>
                  <w:r>
                    <w:rPr>
                      <w:rFonts w:hint="eastAsia" w:ascii="Times New Roman" w:hAnsi="宋体" w:eastAsia="宋体" w:cs="Times New Roman"/>
                      <w:color w:val="auto"/>
                      <w:spacing w:val="-10"/>
                      <w:kern w:val="0"/>
                      <w:sz w:val="21"/>
                      <w:szCs w:val="21"/>
                      <w:lang w:val="en-US" w:eastAsia="zh-CN" w:bidi="ar-SA"/>
                    </w:rPr>
                    <w:t>S27</w:t>
                  </w:r>
                </w:p>
              </w:tc>
              <w:tc>
                <w:tcPr>
                  <w:tcW w:w="1544" w:type="pct"/>
                  <w:gridSpan w:val="2"/>
                  <w:shd w:val="clear" w:color="auto" w:fill="auto"/>
                  <w:vAlign w:val="center"/>
                </w:tcPr>
                <w:p w14:paraId="66A7000E">
                  <w:pPr>
                    <w:pStyle w:val="34"/>
                    <w:spacing w:before="0" w:beforeLines="0" w:after="0" w:afterLines="0" w:line="240" w:lineRule="auto"/>
                    <w:ind w:firstLine="0" w:firstLineChars="0"/>
                    <w:rPr>
                      <w:rFonts w:hint="default" w:ascii="Times New Roman" w:eastAsia="宋体" w:cs="Times New Roman"/>
                      <w:color w:val="auto"/>
                      <w:spacing w:val="-10"/>
                      <w:kern w:val="0"/>
                      <w:sz w:val="21"/>
                      <w:szCs w:val="21"/>
                      <w:lang w:val="en-US" w:eastAsia="zh-CN" w:bidi="ar-SA"/>
                    </w:rPr>
                  </w:pPr>
                  <w:r>
                    <w:rPr>
                      <w:rFonts w:hint="eastAsia" w:ascii="Times New Roman" w:eastAsia="宋体" w:cs="Times New Roman"/>
                      <w:color w:val="auto"/>
                      <w:spacing w:val="-10"/>
                      <w:kern w:val="0"/>
                      <w:sz w:val="21"/>
                      <w:szCs w:val="21"/>
                      <w:lang w:val="en-US" w:eastAsia="zh-CN" w:bidi="ar-SA"/>
                    </w:rPr>
                    <w:t>真空炉更换</w:t>
                  </w:r>
                </w:p>
              </w:tc>
              <w:tc>
                <w:tcPr>
                  <w:tcW w:w="983" w:type="pct"/>
                  <w:shd w:val="clear" w:color="auto" w:fill="auto"/>
                  <w:vAlign w:val="center"/>
                </w:tcPr>
                <w:p w14:paraId="65BA7F8D">
                  <w:pPr>
                    <w:pStyle w:val="34"/>
                    <w:spacing w:before="0" w:beforeLines="0" w:after="0" w:afterLines="0" w:line="240" w:lineRule="auto"/>
                    <w:ind w:firstLine="0" w:firstLineChars="0"/>
                    <w:rPr>
                      <w:rFonts w:hint="eastAsia" w:ascii="Times New Roman" w:hAnsi="宋体" w:eastAsia="宋体" w:cs="Times New Roman"/>
                      <w:color w:val="auto"/>
                      <w:spacing w:val="-10"/>
                      <w:kern w:val="0"/>
                      <w:sz w:val="21"/>
                      <w:szCs w:val="21"/>
                      <w:lang w:val="en-US" w:eastAsia="zh-CN" w:bidi="ar-SA"/>
                    </w:rPr>
                  </w:pPr>
                  <w:r>
                    <w:rPr>
                      <w:rFonts w:hint="eastAsia" w:ascii="Times New Roman" w:hAnsi="宋体" w:eastAsia="宋体" w:cs="Times New Roman"/>
                      <w:color w:val="auto"/>
                      <w:spacing w:val="-10"/>
                      <w:kern w:val="0"/>
                      <w:sz w:val="21"/>
                      <w:szCs w:val="21"/>
                      <w:lang w:val="en-US" w:eastAsia="zh-CN" w:bidi="ar-SA"/>
                    </w:rPr>
                    <w:t>废耐火材料</w:t>
                  </w:r>
                </w:p>
              </w:tc>
              <w:tc>
                <w:tcPr>
                  <w:tcW w:w="1620" w:type="pct"/>
                  <w:vMerge w:val="continue"/>
                  <w:vAlign w:val="center"/>
                </w:tcPr>
                <w:p w14:paraId="2613F7ED">
                  <w:pPr>
                    <w:pStyle w:val="34"/>
                    <w:spacing w:before="0" w:beforeLines="0" w:after="0" w:afterLines="0" w:line="240" w:lineRule="auto"/>
                    <w:rPr>
                      <w:rFonts w:hint="eastAsia" w:ascii="Times New Roman" w:eastAsia="宋体"/>
                      <w:color w:val="auto"/>
                      <w:sz w:val="21"/>
                      <w:szCs w:val="21"/>
                    </w:rPr>
                  </w:pPr>
                </w:p>
              </w:tc>
            </w:tr>
            <w:tr w14:paraId="004233A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95" w:type="pct"/>
                  <w:vMerge w:val="continue"/>
                  <w:vAlign w:val="center"/>
                </w:tcPr>
                <w:p w14:paraId="12C571C5">
                  <w:pPr>
                    <w:pStyle w:val="34"/>
                    <w:spacing w:before="0" w:beforeLines="0" w:after="0" w:afterLines="0" w:line="240" w:lineRule="auto"/>
                    <w:rPr>
                      <w:rFonts w:ascii="Times New Roman" w:eastAsia="宋体"/>
                      <w:color w:val="auto"/>
                      <w:sz w:val="21"/>
                      <w:szCs w:val="21"/>
                    </w:rPr>
                  </w:pPr>
                </w:p>
              </w:tc>
              <w:tc>
                <w:tcPr>
                  <w:tcW w:w="455" w:type="pct"/>
                  <w:shd w:val="clear" w:color="auto" w:fill="auto"/>
                  <w:vAlign w:val="center"/>
                </w:tcPr>
                <w:p w14:paraId="1A6371A9">
                  <w:pPr>
                    <w:spacing w:before="0" w:beforeLines="0" w:after="0" w:afterLines="0" w:line="240" w:lineRule="auto"/>
                    <w:jc w:val="center"/>
                    <w:rPr>
                      <w:rFonts w:hint="default" w:ascii="Times New Roman" w:hAnsi="宋体" w:eastAsia="宋体" w:cs="Times New Roman"/>
                      <w:color w:val="auto"/>
                      <w:spacing w:val="-10"/>
                      <w:kern w:val="0"/>
                      <w:sz w:val="21"/>
                      <w:szCs w:val="21"/>
                      <w:lang w:val="en-US" w:eastAsia="zh-CN" w:bidi="ar-SA"/>
                    </w:rPr>
                  </w:pPr>
                  <w:r>
                    <w:rPr>
                      <w:rFonts w:hint="eastAsia" w:ascii="Times New Roman" w:hAnsi="宋体" w:eastAsia="宋体" w:cs="Times New Roman"/>
                      <w:color w:val="auto"/>
                      <w:spacing w:val="-10"/>
                      <w:kern w:val="0"/>
                      <w:sz w:val="21"/>
                      <w:szCs w:val="21"/>
                      <w:lang w:val="en-US" w:eastAsia="zh-CN" w:bidi="ar-SA"/>
                    </w:rPr>
                    <w:t>S1、S</w:t>
                  </w:r>
                  <w:r>
                    <w:rPr>
                      <w:rFonts w:hint="eastAsia" w:hAnsi="宋体" w:cs="Times New Roman"/>
                      <w:color w:val="auto"/>
                      <w:spacing w:val="-10"/>
                      <w:kern w:val="0"/>
                      <w:sz w:val="21"/>
                      <w:szCs w:val="21"/>
                      <w:lang w:val="en-US" w:eastAsia="zh-CN" w:bidi="ar-SA"/>
                    </w:rPr>
                    <w:t>10</w:t>
                  </w:r>
                  <w:r>
                    <w:rPr>
                      <w:rFonts w:hint="eastAsia" w:ascii="Times New Roman" w:hAnsi="宋体" w:eastAsia="宋体" w:cs="Times New Roman"/>
                      <w:color w:val="auto"/>
                      <w:spacing w:val="-10"/>
                      <w:kern w:val="0"/>
                      <w:sz w:val="21"/>
                      <w:szCs w:val="21"/>
                      <w:lang w:val="en-US" w:eastAsia="zh-CN" w:bidi="ar-SA"/>
                    </w:rPr>
                    <w:t>、S</w:t>
                  </w:r>
                  <w:r>
                    <w:rPr>
                      <w:rFonts w:hint="eastAsia" w:hAnsi="宋体" w:cs="Times New Roman"/>
                      <w:color w:val="auto"/>
                      <w:spacing w:val="-10"/>
                      <w:kern w:val="0"/>
                      <w:sz w:val="21"/>
                      <w:szCs w:val="21"/>
                      <w:lang w:val="en-US" w:eastAsia="zh-CN" w:bidi="ar-SA"/>
                    </w:rPr>
                    <w:t>5</w:t>
                  </w:r>
                </w:p>
              </w:tc>
              <w:tc>
                <w:tcPr>
                  <w:tcW w:w="1544" w:type="pct"/>
                  <w:gridSpan w:val="2"/>
                  <w:shd w:val="clear" w:color="auto" w:fill="auto"/>
                  <w:vAlign w:val="center"/>
                </w:tcPr>
                <w:p w14:paraId="5A9FDF3A">
                  <w:pPr>
                    <w:pStyle w:val="34"/>
                    <w:spacing w:before="0" w:beforeLines="0" w:after="0" w:afterLines="0" w:line="240" w:lineRule="auto"/>
                    <w:ind w:firstLine="0" w:firstLineChars="0"/>
                    <w:rPr>
                      <w:rFonts w:hint="eastAsia" w:ascii="Times New Roman" w:hAnsi="宋体" w:eastAsia="宋体" w:cs="Times New Roman"/>
                      <w:color w:val="auto"/>
                      <w:spacing w:val="-10"/>
                      <w:kern w:val="0"/>
                      <w:sz w:val="21"/>
                      <w:szCs w:val="21"/>
                      <w:lang w:val="en-US" w:eastAsia="zh-CN" w:bidi="ar-SA"/>
                    </w:rPr>
                  </w:pPr>
                  <w:r>
                    <w:rPr>
                      <w:rFonts w:hint="eastAsia" w:ascii="Times New Roman" w:hAnsi="宋体" w:eastAsia="宋体" w:cs="Times New Roman"/>
                      <w:color w:val="auto"/>
                      <w:spacing w:val="-10"/>
                      <w:kern w:val="0"/>
                      <w:sz w:val="21"/>
                      <w:szCs w:val="21"/>
                      <w:lang w:val="en-US" w:eastAsia="zh-CN" w:bidi="ar-SA"/>
                    </w:rPr>
                    <w:t>钻孔</w:t>
                  </w:r>
                  <w:r>
                    <w:rPr>
                      <w:rFonts w:hint="eastAsia" w:ascii="Times New Roman" w:eastAsia="宋体" w:cs="Times New Roman"/>
                      <w:color w:val="auto"/>
                      <w:spacing w:val="-10"/>
                      <w:kern w:val="0"/>
                      <w:sz w:val="21"/>
                      <w:szCs w:val="21"/>
                      <w:lang w:val="en-US" w:eastAsia="zh-CN" w:bidi="ar-SA"/>
                    </w:rPr>
                    <w:t>、倒角</w:t>
                  </w:r>
                </w:p>
              </w:tc>
              <w:tc>
                <w:tcPr>
                  <w:tcW w:w="983" w:type="pct"/>
                  <w:shd w:val="clear" w:color="auto" w:fill="auto"/>
                  <w:vAlign w:val="center"/>
                </w:tcPr>
                <w:p w14:paraId="25950D6A">
                  <w:pPr>
                    <w:pStyle w:val="34"/>
                    <w:spacing w:before="0" w:beforeLines="0" w:after="0" w:afterLines="0" w:line="240" w:lineRule="auto"/>
                    <w:ind w:firstLine="0" w:firstLineChars="0"/>
                    <w:rPr>
                      <w:rFonts w:hint="eastAsia" w:ascii="Times New Roman" w:hAnsi="宋体" w:eastAsia="宋体" w:cs="Times New Roman"/>
                      <w:color w:val="auto"/>
                      <w:spacing w:val="-10"/>
                      <w:kern w:val="0"/>
                      <w:sz w:val="21"/>
                      <w:szCs w:val="21"/>
                      <w:lang w:val="en-US" w:eastAsia="zh-CN" w:bidi="ar-SA"/>
                    </w:rPr>
                  </w:pPr>
                  <w:r>
                    <w:rPr>
                      <w:rFonts w:hint="eastAsia" w:ascii="Times New Roman" w:hAnsi="宋体" w:eastAsia="宋体" w:cs="Times New Roman"/>
                      <w:color w:val="auto"/>
                      <w:spacing w:val="-10"/>
                      <w:kern w:val="0"/>
                      <w:sz w:val="21"/>
                      <w:szCs w:val="21"/>
                      <w:lang w:val="en-US" w:eastAsia="zh-CN" w:bidi="ar-SA"/>
                    </w:rPr>
                    <w:t>废深孔钻油</w:t>
                  </w:r>
                </w:p>
              </w:tc>
              <w:tc>
                <w:tcPr>
                  <w:tcW w:w="1620" w:type="pct"/>
                  <w:vMerge w:val="restart"/>
                  <w:vAlign w:val="center"/>
                </w:tcPr>
                <w:p w14:paraId="79635276">
                  <w:pPr>
                    <w:pStyle w:val="34"/>
                    <w:spacing w:before="0" w:beforeLines="0" w:after="0" w:afterLines="0" w:line="240" w:lineRule="auto"/>
                    <w:rPr>
                      <w:rFonts w:hint="eastAsia" w:ascii="Times New Roman" w:eastAsia="宋体"/>
                      <w:color w:val="auto"/>
                      <w:sz w:val="21"/>
                      <w:szCs w:val="21"/>
                    </w:rPr>
                  </w:pPr>
                  <w:r>
                    <w:rPr>
                      <w:rFonts w:hint="eastAsia" w:ascii="Times New Roman" w:eastAsia="宋体"/>
                      <w:color w:val="auto"/>
                      <w:sz w:val="21"/>
                      <w:szCs w:val="21"/>
                    </w:rPr>
                    <w:t>委托资质单位处置</w:t>
                  </w:r>
                </w:p>
              </w:tc>
            </w:tr>
            <w:tr w14:paraId="30C7675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95" w:type="pct"/>
                  <w:vMerge w:val="continue"/>
                  <w:vAlign w:val="center"/>
                </w:tcPr>
                <w:p w14:paraId="692B5B0A">
                  <w:pPr>
                    <w:pStyle w:val="34"/>
                    <w:spacing w:before="0" w:beforeLines="0" w:after="0" w:afterLines="0" w:line="240" w:lineRule="auto"/>
                    <w:rPr>
                      <w:rFonts w:ascii="Times New Roman" w:eastAsia="宋体"/>
                      <w:color w:val="auto"/>
                      <w:sz w:val="21"/>
                      <w:szCs w:val="21"/>
                    </w:rPr>
                  </w:pPr>
                </w:p>
              </w:tc>
              <w:tc>
                <w:tcPr>
                  <w:tcW w:w="455" w:type="pct"/>
                  <w:shd w:val="clear" w:color="auto" w:fill="auto"/>
                  <w:vAlign w:val="center"/>
                </w:tcPr>
                <w:p w14:paraId="22C238A9">
                  <w:pPr>
                    <w:spacing w:before="0" w:beforeLines="0" w:after="0" w:afterLines="0" w:line="240" w:lineRule="auto"/>
                    <w:jc w:val="center"/>
                    <w:rPr>
                      <w:rFonts w:hint="eastAsia" w:ascii="Times New Roman" w:hAnsi="宋体" w:eastAsia="宋体" w:cs="Times New Roman"/>
                      <w:color w:val="auto"/>
                      <w:spacing w:val="-10"/>
                      <w:kern w:val="0"/>
                      <w:sz w:val="21"/>
                      <w:szCs w:val="21"/>
                      <w:lang w:val="en-US" w:eastAsia="zh-CN" w:bidi="ar-SA"/>
                    </w:rPr>
                  </w:pPr>
                  <w:r>
                    <w:rPr>
                      <w:rFonts w:hint="eastAsia" w:ascii="Times New Roman" w:hAnsi="宋体" w:eastAsia="宋体" w:cs="Times New Roman"/>
                      <w:color w:val="auto"/>
                      <w:spacing w:val="-10"/>
                      <w:kern w:val="0"/>
                      <w:sz w:val="21"/>
                      <w:szCs w:val="21"/>
                      <w:lang w:val="en-US" w:eastAsia="zh-CN" w:bidi="ar-SA"/>
                    </w:rPr>
                    <w:t>S</w:t>
                  </w:r>
                  <w:r>
                    <w:rPr>
                      <w:rFonts w:hint="eastAsia" w:hAnsi="宋体" w:cs="Times New Roman"/>
                      <w:color w:val="auto"/>
                      <w:spacing w:val="-10"/>
                      <w:kern w:val="0"/>
                      <w:sz w:val="21"/>
                      <w:szCs w:val="21"/>
                      <w:lang w:val="en-US" w:eastAsia="zh-CN" w:bidi="ar-SA"/>
                    </w:rPr>
                    <w:t>8</w:t>
                  </w:r>
                  <w:r>
                    <w:rPr>
                      <w:rFonts w:hint="eastAsia" w:ascii="Times New Roman" w:hAnsi="宋体" w:eastAsia="宋体" w:cs="Times New Roman"/>
                      <w:color w:val="auto"/>
                      <w:spacing w:val="-10"/>
                      <w:kern w:val="0"/>
                      <w:sz w:val="21"/>
                      <w:szCs w:val="21"/>
                      <w:lang w:val="en-US" w:eastAsia="zh-CN" w:bidi="ar-SA"/>
                    </w:rPr>
                    <w:t>、S2</w:t>
                  </w:r>
                </w:p>
              </w:tc>
              <w:tc>
                <w:tcPr>
                  <w:tcW w:w="1544" w:type="pct"/>
                  <w:gridSpan w:val="2"/>
                  <w:shd w:val="clear" w:color="auto" w:fill="auto"/>
                  <w:vAlign w:val="center"/>
                </w:tcPr>
                <w:p w14:paraId="0F9B64F8">
                  <w:pPr>
                    <w:pStyle w:val="34"/>
                    <w:spacing w:before="0" w:beforeLines="0" w:after="0" w:afterLines="0" w:line="240" w:lineRule="auto"/>
                    <w:ind w:firstLine="0" w:firstLineChars="0"/>
                    <w:rPr>
                      <w:rFonts w:hint="eastAsia" w:ascii="Times New Roman" w:hAnsi="宋体" w:eastAsia="宋体" w:cs="Times New Roman"/>
                      <w:color w:val="auto"/>
                      <w:spacing w:val="-10"/>
                      <w:kern w:val="0"/>
                      <w:sz w:val="21"/>
                      <w:szCs w:val="21"/>
                      <w:lang w:val="en-US" w:eastAsia="zh-CN" w:bidi="ar-SA"/>
                    </w:rPr>
                  </w:pPr>
                  <w:r>
                    <w:rPr>
                      <w:rFonts w:hint="eastAsia" w:ascii="Times New Roman" w:hAnsi="宋体" w:eastAsia="宋体" w:cs="Times New Roman"/>
                      <w:color w:val="auto"/>
                      <w:spacing w:val="-10"/>
                      <w:kern w:val="0"/>
                      <w:sz w:val="21"/>
                      <w:szCs w:val="21"/>
                      <w:lang w:val="en-US" w:eastAsia="zh-CN" w:bidi="ar-SA"/>
                    </w:rPr>
                    <w:t>CNC加工、精加工</w:t>
                  </w:r>
                </w:p>
              </w:tc>
              <w:tc>
                <w:tcPr>
                  <w:tcW w:w="983" w:type="pct"/>
                  <w:shd w:val="clear" w:color="auto" w:fill="auto"/>
                  <w:vAlign w:val="center"/>
                </w:tcPr>
                <w:p w14:paraId="2BC912D9">
                  <w:pPr>
                    <w:pStyle w:val="34"/>
                    <w:spacing w:before="0" w:beforeLines="0" w:after="0" w:afterLines="0" w:line="240" w:lineRule="auto"/>
                    <w:ind w:firstLine="0" w:firstLineChars="0"/>
                    <w:rPr>
                      <w:rFonts w:hint="eastAsia" w:ascii="Times New Roman" w:hAnsi="宋体" w:eastAsia="宋体" w:cs="Times New Roman"/>
                      <w:color w:val="auto"/>
                      <w:spacing w:val="-10"/>
                      <w:kern w:val="0"/>
                      <w:sz w:val="21"/>
                      <w:szCs w:val="21"/>
                      <w:lang w:val="en-US" w:eastAsia="zh-CN" w:bidi="ar-SA"/>
                    </w:rPr>
                  </w:pPr>
                  <w:r>
                    <w:rPr>
                      <w:rFonts w:hint="eastAsia" w:ascii="Times New Roman" w:hAnsi="宋体" w:eastAsia="宋体" w:cs="Times New Roman"/>
                      <w:color w:val="auto"/>
                      <w:spacing w:val="-10"/>
                      <w:kern w:val="0"/>
                      <w:sz w:val="21"/>
                      <w:szCs w:val="21"/>
                      <w:lang w:val="en-US" w:eastAsia="zh-CN" w:bidi="ar-SA"/>
                    </w:rPr>
                    <w:t>废切削液</w:t>
                  </w:r>
                </w:p>
              </w:tc>
              <w:tc>
                <w:tcPr>
                  <w:tcW w:w="1620" w:type="pct"/>
                  <w:vMerge w:val="continue"/>
                  <w:vAlign w:val="center"/>
                </w:tcPr>
                <w:p w14:paraId="15E8AAAA">
                  <w:pPr>
                    <w:pStyle w:val="34"/>
                    <w:spacing w:before="0" w:beforeLines="0" w:after="0" w:afterLines="0" w:line="240" w:lineRule="auto"/>
                    <w:rPr>
                      <w:rFonts w:hint="eastAsia" w:ascii="Times New Roman" w:eastAsia="宋体"/>
                      <w:color w:val="auto"/>
                      <w:sz w:val="21"/>
                      <w:szCs w:val="21"/>
                    </w:rPr>
                  </w:pPr>
                </w:p>
              </w:tc>
            </w:tr>
            <w:tr w14:paraId="49D0F44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95" w:type="pct"/>
                  <w:vMerge w:val="continue"/>
                  <w:vAlign w:val="center"/>
                </w:tcPr>
                <w:p w14:paraId="3EFEAC2B">
                  <w:pPr>
                    <w:pStyle w:val="34"/>
                    <w:spacing w:before="0" w:beforeLines="0" w:after="0" w:afterLines="0" w:line="240" w:lineRule="auto"/>
                    <w:rPr>
                      <w:rFonts w:ascii="Times New Roman" w:eastAsia="宋体"/>
                      <w:color w:val="auto"/>
                      <w:sz w:val="21"/>
                      <w:szCs w:val="21"/>
                    </w:rPr>
                  </w:pPr>
                </w:p>
              </w:tc>
              <w:tc>
                <w:tcPr>
                  <w:tcW w:w="455" w:type="pct"/>
                  <w:shd w:val="clear" w:color="auto" w:fill="auto"/>
                  <w:vAlign w:val="center"/>
                </w:tcPr>
                <w:p w14:paraId="488DC7A5">
                  <w:pPr>
                    <w:spacing w:before="0" w:beforeLines="0" w:after="0" w:afterLines="0" w:line="240" w:lineRule="auto"/>
                    <w:jc w:val="center"/>
                    <w:rPr>
                      <w:rFonts w:hint="eastAsia" w:ascii="Times New Roman" w:hAnsi="宋体" w:eastAsia="宋体" w:cs="Times New Roman"/>
                      <w:color w:val="auto"/>
                      <w:spacing w:val="-10"/>
                      <w:kern w:val="0"/>
                      <w:sz w:val="21"/>
                      <w:szCs w:val="21"/>
                      <w:lang w:val="en-US" w:eastAsia="zh-CN" w:bidi="ar-SA"/>
                    </w:rPr>
                  </w:pPr>
                  <w:r>
                    <w:rPr>
                      <w:rFonts w:hint="eastAsia" w:ascii="Times New Roman" w:hAnsi="宋体" w:eastAsia="宋体" w:cs="Times New Roman"/>
                      <w:color w:val="auto"/>
                      <w:spacing w:val="-10"/>
                      <w:kern w:val="0"/>
                      <w:sz w:val="21"/>
                      <w:szCs w:val="21"/>
                      <w:lang w:val="en-US" w:eastAsia="zh-CN" w:bidi="ar-SA"/>
                    </w:rPr>
                    <w:t>S1</w:t>
                  </w:r>
                  <w:r>
                    <w:rPr>
                      <w:rFonts w:hint="eastAsia" w:hAnsi="宋体" w:cs="Times New Roman"/>
                      <w:color w:val="auto"/>
                      <w:spacing w:val="-10"/>
                      <w:kern w:val="0"/>
                      <w:sz w:val="21"/>
                      <w:szCs w:val="21"/>
                      <w:lang w:val="en-US" w:eastAsia="zh-CN" w:bidi="ar-SA"/>
                    </w:rPr>
                    <w:t>3</w:t>
                  </w:r>
                </w:p>
              </w:tc>
              <w:tc>
                <w:tcPr>
                  <w:tcW w:w="1544" w:type="pct"/>
                  <w:gridSpan w:val="2"/>
                  <w:shd w:val="clear" w:color="auto" w:fill="auto"/>
                  <w:vAlign w:val="center"/>
                </w:tcPr>
                <w:p w14:paraId="07594EFD">
                  <w:pPr>
                    <w:pStyle w:val="34"/>
                    <w:spacing w:before="0" w:beforeLines="0" w:after="0" w:afterLines="0" w:line="240" w:lineRule="auto"/>
                    <w:ind w:firstLine="0" w:firstLineChars="0"/>
                    <w:rPr>
                      <w:rFonts w:hint="eastAsia" w:ascii="Times New Roman" w:hAnsi="宋体" w:eastAsia="宋体" w:cs="Times New Roman"/>
                      <w:color w:val="auto"/>
                      <w:spacing w:val="-10"/>
                      <w:kern w:val="0"/>
                      <w:sz w:val="21"/>
                      <w:szCs w:val="21"/>
                      <w:lang w:val="en-US" w:eastAsia="zh-CN" w:bidi="ar-SA"/>
                    </w:rPr>
                  </w:pPr>
                  <w:r>
                    <w:rPr>
                      <w:rFonts w:hint="eastAsia" w:ascii="Times New Roman" w:hAnsi="宋体" w:eastAsia="宋体" w:cs="Times New Roman"/>
                      <w:color w:val="auto"/>
                      <w:spacing w:val="-10"/>
                      <w:kern w:val="0"/>
                      <w:sz w:val="21"/>
                      <w:szCs w:val="21"/>
                      <w:lang w:val="en-US" w:eastAsia="zh-CN" w:bidi="ar-SA"/>
                    </w:rPr>
                    <w:t>包装</w:t>
                  </w:r>
                </w:p>
              </w:tc>
              <w:tc>
                <w:tcPr>
                  <w:tcW w:w="983" w:type="pct"/>
                  <w:shd w:val="clear" w:color="auto" w:fill="auto"/>
                  <w:vAlign w:val="center"/>
                </w:tcPr>
                <w:p w14:paraId="51336CC4">
                  <w:pPr>
                    <w:pStyle w:val="34"/>
                    <w:spacing w:before="0" w:beforeLines="0" w:after="0" w:afterLines="0" w:line="240" w:lineRule="auto"/>
                    <w:ind w:firstLine="0" w:firstLineChars="0"/>
                    <w:rPr>
                      <w:rFonts w:hint="eastAsia" w:ascii="Times New Roman" w:hAnsi="宋体" w:eastAsia="宋体" w:cs="Times New Roman"/>
                      <w:color w:val="auto"/>
                      <w:spacing w:val="-10"/>
                      <w:kern w:val="0"/>
                      <w:sz w:val="21"/>
                      <w:szCs w:val="21"/>
                      <w:lang w:val="en-US" w:eastAsia="zh-CN" w:bidi="ar-SA"/>
                    </w:rPr>
                  </w:pPr>
                  <w:r>
                    <w:rPr>
                      <w:rFonts w:hint="eastAsia" w:ascii="Times New Roman" w:hAnsi="宋体" w:eastAsia="宋体" w:cs="Times New Roman"/>
                      <w:color w:val="auto"/>
                      <w:spacing w:val="-10"/>
                      <w:kern w:val="0"/>
                      <w:sz w:val="21"/>
                      <w:szCs w:val="21"/>
                      <w:lang w:val="en-US" w:eastAsia="zh-CN" w:bidi="ar-SA"/>
                    </w:rPr>
                    <w:t>废刷子</w:t>
                  </w:r>
                </w:p>
              </w:tc>
              <w:tc>
                <w:tcPr>
                  <w:tcW w:w="1620" w:type="pct"/>
                  <w:vMerge w:val="continue"/>
                  <w:vAlign w:val="center"/>
                </w:tcPr>
                <w:p w14:paraId="145F2A89">
                  <w:pPr>
                    <w:pStyle w:val="34"/>
                    <w:spacing w:before="0" w:beforeLines="0" w:after="0" w:afterLines="0" w:line="240" w:lineRule="auto"/>
                    <w:rPr>
                      <w:rFonts w:hint="eastAsia" w:ascii="Times New Roman" w:eastAsia="宋体"/>
                      <w:color w:val="auto"/>
                      <w:sz w:val="21"/>
                      <w:szCs w:val="21"/>
                    </w:rPr>
                  </w:pPr>
                </w:p>
              </w:tc>
            </w:tr>
            <w:tr w14:paraId="7790E4A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95" w:type="pct"/>
                  <w:vMerge w:val="continue"/>
                  <w:vAlign w:val="center"/>
                </w:tcPr>
                <w:p w14:paraId="4216B30C">
                  <w:pPr>
                    <w:pStyle w:val="34"/>
                    <w:spacing w:before="0" w:beforeLines="0" w:after="0" w:afterLines="0" w:line="240" w:lineRule="auto"/>
                    <w:rPr>
                      <w:rFonts w:ascii="Times New Roman" w:eastAsia="宋体"/>
                      <w:color w:val="auto"/>
                      <w:sz w:val="21"/>
                      <w:szCs w:val="21"/>
                    </w:rPr>
                  </w:pPr>
                </w:p>
              </w:tc>
              <w:tc>
                <w:tcPr>
                  <w:tcW w:w="455" w:type="pct"/>
                  <w:shd w:val="clear" w:color="auto" w:fill="auto"/>
                  <w:vAlign w:val="center"/>
                </w:tcPr>
                <w:p w14:paraId="696FE0BD">
                  <w:pPr>
                    <w:pStyle w:val="34"/>
                    <w:spacing w:before="0" w:beforeLines="0" w:after="0" w:afterLines="0" w:line="240" w:lineRule="auto"/>
                    <w:ind w:firstLine="0" w:firstLineChars="0"/>
                    <w:rPr>
                      <w:rFonts w:hint="eastAsia" w:ascii="Times New Roman" w:hAnsi="宋体" w:eastAsia="宋体" w:cs="Times New Roman"/>
                      <w:color w:val="auto"/>
                      <w:spacing w:val="-10"/>
                      <w:kern w:val="0"/>
                      <w:sz w:val="21"/>
                      <w:szCs w:val="21"/>
                      <w:lang w:val="en-US" w:eastAsia="zh-CN" w:bidi="ar-SA"/>
                    </w:rPr>
                  </w:pPr>
                  <w:r>
                    <w:rPr>
                      <w:rFonts w:hint="eastAsia" w:ascii="Times New Roman" w:hAnsi="宋体" w:eastAsia="宋体" w:cs="Times New Roman"/>
                      <w:color w:val="auto"/>
                      <w:spacing w:val="-10"/>
                      <w:kern w:val="0"/>
                      <w:sz w:val="21"/>
                      <w:szCs w:val="21"/>
                      <w:lang w:val="en-US" w:eastAsia="zh-CN" w:bidi="ar-SA"/>
                    </w:rPr>
                    <w:t>S1</w:t>
                  </w:r>
                  <w:r>
                    <w:rPr>
                      <w:rFonts w:hint="eastAsia" w:ascii="Times New Roman" w:eastAsia="宋体" w:cs="Times New Roman"/>
                      <w:color w:val="auto"/>
                      <w:spacing w:val="-10"/>
                      <w:kern w:val="0"/>
                      <w:sz w:val="21"/>
                      <w:szCs w:val="21"/>
                      <w:lang w:val="en-US" w:eastAsia="zh-CN" w:bidi="ar-SA"/>
                    </w:rPr>
                    <w:t>5</w:t>
                  </w:r>
                </w:p>
              </w:tc>
              <w:tc>
                <w:tcPr>
                  <w:tcW w:w="1544" w:type="pct"/>
                  <w:gridSpan w:val="2"/>
                  <w:shd w:val="clear" w:color="auto" w:fill="auto"/>
                  <w:vAlign w:val="center"/>
                </w:tcPr>
                <w:p w14:paraId="22DD8073">
                  <w:pPr>
                    <w:pStyle w:val="34"/>
                    <w:spacing w:before="0" w:beforeLines="0" w:after="0" w:afterLines="0" w:line="240" w:lineRule="auto"/>
                    <w:ind w:firstLine="0" w:firstLineChars="0"/>
                    <w:rPr>
                      <w:rFonts w:hint="default" w:ascii="Times New Roman" w:hAnsi="宋体" w:eastAsia="宋体" w:cs="Times New Roman"/>
                      <w:color w:val="auto"/>
                      <w:spacing w:val="-10"/>
                      <w:kern w:val="0"/>
                      <w:sz w:val="21"/>
                      <w:szCs w:val="21"/>
                      <w:lang w:val="en-US" w:eastAsia="zh-CN" w:bidi="ar-SA"/>
                    </w:rPr>
                  </w:pPr>
                  <w:r>
                    <w:rPr>
                      <w:rFonts w:hint="eastAsia" w:ascii="Times New Roman" w:eastAsia="宋体" w:cs="Times New Roman"/>
                      <w:color w:val="auto"/>
                      <w:spacing w:val="-10"/>
                      <w:kern w:val="0"/>
                      <w:sz w:val="21"/>
                      <w:szCs w:val="21"/>
                      <w:lang w:val="en-US" w:eastAsia="zh-CN" w:bidi="ar-SA"/>
                    </w:rPr>
                    <w:t>劳保用品</w:t>
                  </w:r>
                </w:p>
              </w:tc>
              <w:tc>
                <w:tcPr>
                  <w:tcW w:w="983" w:type="pct"/>
                  <w:shd w:val="clear" w:color="auto" w:fill="auto"/>
                  <w:vAlign w:val="center"/>
                </w:tcPr>
                <w:p w14:paraId="03F16C1F">
                  <w:pPr>
                    <w:pStyle w:val="34"/>
                    <w:spacing w:before="0" w:beforeLines="0" w:after="0" w:afterLines="0" w:line="240" w:lineRule="auto"/>
                    <w:ind w:firstLine="0" w:firstLineChars="0"/>
                    <w:rPr>
                      <w:rFonts w:hint="default" w:ascii="Times New Roman" w:hAnsi="宋体" w:eastAsia="宋体" w:cs="Times New Roman"/>
                      <w:color w:val="auto"/>
                      <w:spacing w:val="-10"/>
                      <w:kern w:val="0"/>
                      <w:sz w:val="21"/>
                      <w:szCs w:val="21"/>
                      <w:lang w:val="en-US" w:eastAsia="zh-CN" w:bidi="ar-SA"/>
                    </w:rPr>
                  </w:pPr>
                  <w:r>
                    <w:rPr>
                      <w:rFonts w:hint="eastAsia" w:ascii="Times New Roman" w:eastAsia="宋体" w:cs="Times New Roman"/>
                      <w:color w:val="auto"/>
                      <w:spacing w:val="-10"/>
                      <w:kern w:val="0"/>
                      <w:sz w:val="21"/>
                      <w:szCs w:val="21"/>
                      <w:lang w:val="en-US" w:eastAsia="zh-CN" w:bidi="ar-SA"/>
                    </w:rPr>
                    <w:t>废抹布及手套</w:t>
                  </w:r>
                </w:p>
              </w:tc>
              <w:tc>
                <w:tcPr>
                  <w:tcW w:w="1620" w:type="pct"/>
                  <w:vMerge w:val="continue"/>
                  <w:vAlign w:val="center"/>
                </w:tcPr>
                <w:p w14:paraId="163059EE">
                  <w:pPr>
                    <w:pStyle w:val="34"/>
                    <w:spacing w:before="0" w:beforeLines="0" w:after="0" w:afterLines="0" w:line="240" w:lineRule="auto"/>
                    <w:rPr>
                      <w:rFonts w:hint="eastAsia" w:ascii="Times New Roman" w:eastAsia="宋体"/>
                      <w:color w:val="auto"/>
                      <w:sz w:val="21"/>
                      <w:szCs w:val="21"/>
                    </w:rPr>
                  </w:pPr>
                </w:p>
              </w:tc>
            </w:tr>
            <w:tr w14:paraId="19B9BD7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95" w:type="pct"/>
                  <w:vMerge w:val="continue"/>
                  <w:vAlign w:val="center"/>
                </w:tcPr>
                <w:p w14:paraId="02612FC5">
                  <w:pPr>
                    <w:pStyle w:val="34"/>
                    <w:spacing w:before="0" w:beforeLines="0" w:after="0" w:afterLines="0" w:line="240" w:lineRule="auto"/>
                    <w:rPr>
                      <w:rFonts w:ascii="Times New Roman" w:eastAsia="宋体"/>
                      <w:color w:val="auto"/>
                      <w:sz w:val="21"/>
                      <w:szCs w:val="21"/>
                    </w:rPr>
                  </w:pPr>
                </w:p>
              </w:tc>
              <w:tc>
                <w:tcPr>
                  <w:tcW w:w="455" w:type="pct"/>
                  <w:shd w:val="clear" w:color="auto" w:fill="auto"/>
                  <w:vAlign w:val="center"/>
                </w:tcPr>
                <w:p w14:paraId="126E2198">
                  <w:pPr>
                    <w:pStyle w:val="34"/>
                    <w:spacing w:before="0" w:beforeLines="0" w:after="0" w:afterLines="0" w:line="240" w:lineRule="auto"/>
                    <w:ind w:firstLine="0" w:firstLineChars="0"/>
                    <w:rPr>
                      <w:rFonts w:hint="eastAsia" w:ascii="Times New Roman" w:hAnsi="宋体" w:eastAsia="宋体" w:cs="Times New Roman"/>
                      <w:color w:val="auto"/>
                      <w:spacing w:val="-10"/>
                      <w:kern w:val="0"/>
                      <w:sz w:val="21"/>
                      <w:szCs w:val="21"/>
                      <w:lang w:val="en-US" w:eastAsia="zh-CN" w:bidi="ar-SA"/>
                    </w:rPr>
                  </w:pPr>
                  <w:r>
                    <w:rPr>
                      <w:rFonts w:hint="eastAsia" w:ascii="Times New Roman" w:hAnsi="宋体" w:eastAsia="宋体" w:cs="Times New Roman"/>
                      <w:color w:val="auto"/>
                      <w:spacing w:val="-10"/>
                      <w:kern w:val="0"/>
                      <w:sz w:val="21"/>
                      <w:szCs w:val="21"/>
                      <w:lang w:val="en-US" w:eastAsia="zh-CN" w:bidi="ar-SA"/>
                    </w:rPr>
                    <w:t>S1</w:t>
                  </w:r>
                  <w:r>
                    <w:rPr>
                      <w:rFonts w:hint="eastAsia" w:ascii="Times New Roman" w:eastAsia="宋体" w:cs="Times New Roman"/>
                      <w:color w:val="auto"/>
                      <w:spacing w:val="-10"/>
                      <w:kern w:val="0"/>
                      <w:sz w:val="21"/>
                      <w:szCs w:val="21"/>
                      <w:lang w:val="en-US" w:eastAsia="zh-CN" w:bidi="ar-SA"/>
                    </w:rPr>
                    <w:t>6</w:t>
                  </w:r>
                </w:p>
              </w:tc>
              <w:tc>
                <w:tcPr>
                  <w:tcW w:w="1544" w:type="pct"/>
                  <w:gridSpan w:val="2"/>
                  <w:shd w:val="clear" w:color="auto" w:fill="auto"/>
                  <w:vAlign w:val="center"/>
                </w:tcPr>
                <w:p w14:paraId="781BDA40">
                  <w:pPr>
                    <w:pStyle w:val="34"/>
                    <w:spacing w:before="0" w:beforeLines="0" w:after="0" w:afterLines="0" w:line="240" w:lineRule="auto"/>
                    <w:ind w:firstLine="0" w:firstLineChars="0"/>
                    <w:rPr>
                      <w:rFonts w:hint="default" w:ascii="Times New Roman" w:hAnsi="宋体" w:eastAsia="宋体" w:cs="Times New Roman"/>
                      <w:color w:val="auto"/>
                      <w:spacing w:val="-10"/>
                      <w:kern w:val="0"/>
                      <w:sz w:val="21"/>
                      <w:szCs w:val="21"/>
                      <w:lang w:val="en-US" w:eastAsia="zh-CN" w:bidi="ar-SA"/>
                    </w:rPr>
                  </w:pPr>
                  <w:r>
                    <w:rPr>
                      <w:rFonts w:hint="eastAsia" w:ascii="Times New Roman" w:eastAsia="宋体" w:cs="Times New Roman"/>
                      <w:color w:val="auto"/>
                      <w:spacing w:val="-10"/>
                      <w:kern w:val="0"/>
                      <w:sz w:val="21"/>
                      <w:szCs w:val="21"/>
                      <w:lang w:val="en-US" w:eastAsia="zh-CN" w:bidi="ar-SA"/>
                    </w:rPr>
                    <w:t>原料包装</w:t>
                  </w:r>
                </w:p>
              </w:tc>
              <w:tc>
                <w:tcPr>
                  <w:tcW w:w="983" w:type="pct"/>
                  <w:shd w:val="clear" w:color="auto" w:fill="auto"/>
                  <w:vAlign w:val="center"/>
                </w:tcPr>
                <w:p w14:paraId="61092AFB">
                  <w:pPr>
                    <w:pStyle w:val="34"/>
                    <w:spacing w:before="0" w:beforeLines="0" w:after="0" w:afterLines="0" w:line="240" w:lineRule="auto"/>
                    <w:ind w:firstLine="0" w:firstLineChars="0"/>
                    <w:rPr>
                      <w:rFonts w:hint="default" w:ascii="Times New Roman" w:hAnsi="宋体" w:eastAsia="宋体" w:cs="Times New Roman"/>
                      <w:color w:val="auto"/>
                      <w:spacing w:val="-10"/>
                      <w:kern w:val="0"/>
                      <w:sz w:val="21"/>
                      <w:szCs w:val="21"/>
                      <w:lang w:val="en-US" w:eastAsia="zh-CN" w:bidi="ar-SA"/>
                    </w:rPr>
                  </w:pPr>
                  <w:r>
                    <w:rPr>
                      <w:rFonts w:hint="eastAsia" w:ascii="Times New Roman" w:eastAsia="宋体" w:cs="Times New Roman"/>
                      <w:color w:val="auto"/>
                      <w:spacing w:val="-10"/>
                      <w:kern w:val="0"/>
                      <w:sz w:val="21"/>
                      <w:szCs w:val="21"/>
                      <w:lang w:val="en-US" w:eastAsia="zh-CN" w:bidi="ar-SA"/>
                    </w:rPr>
                    <w:t>废包装桶</w:t>
                  </w:r>
                </w:p>
              </w:tc>
              <w:tc>
                <w:tcPr>
                  <w:tcW w:w="1620" w:type="pct"/>
                  <w:vMerge w:val="continue"/>
                  <w:vAlign w:val="center"/>
                </w:tcPr>
                <w:p w14:paraId="7DBDC3C9">
                  <w:pPr>
                    <w:pStyle w:val="34"/>
                    <w:spacing w:before="0" w:beforeLines="0" w:after="0" w:afterLines="0" w:line="240" w:lineRule="auto"/>
                    <w:rPr>
                      <w:rFonts w:hint="eastAsia" w:ascii="Times New Roman" w:eastAsia="宋体"/>
                      <w:color w:val="auto"/>
                      <w:sz w:val="21"/>
                      <w:szCs w:val="21"/>
                    </w:rPr>
                  </w:pPr>
                </w:p>
              </w:tc>
            </w:tr>
            <w:tr w14:paraId="3824C70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95" w:type="pct"/>
                  <w:vMerge w:val="continue"/>
                  <w:vAlign w:val="center"/>
                </w:tcPr>
                <w:p w14:paraId="653017FB">
                  <w:pPr>
                    <w:pStyle w:val="34"/>
                    <w:spacing w:before="0" w:beforeLines="0" w:after="0" w:afterLines="0" w:line="240" w:lineRule="auto"/>
                    <w:rPr>
                      <w:rFonts w:ascii="Times New Roman" w:eastAsia="宋体"/>
                      <w:color w:val="auto"/>
                      <w:sz w:val="21"/>
                      <w:szCs w:val="21"/>
                    </w:rPr>
                  </w:pPr>
                </w:p>
              </w:tc>
              <w:tc>
                <w:tcPr>
                  <w:tcW w:w="455" w:type="pct"/>
                  <w:shd w:val="clear" w:color="auto" w:fill="auto"/>
                  <w:vAlign w:val="center"/>
                </w:tcPr>
                <w:p w14:paraId="2D4DD854">
                  <w:pPr>
                    <w:pStyle w:val="34"/>
                    <w:spacing w:before="0" w:beforeLines="0" w:after="0" w:afterLines="0" w:line="240" w:lineRule="auto"/>
                    <w:ind w:firstLine="0" w:firstLineChars="0"/>
                    <w:rPr>
                      <w:rFonts w:hint="default" w:ascii="Times New Roman" w:eastAsia="宋体" w:cs="Times New Roman"/>
                      <w:color w:val="auto"/>
                      <w:spacing w:val="-10"/>
                      <w:kern w:val="0"/>
                      <w:sz w:val="21"/>
                      <w:szCs w:val="21"/>
                      <w:lang w:val="en-US" w:eastAsia="zh-CN" w:bidi="ar-SA"/>
                    </w:rPr>
                  </w:pPr>
                  <w:r>
                    <w:rPr>
                      <w:rFonts w:hint="default" w:ascii="Times New Roman" w:eastAsia="宋体" w:cs="Times New Roman"/>
                      <w:color w:val="auto"/>
                      <w:spacing w:val="-10"/>
                      <w:kern w:val="0"/>
                      <w:sz w:val="21"/>
                      <w:szCs w:val="21"/>
                      <w:lang w:val="en-US" w:eastAsia="zh-CN" w:bidi="ar-SA"/>
                    </w:rPr>
                    <w:t>S1</w:t>
                  </w:r>
                  <w:r>
                    <w:rPr>
                      <w:rFonts w:hint="eastAsia" w:ascii="Times New Roman" w:eastAsia="宋体" w:cs="Times New Roman"/>
                      <w:color w:val="auto"/>
                      <w:spacing w:val="-10"/>
                      <w:kern w:val="0"/>
                      <w:sz w:val="21"/>
                      <w:szCs w:val="21"/>
                      <w:lang w:val="en-US" w:eastAsia="zh-CN" w:bidi="ar-SA"/>
                    </w:rPr>
                    <w:t>9</w:t>
                  </w:r>
                </w:p>
              </w:tc>
              <w:tc>
                <w:tcPr>
                  <w:tcW w:w="1544" w:type="pct"/>
                  <w:gridSpan w:val="2"/>
                  <w:shd w:val="clear" w:color="auto" w:fill="auto"/>
                  <w:vAlign w:val="center"/>
                </w:tcPr>
                <w:p w14:paraId="74B90D19">
                  <w:pPr>
                    <w:pStyle w:val="34"/>
                    <w:spacing w:before="0" w:beforeLines="0" w:after="0" w:afterLines="0" w:line="240" w:lineRule="auto"/>
                    <w:ind w:firstLine="0" w:firstLineChars="0"/>
                    <w:rPr>
                      <w:rFonts w:hint="default" w:ascii="Times New Roman" w:eastAsia="宋体" w:cs="Times New Roman"/>
                      <w:color w:val="auto"/>
                      <w:spacing w:val="-10"/>
                      <w:kern w:val="0"/>
                      <w:sz w:val="21"/>
                      <w:szCs w:val="21"/>
                      <w:lang w:val="en-US" w:eastAsia="zh-CN" w:bidi="ar-SA"/>
                    </w:rPr>
                  </w:pPr>
                  <w:r>
                    <w:rPr>
                      <w:rFonts w:hint="default" w:ascii="Times New Roman" w:eastAsia="宋体" w:cs="Times New Roman"/>
                      <w:color w:val="auto"/>
                      <w:spacing w:val="-10"/>
                      <w:kern w:val="0"/>
                      <w:sz w:val="21"/>
                      <w:szCs w:val="21"/>
                      <w:lang w:val="en-US" w:eastAsia="zh-CN" w:bidi="ar-SA"/>
                    </w:rPr>
                    <w:t>原料包装</w:t>
                  </w:r>
                </w:p>
              </w:tc>
              <w:tc>
                <w:tcPr>
                  <w:tcW w:w="983" w:type="pct"/>
                  <w:shd w:val="clear" w:color="auto" w:fill="auto"/>
                  <w:vAlign w:val="center"/>
                </w:tcPr>
                <w:p w14:paraId="676A2154">
                  <w:pPr>
                    <w:pStyle w:val="34"/>
                    <w:spacing w:before="0" w:beforeLines="0" w:after="0" w:afterLines="0" w:line="240" w:lineRule="auto"/>
                    <w:ind w:firstLine="0" w:firstLineChars="0"/>
                    <w:rPr>
                      <w:rFonts w:hint="default" w:ascii="Times New Roman" w:eastAsia="宋体" w:cs="Times New Roman"/>
                      <w:color w:val="auto"/>
                      <w:spacing w:val="-10"/>
                      <w:kern w:val="0"/>
                      <w:sz w:val="21"/>
                      <w:szCs w:val="21"/>
                      <w:lang w:val="en-US" w:eastAsia="zh-CN" w:bidi="ar-SA"/>
                    </w:rPr>
                  </w:pPr>
                  <w:r>
                    <w:rPr>
                      <w:rFonts w:hint="eastAsia" w:ascii="Times New Roman" w:eastAsia="宋体" w:cs="Times New Roman"/>
                      <w:color w:val="auto"/>
                      <w:spacing w:val="-10"/>
                      <w:kern w:val="0"/>
                      <w:sz w:val="21"/>
                      <w:szCs w:val="21"/>
                      <w:lang w:val="en-US" w:eastAsia="zh-CN" w:bidi="ar-SA"/>
                    </w:rPr>
                    <w:t>废油桶</w:t>
                  </w:r>
                </w:p>
              </w:tc>
              <w:tc>
                <w:tcPr>
                  <w:tcW w:w="1620" w:type="pct"/>
                  <w:vMerge w:val="continue"/>
                  <w:vAlign w:val="center"/>
                </w:tcPr>
                <w:p w14:paraId="0D395C21">
                  <w:pPr>
                    <w:pStyle w:val="34"/>
                    <w:spacing w:before="0" w:beforeLines="0" w:after="0" w:afterLines="0" w:line="240" w:lineRule="auto"/>
                    <w:rPr>
                      <w:rFonts w:hint="eastAsia" w:ascii="Times New Roman" w:eastAsia="宋体"/>
                      <w:color w:val="auto"/>
                      <w:sz w:val="21"/>
                      <w:szCs w:val="21"/>
                    </w:rPr>
                  </w:pPr>
                </w:p>
              </w:tc>
            </w:tr>
            <w:tr w14:paraId="3DDFB87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95" w:type="pct"/>
                  <w:vMerge w:val="continue"/>
                  <w:vAlign w:val="center"/>
                </w:tcPr>
                <w:p w14:paraId="33B67951">
                  <w:pPr>
                    <w:pStyle w:val="34"/>
                    <w:spacing w:before="0" w:beforeLines="0" w:after="0" w:afterLines="0" w:line="240" w:lineRule="auto"/>
                    <w:rPr>
                      <w:rFonts w:ascii="Times New Roman" w:eastAsia="宋体"/>
                      <w:color w:val="auto"/>
                      <w:sz w:val="21"/>
                      <w:szCs w:val="21"/>
                    </w:rPr>
                  </w:pPr>
                </w:p>
              </w:tc>
              <w:tc>
                <w:tcPr>
                  <w:tcW w:w="455" w:type="pct"/>
                  <w:shd w:val="clear" w:color="auto" w:fill="auto"/>
                  <w:vAlign w:val="center"/>
                </w:tcPr>
                <w:p w14:paraId="4586DD95">
                  <w:pPr>
                    <w:pStyle w:val="34"/>
                    <w:spacing w:before="0" w:beforeLines="0" w:after="0" w:afterLines="0" w:line="240" w:lineRule="auto"/>
                    <w:ind w:firstLine="0" w:firstLineChars="0"/>
                    <w:rPr>
                      <w:rFonts w:hint="default" w:ascii="Times New Roman" w:eastAsia="宋体" w:cs="Times New Roman"/>
                      <w:color w:val="auto"/>
                      <w:spacing w:val="-10"/>
                      <w:kern w:val="0"/>
                      <w:sz w:val="21"/>
                      <w:szCs w:val="21"/>
                      <w:lang w:val="en-US" w:eastAsia="zh-CN" w:bidi="ar-SA"/>
                    </w:rPr>
                  </w:pPr>
                  <w:r>
                    <w:rPr>
                      <w:rFonts w:hint="default" w:ascii="Times New Roman" w:eastAsia="宋体" w:cs="Times New Roman"/>
                      <w:color w:val="auto"/>
                      <w:spacing w:val="-10"/>
                      <w:kern w:val="0"/>
                      <w:sz w:val="21"/>
                      <w:szCs w:val="21"/>
                      <w:lang w:val="en-US" w:eastAsia="zh-CN" w:bidi="ar-SA"/>
                    </w:rPr>
                    <w:t>S</w:t>
                  </w:r>
                  <w:r>
                    <w:rPr>
                      <w:rFonts w:hint="eastAsia" w:ascii="Times New Roman" w:eastAsia="宋体" w:cs="Times New Roman"/>
                      <w:color w:val="auto"/>
                      <w:spacing w:val="-10"/>
                      <w:kern w:val="0"/>
                      <w:sz w:val="21"/>
                      <w:szCs w:val="21"/>
                      <w:lang w:val="en-US" w:eastAsia="zh-CN" w:bidi="ar-SA"/>
                    </w:rPr>
                    <w:t>21</w:t>
                  </w:r>
                </w:p>
              </w:tc>
              <w:tc>
                <w:tcPr>
                  <w:tcW w:w="1544" w:type="pct"/>
                  <w:gridSpan w:val="2"/>
                  <w:vMerge w:val="restart"/>
                  <w:shd w:val="clear" w:color="auto" w:fill="auto"/>
                  <w:vAlign w:val="center"/>
                </w:tcPr>
                <w:p w14:paraId="2D41783B">
                  <w:pPr>
                    <w:pStyle w:val="34"/>
                    <w:spacing w:before="0" w:beforeLines="0" w:after="0" w:afterLines="0" w:line="240" w:lineRule="auto"/>
                    <w:ind w:firstLine="0" w:firstLineChars="0"/>
                    <w:rPr>
                      <w:rFonts w:hint="default" w:ascii="Times New Roman" w:eastAsia="宋体" w:cs="Times New Roman"/>
                      <w:color w:val="auto"/>
                      <w:spacing w:val="-10"/>
                      <w:kern w:val="0"/>
                      <w:sz w:val="21"/>
                      <w:szCs w:val="21"/>
                      <w:lang w:val="en-US" w:eastAsia="zh-CN" w:bidi="ar-SA"/>
                    </w:rPr>
                  </w:pPr>
                  <w:r>
                    <w:rPr>
                      <w:rFonts w:hint="eastAsia" w:ascii="Times New Roman" w:eastAsia="宋体" w:cs="Times New Roman"/>
                      <w:color w:val="auto"/>
                      <w:spacing w:val="-10"/>
                      <w:kern w:val="0"/>
                      <w:sz w:val="21"/>
                      <w:szCs w:val="21"/>
                      <w:lang w:val="en-US" w:eastAsia="zh-CN" w:bidi="ar-SA"/>
                    </w:rPr>
                    <w:t>设备维护</w:t>
                  </w:r>
                </w:p>
              </w:tc>
              <w:tc>
                <w:tcPr>
                  <w:tcW w:w="983" w:type="pct"/>
                  <w:shd w:val="clear" w:color="auto" w:fill="auto"/>
                  <w:vAlign w:val="center"/>
                </w:tcPr>
                <w:p w14:paraId="19636AF8">
                  <w:pPr>
                    <w:pStyle w:val="34"/>
                    <w:spacing w:before="0" w:beforeLines="0" w:after="0" w:afterLines="0" w:line="240" w:lineRule="auto"/>
                    <w:ind w:firstLine="0" w:firstLineChars="0"/>
                    <w:rPr>
                      <w:rFonts w:hint="eastAsia" w:ascii="Times New Roman" w:eastAsia="宋体" w:cs="Times New Roman"/>
                      <w:color w:val="auto"/>
                      <w:spacing w:val="-10"/>
                      <w:kern w:val="0"/>
                      <w:sz w:val="21"/>
                      <w:szCs w:val="21"/>
                      <w:lang w:val="en-US" w:eastAsia="zh-CN" w:bidi="ar-SA"/>
                    </w:rPr>
                  </w:pPr>
                  <w:r>
                    <w:rPr>
                      <w:rFonts w:hint="eastAsia" w:ascii="Times New Roman" w:eastAsia="宋体" w:cs="Times New Roman"/>
                      <w:color w:val="auto"/>
                      <w:spacing w:val="-10"/>
                      <w:kern w:val="0"/>
                      <w:sz w:val="21"/>
                      <w:szCs w:val="21"/>
                      <w:lang w:val="en-US" w:eastAsia="zh-CN" w:bidi="ar-SA"/>
                    </w:rPr>
                    <w:t>废润滑油</w:t>
                  </w:r>
                </w:p>
              </w:tc>
              <w:tc>
                <w:tcPr>
                  <w:tcW w:w="1620" w:type="pct"/>
                  <w:vMerge w:val="continue"/>
                  <w:vAlign w:val="center"/>
                </w:tcPr>
                <w:p w14:paraId="29810ED3">
                  <w:pPr>
                    <w:pStyle w:val="34"/>
                    <w:spacing w:before="0" w:beforeLines="0" w:after="0" w:afterLines="0" w:line="240" w:lineRule="auto"/>
                    <w:rPr>
                      <w:rFonts w:hint="eastAsia" w:ascii="Times New Roman" w:eastAsia="宋体"/>
                      <w:color w:val="auto"/>
                      <w:sz w:val="21"/>
                      <w:szCs w:val="21"/>
                    </w:rPr>
                  </w:pPr>
                </w:p>
              </w:tc>
            </w:tr>
            <w:tr w14:paraId="23A426F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95" w:type="pct"/>
                  <w:vMerge w:val="continue"/>
                  <w:vAlign w:val="center"/>
                </w:tcPr>
                <w:p w14:paraId="19863920">
                  <w:pPr>
                    <w:pStyle w:val="34"/>
                    <w:spacing w:before="0" w:beforeLines="0" w:after="0" w:afterLines="0" w:line="240" w:lineRule="auto"/>
                    <w:rPr>
                      <w:rFonts w:ascii="Times New Roman" w:eastAsia="宋体"/>
                      <w:color w:val="auto"/>
                      <w:sz w:val="21"/>
                      <w:szCs w:val="21"/>
                    </w:rPr>
                  </w:pPr>
                </w:p>
              </w:tc>
              <w:tc>
                <w:tcPr>
                  <w:tcW w:w="455" w:type="pct"/>
                  <w:shd w:val="clear" w:color="auto" w:fill="auto"/>
                  <w:vAlign w:val="center"/>
                </w:tcPr>
                <w:p w14:paraId="538E98BD">
                  <w:pPr>
                    <w:pStyle w:val="34"/>
                    <w:spacing w:before="0" w:beforeLines="0" w:after="0" w:afterLines="0" w:line="240" w:lineRule="auto"/>
                    <w:ind w:firstLine="0" w:firstLineChars="0"/>
                    <w:rPr>
                      <w:rFonts w:hint="default" w:ascii="Times New Roman" w:eastAsia="宋体" w:cs="Times New Roman"/>
                      <w:color w:val="auto"/>
                      <w:spacing w:val="-10"/>
                      <w:kern w:val="0"/>
                      <w:sz w:val="21"/>
                      <w:szCs w:val="21"/>
                      <w:lang w:val="en-US" w:eastAsia="zh-CN" w:bidi="ar-SA"/>
                    </w:rPr>
                  </w:pPr>
                  <w:r>
                    <w:rPr>
                      <w:rFonts w:hint="default" w:ascii="Times New Roman" w:eastAsia="宋体" w:cs="Times New Roman"/>
                      <w:color w:val="auto"/>
                      <w:spacing w:val="-10"/>
                      <w:kern w:val="0"/>
                      <w:sz w:val="21"/>
                      <w:szCs w:val="21"/>
                      <w:lang w:val="en-US" w:eastAsia="zh-CN" w:bidi="ar-SA"/>
                    </w:rPr>
                    <w:t>S</w:t>
                  </w:r>
                  <w:r>
                    <w:rPr>
                      <w:rFonts w:hint="eastAsia" w:ascii="Times New Roman" w:eastAsia="宋体" w:cs="Times New Roman"/>
                      <w:color w:val="auto"/>
                      <w:spacing w:val="-10"/>
                      <w:kern w:val="0"/>
                      <w:sz w:val="21"/>
                      <w:szCs w:val="21"/>
                      <w:lang w:val="en-US" w:eastAsia="zh-CN" w:bidi="ar-SA"/>
                    </w:rPr>
                    <w:t>20</w:t>
                  </w:r>
                </w:p>
              </w:tc>
              <w:tc>
                <w:tcPr>
                  <w:tcW w:w="1544" w:type="pct"/>
                  <w:gridSpan w:val="2"/>
                  <w:vMerge w:val="continue"/>
                  <w:shd w:val="clear" w:color="auto" w:fill="auto"/>
                  <w:vAlign w:val="center"/>
                </w:tcPr>
                <w:p w14:paraId="144E12E7">
                  <w:pPr>
                    <w:pStyle w:val="34"/>
                    <w:spacing w:before="0" w:beforeLines="0" w:after="0" w:afterLines="0" w:line="240" w:lineRule="auto"/>
                    <w:ind w:firstLine="0" w:firstLineChars="0"/>
                    <w:rPr>
                      <w:rFonts w:hint="eastAsia" w:ascii="Times New Roman" w:eastAsia="宋体" w:cs="Times New Roman"/>
                      <w:color w:val="auto"/>
                      <w:spacing w:val="-10"/>
                      <w:kern w:val="0"/>
                      <w:sz w:val="21"/>
                      <w:szCs w:val="21"/>
                      <w:lang w:val="en-US" w:eastAsia="zh-CN" w:bidi="ar-SA"/>
                    </w:rPr>
                  </w:pPr>
                </w:p>
              </w:tc>
              <w:tc>
                <w:tcPr>
                  <w:tcW w:w="983" w:type="pct"/>
                  <w:shd w:val="clear" w:color="auto" w:fill="auto"/>
                  <w:vAlign w:val="center"/>
                </w:tcPr>
                <w:p w14:paraId="791A14CC">
                  <w:pPr>
                    <w:pStyle w:val="34"/>
                    <w:spacing w:before="0" w:beforeLines="0" w:after="0" w:afterLines="0" w:line="240" w:lineRule="auto"/>
                    <w:ind w:firstLine="0" w:firstLineChars="0"/>
                    <w:rPr>
                      <w:rFonts w:hint="eastAsia" w:ascii="Times New Roman" w:eastAsia="宋体" w:cs="Times New Roman"/>
                      <w:color w:val="auto"/>
                      <w:spacing w:val="-10"/>
                      <w:kern w:val="0"/>
                      <w:sz w:val="21"/>
                      <w:szCs w:val="21"/>
                      <w:lang w:val="en-US" w:eastAsia="zh-CN" w:bidi="ar-SA"/>
                    </w:rPr>
                  </w:pPr>
                  <w:r>
                    <w:rPr>
                      <w:rFonts w:hint="eastAsia" w:ascii="Times New Roman" w:eastAsia="宋体" w:cs="Times New Roman"/>
                      <w:color w:val="auto"/>
                      <w:spacing w:val="-10"/>
                      <w:kern w:val="0"/>
                      <w:sz w:val="21"/>
                      <w:szCs w:val="21"/>
                      <w:lang w:val="en-US" w:eastAsia="zh-CN" w:bidi="ar-SA"/>
                    </w:rPr>
                    <w:t>废液压油</w:t>
                  </w:r>
                </w:p>
              </w:tc>
              <w:tc>
                <w:tcPr>
                  <w:tcW w:w="1620" w:type="pct"/>
                  <w:vMerge w:val="continue"/>
                  <w:vAlign w:val="center"/>
                </w:tcPr>
                <w:p w14:paraId="05F73822">
                  <w:pPr>
                    <w:pStyle w:val="34"/>
                    <w:spacing w:before="0" w:beforeLines="0" w:after="0" w:afterLines="0" w:line="240" w:lineRule="auto"/>
                    <w:rPr>
                      <w:rFonts w:hint="eastAsia" w:ascii="Times New Roman" w:eastAsia="宋体"/>
                      <w:color w:val="auto"/>
                      <w:sz w:val="21"/>
                      <w:szCs w:val="21"/>
                    </w:rPr>
                  </w:pPr>
                </w:p>
              </w:tc>
            </w:tr>
            <w:tr w14:paraId="554677C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95" w:type="pct"/>
                  <w:vMerge w:val="continue"/>
                  <w:vAlign w:val="center"/>
                </w:tcPr>
                <w:p w14:paraId="1E56468F">
                  <w:pPr>
                    <w:pStyle w:val="34"/>
                    <w:spacing w:before="0" w:beforeLines="0" w:after="0" w:afterLines="0" w:line="240" w:lineRule="auto"/>
                    <w:rPr>
                      <w:rFonts w:ascii="Times New Roman" w:eastAsia="宋体"/>
                      <w:color w:val="auto"/>
                      <w:sz w:val="21"/>
                      <w:szCs w:val="21"/>
                    </w:rPr>
                  </w:pPr>
                </w:p>
              </w:tc>
              <w:tc>
                <w:tcPr>
                  <w:tcW w:w="455" w:type="pct"/>
                  <w:shd w:val="clear" w:color="auto" w:fill="auto"/>
                  <w:vAlign w:val="center"/>
                </w:tcPr>
                <w:p w14:paraId="25E5AAF5">
                  <w:pPr>
                    <w:pStyle w:val="34"/>
                    <w:spacing w:before="0" w:beforeLines="0" w:after="0" w:afterLines="0" w:line="240" w:lineRule="auto"/>
                    <w:ind w:firstLine="0" w:firstLineChars="0"/>
                    <w:rPr>
                      <w:rFonts w:hint="default" w:ascii="Times New Roman" w:eastAsia="宋体" w:cs="Times New Roman"/>
                      <w:color w:val="auto"/>
                      <w:spacing w:val="-10"/>
                      <w:kern w:val="0"/>
                      <w:sz w:val="21"/>
                      <w:szCs w:val="21"/>
                      <w:lang w:val="en-US" w:eastAsia="zh-CN" w:bidi="ar-SA"/>
                    </w:rPr>
                  </w:pPr>
                  <w:r>
                    <w:rPr>
                      <w:rFonts w:hint="eastAsia" w:ascii="Times New Roman" w:eastAsia="宋体" w:cs="Times New Roman"/>
                      <w:color w:val="auto"/>
                      <w:spacing w:val="-10"/>
                      <w:kern w:val="0"/>
                      <w:sz w:val="21"/>
                      <w:szCs w:val="21"/>
                      <w:lang w:val="en-US" w:eastAsia="zh-CN" w:bidi="ar-SA"/>
                    </w:rPr>
                    <w:t>S23</w:t>
                  </w:r>
                </w:p>
              </w:tc>
              <w:tc>
                <w:tcPr>
                  <w:tcW w:w="1544" w:type="pct"/>
                  <w:gridSpan w:val="2"/>
                  <w:shd w:val="clear" w:color="auto" w:fill="auto"/>
                  <w:vAlign w:val="center"/>
                </w:tcPr>
                <w:p w14:paraId="5A24D3C1">
                  <w:pPr>
                    <w:pStyle w:val="34"/>
                    <w:spacing w:before="0" w:beforeLines="0" w:after="0" w:afterLines="0" w:line="240" w:lineRule="auto"/>
                    <w:ind w:firstLine="0" w:firstLineChars="0"/>
                    <w:rPr>
                      <w:rFonts w:hint="eastAsia" w:ascii="Times New Roman" w:eastAsia="宋体" w:cs="Times New Roman"/>
                      <w:color w:val="auto"/>
                      <w:spacing w:val="-10"/>
                      <w:kern w:val="0"/>
                      <w:sz w:val="21"/>
                      <w:szCs w:val="21"/>
                      <w:lang w:val="en-US" w:eastAsia="zh-CN" w:bidi="ar-SA"/>
                    </w:rPr>
                  </w:pPr>
                  <w:r>
                    <w:rPr>
                      <w:rFonts w:hint="eastAsia" w:ascii="Times New Roman" w:eastAsia="宋体" w:cs="Times New Roman"/>
                      <w:color w:val="auto"/>
                      <w:spacing w:val="-10"/>
                      <w:kern w:val="0"/>
                      <w:sz w:val="21"/>
                      <w:szCs w:val="21"/>
                      <w:lang w:val="en-US" w:eastAsia="zh-CN" w:bidi="ar-SA"/>
                    </w:rPr>
                    <w:t>废水处理</w:t>
                  </w:r>
                </w:p>
              </w:tc>
              <w:tc>
                <w:tcPr>
                  <w:tcW w:w="983" w:type="pct"/>
                  <w:shd w:val="clear" w:color="auto" w:fill="auto"/>
                  <w:vAlign w:val="center"/>
                </w:tcPr>
                <w:p w14:paraId="0DDBB3F6">
                  <w:pPr>
                    <w:pStyle w:val="34"/>
                    <w:spacing w:before="0" w:beforeLines="0" w:after="0" w:afterLines="0" w:line="240" w:lineRule="auto"/>
                    <w:ind w:firstLine="0" w:firstLineChars="0"/>
                    <w:rPr>
                      <w:rFonts w:hint="eastAsia" w:ascii="Times New Roman" w:eastAsia="宋体" w:cs="Times New Roman"/>
                      <w:color w:val="auto"/>
                      <w:spacing w:val="-10"/>
                      <w:kern w:val="0"/>
                      <w:sz w:val="21"/>
                      <w:szCs w:val="21"/>
                      <w:lang w:val="en-US" w:eastAsia="zh-CN" w:bidi="ar-SA"/>
                    </w:rPr>
                  </w:pPr>
                  <w:r>
                    <w:rPr>
                      <w:rFonts w:hint="eastAsia" w:ascii="Times New Roman" w:eastAsia="宋体" w:cs="Times New Roman"/>
                      <w:color w:val="auto"/>
                      <w:spacing w:val="-10"/>
                      <w:kern w:val="0"/>
                      <w:sz w:val="21"/>
                      <w:szCs w:val="21"/>
                      <w:lang w:val="en-US" w:eastAsia="zh-CN" w:bidi="ar-SA"/>
                    </w:rPr>
                    <w:t>浓液</w:t>
                  </w:r>
                </w:p>
              </w:tc>
              <w:tc>
                <w:tcPr>
                  <w:tcW w:w="1620" w:type="pct"/>
                  <w:vMerge w:val="continue"/>
                  <w:vAlign w:val="center"/>
                </w:tcPr>
                <w:p w14:paraId="1499BAE9">
                  <w:pPr>
                    <w:pStyle w:val="34"/>
                    <w:spacing w:before="0" w:beforeLines="0" w:after="0" w:afterLines="0" w:line="240" w:lineRule="auto"/>
                    <w:rPr>
                      <w:rFonts w:hint="eastAsia" w:ascii="Times New Roman" w:eastAsia="宋体"/>
                      <w:color w:val="auto"/>
                      <w:sz w:val="21"/>
                      <w:szCs w:val="21"/>
                    </w:rPr>
                  </w:pPr>
                </w:p>
              </w:tc>
            </w:tr>
            <w:tr w14:paraId="57FE3D5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95" w:type="pct"/>
                  <w:vMerge w:val="continue"/>
                  <w:vAlign w:val="center"/>
                </w:tcPr>
                <w:p w14:paraId="11925EAB">
                  <w:pPr>
                    <w:pStyle w:val="34"/>
                    <w:spacing w:before="0" w:beforeLines="0" w:after="0" w:afterLines="0" w:line="240" w:lineRule="auto"/>
                    <w:rPr>
                      <w:rFonts w:ascii="Times New Roman" w:eastAsia="宋体"/>
                      <w:color w:val="auto"/>
                      <w:sz w:val="21"/>
                      <w:szCs w:val="21"/>
                    </w:rPr>
                  </w:pPr>
                </w:p>
              </w:tc>
              <w:tc>
                <w:tcPr>
                  <w:tcW w:w="455" w:type="pct"/>
                  <w:shd w:val="clear" w:color="auto" w:fill="auto"/>
                  <w:vAlign w:val="center"/>
                </w:tcPr>
                <w:p w14:paraId="3B995CE2">
                  <w:pPr>
                    <w:pStyle w:val="34"/>
                    <w:spacing w:before="0" w:beforeLines="0" w:after="0" w:afterLines="0" w:line="240" w:lineRule="auto"/>
                    <w:ind w:firstLine="0" w:firstLineChars="0"/>
                    <w:rPr>
                      <w:rFonts w:hint="default" w:ascii="Times New Roman" w:eastAsia="宋体" w:cs="Times New Roman"/>
                      <w:color w:val="auto"/>
                      <w:spacing w:val="-10"/>
                      <w:kern w:val="0"/>
                      <w:sz w:val="21"/>
                      <w:szCs w:val="21"/>
                      <w:lang w:val="en-US" w:eastAsia="zh-CN" w:bidi="ar-SA"/>
                    </w:rPr>
                  </w:pPr>
                  <w:r>
                    <w:rPr>
                      <w:rFonts w:hint="eastAsia" w:ascii="Times New Roman" w:eastAsia="宋体" w:cs="Times New Roman"/>
                      <w:color w:val="auto"/>
                      <w:spacing w:val="-10"/>
                      <w:kern w:val="0"/>
                      <w:sz w:val="21"/>
                      <w:szCs w:val="21"/>
                      <w:lang w:val="en-US" w:eastAsia="zh-CN" w:bidi="ar-SA"/>
                    </w:rPr>
                    <w:t>S24</w:t>
                  </w:r>
                </w:p>
              </w:tc>
              <w:tc>
                <w:tcPr>
                  <w:tcW w:w="1544" w:type="pct"/>
                  <w:gridSpan w:val="2"/>
                  <w:shd w:val="clear" w:color="auto" w:fill="auto"/>
                  <w:vAlign w:val="center"/>
                </w:tcPr>
                <w:p w14:paraId="3047C3CB">
                  <w:pPr>
                    <w:pStyle w:val="34"/>
                    <w:spacing w:before="0" w:beforeLines="0" w:after="0" w:afterLines="0" w:line="240" w:lineRule="auto"/>
                    <w:ind w:firstLine="0" w:firstLineChars="0"/>
                    <w:rPr>
                      <w:rFonts w:hint="eastAsia" w:ascii="Times New Roman" w:eastAsia="宋体" w:cs="Times New Roman"/>
                      <w:color w:val="auto"/>
                      <w:spacing w:val="-10"/>
                      <w:kern w:val="0"/>
                      <w:sz w:val="21"/>
                      <w:szCs w:val="21"/>
                      <w:lang w:val="en-US" w:eastAsia="zh-CN" w:bidi="ar-SA"/>
                    </w:rPr>
                  </w:pPr>
                  <w:r>
                    <w:rPr>
                      <w:rFonts w:hint="eastAsia" w:ascii="Times New Roman" w:eastAsia="宋体" w:cs="Times New Roman"/>
                      <w:color w:val="auto"/>
                      <w:spacing w:val="-10"/>
                      <w:kern w:val="0"/>
                      <w:sz w:val="21"/>
                      <w:szCs w:val="21"/>
                      <w:lang w:val="en-US" w:eastAsia="zh-CN" w:bidi="ar-SA"/>
                    </w:rPr>
                    <w:t>废水处理</w:t>
                  </w:r>
                </w:p>
              </w:tc>
              <w:tc>
                <w:tcPr>
                  <w:tcW w:w="983" w:type="pct"/>
                  <w:shd w:val="clear" w:color="auto" w:fill="auto"/>
                  <w:vAlign w:val="center"/>
                </w:tcPr>
                <w:p w14:paraId="06616C22">
                  <w:pPr>
                    <w:pStyle w:val="34"/>
                    <w:spacing w:before="0" w:beforeLines="0" w:after="0" w:afterLines="0" w:line="240" w:lineRule="auto"/>
                    <w:ind w:firstLine="0" w:firstLineChars="0"/>
                    <w:rPr>
                      <w:rFonts w:hint="eastAsia" w:ascii="Times New Roman" w:eastAsia="宋体" w:cs="Times New Roman"/>
                      <w:color w:val="auto"/>
                      <w:spacing w:val="-10"/>
                      <w:kern w:val="0"/>
                      <w:sz w:val="21"/>
                      <w:szCs w:val="21"/>
                      <w:lang w:val="en-US" w:eastAsia="zh-CN" w:bidi="ar-SA"/>
                    </w:rPr>
                  </w:pPr>
                  <w:r>
                    <w:rPr>
                      <w:rFonts w:hint="eastAsia" w:ascii="Times New Roman" w:eastAsia="宋体" w:cs="Times New Roman"/>
                      <w:color w:val="auto"/>
                      <w:spacing w:val="-10"/>
                      <w:kern w:val="0"/>
                      <w:sz w:val="21"/>
                      <w:szCs w:val="21"/>
                      <w:lang w:val="en-US" w:eastAsia="zh-CN" w:bidi="ar-SA"/>
                    </w:rPr>
                    <w:t>过滤材料</w:t>
                  </w:r>
                </w:p>
              </w:tc>
              <w:tc>
                <w:tcPr>
                  <w:tcW w:w="1620" w:type="pct"/>
                  <w:vMerge w:val="continue"/>
                  <w:vAlign w:val="center"/>
                </w:tcPr>
                <w:p w14:paraId="07D65CBD">
                  <w:pPr>
                    <w:pStyle w:val="34"/>
                    <w:spacing w:before="0" w:beforeLines="0" w:after="0" w:afterLines="0" w:line="240" w:lineRule="auto"/>
                    <w:rPr>
                      <w:rFonts w:hint="eastAsia" w:ascii="Times New Roman" w:eastAsia="宋体"/>
                      <w:color w:val="auto"/>
                      <w:sz w:val="21"/>
                      <w:szCs w:val="21"/>
                    </w:rPr>
                  </w:pPr>
                </w:p>
              </w:tc>
            </w:tr>
            <w:tr w14:paraId="54E8975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95" w:type="pct"/>
                  <w:vMerge w:val="continue"/>
                  <w:vAlign w:val="center"/>
                </w:tcPr>
                <w:p w14:paraId="6E610D19">
                  <w:pPr>
                    <w:pStyle w:val="34"/>
                    <w:spacing w:before="0" w:beforeLines="0" w:after="0" w:afterLines="0" w:line="240" w:lineRule="auto"/>
                    <w:rPr>
                      <w:rFonts w:ascii="Times New Roman" w:eastAsia="宋体"/>
                      <w:color w:val="auto"/>
                      <w:sz w:val="21"/>
                      <w:szCs w:val="21"/>
                    </w:rPr>
                  </w:pPr>
                </w:p>
              </w:tc>
              <w:tc>
                <w:tcPr>
                  <w:tcW w:w="455" w:type="pct"/>
                  <w:shd w:val="clear" w:color="auto" w:fill="auto"/>
                  <w:vAlign w:val="center"/>
                </w:tcPr>
                <w:p w14:paraId="5D6C36D3">
                  <w:pPr>
                    <w:pStyle w:val="34"/>
                    <w:spacing w:before="0" w:beforeLines="0" w:after="0" w:afterLines="0" w:line="240" w:lineRule="auto"/>
                    <w:ind w:firstLine="0" w:firstLineChars="0"/>
                    <w:rPr>
                      <w:rFonts w:hint="eastAsia" w:ascii="Times New Roman" w:eastAsia="宋体" w:cs="Times New Roman"/>
                      <w:color w:val="auto"/>
                      <w:spacing w:val="-10"/>
                      <w:kern w:val="0"/>
                      <w:sz w:val="21"/>
                      <w:szCs w:val="21"/>
                      <w:lang w:val="en-US" w:eastAsia="zh-CN" w:bidi="ar-SA"/>
                    </w:rPr>
                  </w:pPr>
                  <w:r>
                    <w:rPr>
                      <w:rFonts w:hint="eastAsia" w:ascii="Times New Roman" w:eastAsia="宋体" w:cs="Times New Roman"/>
                      <w:color w:val="auto"/>
                      <w:spacing w:val="-10"/>
                      <w:kern w:val="0"/>
                      <w:sz w:val="21"/>
                      <w:szCs w:val="21"/>
                      <w:lang w:val="en-US" w:eastAsia="zh-CN" w:bidi="ar-SA"/>
                    </w:rPr>
                    <w:t>S25</w:t>
                  </w:r>
                </w:p>
              </w:tc>
              <w:tc>
                <w:tcPr>
                  <w:tcW w:w="1544" w:type="pct"/>
                  <w:gridSpan w:val="2"/>
                  <w:shd w:val="clear" w:color="auto" w:fill="auto"/>
                  <w:vAlign w:val="center"/>
                </w:tcPr>
                <w:p w14:paraId="1D3A5A8C">
                  <w:pPr>
                    <w:pStyle w:val="34"/>
                    <w:spacing w:before="0" w:beforeLines="0" w:after="0" w:afterLines="0" w:line="240" w:lineRule="auto"/>
                    <w:ind w:firstLine="0" w:firstLineChars="0"/>
                    <w:rPr>
                      <w:rFonts w:hint="eastAsia" w:ascii="Times New Roman" w:hAnsi="宋体" w:eastAsia="宋体" w:cs="Times New Roman"/>
                      <w:color w:val="auto"/>
                      <w:spacing w:val="-10"/>
                      <w:kern w:val="0"/>
                      <w:sz w:val="21"/>
                      <w:szCs w:val="21"/>
                      <w:lang w:val="en-US" w:eastAsia="zh-CN" w:bidi="ar"/>
                    </w:rPr>
                  </w:pPr>
                  <w:r>
                    <w:rPr>
                      <w:rFonts w:hint="eastAsia" w:ascii="Times New Roman" w:eastAsia="宋体"/>
                      <w:color w:val="auto"/>
                      <w:szCs w:val="21"/>
                    </w:rPr>
                    <w:t>空压机运行</w:t>
                  </w:r>
                </w:p>
              </w:tc>
              <w:tc>
                <w:tcPr>
                  <w:tcW w:w="983" w:type="pct"/>
                  <w:shd w:val="clear" w:color="auto" w:fill="auto"/>
                  <w:vAlign w:val="center"/>
                </w:tcPr>
                <w:p w14:paraId="44459980">
                  <w:pPr>
                    <w:pStyle w:val="34"/>
                    <w:spacing w:before="0" w:beforeLines="0" w:after="0" w:afterLines="0" w:line="240" w:lineRule="auto"/>
                    <w:ind w:firstLine="0" w:firstLineChars="0"/>
                    <w:rPr>
                      <w:rFonts w:hint="eastAsia" w:ascii="Times New Roman" w:hAnsi="宋体" w:eastAsia="宋体" w:cs="Times New Roman"/>
                      <w:color w:val="auto"/>
                      <w:spacing w:val="-10"/>
                      <w:kern w:val="0"/>
                      <w:sz w:val="21"/>
                      <w:szCs w:val="21"/>
                      <w:lang w:val="en-US" w:eastAsia="zh-CN" w:bidi="ar"/>
                    </w:rPr>
                  </w:pPr>
                  <w:r>
                    <w:rPr>
                      <w:rFonts w:hint="eastAsia" w:ascii="Times New Roman" w:eastAsia="宋体"/>
                      <w:color w:val="auto"/>
                      <w:szCs w:val="21"/>
                    </w:rPr>
                    <w:t>空压机含油废水</w:t>
                  </w:r>
                </w:p>
              </w:tc>
              <w:tc>
                <w:tcPr>
                  <w:tcW w:w="1620" w:type="pct"/>
                  <w:vMerge w:val="continue"/>
                  <w:vAlign w:val="center"/>
                </w:tcPr>
                <w:p w14:paraId="7BC3415C">
                  <w:pPr>
                    <w:pStyle w:val="34"/>
                    <w:spacing w:before="0" w:beforeLines="0" w:after="0" w:afterLines="0" w:line="240" w:lineRule="auto"/>
                    <w:rPr>
                      <w:rFonts w:hint="eastAsia" w:ascii="Times New Roman" w:eastAsia="宋体"/>
                      <w:color w:val="auto"/>
                      <w:sz w:val="21"/>
                      <w:szCs w:val="21"/>
                    </w:rPr>
                  </w:pPr>
                </w:p>
              </w:tc>
            </w:tr>
            <w:tr w14:paraId="30E1694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95" w:type="pct"/>
                  <w:vMerge w:val="continue"/>
                  <w:vAlign w:val="center"/>
                </w:tcPr>
                <w:p w14:paraId="34978C57">
                  <w:pPr>
                    <w:pStyle w:val="34"/>
                    <w:spacing w:before="0" w:beforeLines="0" w:after="0" w:afterLines="0" w:line="240" w:lineRule="auto"/>
                    <w:rPr>
                      <w:rFonts w:ascii="Times New Roman" w:eastAsia="宋体"/>
                      <w:color w:val="auto"/>
                      <w:sz w:val="21"/>
                      <w:szCs w:val="21"/>
                    </w:rPr>
                  </w:pPr>
                </w:p>
              </w:tc>
              <w:tc>
                <w:tcPr>
                  <w:tcW w:w="455" w:type="pct"/>
                  <w:shd w:val="clear" w:color="auto" w:fill="auto"/>
                  <w:vAlign w:val="center"/>
                </w:tcPr>
                <w:p w14:paraId="0A357BDD">
                  <w:pPr>
                    <w:spacing w:before="0" w:beforeLines="0" w:after="0" w:afterLines="0" w:line="240" w:lineRule="auto"/>
                    <w:jc w:val="center"/>
                    <w:rPr>
                      <w:rFonts w:hint="eastAsia" w:ascii="Times New Roman" w:hAnsi="Times New Roman" w:eastAsia="宋体" w:cs="Times New Roman"/>
                      <w:color w:val="auto"/>
                      <w:spacing w:val="-10"/>
                      <w:kern w:val="0"/>
                      <w:sz w:val="21"/>
                      <w:szCs w:val="21"/>
                      <w:lang w:val="en-US" w:eastAsia="zh-CN" w:bidi="ar-SA"/>
                    </w:rPr>
                  </w:pPr>
                  <w:r>
                    <w:rPr>
                      <w:rFonts w:hint="eastAsia" w:ascii="Times New Roman" w:hAnsi="宋体" w:eastAsia="宋体" w:cs="Times New Roman"/>
                      <w:color w:val="auto"/>
                      <w:spacing w:val="-10"/>
                      <w:kern w:val="0"/>
                      <w:sz w:val="21"/>
                      <w:szCs w:val="21"/>
                      <w:lang w:val="en-US" w:eastAsia="zh-CN" w:bidi="ar-SA"/>
                    </w:rPr>
                    <w:t>S</w:t>
                  </w:r>
                  <w:r>
                    <w:rPr>
                      <w:rFonts w:hint="eastAsia" w:hAnsi="宋体" w:cs="Times New Roman"/>
                      <w:color w:val="auto"/>
                      <w:spacing w:val="-10"/>
                      <w:kern w:val="0"/>
                      <w:sz w:val="21"/>
                      <w:szCs w:val="21"/>
                      <w:lang w:val="en-US" w:eastAsia="zh-CN" w:bidi="ar-SA"/>
                    </w:rPr>
                    <w:t>12</w:t>
                  </w:r>
                </w:p>
              </w:tc>
              <w:tc>
                <w:tcPr>
                  <w:tcW w:w="1544" w:type="pct"/>
                  <w:gridSpan w:val="2"/>
                  <w:shd w:val="clear" w:color="auto" w:fill="auto"/>
                  <w:vAlign w:val="center"/>
                </w:tcPr>
                <w:p w14:paraId="13597052">
                  <w:pPr>
                    <w:pStyle w:val="34"/>
                    <w:spacing w:before="0" w:beforeLines="0" w:after="0" w:afterLines="0" w:line="240" w:lineRule="auto"/>
                    <w:ind w:firstLine="0" w:firstLineChars="0"/>
                    <w:rPr>
                      <w:rFonts w:hint="eastAsia" w:ascii="Times New Roman" w:hAnsi="宋体" w:eastAsia="宋体" w:cs="Times New Roman"/>
                      <w:color w:val="auto"/>
                      <w:spacing w:val="-10"/>
                      <w:kern w:val="0"/>
                      <w:sz w:val="21"/>
                      <w:szCs w:val="21"/>
                      <w:lang w:val="en-US" w:eastAsia="zh-CN" w:bidi="ar-SA"/>
                    </w:rPr>
                  </w:pPr>
                  <w:r>
                    <w:rPr>
                      <w:rFonts w:hint="eastAsia" w:ascii="Times New Roman" w:eastAsia="宋体" w:cs="Times New Roman"/>
                      <w:color w:val="auto"/>
                      <w:spacing w:val="-10"/>
                      <w:kern w:val="0"/>
                      <w:sz w:val="21"/>
                      <w:szCs w:val="21"/>
                      <w:lang w:val="en-US" w:eastAsia="zh-CN" w:bidi="ar-SA"/>
                    </w:rPr>
                    <w:t>抛光测试</w:t>
                  </w:r>
                </w:p>
              </w:tc>
              <w:tc>
                <w:tcPr>
                  <w:tcW w:w="983" w:type="pct"/>
                  <w:shd w:val="clear" w:color="auto" w:fill="auto"/>
                  <w:vAlign w:val="center"/>
                </w:tcPr>
                <w:p w14:paraId="438ED990">
                  <w:pPr>
                    <w:pStyle w:val="34"/>
                    <w:spacing w:before="0" w:beforeLines="0" w:after="0" w:afterLines="0" w:line="240" w:lineRule="auto"/>
                    <w:ind w:firstLine="0" w:firstLineChars="0"/>
                    <w:rPr>
                      <w:rFonts w:hint="eastAsia" w:ascii="Times New Roman" w:hAnsi="宋体" w:eastAsia="宋体" w:cs="Times New Roman"/>
                      <w:color w:val="auto"/>
                      <w:spacing w:val="-10"/>
                      <w:kern w:val="0"/>
                      <w:sz w:val="21"/>
                      <w:szCs w:val="21"/>
                      <w:lang w:val="en-US" w:eastAsia="zh-CN" w:bidi="ar-SA"/>
                    </w:rPr>
                  </w:pPr>
                  <w:r>
                    <w:rPr>
                      <w:rFonts w:hint="eastAsia" w:ascii="Times New Roman" w:hAnsi="宋体" w:eastAsia="宋体" w:cs="Times New Roman"/>
                      <w:color w:val="auto"/>
                      <w:spacing w:val="-10"/>
                      <w:kern w:val="0"/>
                      <w:sz w:val="21"/>
                      <w:szCs w:val="21"/>
                      <w:lang w:val="en-US" w:eastAsia="zh-CN" w:bidi="ar-SA"/>
                    </w:rPr>
                    <w:t>抛光废料</w:t>
                  </w:r>
                </w:p>
              </w:tc>
              <w:tc>
                <w:tcPr>
                  <w:tcW w:w="1620" w:type="pct"/>
                  <w:vMerge w:val="continue"/>
                  <w:vAlign w:val="center"/>
                </w:tcPr>
                <w:p w14:paraId="489D5E5C">
                  <w:pPr>
                    <w:pStyle w:val="34"/>
                    <w:spacing w:before="0" w:beforeLines="0" w:after="0" w:afterLines="0" w:line="240" w:lineRule="auto"/>
                    <w:rPr>
                      <w:rFonts w:hint="eastAsia" w:ascii="Times New Roman" w:eastAsia="宋体"/>
                      <w:color w:val="auto"/>
                      <w:sz w:val="21"/>
                      <w:szCs w:val="21"/>
                    </w:rPr>
                  </w:pPr>
                </w:p>
              </w:tc>
            </w:tr>
            <w:tr w14:paraId="53AB7A5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95" w:type="pct"/>
                  <w:vMerge w:val="continue"/>
                  <w:vAlign w:val="center"/>
                </w:tcPr>
                <w:p w14:paraId="14AF22E5">
                  <w:pPr>
                    <w:pStyle w:val="34"/>
                    <w:spacing w:before="0" w:beforeLines="0" w:after="0" w:afterLines="0" w:line="240" w:lineRule="auto"/>
                    <w:rPr>
                      <w:rFonts w:ascii="Times New Roman" w:eastAsia="宋体"/>
                      <w:color w:val="auto"/>
                      <w:sz w:val="21"/>
                      <w:szCs w:val="21"/>
                    </w:rPr>
                  </w:pPr>
                </w:p>
              </w:tc>
              <w:tc>
                <w:tcPr>
                  <w:tcW w:w="455" w:type="pct"/>
                  <w:shd w:val="clear" w:color="auto" w:fill="auto"/>
                  <w:vAlign w:val="center"/>
                </w:tcPr>
                <w:p w14:paraId="23F53C2C">
                  <w:pPr>
                    <w:spacing w:before="0" w:beforeLines="0" w:after="0" w:afterLines="0" w:line="240" w:lineRule="auto"/>
                    <w:jc w:val="center"/>
                    <w:rPr>
                      <w:rFonts w:hint="eastAsia" w:ascii="Times New Roman" w:hAnsi="宋体" w:eastAsia="宋体" w:cs="Times New Roman"/>
                      <w:color w:val="auto"/>
                      <w:spacing w:val="-10"/>
                      <w:kern w:val="0"/>
                      <w:sz w:val="21"/>
                      <w:szCs w:val="21"/>
                      <w:lang w:val="en-US" w:eastAsia="zh-CN" w:bidi="ar-SA"/>
                    </w:rPr>
                  </w:pPr>
                  <w:r>
                    <w:rPr>
                      <w:rFonts w:hint="eastAsia" w:ascii="Times New Roman" w:eastAsia="宋体" w:cs="Times New Roman"/>
                      <w:color w:val="auto"/>
                      <w:spacing w:val="-10"/>
                      <w:kern w:val="0"/>
                      <w:sz w:val="21"/>
                      <w:szCs w:val="21"/>
                      <w:lang w:val="en-US" w:eastAsia="zh-CN" w:bidi="ar-SA"/>
                    </w:rPr>
                    <w:t>S26</w:t>
                  </w:r>
                </w:p>
              </w:tc>
              <w:tc>
                <w:tcPr>
                  <w:tcW w:w="1544" w:type="pct"/>
                  <w:gridSpan w:val="2"/>
                  <w:shd w:val="clear" w:color="auto" w:fill="auto"/>
                  <w:vAlign w:val="center"/>
                </w:tcPr>
                <w:p w14:paraId="23EA8996">
                  <w:pPr>
                    <w:pStyle w:val="34"/>
                    <w:spacing w:before="0" w:beforeLines="0" w:after="0" w:afterLines="0" w:line="240" w:lineRule="auto"/>
                    <w:ind w:firstLine="0" w:firstLineChars="0"/>
                    <w:rPr>
                      <w:rFonts w:hint="eastAsia" w:ascii="Times New Roman" w:eastAsia="宋体" w:cs="Times New Roman"/>
                      <w:color w:val="auto"/>
                      <w:spacing w:val="-10"/>
                      <w:kern w:val="0"/>
                      <w:sz w:val="21"/>
                      <w:szCs w:val="21"/>
                      <w:lang w:val="en-US" w:eastAsia="zh-CN" w:bidi="ar-SA"/>
                    </w:rPr>
                  </w:pPr>
                  <w:r>
                    <w:rPr>
                      <w:rFonts w:hint="eastAsia" w:ascii="Times New Roman" w:eastAsia="宋体" w:cs="Times New Roman"/>
                      <w:color w:val="auto"/>
                      <w:spacing w:val="-10"/>
                      <w:kern w:val="0"/>
                      <w:sz w:val="21"/>
                      <w:szCs w:val="21"/>
                      <w:lang w:val="en-US" w:eastAsia="zh-CN" w:bidi="ar-SA"/>
                    </w:rPr>
                    <w:t>电叉车更换电池</w:t>
                  </w:r>
                </w:p>
              </w:tc>
              <w:tc>
                <w:tcPr>
                  <w:tcW w:w="983" w:type="pct"/>
                  <w:shd w:val="clear" w:color="auto" w:fill="auto"/>
                  <w:vAlign w:val="center"/>
                </w:tcPr>
                <w:p w14:paraId="632ABCAF">
                  <w:pPr>
                    <w:pStyle w:val="34"/>
                    <w:spacing w:before="0" w:beforeLines="0" w:after="0" w:afterLines="0" w:line="240" w:lineRule="auto"/>
                    <w:ind w:firstLine="0" w:firstLineChars="0"/>
                    <w:rPr>
                      <w:rFonts w:hint="eastAsia" w:ascii="Times New Roman" w:hAnsi="宋体" w:eastAsia="宋体" w:cs="Times New Roman"/>
                      <w:color w:val="auto"/>
                      <w:spacing w:val="-10"/>
                      <w:kern w:val="0"/>
                      <w:sz w:val="21"/>
                      <w:szCs w:val="21"/>
                      <w:lang w:val="en-US" w:eastAsia="zh-CN" w:bidi="ar-SA"/>
                    </w:rPr>
                  </w:pPr>
                  <w:r>
                    <w:rPr>
                      <w:rFonts w:hint="eastAsia" w:ascii="Times New Roman" w:eastAsia="宋体" w:cs="Times New Roman"/>
                      <w:color w:val="auto"/>
                      <w:spacing w:val="-10"/>
                      <w:kern w:val="0"/>
                      <w:sz w:val="21"/>
                      <w:szCs w:val="21"/>
                      <w:lang w:val="en-US" w:eastAsia="zh-CN" w:bidi="ar-SA"/>
                    </w:rPr>
                    <w:t>废电池</w:t>
                  </w:r>
                </w:p>
              </w:tc>
              <w:tc>
                <w:tcPr>
                  <w:tcW w:w="1620" w:type="pct"/>
                  <w:vMerge w:val="continue"/>
                  <w:vAlign w:val="center"/>
                </w:tcPr>
                <w:p w14:paraId="277DD30B">
                  <w:pPr>
                    <w:pStyle w:val="34"/>
                    <w:spacing w:before="0" w:beforeLines="0" w:after="0" w:afterLines="0" w:line="240" w:lineRule="auto"/>
                    <w:rPr>
                      <w:rFonts w:hint="eastAsia" w:ascii="Times New Roman" w:eastAsia="宋体"/>
                      <w:color w:val="auto"/>
                      <w:sz w:val="21"/>
                      <w:szCs w:val="21"/>
                    </w:rPr>
                  </w:pPr>
                </w:p>
              </w:tc>
            </w:tr>
            <w:tr w14:paraId="493D2B8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95" w:type="pct"/>
                  <w:vMerge w:val="continue"/>
                  <w:vAlign w:val="center"/>
                </w:tcPr>
                <w:p w14:paraId="02CC8FEF">
                  <w:pPr>
                    <w:pStyle w:val="34"/>
                    <w:spacing w:before="0" w:beforeLines="0" w:after="0" w:afterLines="0" w:line="240" w:lineRule="auto"/>
                    <w:rPr>
                      <w:rFonts w:ascii="Times New Roman" w:eastAsia="宋体"/>
                      <w:color w:val="auto"/>
                      <w:sz w:val="21"/>
                      <w:szCs w:val="21"/>
                    </w:rPr>
                  </w:pPr>
                </w:p>
              </w:tc>
              <w:tc>
                <w:tcPr>
                  <w:tcW w:w="455" w:type="pct"/>
                  <w:shd w:val="clear" w:color="auto" w:fill="auto"/>
                  <w:vAlign w:val="center"/>
                </w:tcPr>
                <w:p w14:paraId="50181AA4">
                  <w:pPr>
                    <w:pStyle w:val="34"/>
                    <w:spacing w:before="0" w:beforeLines="0" w:after="0" w:afterLines="0" w:line="240" w:lineRule="auto"/>
                    <w:ind w:firstLine="0" w:firstLineChars="0"/>
                    <w:rPr>
                      <w:rFonts w:hint="eastAsia" w:ascii="Times New Roman" w:eastAsia="宋体" w:cs="Times New Roman"/>
                      <w:color w:val="auto"/>
                      <w:spacing w:val="-10"/>
                      <w:kern w:val="0"/>
                      <w:sz w:val="21"/>
                      <w:szCs w:val="21"/>
                      <w:lang w:val="en-US" w:eastAsia="zh-CN" w:bidi="ar-SA"/>
                    </w:rPr>
                  </w:pPr>
                  <w:r>
                    <w:rPr>
                      <w:rFonts w:hint="eastAsia" w:ascii="Times New Roman" w:eastAsia="宋体"/>
                      <w:color w:val="auto"/>
                      <w:szCs w:val="21"/>
                    </w:rPr>
                    <w:t>S28</w:t>
                  </w:r>
                </w:p>
              </w:tc>
              <w:tc>
                <w:tcPr>
                  <w:tcW w:w="1544" w:type="pct"/>
                  <w:gridSpan w:val="2"/>
                  <w:shd w:val="clear" w:color="auto" w:fill="auto"/>
                  <w:vAlign w:val="center"/>
                </w:tcPr>
                <w:p w14:paraId="612D56E9">
                  <w:pPr>
                    <w:pStyle w:val="34"/>
                    <w:spacing w:before="0" w:beforeLines="0" w:after="0" w:afterLines="0" w:line="240" w:lineRule="auto"/>
                    <w:ind w:firstLine="0" w:firstLineChars="0"/>
                    <w:rPr>
                      <w:rFonts w:hint="eastAsia" w:ascii="Times New Roman" w:eastAsia="宋体"/>
                      <w:color w:val="auto"/>
                      <w:szCs w:val="21"/>
                    </w:rPr>
                  </w:pPr>
                  <w:r>
                    <w:rPr>
                      <w:rFonts w:hint="eastAsia" w:ascii="Times New Roman" w:hAnsi="宋体" w:eastAsia="宋体" w:cs="Times New Roman"/>
                      <w:color w:val="auto"/>
                      <w:spacing w:val="-10"/>
                      <w:kern w:val="0"/>
                      <w:sz w:val="21"/>
                      <w:szCs w:val="21"/>
                      <w:lang w:val="en-US" w:eastAsia="zh-CN" w:bidi="ar-SA"/>
                    </w:rPr>
                    <w:t>钻孔、倒角、精加工</w:t>
                  </w:r>
                </w:p>
              </w:tc>
              <w:tc>
                <w:tcPr>
                  <w:tcW w:w="983" w:type="pct"/>
                  <w:shd w:val="clear" w:color="auto" w:fill="auto"/>
                  <w:vAlign w:val="center"/>
                </w:tcPr>
                <w:p w14:paraId="02E396FF">
                  <w:pPr>
                    <w:pStyle w:val="34"/>
                    <w:spacing w:before="0" w:beforeLines="0" w:after="0" w:afterLines="0" w:line="240" w:lineRule="auto"/>
                    <w:ind w:firstLine="0" w:firstLineChars="0"/>
                    <w:rPr>
                      <w:rFonts w:hint="eastAsia" w:ascii="Times New Roman" w:eastAsia="宋体"/>
                      <w:color w:val="auto"/>
                      <w:szCs w:val="21"/>
                    </w:rPr>
                  </w:pPr>
                  <w:r>
                    <w:rPr>
                      <w:rFonts w:hint="eastAsia" w:ascii="Times New Roman" w:eastAsia="宋体"/>
                      <w:color w:val="auto"/>
                      <w:szCs w:val="21"/>
                    </w:rPr>
                    <w:t>废油</w:t>
                  </w:r>
                </w:p>
              </w:tc>
              <w:tc>
                <w:tcPr>
                  <w:tcW w:w="1620" w:type="pct"/>
                  <w:vMerge w:val="continue"/>
                  <w:vAlign w:val="center"/>
                </w:tcPr>
                <w:p w14:paraId="2B68636F">
                  <w:pPr>
                    <w:pStyle w:val="34"/>
                    <w:spacing w:before="0" w:beforeLines="0" w:after="0" w:afterLines="0" w:line="240" w:lineRule="auto"/>
                    <w:rPr>
                      <w:rFonts w:hint="eastAsia" w:ascii="Times New Roman" w:eastAsia="宋体"/>
                      <w:color w:val="auto"/>
                      <w:sz w:val="21"/>
                      <w:szCs w:val="21"/>
                    </w:rPr>
                  </w:pPr>
                </w:p>
              </w:tc>
            </w:tr>
            <w:tr w14:paraId="345E03F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95" w:type="pct"/>
                  <w:vMerge w:val="continue"/>
                  <w:vAlign w:val="center"/>
                </w:tcPr>
                <w:p w14:paraId="1C568422">
                  <w:pPr>
                    <w:pStyle w:val="34"/>
                    <w:spacing w:before="0" w:beforeLines="0" w:after="0" w:afterLines="0" w:line="240" w:lineRule="auto"/>
                    <w:rPr>
                      <w:rFonts w:ascii="Times New Roman" w:eastAsia="宋体"/>
                      <w:color w:val="auto"/>
                      <w:sz w:val="21"/>
                      <w:szCs w:val="21"/>
                    </w:rPr>
                  </w:pPr>
                </w:p>
              </w:tc>
              <w:tc>
                <w:tcPr>
                  <w:tcW w:w="455" w:type="pct"/>
                  <w:shd w:val="clear" w:color="auto" w:fill="auto"/>
                  <w:vAlign w:val="center"/>
                </w:tcPr>
                <w:p w14:paraId="196B736F">
                  <w:pPr>
                    <w:pStyle w:val="34"/>
                    <w:spacing w:before="0" w:beforeLines="0" w:after="0" w:afterLines="0" w:line="240" w:lineRule="auto"/>
                    <w:ind w:firstLine="0" w:firstLineChars="0"/>
                    <w:rPr>
                      <w:rFonts w:hint="eastAsia" w:ascii="Times New Roman" w:eastAsia="宋体" w:cs="Times New Roman"/>
                      <w:color w:val="auto"/>
                      <w:spacing w:val="-10"/>
                      <w:kern w:val="0"/>
                      <w:sz w:val="21"/>
                      <w:szCs w:val="21"/>
                      <w:lang w:val="en-US" w:eastAsia="zh-CN" w:bidi="ar-SA"/>
                    </w:rPr>
                  </w:pPr>
                  <w:r>
                    <w:rPr>
                      <w:rFonts w:hint="eastAsia" w:ascii="Times New Roman" w:eastAsia="宋体"/>
                      <w:color w:val="auto"/>
                      <w:szCs w:val="21"/>
                    </w:rPr>
                    <w:t>S29</w:t>
                  </w:r>
                </w:p>
              </w:tc>
              <w:tc>
                <w:tcPr>
                  <w:tcW w:w="1544" w:type="pct"/>
                  <w:gridSpan w:val="2"/>
                  <w:shd w:val="clear" w:color="auto" w:fill="auto"/>
                  <w:vAlign w:val="center"/>
                </w:tcPr>
                <w:p w14:paraId="5A809FDB">
                  <w:pPr>
                    <w:pStyle w:val="34"/>
                    <w:spacing w:before="0" w:beforeLines="0" w:after="0" w:afterLines="0" w:line="240" w:lineRule="auto"/>
                    <w:ind w:firstLine="0" w:firstLineChars="0"/>
                    <w:rPr>
                      <w:rFonts w:hint="eastAsia" w:ascii="Times New Roman" w:eastAsia="宋体"/>
                      <w:color w:val="auto"/>
                      <w:szCs w:val="21"/>
                    </w:rPr>
                  </w:pPr>
                  <w:r>
                    <w:rPr>
                      <w:rFonts w:hint="eastAsia" w:ascii="Times New Roman" w:hAnsi="宋体" w:eastAsia="宋体" w:cs="Times New Roman"/>
                      <w:color w:val="auto"/>
                      <w:spacing w:val="-10"/>
                      <w:kern w:val="0"/>
                      <w:sz w:val="21"/>
                      <w:szCs w:val="21"/>
                      <w:lang w:val="en-US" w:eastAsia="zh-CN" w:bidi="ar-SA"/>
                    </w:rPr>
                    <w:t>钻孔、倒角、精加工</w:t>
                  </w:r>
                </w:p>
              </w:tc>
              <w:tc>
                <w:tcPr>
                  <w:tcW w:w="983" w:type="pct"/>
                  <w:shd w:val="clear" w:color="auto" w:fill="auto"/>
                  <w:vAlign w:val="center"/>
                </w:tcPr>
                <w:p w14:paraId="2AD1F408">
                  <w:pPr>
                    <w:pStyle w:val="34"/>
                    <w:spacing w:before="0" w:beforeLines="0" w:after="0" w:afterLines="0" w:line="240" w:lineRule="auto"/>
                    <w:ind w:firstLine="0" w:firstLineChars="0"/>
                    <w:rPr>
                      <w:rFonts w:hint="eastAsia" w:ascii="Times New Roman" w:eastAsia="宋体"/>
                      <w:color w:val="auto"/>
                      <w:szCs w:val="21"/>
                    </w:rPr>
                  </w:pPr>
                  <w:r>
                    <w:rPr>
                      <w:rFonts w:hint="eastAsia" w:ascii="Times New Roman" w:eastAsia="宋体"/>
                      <w:color w:val="auto"/>
                      <w:szCs w:val="21"/>
                    </w:rPr>
                    <w:t>金属屑</w:t>
                  </w:r>
                </w:p>
              </w:tc>
              <w:tc>
                <w:tcPr>
                  <w:tcW w:w="1620" w:type="pct"/>
                  <w:vAlign w:val="center"/>
                </w:tcPr>
                <w:p w14:paraId="5A05C3EB">
                  <w:pPr>
                    <w:pStyle w:val="34"/>
                    <w:spacing w:before="0" w:beforeLines="0" w:after="0" w:afterLines="0" w:line="240" w:lineRule="auto"/>
                    <w:rPr>
                      <w:rFonts w:hint="eastAsia" w:ascii="Times New Roman" w:eastAsia="宋体"/>
                      <w:color w:val="auto"/>
                      <w:sz w:val="21"/>
                      <w:szCs w:val="21"/>
                    </w:rPr>
                  </w:pPr>
                  <w:r>
                    <w:rPr>
                      <w:rFonts w:hint="eastAsia" w:ascii="Times New Roman" w:eastAsia="宋体"/>
                      <w:color w:val="auto"/>
                      <w:sz w:val="21"/>
                      <w:szCs w:val="21"/>
                    </w:rPr>
                    <w:t>待鉴别；鉴别若为一般固废则委外处置（作为生产原料用于金属冶炼），若为危险固废则委托有资质单位进行处置</w:t>
                  </w:r>
                </w:p>
              </w:tc>
            </w:tr>
            <w:tr w14:paraId="127CD2E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95" w:type="pct"/>
                  <w:vMerge w:val="continue"/>
                  <w:vAlign w:val="center"/>
                </w:tcPr>
                <w:p w14:paraId="73861929">
                  <w:pPr>
                    <w:pStyle w:val="34"/>
                    <w:spacing w:before="0" w:beforeLines="0" w:after="0" w:afterLines="0" w:line="240" w:lineRule="auto"/>
                    <w:rPr>
                      <w:rFonts w:ascii="Times New Roman" w:eastAsia="宋体"/>
                      <w:color w:val="auto"/>
                      <w:sz w:val="21"/>
                      <w:szCs w:val="21"/>
                    </w:rPr>
                  </w:pPr>
                </w:p>
              </w:tc>
              <w:tc>
                <w:tcPr>
                  <w:tcW w:w="455" w:type="pct"/>
                  <w:shd w:val="clear" w:color="auto" w:fill="auto"/>
                  <w:vAlign w:val="center"/>
                </w:tcPr>
                <w:p w14:paraId="202677AF">
                  <w:pPr>
                    <w:pStyle w:val="34"/>
                    <w:spacing w:before="0" w:beforeLines="0" w:after="0" w:afterLines="0" w:line="240" w:lineRule="auto"/>
                    <w:ind w:firstLine="0" w:firstLineChars="0"/>
                    <w:rPr>
                      <w:rFonts w:hint="eastAsia" w:ascii="Times New Roman" w:hAnsi="宋体" w:eastAsia="宋体" w:cs="Times New Roman"/>
                      <w:color w:val="auto"/>
                      <w:spacing w:val="-10"/>
                      <w:kern w:val="0"/>
                      <w:sz w:val="21"/>
                      <w:szCs w:val="21"/>
                      <w:lang w:val="en-US" w:eastAsia="zh-CN" w:bidi="ar-SA"/>
                    </w:rPr>
                  </w:pPr>
                  <w:r>
                    <w:rPr>
                      <w:rFonts w:hint="eastAsia" w:ascii="Times New Roman" w:hAnsi="宋体" w:eastAsia="宋体" w:cs="Times New Roman"/>
                      <w:color w:val="auto"/>
                      <w:spacing w:val="-10"/>
                      <w:kern w:val="0"/>
                      <w:sz w:val="21"/>
                      <w:szCs w:val="21"/>
                      <w:lang w:val="en-US" w:eastAsia="zh-CN" w:bidi="ar-SA"/>
                    </w:rPr>
                    <w:t>S1</w:t>
                  </w:r>
                  <w:r>
                    <w:rPr>
                      <w:rFonts w:hint="eastAsia" w:ascii="Times New Roman" w:eastAsia="宋体" w:cs="Times New Roman"/>
                      <w:color w:val="auto"/>
                      <w:spacing w:val="-10"/>
                      <w:kern w:val="0"/>
                      <w:sz w:val="21"/>
                      <w:szCs w:val="21"/>
                      <w:lang w:val="en-US" w:eastAsia="zh-CN" w:bidi="ar-SA"/>
                    </w:rPr>
                    <w:t>4</w:t>
                  </w:r>
                </w:p>
              </w:tc>
              <w:tc>
                <w:tcPr>
                  <w:tcW w:w="1544" w:type="pct"/>
                  <w:gridSpan w:val="2"/>
                  <w:shd w:val="clear" w:color="auto" w:fill="auto"/>
                  <w:vAlign w:val="center"/>
                </w:tcPr>
                <w:p w14:paraId="241E7763">
                  <w:pPr>
                    <w:pStyle w:val="34"/>
                    <w:spacing w:before="0" w:beforeLines="0" w:after="0" w:afterLines="0" w:line="240" w:lineRule="auto"/>
                    <w:ind w:firstLine="0" w:firstLineChars="0"/>
                    <w:rPr>
                      <w:rFonts w:hint="eastAsia" w:ascii="Times New Roman" w:eastAsia="宋体" w:cs="Times New Roman"/>
                      <w:color w:val="auto"/>
                      <w:spacing w:val="-10"/>
                      <w:kern w:val="0"/>
                      <w:sz w:val="21"/>
                      <w:szCs w:val="21"/>
                      <w:lang w:val="en-US" w:eastAsia="zh-CN" w:bidi="ar-SA"/>
                    </w:rPr>
                  </w:pPr>
                  <w:r>
                    <w:rPr>
                      <w:rFonts w:hint="eastAsia" w:ascii="Times New Roman" w:eastAsia="宋体" w:cs="Times New Roman"/>
                      <w:color w:val="auto"/>
                      <w:spacing w:val="-10"/>
                      <w:kern w:val="0"/>
                      <w:sz w:val="21"/>
                      <w:szCs w:val="21"/>
                      <w:lang w:val="en-US" w:eastAsia="zh-CN" w:bidi="ar-SA"/>
                    </w:rPr>
                    <w:t>职工生活</w:t>
                  </w:r>
                </w:p>
              </w:tc>
              <w:tc>
                <w:tcPr>
                  <w:tcW w:w="983" w:type="pct"/>
                  <w:shd w:val="clear" w:color="auto" w:fill="auto"/>
                  <w:vAlign w:val="center"/>
                </w:tcPr>
                <w:p w14:paraId="43DB77AE">
                  <w:pPr>
                    <w:pStyle w:val="34"/>
                    <w:spacing w:before="0" w:beforeLines="0" w:after="0" w:afterLines="0" w:line="240" w:lineRule="auto"/>
                    <w:ind w:firstLine="0" w:firstLineChars="0"/>
                    <w:rPr>
                      <w:rFonts w:hint="eastAsia" w:ascii="Times New Roman" w:eastAsia="宋体" w:cs="Times New Roman"/>
                      <w:color w:val="auto"/>
                      <w:spacing w:val="-10"/>
                      <w:kern w:val="0"/>
                      <w:sz w:val="21"/>
                      <w:szCs w:val="21"/>
                      <w:lang w:val="en-US" w:eastAsia="zh-CN" w:bidi="ar-SA"/>
                    </w:rPr>
                  </w:pPr>
                  <w:r>
                    <w:rPr>
                      <w:rFonts w:hint="eastAsia" w:ascii="Times New Roman" w:eastAsia="宋体" w:cs="Times New Roman"/>
                      <w:color w:val="auto"/>
                      <w:spacing w:val="-10"/>
                      <w:kern w:val="0"/>
                      <w:sz w:val="21"/>
                      <w:szCs w:val="21"/>
                      <w:lang w:val="en-US" w:eastAsia="zh-CN" w:bidi="ar-SA"/>
                    </w:rPr>
                    <w:t>生活垃圾</w:t>
                  </w:r>
                </w:p>
              </w:tc>
              <w:tc>
                <w:tcPr>
                  <w:tcW w:w="1620" w:type="pct"/>
                  <w:vAlign w:val="center"/>
                </w:tcPr>
                <w:p w14:paraId="595B3296">
                  <w:pPr>
                    <w:pStyle w:val="34"/>
                    <w:spacing w:before="0" w:beforeLines="0" w:after="0" w:afterLines="0" w:line="240" w:lineRule="auto"/>
                    <w:rPr>
                      <w:rFonts w:hint="eastAsia" w:ascii="Times New Roman" w:eastAsia="宋体"/>
                      <w:color w:val="auto"/>
                      <w:sz w:val="21"/>
                      <w:szCs w:val="21"/>
                    </w:rPr>
                  </w:pPr>
                  <w:r>
                    <w:rPr>
                      <w:rFonts w:hint="eastAsia" w:ascii="Times New Roman" w:eastAsia="宋体"/>
                      <w:color w:val="auto"/>
                      <w:sz w:val="21"/>
                      <w:szCs w:val="21"/>
                      <w:lang w:val="en-US" w:eastAsia="zh-CN"/>
                    </w:rPr>
                    <w:t>委托</w:t>
                  </w:r>
                  <w:r>
                    <w:rPr>
                      <w:rFonts w:hint="eastAsia" w:ascii="Times New Roman" w:eastAsia="宋体"/>
                      <w:color w:val="auto"/>
                      <w:sz w:val="21"/>
                      <w:szCs w:val="21"/>
                    </w:rPr>
                    <w:t>环卫清运</w:t>
                  </w:r>
                </w:p>
              </w:tc>
            </w:tr>
          </w:tbl>
          <w:p w14:paraId="6D295A10">
            <w:pPr>
              <w:rPr>
                <w:color w:val="auto"/>
                <w:sz w:val="24"/>
                <w:szCs w:val="24"/>
              </w:rPr>
            </w:pPr>
          </w:p>
        </w:tc>
      </w:tr>
      <w:tr w14:paraId="293CAB2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795" w:hRule="atLeast"/>
          <w:jc w:val="center"/>
        </w:trPr>
        <w:tc>
          <w:tcPr>
            <w:tcW w:w="452" w:type="dxa"/>
            <w:vAlign w:val="center"/>
          </w:tcPr>
          <w:p w14:paraId="4CB3182A">
            <w:pPr>
              <w:pStyle w:val="22"/>
              <w:adjustRightInd w:val="0"/>
              <w:snapToGrid w:val="0"/>
              <w:spacing w:before="0" w:beforeAutospacing="0" w:after="0" w:afterAutospacing="0"/>
              <w:jc w:val="center"/>
              <w:rPr>
                <w:rFonts w:cs="宋体"/>
                <w:color w:val="auto"/>
                <w:sz w:val="24"/>
                <w:szCs w:val="24"/>
              </w:rPr>
            </w:pPr>
            <w:r>
              <w:rPr>
                <w:rFonts w:hint="eastAsia" w:cs="宋体"/>
                <w:bCs/>
                <w:color w:val="auto"/>
                <w:kern w:val="2"/>
                <w:sz w:val="24"/>
                <w:szCs w:val="24"/>
              </w:rPr>
              <w:t>与项目有关的原有环境污染问题</w:t>
            </w:r>
          </w:p>
        </w:tc>
        <w:tc>
          <w:tcPr>
            <w:tcW w:w="8608" w:type="dxa"/>
            <w:vAlign w:val="top"/>
          </w:tcPr>
          <w:p w14:paraId="15663191">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jc w:val="left"/>
              <w:textAlignment w:val="auto"/>
              <w:outlineLvl w:val="9"/>
              <w:rPr>
                <w:b/>
                <w:bCs/>
                <w:color w:val="auto"/>
                <w:sz w:val="24"/>
                <w:szCs w:val="24"/>
              </w:rPr>
            </w:pPr>
            <w:bookmarkStart w:id="10" w:name="_Toc18876"/>
            <w:r>
              <w:rPr>
                <w:rFonts w:hint="eastAsia"/>
                <w:b/>
                <w:bCs/>
                <w:color w:val="auto"/>
                <w:sz w:val="24"/>
                <w:szCs w:val="24"/>
                <w:lang w:val="en-US" w:eastAsia="zh-CN"/>
              </w:rPr>
              <w:t>3、</w:t>
            </w:r>
            <w:r>
              <w:rPr>
                <w:b/>
                <w:bCs/>
                <w:color w:val="auto"/>
                <w:sz w:val="24"/>
                <w:szCs w:val="24"/>
              </w:rPr>
              <w:t>与项目有关的原有环境污染问题</w:t>
            </w:r>
            <w:bookmarkEnd w:id="10"/>
          </w:p>
          <w:p w14:paraId="1FC9801F">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jc w:val="left"/>
              <w:textAlignment w:val="auto"/>
              <w:outlineLvl w:val="9"/>
              <w:rPr>
                <w:b/>
                <w:bCs/>
                <w:color w:val="auto"/>
                <w:sz w:val="24"/>
                <w:szCs w:val="24"/>
              </w:rPr>
            </w:pPr>
            <w:bookmarkStart w:id="11" w:name="_Toc27237"/>
            <w:r>
              <w:rPr>
                <w:rFonts w:hint="eastAsia"/>
                <w:b/>
                <w:bCs/>
                <w:color w:val="auto"/>
                <w:sz w:val="24"/>
                <w:szCs w:val="24"/>
                <w:lang w:eastAsia="zh-CN"/>
              </w:rPr>
              <w:t>（</w:t>
            </w:r>
            <w:r>
              <w:rPr>
                <w:rFonts w:hint="eastAsia"/>
                <w:b/>
                <w:bCs/>
                <w:color w:val="auto"/>
                <w:sz w:val="24"/>
                <w:szCs w:val="24"/>
                <w:lang w:val="en-US" w:eastAsia="zh-CN"/>
              </w:rPr>
              <w:t>1</w:t>
            </w:r>
            <w:r>
              <w:rPr>
                <w:rFonts w:hint="eastAsia"/>
                <w:b/>
                <w:bCs/>
                <w:color w:val="auto"/>
                <w:sz w:val="24"/>
                <w:szCs w:val="24"/>
                <w:lang w:eastAsia="zh-CN"/>
              </w:rPr>
              <w:t>）</w:t>
            </w:r>
            <w:r>
              <w:rPr>
                <w:rFonts w:hint="eastAsia"/>
                <w:b/>
                <w:bCs/>
                <w:color w:val="auto"/>
                <w:sz w:val="24"/>
                <w:szCs w:val="24"/>
                <w:lang w:val="en-US" w:eastAsia="zh-CN"/>
              </w:rPr>
              <w:t>现有</w:t>
            </w:r>
            <w:r>
              <w:rPr>
                <w:b/>
                <w:bCs/>
                <w:color w:val="auto"/>
                <w:sz w:val="24"/>
                <w:szCs w:val="24"/>
              </w:rPr>
              <w:t>项目环保手续履行情况</w:t>
            </w:r>
            <w:bookmarkEnd w:id="11"/>
          </w:p>
          <w:p w14:paraId="18D09347">
            <w:pPr>
              <w:pStyle w:val="9"/>
              <w:spacing w:line="360" w:lineRule="auto"/>
              <w:ind w:firstLine="480" w:firstLineChars="200"/>
              <w:jc w:val="left"/>
              <w:rPr>
                <w:color w:val="auto"/>
                <w:sz w:val="24"/>
                <w:szCs w:val="24"/>
              </w:rPr>
            </w:pPr>
            <w:r>
              <w:rPr>
                <w:rFonts w:hint="eastAsia"/>
                <w:color w:val="auto"/>
                <w:sz w:val="24"/>
                <w:szCs w:val="24"/>
              </w:rPr>
              <w:t>希彼埃姆机械（南通）有限公司于2009年编制了《10吨/小时及以上的饲料加工成套设备及关键部件制造、其他工程机械制造项目环境影响报告表》并于2009年12月05日取得原海安县环境保护局批复（海环管（表）</w:t>
            </w:r>
            <w:r>
              <w:rPr>
                <w:rFonts w:hint="eastAsia"/>
                <w:color w:val="auto"/>
                <w:sz w:val="24"/>
                <w:szCs w:val="24"/>
                <w:lang w:eastAsia="zh-CN"/>
              </w:rPr>
              <w:t>〔2009〕</w:t>
            </w:r>
            <w:r>
              <w:rPr>
                <w:rFonts w:hint="eastAsia"/>
                <w:color w:val="auto"/>
                <w:sz w:val="24"/>
                <w:szCs w:val="24"/>
              </w:rPr>
              <w:t>12006号），2019年12月20日通过自主验收</w:t>
            </w:r>
            <w:r>
              <w:rPr>
                <w:rFonts w:hint="eastAsia"/>
                <w:color w:val="auto"/>
                <w:sz w:val="24"/>
                <w:szCs w:val="24"/>
                <w:lang w:eastAsia="zh-CN"/>
              </w:rPr>
              <w:t>，</w:t>
            </w:r>
            <w:r>
              <w:rPr>
                <w:rFonts w:hint="eastAsia"/>
                <w:color w:val="auto"/>
                <w:sz w:val="24"/>
                <w:szCs w:val="24"/>
                <w:lang w:val="en-US" w:eastAsia="zh-CN"/>
              </w:rPr>
              <w:t>验收产能为核心部件3000套/年，未验收部分弃建</w:t>
            </w:r>
            <w:r>
              <w:rPr>
                <w:rFonts w:hint="eastAsia"/>
                <w:color w:val="auto"/>
                <w:sz w:val="24"/>
                <w:szCs w:val="24"/>
              </w:rPr>
              <w:t>。</w:t>
            </w:r>
            <w:r>
              <w:rPr>
                <w:rFonts w:hint="eastAsia" w:ascii="Times New Roman" w:hAnsi="Times New Roman"/>
                <w:b w:val="0"/>
                <w:bCs w:val="0"/>
                <w:color w:val="auto"/>
                <w:sz w:val="24"/>
                <w:szCs w:val="24"/>
                <w:lang w:val="en-US" w:eastAsia="zh-CN"/>
              </w:rPr>
              <w:t>企业生产运营至2023年，因淬火炉使用年限较高、耗损严重，不能满足产品的加工要求，故新增1台淬火炉，原淬火炉作为备用；为实现同类型产品批量化生产，减少工装夹具等的更换频率，从而提升员工操作便捷性，确保质量稳定性，新增部分机加工及辅助生产设备，故企业编制验收后变动环境影响分析并于2023年7月6日通过专家评审，变动后全厂产能不发生变化。</w:t>
            </w:r>
            <w:r>
              <w:rPr>
                <w:rFonts w:hint="eastAsia"/>
                <w:color w:val="auto"/>
                <w:sz w:val="24"/>
                <w:szCs w:val="24"/>
              </w:rPr>
              <w:t>2025年9月15日企业重新申领排污许可证</w:t>
            </w:r>
            <w:r>
              <w:rPr>
                <w:rFonts w:hint="eastAsia"/>
                <w:color w:val="auto"/>
                <w:sz w:val="24"/>
                <w:szCs w:val="24"/>
                <w:lang w:eastAsia="zh-CN"/>
              </w:rPr>
              <w:t>（证书编号：91320621697919753L001Y）</w:t>
            </w:r>
            <w:r>
              <w:rPr>
                <w:rFonts w:hint="eastAsia"/>
                <w:color w:val="auto"/>
                <w:sz w:val="24"/>
                <w:szCs w:val="24"/>
              </w:rPr>
              <w:t>。</w:t>
            </w:r>
          </w:p>
          <w:p w14:paraId="5B5DB7FE">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宋体" w:cs="Times New Roman"/>
                <w:b/>
                <w:bCs/>
                <w:color w:val="auto"/>
                <w:sz w:val="24"/>
                <w:szCs w:val="24"/>
                <w:lang w:eastAsia="zh-CN"/>
              </w:rPr>
            </w:pPr>
            <w:bookmarkStart w:id="12" w:name="_Toc19480"/>
            <w:r>
              <w:rPr>
                <w:rFonts w:hint="default" w:ascii="Times New Roman" w:hAnsi="Times New Roman" w:cs="Times New Roman"/>
                <w:b/>
                <w:bCs/>
                <w:color w:val="auto"/>
                <w:sz w:val="24"/>
                <w:szCs w:val="24"/>
                <w:lang w:val="en-US" w:eastAsia="zh-CN"/>
              </w:rPr>
              <w:t>表2-</w:t>
            </w:r>
            <w:r>
              <w:rPr>
                <w:rFonts w:hint="eastAsia" w:cs="Times New Roman"/>
                <w:b/>
                <w:bCs/>
                <w:color w:val="auto"/>
                <w:sz w:val="24"/>
                <w:szCs w:val="24"/>
                <w:lang w:val="en-US" w:eastAsia="zh-CN"/>
              </w:rPr>
              <w:t>7</w:t>
            </w:r>
            <w:r>
              <w:rPr>
                <w:rFonts w:hint="eastAsia" w:ascii="Times New Roman" w:hAnsi="Times New Roman" w:cs="Times New Roman"/>
                <w:b/>
                <w:bCs/>
                <w:color w:val="auto"/>
                <w:sz w:val="24"/>
                <w:szCs w:val="24"/>
                <w:lang w:val="en-US" w:eastAsia="zh-CN"/>
              </w:rPr>
              <w:t xml:space="preserve"> </w:t>
            </w:r>
            <w:r>
              <w:rPr>
                <w:rFonts w:hint="eastAsia"/>
                <w:b/>
                <w:bCs/>
                <w:color w:val="auto"/>
                <w:sz w:val="24"/>
                <w:szCs w:val="24"/>
                <w:lang w:val="en-US" w:eastAsia="zh-CN"/>
              </w:rPr>
              <w:t>现有</w:t>
            </w:r>
            <w:r>
              <w:rPr>
                <w:rFonts w:hint="default" w:ascii="Times New Roman" w:hAnsi="Times New Roman" w:cs="Times New Roman"/>
                <w:b/>
                <w:bCs/>
                <w:color w:val="auto"/>
                <w:sz w:val="24"/>
                <w:szCs w:val="24"/>
                <w:lang w:val="en-US" w:eastAsia="zh-CN"/>
              </w:rPr>
              <w:t>项目环保手续情况表</w:t>
            </w:r>
          </w:p>
          <w:tbl>
            <w:tblPr>
              <w:tblStyle w:val="27"/>
              <w:tblW w:w="8392" w:type="dxa"/>
              <w:tblInd w:w="5"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368"/>
              <w:gridCol w:w="1596"/>
              <w:gridCol w:w="1362"/>
              <w:gridCol w:w="703"/>
              <w:gridCol w:w="1200"/>
              <w:gridCol w:w="1025"/>
              <w:gridCol w:w="995"/>
              <w:gridCol w:w="1143"/>
            </w:tblGrid>
            <w:tr w14:paraId="58218A83">
              <w:tblPrEx>
                <w:tblCellMar>
                  <w:top w:w="0" w:type="dxa"/>
                  <w:left w:w="108" w:type="dxa"/>
                  <w:bottom w:w="0" w:type="dxa"/>
                  <w:right w:w="108" w:type="dxa"/>
                </w:tblCellMar>
              </w:tblPrEx>
              <w:tc>
                <w:tcPr>
                  <w:tcW w:w="368" w:type="dxa"/>
                  <w:tcBorders>
                    <w:tl2br w:val="nil"/>
                    <w:tr2bl w:val="nil"/>
                  </w:tcBorders>
                  <w:shd w:val="clear" w:color="auto" w:fill="auto"/>
                  <w:vAlign w:val="center"/>
                </w:tcPr>
                <w:p w14:paraId="782095BE">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b/>
                      <w:color w:val="auto"/>
                      <w:kern w:val="2"/>
                      <w:sz w:val="21"/>
                      <w:szCs w:val="21"/>
                      <w:lang w:val="en-US" w:eastAsia="zh-CN" w:bidi="ar-SA"/>
                    </w:rPr>
                  </w:pPr>
                  <w:r>
                    <w:rPr>
                      <w:rFonts w:hint="default" w:ascii="Times New Roman" w:hAnsi="Times New Roman" w:eastAsia="宋体" w:cs="Times New Roman"/>
                      <w:b/>
                      <w:color w:val="auto"/>
                      <w:sz w:val="21"/>
                      <w:szCs w:val="21"/>
                      <w:lang w:bidi="ar-SA"/>
                    </w:rPr>
                    <w:t>序号</w:t>
                  </w:r>
                </w:p>
              </w:tc>
              <w:tc>
                <w:tcPr>
                  <w:tcW w:w="1596" w:type="dxa"/>
                  <w:tcBorders>
                    <w:tl2br w:val="nil"/>
                    <w:tr2bl w:val="nil"/>
                  </w:tcBorders>
                  <w:shd w:val="clear" w:color="auto" w:fill="auto"/>
                  <w:vAlign w:val="center"/>
                </w:tcPr>
                <w:p w14:paraId="5E5D8684">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b/>
                      <w:color w:val="auto"/>
                      <w:kern w:val="2"/>
                      <w:sz w:val="21"/>
                      <w:szCs w:val="21"/>
                      <w:lang w:val="en-US" w:eastAsia="zh-CN" w:bidi="ar-SA"/>
                    </w:rPr>
                  </w:pPr>
                  <w:r>
                    <w:rPr>
                      <w:rFonts w:hint="default" w:ascii="Times New Roman" w:hAnsi="Times New Roman" w:eastAsia="宋体" w:cs="Times New Roman"/>
                      <w:b/>
                      <w:color w:val="auto"/>
                      <w:sz w:val="21"/>
                      <w:szCs w:val="21"/>
                      <w:lang w:bidi="ar-SA"/>
                    </w:rPr>
                    <w:t>项目名称</w:t>
                  </w:r>
                </w:p>
              </w:tc>
              <w:tc>
                <w:tcPr>
                  <w:tcW w:w="1362" w:type="dxa"/>
                  <w:tcBorders>
                    <w:tl2br w:val="nil"/>
                    <w:tr2bl w:val="nil"/>
                  </w:tcBorders>
                  <w:shd w:val="clear" w:color="auto" w:fill="auto"/>
                  <w:vAlign w:val="center"/>
                </w:tcPr>
                <w:p w14:paraId="40078132">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b/>
                      <w:color w:val="auto"/>
                      <w:kern w:val="2"/>
                      <w:sz w:val="21"/>
                      <w:szCs w:val="21"/>
                      <w:lang w:val="en-US" w:eastAsia="zh-CN" w:bidi="ar-SA"/>
                    </w:rPr>
                  </w:pPr>
                  <w:r>
                    <w:rPr>
                      <w:rFonts w:hint="default" w:ascii="Times New Roman" w:hAnsi="Times New Roman" w:eastAsia="宋体" w:cs="Times New Roman"/>
                      <w:b/>
                      <w:color w:val="auto"/>
                      <w:sz w:val="21"/>
                      <w:szCs w:val="21"/>
                      <w:lang w:bidi="ar-SA"/>
                    </w:rPr>
                    <w:t>批复情况</w:t>
                  </w:r>
                </w:p>
              </w:tc>
              <w:tc>
                <w:tcPr>
                  <w:tcW w:w="703" w:type="dxa"/>
                  <w:tcBorders>
                    <w:tl2br w:val="nil"/>
                    <w:tr2bl w:val="nil"/>
                  </w:tcBorders>
                  <w:shd w:val="clear" w:color="auto" w:fill="auto"/>
                  <w:vAlign w:val="center"/>
                </w:tcPr>
                <w:p w14:paraId="7FF61231">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b/>
                      <w:color w:val="auto"/>
                      <w:kern w:val="2"/>
                      <w:sz w:val="21"/>
                      <w:szCs w:val="21"/>
                      <w:lang w:val="en-US" w:eastAsia="zh-CN" w:bidi="ar-SA"/>
                    </w:rPr>
                  </w:pPr>
                  <w:r>
                    <w:rPr>
                      <w:rFonts w:hint="default" w:ascii="Times New Roman" w:hAnsi="Times New Roman" w:eastAsia="宋体" w:cs="Times New Roman"/>
                      <w:b/>
                      <w:color w:val="auto"/>
                      <w:sz w:val="21"/>
                      <w:szCs w:val="21"/>
                      <w:lang w:bidi="ar-SA"/>
                    </w:rPr>
                    <w:t>验收情况</w:t>
                  </w:r>
                </w:p>
              </w:tc>
              <w:tc>
                <w:tcPr>
                  <w:tcW w:w="1200" w:type="dxa"/>
                  <w:tcBorders>
                    <w:tl2br w:val="nil"/>
                    <w:tr2bl w:val="nil"/>
                  </w:tcBorders>
                  <w:shd w:val="clear" w:color="auto" w:fill="auto"/>
                  <w:vAlign w:val="center"/>
                </w:tcPr>
                <w:p w14:paraId="2C393932">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b/>
                      <w:color w:val="auto"/>
                      <w:kern w:val="2"/>
                      <w:sz w:val="21"/>
                      <w:szCs w:val="21"/>
                      <w:lang w:val="en-US" w:eastAsia="zh-CN" w:bidi="ar-SA"/>
                    </w:rPr>
                  </w:pPr>
                  <w:r>
                    <w:rPr>
                      <w:rFonts w:hint="default" w:ascii="Times New Roman" w:hAnsi="Times New Roman" w:eastAsia="宋体" w:cs="Times New Roman"/>
                      <w:b/>
                      <w:color w:val="auto"/>
                      <w:sz w:val="21"/>
                      <w:szCs w:val="21"/>
                      <w:lang w:bidi="ar-SA"/>
                    </w:rPr>
                    <w:t>原环评中主要产品及产能</w:t>
                  </w:r>
                </w:p>
              </w:tc>
              <w:tc>
                <w:tcPr>
                  <w:tcW w:w="1025" w:type="dxa"/>
                  <w:tcBorders>
                    <w:tl2br w:val="nil"/>
                    <w:tr2bl w:val="nil"/>
                  </w:tcBorders>
                  <w:shd w:val="clear" w:color="auto" w:fill="auto"/>
                  <w:vAlign w:val="center"/>
                </w:tcPr>
                <w:p w14:paraId="4D2E21C7">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b/>
                      <w:color w:val="auto"/>
                      <w:kern w:val="2"/>
                      <w:sz w:val="21"/>
                      <w:szCs w:val="21"/>
                      <w:lang w:val="en-US" w:eastAsia="zh-CN" w:bidi="ar-SA"/>
                    </w:rPr>
                  </w:pPr>
                  <w:r>
                    <w:rPr>
                      <w:rFonts w:hint="default" w:ascii="Times New Roman" w:hAnsi="Times New Roman" w:eastAsia="宋体" w:cs="Times New Roman"/>
                      <w:b/>
                      <w:color w:val="auto"/>
                      <w:sz w:val="21"/>
                      <w:szCs w:val="21"/>
                      <w:lang w:bidi="ar-SA"/>
                    </w:rPr>
                    <w:t>实际验收产品及产能</w:t>
                  </w:r>
                </w:p>
              </w:tc>
              <w:tc>
                <w:tcPr>
                  <w:tcW w:w="995" w:type="dxa"/>
                  <w:tcBorders>
                    <w:tl2br w:val="nil"/>
                    <w:tr2bl w:val="nil"/>
                  </w:tcBorders>
                  <w:shd w:val="clear" w:color="auto" w:fill="auto"/>
                  <w:vAlign w:val="center"/>
                </w:tcPr>
                <w:p w14:paraId="3EA8F774">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color w:val="auto"/>
                      <w:sz w:val="21"/>
                      <w:szCs w:val="21"/>
                      <w:lang w:val="en-US" w:eastAsia="zh-CN" w:bidi="ar-SA"/>
                    </w:rPr>
                  </w:pPr>
                  <w:r>
                    <w:rPr>
                      <w:rFonts w:hint="eastAsia" w:cs="Times New Roman"/>
                      <w:b/>
                      <w:color w:val="auto"/>
                      <w:sz w:val="21"/>
                      <w:szCs w:val="21"/>
                      <w:lang w:val="en-US" w:eastAsia="zh-CN" w:bidi="ar-SA"/>
                    </w:rPr>
                    <w:t>实际生产情况</w:t>
                  </w:r>
                </w:p>
              </w:tc>
              <w:tc>
                <w:tcPr>
                  <w:tcW w:w="1143" w:type="dxa"/>
                  <w:tcBorders>
                    <w:tl2br w:val="nil"/>
                    <w:tr2bl w:val="nil"/>
                  </w:tcBorders>
                  <w:shd w:val="clear" w:color="auto" w:fill="auto"/>
                  <w:vAlign w:val="center"/>
                </w:tcPr>
                <w:p w14:paraId="3134C43D">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b/>
                      <w:color w:val="auto"/>
                      <w:kern w:val="2"/>
                      <w:sz w:val="21"/>
                      <w:szCs w:val="21"/>
                      <w:lang w:val="en-US" w:eastAsia="zh-CN" w:bidi="ar-SA"/>
                    </w:rPr>
                  </w:pPr>
                  <w:r>
                    <w:rPr>
                      <w:rFonts w:hint="default" w:ascii="Times New Roman" w:hAnsi="Times New Roman" w:eastAsia="宋体" w:cs="Times New Roman"/>
                      <w:b/>
                      <w:color w:val="auto"/>
                      <w:sz w:val="21"/>
                      <w:szCs w:val="21"/>
                      <w:lang w:bidi="ar-SA"/>
                    </w:rPr>
                    <w:t>排污许可手续</w:t>
                  </w:r>
                </w:p>
              </w:tc>
            </w:tr>
            <w:tr w14:paraId="1E4C441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68" w:type="dxa"/>
                  <w:tcBorders>
                    <w:tl2br w:val="nil"/>
                    <w:tr2bl w:val="nil"/>
                  </w:tcBorders>
                  <w:vAlign w:val="center"/>
                </w:tcPr>
                <w:p w14:paraId="254CE35E">
                  <w:pPr>
                    <w:keepNext w:val="0"/>
                    <w:keepLines w:val="0"/>
                    <w:pageBreakBefore w:val="0"/>
                    <w:widowControl/>
                    <w:numPr>
                      <w:ilvl w:val="0"/>
                      <w:numId w:val="0"/>
                    </w:numPr>
                    <w:kinsoku/>
                    <w:wordWrap/>
                    <w:overflowPunct/>
                    <w:topLinePunct w:val="0"/>
                    <w:autoSpaceDE/>
                    <w:autoSpaceDN/>
                    <w:bidi w:val="0"/>
                    <w:adjustRightInd/>
                    <w:snapToGrid/>
                    <w:spacing w:line="240" w:lineRule="auto"/>
                    <w:jc w:val="left"/>
                    <w:textAlignment w:val="auto"/>
                    <w:outlineLvl w:val="9"/>
                    <w:rPr>
                      <w:rFonts w:hint="default" w:ascii="Times New Roman" w:hAnsi="Times New Roman" w:eastAsia="宋体"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1</w:t>
                  </w:r>
                </w:p>
              </w:tc>
              <w:tc>
                <w:tcPr>
                  <w:tcW w:w="1596" w:type="dxa"/>
                  <w:tcBorders>
                    <w:tl2br w:val="nil"/>
                    <w:tr2bl w:val="nil"/>
                  </w:tcBorders>
                  <w:vAlign w:val="center"/>
                </w:tcPr>
                <w:p w14:paraId="66A404C0">
                  <w:pPr>
                    <w:keepNext w:val="0"/>
                    <w:keepLines w:val="0"/>
                    <w:pageBreakBefore w:val="0"/>
                    <w:widowControl/>
                    <w:numPr>
                      <w:ilvl w:val="0"/>
                      <w:numId w:val="0"/>
                    </w:numPr>
                    <w:kinsoku/>
                    <w:wordWrap/>
                    <w:overflowPunct/>
                    <w:topLinePunct w:val="0"/>
                    <w:autoSpaceDE/>
                    <w:autoSpaceDN/>
                    <w:bidi w:val="0"/>
                    <w:adjustRightInd/>
                    <w:snapToGrid/>
                    <w:spacing w:line="240" w:lineRule="auto"/>
                    <w:jc w:val="center"/>
                    <w:textAlignment w:val="auto"/>
                    <w:outlineLvl w:val="9"/>
                    <w:rPr>
                      <w:rFonts w:hint="eastAsia" w:ascii="Times New Roman" w:hAnsi="Times New Roman" w:eastAsia="宋体" w:cs="Times New Roman"/>
                      <w:b w:val="0"/>
                      <w:bCs w:val="0"/>
                      <w:color w:val="auto"/>
                      <w:sz w:val="21"/>
                      <w:szCs w:val="21"/>
                      <w:vertAlign w:val="baseline"/>
                      <w:lang w:eastAsia="zh-CN"/>
                    </w:rPr>
                  </w:pPr>
                  <w:r>
                    <w:rPr>
                      <w:rFonts w:hint="eastAsia" w:ascii="Times New Roman" w:hAnsi="Times New Roman" w:eastAsia="宋体" w:cs="Times New Roman"/>
                      <w:b w:val="0"/>
                      <w:bCs w:val="0"/>
                      <w:color w:val="auto"/>
                      <w:sz w:val="21"/>
                      <w:szCs w:val="21"/>
                      <w:vertAlign w:val="baseline"/>
                      <w:lang w:eastAsia="zh-CN"/>
                    </w:rPr>
                    <w:t>10吨/小时及以上的饲料加工成套设备及关键部件制造、其他工程机械制造项目</w:t>
                  </w:r>
                </w:p>
              </w:tc>
              <w:tc>
                <w:tcPr>
                  <w:tcW w:w="1362" w:type="dxa"/>
                  <w:tcBorders>
                    <w:tl2br w:val="nil"/>
                    <w:tr2bl w:val="nil"/>
                  </w:tcBorders>
                  <w:vAlign w:val="center"/>
                </w:tcPr>
                <w:p w14:paraId="704E0F4A">
                  <w:pPr>
                    <w:keepNext w:val="0"/>
                    <w:keepLines w:val="0"/>
                    <w:pageBreakBefore w:val="0"/>
                    <w:widowControl/>
                    <w:numPr>
                      <w:ilvl w:val="0"/>
                      <w:numId w:val="0"/>
                    </w:numPr>
                    <w:kinsoku/>
                    <w:wordWrap/>
                    <w:overflowPunct/>
                    <w:topLinePunct w:val="0"/>
                    <w:autoSpaceDE/>
                    <w:autoSpaceDN/>
                    <w:bidi w:val="0"/>
                    <w:adjustRightInd/>
                    <w:snapToGrid/>
                    <w:spacing w:line="240" w:lineRule="auto"/>
                    <w:jc w:val="center"/>
                    <w:textAlignment w:val="auto"/>
                    <w:outlineLvl w:val="9"/>
                    <w:rPr>
                      <w:rFonts w:hint="eastAsia" w:ascii="Times New Roman" w:hAnsi="Times New Roman" w:eastAsia="宋体" w:cs="Times New Roman"/>
                      <w:b w:val="0"/>
                      <w:bCs w:val="0"/>
                      <w:color w:val="auto"/>
                      <w:sz w:val="21"/>
                      <w:szCs w:val="21"/>
                      <w:vertAlign w:val="baseline"/>
                      <w:lang w:eastAsia="zh-CN"/>
                    </w:rPr>
                  </w:pPr>
                  <w:r>
                    <w:rPr>
                      <w:rFonts w:hint="eastAsia" w:ascii="Times New Roman" w:hAnsi="Times New Roman" w:eastAsia="宋体" w:cs="Times New Roman"/>
                      <w:b w:val="0"/>
                      <w:bCs w:val="0"/>
                      <w:color w:val="auto"/>
                      <w:sz w:val="21"/>
                      <w:szCs w:val="21"/>
                      <w:vertAlign w:val="baseline"/>
                      <w:lang w:eastAsia="zh-CN"/>
                    </w:rPr>
                    <w:t>海环管（表）</w:t>
                  </w:r>
                  <w:r>
                    <w:rPr>
                      <w:rFonts w:hint="eastAsia" w:cs="Times New Roman"/>
                      <w:b w:val="0"/>
                      <w:bCs w:val="0"/>
                      <w:color w:val="auto"/>
                      <w:sz w:val="21"/>
                      <w:szCs w:val="21"/>
                      <w:vertAlign w:val="baseline"/>
                      <w:lang w:eastAsia="zh-CN"/>
                    </w:rPr>
                    <w:t>〔2009〕</w:t>
                  </w:r>
                  <w:r>
                    <w:rPr>
                      <w:rFonts w:hint="eastAsia" w:ascii="Times New Roman" w:hAnsi="Times New Roman" w:eastAsia="宋体" w:cs="Times New Roman"/>
                      <w:b w:val="0"/>
                      <w:bCs w:val="0"/>
                      <w:color w:val="auto"/>
                      <w:sz w:val="21"/>
                      <w:szCs w:val="21"/>
                      <w:vertAlign w:val="baseline"/>
                      <w:lang w:eastAsia="zh-CN"/>
                    </w:rPr>
                    <w:t>12006号</w:t>
                  </w:r>
                </w:p>
              </w:tc>
              <w:tc>
                <w:tcPr>
                  <w:tcW w:w="703" w:type="dxa"/>
                  <w:tcBorders>
                    <w:tl2br w:val="nil"/>
                    <w:tr2bl w:val="nil"/>
                  </w:tcBorders>
                  <w:vAlign w:val="center"/>
                </w:tcPr>
                <w:p w14:paraId="5A6818E1">
                  <w:pPr>
                    <w:keepNext w:val="0"/>
                    <w:keepLines w:val="0"/>
                    <w:pageBreakBefore w:val="0"/>
                    <w:widowControl/>
                    <w:numPr>
                      <w:ilvl w:val="0"/>
                      <w:numId w:val="0"/>
                    </w:numPr>
                    <w:kinsoku/>
                    <w:wordWrap/>
                    <w:overflowPunct/>
                    <w:topLinePunct w:val="0"/>
                    <w:autoSpaceDE/>
                    <w:autoSpaceDN/>
                    <w:bidi w:val="0"/>
                    <w:adjustRightInd/>
                    <w:snapToGrid/>
                    <w:spacing w:line="240" w:lineRule="auto"/>
                    <w:jc w:val="center"/>
                    <w:textAlignment w:val="auto"/>
                    <w:outlineLvl w:val="9"/>
                    <w:rPr>
                      <w:rFonts w:hint="eastAsia" w:ascii="Times New Roman" w:hAnsi="Times New Roman" w:eastAsia="宋体" w:cs="Times New Roman"/>
                      <w:b w:val="0"/>
                      <w:bCs w:val="0"/>
                      <w:color w:val="auto"/>
                      <w:sz w:val="21"/>
                      <w:szCs w:val="21"/>
                      <w:vertAlign w:val="baseline"/>
                      <w:lang w:eastAsia="zh-CN"/>
                    </w:rPr>
                  </w:pPr>
                  <w:r>
                    <w:rPr>
                      <w:rFonts w:hint="eastAsia" w:ascii="Times New Roman" w:hAnsi="Times New Roman" w:eastAsia="宋体" w:cs="Times New Roman"/>
                      <w:b w:val="0"/>
                      <w:bCs w:val="0"/>
                      <w:color w:val="auto"/>
                      <w:sz w:val="21"/>
                      <w:szCs w:val="21"/>
                      <w:vertAlign w:val="baseline"/>
                      <w:lang w:eastAsia="zh-CN"/>
                    </w:rPr>
                    <w:t>2019年12月20日通过自主验收</w:t>
                  </w:r>
                </w:p>
              </w:tc>
              <w:tc>
                <w:tcPr>
                  <w:tcW w:w="1200" w:type="dxa"/>
                  <w:tcBorders>
                    <w:tl2br w:val="nil"/>
                    <w:tr2bl w:val="nil"/>
                  </w:tcBorders>
                  <w:vAlign w:val="center"/>
                </w:tcPr>
                <w:p w14:paraId="021E98E1">
                  <w:pPr>
                    <w:keepNext w:val="0"/>
                    <w:keepLines w:val="0"/>
                    <w:pageBreakBefore w:val="0"/>
                    <w:widowControl/>
                    <w:numPr>
                      <w:ilvl w:val="0"/>
                      <w:numId w:val="0"/>
                    </w:numPr>
                    <w:kinsoku/>
                    <w:wordWrap/>
                    <w:overflowPunct/>
                    <w:topLinePunct w:val="0"/>
                    <w:autoSpaceDE/>
                    <w:autoSpaceDN/>
                    <w:bidi w:val="0"/>
                    <w:adjustRightInd/>
                    <w:snapToGrid/>
                    <w:spacing w:line="240" w:lineRule="auto"/>
                    <w:jc w:val="center"/>
                    <w:textAlignment w:val="auto"/>
                    <w:outlineLvl w:val="9"/>
                    <w:rPr>
                      <w:rFonts w:hint="eastAsia" w:ascii="Times New Roman" w:hAnsi="Times New Roman" w:eastAsia="宋体" w:cs="Times New Roman"/>
                      <w:b w:val="0"/>
                      <w:bCs w:val="0"/>
                      <w:color w:val="auto"/>
                      <w:sz w:val="21"/>
                      <w:szCs w:val="21"/>
                      <w:vertAlign w:val="baseline"/>
                      <w:lang w:eastAsia="zh-CN"/>
                    </w:rPr>
                  </w:pPr>
                  <w:r>
                    <w:rPr>
                      <w:rFonts w:hint="eastAsia" w:ascii="Times New Roman" w:hAnsi="Times New Roman" w:eastAsia="宋体" w:cs="Times New Roman"/>
                      <w:b w:val="0"/>
                      <w:bCs w:val="0"/>
                      <w:color w:val="auto"/>
                      <w:sz w:val="21"/>
                      <w:szCs w:val="21"/>
                      <w:vertAlign w:val="baseline"/>
                      <w:lang w:eastAsia="zh-CN"/>
                    </w:rPr>
                    <w:t>饲料加工成套设备50套/年</w:t>
                  </w:r>
                  <w:r>
                    <w:rPr>
                      <w:rFonts w:hint="eastAsia" w:cs="Times New Roman"/>
                      <w:b w:val="0"/>
                      <w:bCs w:val="0"/>
                      <w:color w:val="auto"/>
                      <w:sz w:val="21"/>
                      <w:szCs w:val="21"/>
                      <w:vertAlign w:val="baseline"/>
                      <w:lang w:eastAsia="zh-CN"/>
                    </w:rPr>
                    <w:t>、</w:t>
                  </w:r>
                  <w:r>
                    <w:rPr>
                      <w:rFonts w:hint="eastAsia" w:ascii="Times New Roman" w:hAnsi="Times New Roman" w:eastAsia="宋体" w:cs="Times New Roman"/>
                      <w:b w:val="0"/>
                      <w:bCs w:val="0"/>
                      <w:color w:val="auto"/>
                      <w:sz w:val="21"/>
                      <w:szCs w:val="21"/>
                      <w:vertAlign w:val="baseline"/>
                      <w:lang w:eastAsia="zh-CN"/>
                    </w:rPr>
                    <w:t>核心部件</w:t>
                  </w:r>
                  <w:r>
                    <w:rPr>
                      <w:rFonts w:hint="eastAsia"/>
                      <w:color w:val="auto"/>
                      <w:kern w:val="0"/>
                      <w:sz w:val="21"/>
                      <w:szCs w:val="21"/>
                    </w:rPr>
                    <w:t>3000套</w:t>
                  </w:r>
                  <w:r>
                    <w:rPr>
                      <w:rFonts w:hint="eastAsia" w:ascii="Times New Roman" w:hAnsi="Times New Roman" w:eastAsia="宋体" w:cs="Times New Roman"/>
                      <w:b w:val="0"/>
                      <w:bCs w:val="0"/>
                      <w:color w:val="auto"/>
                      <w:sz w:val="21"/>
                      <w:szCs w:val="21"/>
                      <w:vertAlign w:val="baseline"/>
                      <w:lang w:eastAsia="zh-CN"/>
                    </w:rPr>
                    <w:t>/年</w:t>
                  </w:r>
                  <w:r>
                    <w:rPr>
                      <w:rFonts w:hint="eastAsia"/>
                      <w:color w:val="auto"/>
                      <w:kern w:val="0"/>
                      <w:sz w:val="21"/>
                      <w:szCs w:val="21"/>
                      <w:lang w:eastAsia="zh-CN"/>
                    </w:rPr>
                    <w:t>、</w:t>
                  </w:r>
                  <w:r>
                    <w:rPr>
                      <w:rFonts w:hint="eastAsia" w:ascii="Times New Roman" w:hAnsi="Times New Roman" w:eastAsia="宋体" w:cs="Times New Roman"/>
                      <w:b w:val="0"/>
                      <w:bCs w:val="0"/>
                      <w:color w:val="auto"/>
                      <w:sz w:val="21"/>
                      <w:szCs w:val="21"/>
                      <w:vertAlign w:val="baseline"/>
                      <w:lang w:eastAsia="zh-CN"/>
                    </w:rPr>
                    <w:t>其他工程机械20套/年</w:t>
                  </w:r>
                </w:p>
              </w:tc>
              <w:tc>
                <w:tcPr>
                  <w:tcW w:w="1025" w:type="dxa"/>
                  <w:tcBorders>
                    <w:tl2br w:val="nil"/>
                    <w:tr2bl w:val="nil"/>
                  </w:tcBorders>
                  <w:vAlign w:val="center"/>
                </w:tcPr>
                <w:p w14:paraId="44988B88">
                  <w:pPr>
                    <w:keepNext w:val="0"/>
                    <w:keepLines w:val="0"/>
                    <w:pageBreakBefore w:val="0"/>
                    <w:widowControl/>
                    <w:numPr>
                      <w:ilvl w:val="0"/>
                      <w:numId w:val="0"/>
                    </w:numPr>
                    <w:kinsoku/>
                    <w:wordWrap/>
                    <w:overflowPunct/>
                    <w:topLinePunct w:val="0"/>
                    <w:autoSpaceDE/>
                    <w:autoSpaceDN/>
                    <w:bidi w:val="0"/>
                    <w:adjustRightInd/>
                    <w:snapToGrid/>
                    <w:spacing w:line="240" w:lineRule="auto"/>
                    <w:jc w:val="center"/>
                    <w:textAlignment w:val="auto"/>
                    <w:outlineLvl w:val="9"/>
                    <w:rPr>
                      <w:rFonts w:hint="eastAsia" w:ascii="Times New Roman" w:hAnsi="Times New Roman" w:eastAsia="宋体" w:cs="Times New Roman"/>
                      <w:b w:val="0"/>
                      <w:bCs w:val="0"/>
                      <w:color w:val="auto"/>
                      <w:sz w:val="21"/>
                      <w:szCs w:val="21"/>
                      <w:vertAlign w:val="baseline"/>
                      <w:lang w:eastAsia="zh-CN"/>
                    </w:rPr>
                  </w:pPr>
                  <w:r>
                    <w:rPr>
                      <w:rFonts w:hint="eastAsia" w:ascii="Times New Roman" w:hAnsi="Times New Roman" w:eastAsia="宋体" w:cs="Times New Roman"/>
                      <w:b w:val="0"/>
                      <w:bCs w:val="0"/>
                      <w:color w:val="auto"/>
                      <w:sz w:val="21"/>
                      <w:szCs w:val="21"/>
                      <w:vertAlign w:val="baseline"/>
                      <w:lang w:eastAsia="zh-CN"/>
                    </w:rPr>
                    <w:t>核心部件</w:t>
                  </w:r>
                  <w:r>
                    <w:rPr>
                      <w:rFonts w:hint="eastAsia"/>
                      <w:color w:val="auto"/>
                      <w:kern w:val="0"/>
                      <w:sz w:val="21"/>
                      <w:szCs w:val="21"/>
                    </w:rPr>
                    <w:t>3000套</w:t>
                  </w:r>
                  <w:r>
                    <w:rPr>
                      <w:rFonts w:hint="eastAsia" w:ascii="Times New Roman" w:hAnsi="Times New Roman" w:eastAsia="宋体" w:cs="Times New Roman"/>
                      <w:b w:val="0"/>
                      <w:bCs w:val="0"/>
                      <w:color w:val="auto"/>
                      <w:sz w:val="21"/>
                      <w:szCs w:val="21"/>
                      <w:vertAlign w:val="baseline"/>
                      <w:lang w:eastAsia="zh-CN"/>
                    </w:rPr>
                    <w:t>/年</w:t>
                  </w:r>
                </w:p>
              </w:tc>
              <w:tc>
                <w:tcPr>
                  <w:tcW w:w="995" w:type="dxa"/>
                  <w:tcBorders>
                    <w:tl2br w:val="nil"/>
                    <w:tr2bl w:val="nil"/>
                  </w:tcBorders>
                  <w:vAlign w:val="center"/>
                </w:tcPr>
                <w:p w14:paraId="7EFEE117">
                  <w:pPr>
                    <w:keepNext w:val="0"/>
                    <w:keepLines w:val="0"/>
                    <w:pageBreakBefore w:val="0"/>
                    <w:widowControl/>
                    <w:numPr>
                      <w:ilvl w:val="0"/>
                      <w:numId w:val="0"/>
                    </w:numPr>
                    <w:kinsoku/>
                    <w:wordWrap/>
                    <w:overflowPunct/>
                    <w:topLinePunct w:val="0"/>
                    <w:autoSpaceDE/>
                    <w:autoSpaceDN/>
                    <w:bidi w:val="0"/>
                    <w:adjustRightInd/>
                    <w:snapToGrid/>
                    <w:spacing w:line="240" w:lineRule="auto"/>
                    <w:jc w:val="center"/>
                    <w:textAlignment w:val="auto"/>
                    <w:outlineLvl w:val="9"/>
                    <w:rPr>
                      <w:rFonts w:hint="eastAsia" w:ascii="Times New Roman" w:hAnsi="Times New Roman" w:eastAsia="宋体" w:cs="Times New Roman"/>
                      <w:b w:val="0"/>
                      <w:bCs w:val="0"/>
                      <w:color w:val="auto"/>
                      <w:sz w:val="21"/>
                      <w:szCs w:val="21"/>
                      <w:vertAlign w:val="baseline"/>
                      <w:lang w:eastAsia="zh-CN"/>
                    </w:rPr>
                  </w:pPr>
                  <w:r>
                    <w:rPr>
                      <w:rFonts w:hint="eastAsia" w:ascii="Times New Roman" w:hAnsi="Times New Roman" w:eastAsia="宋体" w:cs="Times New Roman"/>
                      <w:b w:val="0"/>
                      <w:bCs w:val="0"/>
                      <w:color w:val="auto"/>
                      <w:sz w:val="21"/>
                      <w:szCs w:val="21"/>
                      <w:vertAlign w:val="baseline"/>
                      <w:lang w:eastAsia="zh-CN"/>
                    </w:rPr>
                    <w:t>核心部件</w:t>
                  </w:r>
                  <w:r>
                    <w:rPr>
                      <w:rFonts w:hint="eastAsia"/>
                      <w:color w:val="auto"/>
                      <w:kern w:val="0"/>
                      <w:sz w:val="21"/>
                      <w:szCs w:val="21"/>
                    </w:rPr>
                    <w:t>3000套</w:t>
                  </w:r>
                  <w:r>
                    <w:rPr>
                      <w:rFonts w:hint="eastAsia" w:ascii="Times New Roman" w:hAnsi="Times New Roman" w:eastAsia="宋体" w:cs="Times New Roman"/>
                      <w:b w:val="0"/>
                      <w:bCs w:val="0"/>
                      <w:color w:val="auto"/>
                      <w:sz w:val="21"/>
                      <w:szCs w:val="21"/>
                      <w:vertAlign w:val="baseline"/>
                      <w:lang w:eastAsia="zh-CN"/>
                    </w:rPr>
                    <w:t>/年</w:t>
                  </w:r>
                </w:p>
              </w:tc>
              <w:tc>
                <w:tcPr>
                  <w:tcW w:w="1143" w:type="dxa"/>
                  <w:vMerge w:val="restart"/>
                  <w:tcBorders>
                    <w:tl2br w:val="nil"/>
                    <w:tr2bl w:val="nil"/>
                  </w:tcBorders>
                  <w:vAlign w:val="center"/>
                </w:tcPr>
                <w:p w14:paraId="1C682022">
                  <w:pPr>
                    <w:keepNext w:val="0"/>
                    <w:keepLines w:val="0"/>
                    <w:pageBreakBefore w:val="0"/>
                    <w:widowControl/>
                    <w:numPr>
                      <w:ilvl w:val="0"/>
                      <w:numId w:val="0"/>
                    </w:numPr>
                    <w:kinsoku/>
                    <w:wordWrap/>
                    <w:overflowPunct/>
                    <w:topLinePunct w:val="0"/>
                    <w:autoSpaceDE/>
                    <w:autoSpaceDN/>
                    <w:bidi w:val="0"/>
                    <w:adjustRightInd/>
                    <w:snapToGrid/>
                    <w:spacing w:line="240" w:lineRule="auto"/>
                    <w:jc w:val="left"/>
                    <w:textAlignment w:val="auto"/>
                    <w:outlineLvl w:val="9"/>
                    <w:rPr>
                      <w:rFonts w:hint="eastAsia" w:ascii="Times New Roman" w:hAnsi="Times New Roman" w:eastAsia="宋体" w:cs="Times New Roman"/>
                      <w:b w:val="0"/>
                      <w:bCs w:val="0"/>
                      <w:color w:val="auto"/>
                      <w:sz w:val="21"/>
                      <w:szCs w:val="21"/>
                      <w:vertAlign w:val="baseline"/>
                      <w:lang w:eastAsia="zh-CN"/>
                    </w:rPr>
                  </w:pPr>
                  <w:r>
                    <w:rPr>
                      <w:rFonts w:hint="eastAsia" w:ascii="Times New Roman" w:hAnsi="Times New Roman" w:eastAsia="宋体" w:cs="Times New Roman"/>
                      <w:b w:val="0"/>
                      <w:bCs w:val="0"/>
                      <w:color w:val="auto"/>
                      <w:sz w:val="21"/>
                      <w:szCs w:val="21"/>
                      <w:vertAlign w:val="baseline"/>
                      <w:lang w:eastAsia="zh-CN"/>
                    </w:rPr>
                    <w:t>2025年9月15日企业重新申领排污许可证（证书编号：91320621697919753L001Y）</w:t>
                  </w:r>
                </w:p>
              </w:tc>
            </w:tr>
            <w:tr w14:paraId="4F9C7DE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68" w:type="dxa"/>
                  <w:tcBorders>
                    <w:tl2br w:val="nil"/>
                    <w:tr2bl w:val="nil"/>
                  </w:tcBorders>
                  <w:vAlign w:val="center"/>
                </w:tcPr>
                <w:p w14:paraId="69532A84">
                  <w:pPr>
                    <w:keepNext w:val="0"/>
                    <w:keepLines w:val="0"/>
                    <w:pageBreakBefore w:val="0"/>
                    <w:widowControl/>
                    <w:numPr>
                      <w:ilvl w:val="0"/>
                      <w:numId w:val="0"/>
                    </w:numPr>
                    <w:kinsoku/>
                    <w:wordWrap/>
                    <w:overflowPunct/>
                    <w:topLinePunct w:val="0"/>
                    <w:autoSpaceDE/>
                    <w:autoSpaceDN/>
                    <w:bidi w:val="0"/>
                    <w:adjustRightInd/>
                    <w:snapToGrid/>
                    <w:spacing w:line="240" w:lineRule="auto"/>
                    <w:jc w:val="left"/>
                    <w:textAlignment w:val="auto"/>
                    <w:outlineLvl w:val="9"/>
                    <w:rPr>
                      <w:rFonts w:hint="default"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2</w:t>
                  </w:r>
                </w:p>
              </w:tc>
              <w:tc>
                <w:tcPr>
                  <w:tcW w:w="1596" w:type="dxa"/>
                  <w:tcBorders>
                    <w:tl2br w:val="nil"/>
                    <w:tr2bl w:val="nil"/>
                  </w:tcBorders>
                  <w:vAlign w:val="center"/>
                </w:tcPr>
                <w:p w14:paraId="42216B39">
                  <w:pPr>
                    <w:keepNext w:val="0"/>
                    <w:keepLines w:val="0"/>
                    <w:pageBreakBefore w:val="0"/>
                    <w:widowControl/>
                    <w:numPr>
                      <w:ilvl w:val="0"/>
                      <w:numId w:val="0"/>
                    </w:numPr>
                    <w:kinsoku/>
                    <w:wordWrap/>
                    <w:overflowPunct/>
                    <w:topLinePunct w:val="0"/>
                    <w:autoSpaceDE/>
                    <w:autoSpaceDN/>
                    <w:bidi w:val="0"/>
                    <w:adjustRightInd/>
                    <w:snapToGrid/>
                    <w:spacing w:line="240" w:lineRule="auto"/>
                    <w:jc w:val="center"/>
                    <w:textAlignment w:val="auto"/>
                    <w:outlineLvl w:val="9"/>
                    <w:rPr>
                      <w:rFonts w:hint="eastAsia" w:ascii="Times New Roman" w:hAnsi="Times New Roman" w:eastAsia="宋体" w:cs="Times New Roman"/>
                      <w:b w:val="0"/>
                      <w:bCs w:val="0"/>
                      <w:color w:val="auto"/>
                      <w:sz w:val="21"/>
                      <w:szCs w:val="21"/>
                      <w:vertAlign w:val="baseline"/>
                      <w:lang w:eastAsia="zh-CN"/>
                    </w:rPr>
                  </w:pPr>
                  <w:r>
                    <w:rPr>
                      <w:rFonts w:hint="eastAsia" w:ascii="Times New Roman" w:hAnsi="Times New Roman" w:eastAsia="宋体" w:cs="Times New Roman"/>
                      <w:b w:val="0"/>
                      <w:bCs w:val="0"/>
                      <w:color w:val="auto"/>
                      <w:sz w:val="21"/>
                      <w:szCs w:val="21"/>
                      <w:vertAlign w:val="baseline"/>
                      <w:lang w:eastAsia="zh-CN"/>
                    </w:rPr>
                    <w:t>验收后变动环境影响分析</w:t>
                  </w:r>
                </w:p>
              </w:tc>
              <w:tc>
                <w:tcPr>
                  <w:tcW w:w="1362" w:type="dxa"/>
                  <w:tcBorders>
                    <w:tl2br w:val="nil"/>
                    <w:tr2bl w:val="nil"/>
                  </w:tcBorders>
                  <w:vAlign w:val="center"/>
                </w:tcPr>
                <w:p w14:paraId="148F1049">
                  <w:pPr>
                    <w:keepNext w:val="0"/>
                    <w:keepLines w:val="0"/>
                    <w:pageBreakBefore w:val="0"/>
                    <w:widowControl/>
                    <w:numPr>
                      <w:ilvl w:val="0"/>
                      <w:numId w:val="0"/>
                    </w:numPr>
                    <w:kinsoku/>
                    <w:wordWrap/>
                    <w:overflowPunct/>
                    <w:topLinePunct w:val="0"/>
                    <w:autoSpaceDE/>
                    <w:autoSpaceDN/>
                    <w:bidi w:val="0"/>
                    <w:adjustRightInd/>
                    <w:snapToGrid/>
                    <w:spacing w:line="240" w:lineRule="auto"/>
                    <w:jc w:val="center"/>
                    <w:textAlignment w:val="auto"/>
                    <w:outlineLvl w:val="9"/>
                    <w:rPr>
                      <w:rFonts w:hint="eastAsia" w:ascii="Times New Roman" w:hAnsi="Times New Roman" w:eastAsia="宋体" w:cs="Times New Roman"/>
                      <w:b w:val="0"/>
                      <w:bCs w:val="0"/>
                      <w:color w:val="auto"/>
                      <w:sz w:val="21"/>
                      <w:szCs w:val="21"/>
                      <w:vertAlign w:val="baseline"/>
                      <w:lang w:eastAsia="zh-CN"/>
                    </w:rPr>
                  </w:pPr>
                  <w:r>
                    <w:rPr>
                      <w:rFonts w:hint="eastAsia" w:ascii="Times New Roman" w:hAnsi="Times New Roman" w:eastAsia="宋体" w:cs="Times New Roman"/>
                      <w:b w:val="0"/>
                      <w:bCs w:val="0"/>
                      <w:color w:val="auto"/>
                      <w:sz w:val="21"/>
                      <w:szCs w:val="21"/>
                      <w:vertAlign w:val="baseline"/>
                      <w:lang w:eastAsia="zh-CN"/>
                    </w:rPr>
                    <w:t>2023年7月6日通过专家评审</w:t>
                  </w:r>
                </w:p>
              </w:tc>
              <w:tc>
                <w:tcPr>
                  <w:tcW w:w="703" w:type="dxa"/>
                  <w:tcBorders>
                    <w:tl2br w:val="nil"/>
                    <w:tr2bl w:val="nil"/>
                  </w:tcBorders>
                  <w:vAlign w:val="center"/>
                </w:tcPr>
                <w:p w14:paraId="347C20AE">
                  <w:pPr>
                    <w:keepNext w:val="0"/>
                    <w:keepLines w:val="0"/>
                    <w:pageBreakBefore w:val="0"/>
                    <w:widowControl/>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w:t>
                  </w:r>
                </w:p>
              </w:tc>
              <w:tc>
                <w:tcPr>
                  <w:tcW w:w="1200" w:type="dxa"/>
                  <w:tcBorders>
                    <w:tl2br w:val="nil"/>
                    <w:tr2bl w:val="nil"/>
                  </w:tcBorders>
                  <w:vAlign w:val="center"/>
                </w:tcPr>
                <w:p w14:paraId="677ED084">
                  <w:pPr>
                    <w:keepNext w:val="0"/>
                    <w:keepLines w:val="0"/>
                    <w:pageBreakBefore w:val="0"/>
                    <w:widowControl/>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w:t>
                  </w:r>
                </w:p>
              </w:tc>
              <w:tc>
                <w:tcPr>
                  <w:tcW w:w="1025" w:type="dxa"/>
                  <w:tcBorders>
                    <w:tl2br w:val="nil"/>
                    <w:tr2bl w:val="nil"/>
                  </w:tcBorders>
                  <w:vAlign w:val="center"/>
                </w:tcPr>
                <w:p w14:paraId="2BD257F7">
                  <w:pPr>
                    <w:keepNext w:val="0"/>
                    <w:keepLines w:val="0"/>
                    <w:pageBreakBefore w:val="0"/>
                    <w:widowControl/>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w:t>
                  </w:r>
                </w:p>
              </w:tc>
              <w:tc>
                <w:tcPr>
                  <w:tcW w:w="995" w:type="dxa"/>
                  <w:tcBorders>
                    <w:tl2br w:val="nil"/>
                    <w:tr2bl w:val="nil"/>
                  </w:tcBorders>
                  <w:vAlign w:val="center"/>
                </w:tcPr>
                <w:p w14:paraId="218366A6">
                  <w:pPr>
                    <w:keepNext w:val="0"/>
                    <w:keepLines w:val="0"/>
                    <w:pageBreakBefore w:val="0"/>
                    <w:widowControl/>
                    <w:numPr>
                      <w:ilvl w:val="0"/>
                      <w:numId w:val="0"/>
                    </w:numPr>
                    <w:kinsoku/>
                    <w:wordWrap/>
                    <w:overflowPunct/>
                    <w:topLinePunct w:val="0"/>
                    <w:autoSpaceDE/>
                    <w:autoSpaceDN/>
                    <w:bidi w:val="0"/>
                    <w:adjustRightInd/>
                    <w:snapToGrid/>
                    <w:spacing w:line="240" w:lineRule="auto"/>
                    <w:jc w:val="center"/>
                    <w:textAlignment w:val="auto"/>
                    <w:outlineLvl w:val="9"/>
                    <w:rPr>
                      <w:rFonts w:hint="eastAsia" w:cs="Times New Roman"/>
                      <w:b w:val="0"/>
                      <w:bCs w:val="0"/>
                      <w:color w:val="auto"/>
                      <w:sz w:val="21"/>
                      <w:szCs w:val="21"/>
                      <w:vertAlign w:val="baseline"/>
                      <w:lang w:val="en-US" w:eastAsia="zh-CN"/>
                    </w:rPr>
                  </w:pPr>
                  <w:r>
                    <w:rPr>
                      <w:rFonts w:hint="eastAsia" w:ascii="Times New Roman" w:hAnsi="Times New Roman" w:eastAsia="宋体" w:cs="Times New Roman"/>
                      <w:b w:val="0"/>
                      <w:bCs w:val="0"/>
                      <w:color w:val="auto"/>
                      <w:sz w:val="21"/>
                      <w:szCs w:val="21"/>
                      <w:vertAlign w:val="baseline"/>
                      <w:lang w:eastAsia="zh-CN"/>
                    </w:rPr>
                    <w:t>核心部件</w:t>
                  </w:r>
                  <w:r>
                    <w:rPr>
                      <w:rFonts w:hint="eastAsia"/>
                      <w:color w:val="auto"/>
                      <w:kern w:val="0"/>
                      <w:sz w:val="21"/>
                      <w:szCs w:val="21"/>
                    </w:rPr>
                    <w:t>3000套</w:t>
                  </w:r>
                  <w:r>
                    <w:rPr>
                      <w:rFonts w:hint="eastAsia" w:ascii="Times New Roman" w:hAnsi="Times New Roman" w:eastAsia="宋体" w:cs="Times New Roman"/>
                      <w:b w:val="0"/>
                      <w:bCs w:val="0"/>
                      <w:color w:val="auto"/>
                      <w:sz w:val="21"/>
                      <w:szCs w:val="21"/>
                      <w:vertAlign w:val="baseline"/>
                      <w:lang w:eastAsia="zh-CN"/>
                    </w:rPr>
                    <w:t>/年</w:t>
                  </w:r>
                </w:p>
              </w:tc>
              <w:tc>
                <w:tcPr>
                  <w:tcW w:w="1143" w:type="dxa"/>
                  <w:vMerge w:val="continue"/>
                  <w:tcBorders>
                    <w:tl2br w:val="nil"/>
                    <w:tr2bl w:val="nil"/>
                  </w:tcBorders>
                  <w:vAlign w:val="center"/>
                </w:tcPr>
                <w:p w14:paraId="40B71787">
                  <w:pPr>
                    <w:keepNext w:val="0"/>
                    <w:keepLines w:val="0"/>
                    <w:pageBreakBefore w:val="0"/>
                    <w:widowControl/>
                    <w:numPr>
                      <w:ilvl w:val="0"/>
                      <w:numId w:val="0"/>
                    </w:numPr>
                    <w:kinsoku/>
                    <w:wordWrap/>
                    <w:overflowPunct/>
                    <w:topLinePunct w:val="0"/>
                    <w:autoSpaceDE/>
                    <w:autoSpaceDN/>
                    <w:bidi w:val="0"/>
                    <w:adjustRightInd/>
                    <w:snapToGrid/>
                    <w:spacing w:line="240" w:lineRule="auto"/>
                    <w:jc w:val="left"/>
                    <w:textAlignment w:val="auto"/>
                    <w:outlineLvl w:val="9"/>
                    <w:rPr>
                      <w:rFonts w:hint="eastAsia" w:ascii="Times New Roman" w:hAnsi="Times New Roman" w:eastAsia="宋体" w:cs="Times New Roman"/>
                      <w:b w:val="0"/>
                      <w:bCs w:val="0"/>
                      <w:color w:val="auto"/>
                      <w:sz w:val="21"/>
                      <w:szCs w:val="21"/>
                      <w:vertAlign w:val="baseline"/>
                      <w:lang w:eastAsia="zh-CN"/>
                    </w:rPr>
                  </w:pPr>
                </w:p>
              </w:tc>
            </w:tr>
          </w:tbl>
          <w:p w14:paraId="023A7471">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jc w:val="left"/>
              <w:textAlignment w:val="auto"/>
              <w:outlineLvl w:val="9"/>
              <w:rPr>
                <w:rFonts w:hint="eastAsia" w:ascii="Times New Roman" w:hAnsi="Times New Roman" w:eastAsia="宋体" w:cs="Times New Roman"/>
                <w:b/>
                <w:bCs/>
                <w:color w:val="auto"/>
                <w:sz w:val="24"/>
                <w:szCs w:val="24"/>
                <w:lang w:eastAsia="zh-CN"/>
              </w:rPr>
            </w:pPr>
            <w:r>
              <w:rPr>
                <w:rFonts w:hint="eastAsia" w:ascii="Times New Roman" w:hAnsi="Times New Roman" w:eastAsia="宋体" w:cs="Times New Roman"/>
                <w:b/>
                <w:bCs/>
                <w:color w:val="auto"/>
                <w:sz w:val="24"/>
                <w:szCs w:val="24"/>
                <w:lang w:eastAsia="zh-CN"/>
              </w:rPr>
              <w:t>（</w:t>
            </w:r>
            <w:r>
              <w:rPr>
                <w:rFonts w:hint="eastAsia" w:ascii="Times New Roman" w:hAnsi="Times New Roman" w:eastAsia="宋体" w:cs="Times New Roman"/>
                <w:b/>
                <w:bCs/>
                <w:color w:val="auto"/>
                <w:sz w:val="24"/>
                <w:szCs w:val="24"/>
                <w:lang w:val="en-US" w:eastAsia="zh-CN"/>
              </w:rPr>
              <w:t>2</w:t>
            </w:r>
            <w:r>
              <w:rPr>
                <w:rFonts w:hint="eastAsia" w:ascii="Times New Roman" w:hAnsi="Times New Roman" w:eastAsia="宋体" w:cs="Times New Roman"/>
                <w:b/>
                <w:bCs/>
                <w:color w:val="auto"/>
                <w:sz w:val="24"/>
                <w:szCs w:val="24"/>
                <w:lang w:eastAsia="zh-CN"/>
              </w:rPr>
              <w:t>）现有项目生产工艺及产污情况</w:t>
            </w:r>
            <w:bookmarkEnd w:id="12"/>
          </w:p>
          <w:p w14:paraId="4C16FA9C">
            <w:pPr>
              <w:spacing w:line="360" w:lineRule="auto"/>
              <w:ind w:firstLine="480" w:firstLineChars="200"/>
              <w:jc w:val="left"/>
              <w:rPr>
                <w:color w:val="auto"/>
                <w:sz w:val="24"/>
                <w:szCs w:val="24"/>
              </w:rPr>
            </w:pPr>
            <w:r>
              <w:rPr>
                <w:rFonts w:hint="eastAsia"/>
                <w:color w:val="auto"/>
                <w:sz w:val="24"/>
                <w:szCs w:val="24"/>
                <w:lang w:val="en-US" w:eastAsia="zh-CN"/>
              </w:rPr>
              <w:t>略</w:t>
            </w:r>
          </w:p>
          <w:p w14:paraId="03EB5442">
            <w:pPr>
              <w:pStyle w:val="119"/>
              <w:spacing w:line="360" w:lineRule="auto"/>
              <w:ind w:firstLine="482"/>
              <w:jc w:val="left"/>
              <w:rPr>
                <w:rFonts w:hint="eastAsia" w:ascii="Times New Roman" w:hAnsi="Times New Roman" w:eastAsia="宋体" w:cs="Times New Roman"/>
                <w:b/>
                <w:bCs/>
                <w:color w:val="auto"/>
                <w:sz w:val="24"/>
                <w:szCs w:val="24"/>
              </w:rPr>
            </w:pPr>
            <w:bookmarkStart w:id="13" w:name="_Toc31203"/>
            <w:r>
              <w:rPr>
                <w:rFonts w:hint="eastAsia" w:ascii="Times New Roman" w:hAnsi="Times New Roman" w:eastAsia="宋体" w:cs="Times New Roman"/>
                <w:b/>
                <w:bCs/>
                <w:color w:val="auto"/>
                <w:sz w:val="24"/>
                <w:szCs w:val="24"/>
                <w:lang w:eastAsia="zh-CN"/>
              </w:rPr>
              <w:t>（</w:t>
            </w:r>
            <w:r>
              <w:rPr>
                <w:rFonts w:hint="eastAsia" w:ascii="Times New Roman" w:hAnsi="Times New Roman" w:eastAsia="宋体" w:cs="Times New Roman"/>
                <w:b/>
                <w:bCs/>
                <w:color w:val="auto"/>
                <w:sz w:val="24"/>
                <w:szCs w:val="24"/>
                <w:lang w:val="en-US" w:eastAsia="zh-CN"/>
              </w:rPr>
              <w:t>3</w:t>
            </w:r>
            <w:r>
              <w:rPr>
                <w:rFonts w:hint="eastAsia" w:ascii="Times New Roman" w:hAnsi="Times New Roman" w:eastAsia="宋体" w:cs="Times New Roman"/>
                <w:b/>
                <w:bCs/>
                <w:color w:val="auto"/>
                <w:sz w:val="24"/>
                <w:szCs w:val="24"/>
                <w:lang w:eastAsia="zh-CN"/>
              </w:rPr>
              <w:t>）</w:t>
            </w:r>
            <w:r>
              <w:rPr>
                <w:rFonts w:hint="eastAsia" w:cs="Times New Roman"/>
                <w:b/>
                <w:bCs/>
                <w:color w:val="auto"/>
                <w:sz w:val="24"/>
                <w:szCs w:val="24"/>
                <w:lang w:val="en-US" w:eastAsia="zh-CN"/>
              </w:rPr>
              <w:t>现有项目</w:t>
            </w:r>
            <w:r>
              <w:rPr>
                <w:rFonts w:hint="eastAsia" w:ascii="Times New Roman" w:hAnsi="Times New Roman" w:eastAsia="宋体" w:cs="Times New Roman"/>
                <w:b/>
                <w:bCs/>
                <w:color w:val="auto"/>
                <w:sz w:val="24"/>
                <w:szCs w:val="24"/>
              </w:rPr>
              <w:t>产废情况</w:t>
            </w:r>
            <w:bookmarkEnd w:id="13"/>
          </w:p>
          <w:p w14:paraId="544C58AA">
            <w:pPr>
              <w:pStyle w:val="119"/>
              <w:spacing w:line="360" w:lineRule="auto"/>
              <w:ind w:firstLine="482"/>
              <w:jc w:val="left"/>
              <w:rPr>
                <w:b/>
                <w:bCs/>
                <w:color w:val="auto"/>
                <w:sz w:val="24"/>
                <w:szCs w:val="24"/>
              </w:rPr>
            </w:pPr>
            <w:r>
              <w:rPr>
                <w:rFonts w:hint="eastAsia"/>
                <w:b/>
                <w:bCs/>
                <w:color w:val="auto"/>
                <w:sz w:val="24"/>
                <w:szCs w:val="24"/>
                <w:lang w:val="en-US" w:eastAsia="zh-CN"/>
              </w:rPr>
              <w:t>①</w:t>
            </w:r>
            <w:r>
              <w:rPr>
                <w:b/>
                <w:bCs/>
                <w:color w:val="auto"/>
                <w:sz w:val="24"/>
                <w:szCs w:val="24"/>
              </w:rPr>
              <w:t>废气</w:t>
            </w:r>
          </w:p>
          <w:p w14:paraId="1C21113B">
            <w:pPr>
              <w:spacing w:line="360" w:lineRule="auto"/>
              <w:ind w:firstLine="480" w:firstLineChars="200"/>
              <w:jc w:val="left"/>
              <w:rPr>
                <w:color w:val="auto"/>
                <w:sz w:val="24"/>
                <w:szCs w:val="24"/>
              </w:rPr>
            </w:pPr>
            <w:r>
              <w:rPr>
                <w:rFonts w:hint="eastAsia"/>
                <w:color w:val="auto"/>
                <w:sz w:val="24"/>
                <w:szCs w:val="24"/>
                <w:lang w:val="en-US" w:eastAsia="zh-CN"/>
              </w:rPr>
              <w:t>现有项目使用切削液，产生切削液废气，无组织排放在车间内</w:t>
            </w:r>
            <w:r>
              <w:rPr>
                <w:rFonts w:hint="eastAsia"/>
                <w:color w:val="auto"/>
                <w:sz w:val="24"/>
                <w:szCs w:val="24"/>
              </w:rPr>
              <w:t>。</w:t>
            </w:r>
          </w:p>
          <w:p w14:paraId="7A3FA7CC">
            <w:pPr>
              <w:pStyle w:val="49"/>
              <w:ind w:firstLine="482"/>
              <w:jc w:val="left"/>
              <w:rPr>
                <w:rFonts w:hint="default"/>
                <w:b/>
                <w:bCs/>
                <w:color w:val="auto"/>
                <w:sz w:val="24"/>
                <w:szCs w:val="24"/>
                <w:lang w:val="en-US" w:eastAsia="zh-CN"/>
              </w:rPr>
            </w:pPr>
            <w:r>
              <w:rPr>
                <w:rFonts w:hint="eastAsia"/>
                <w:b w:val="0"/>
                <w:bCs w:val="0"/>
                <w:color w:val="auto"/>
                <w:sz w:val="24"/>
                <w:szCs w:val="24"/>
                <w:lang w:val="en-US" w:eastAsia="zh-CN"/>
              </w:rPr>
              <w:t>根据江苏裕和检测技术有限公司2025年3月27日对现有项目的例行监测数据，现有项目有组织废气排放达标，监测结果如下：</w:t>
            </w:r>
          </w:p>
          <w:p w14:paraId="012EB38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center"/>
              <w:textAlignment w:val="auto"/>
              <w:rPr>
                <w:rFonts w:hint="default" w:ascii="Times New Roman" w:hAnsi="Times New Roman" w:cs="Times New Roman"/>
                <w:b/>
                <w:bCs/>
                <w:color w:val="auto"/>
                <w:kern w:val="0"/>
                <w:sz w:val="24"/>
                <w:szCs w:val="24"/>
                <w:lang w:bidi="ar"/>
              </w:rPr>
            </w:pPr>
          </w:p>
          <w:p w14:paraId="327B1F9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center"/>
              <w:textAlignment w:val="auto"/>
              <w:rPr>
                <w:rFonts w:hint="default" w:ascii="Times New Roman" w:hAnsi="Times New Roman" w:cs="Times New Roman"/>
                <w:b/>
                <w:color w:val="auto"/>
                <w:sz w:val="24"/>
                <w:szCs w:val="24"/>
              </w:rPr>
            </w:pPr>
            <w:r>
              <w:rPr>
                <w:rFonts w:hint="default" w:ascii="Times New Roman" w:hAnsi="Times New Roman" w:cs="Times New Roman"/>
                <w:b/>
                <w:bCs/>
                <w:color w:val="auto"/>
                <w:kern w:val="0"/>
                <w:sz w:val="24"/>
                <w:szCs w:val="24"/>
                <w:lang w:bidi="ar"/>
              </w:rPr>
              <w:t>表2-</w:t>
            </w:r>
            <w:r>
              <w:rPr>
                <w:rFonts w:hint="eastAsia" w:cs="Times New Roman"/>
                <w:b/>
                <w:bCs/>
                <w:color w:val="auto"/>
                <w:kern w:val="0"/>
                <w:sz w:val="24"/>
                <w:szCs w:val="24"/>
                <w:lang w:val="en-US" w:eastAsia="zh-CN" w:bidi="ar"/>
              </w:rPr>
              <w:t>8</w:t>
            </w:r>
            <w:r>
              <w:rPr>
                <w:rFonts w:hint="eastAsia" w:ascii="Times New Roman" w:hAnsi="Times New Roman" w:cs="Times New Roman"/>
                <w:b/>
                <w:bCs/>
                <w:color w:val="auto"/>
                <w:kern w:val="0"/>
                <w:sz w:val="24"/>
                <w:szCs w:val="24"/>
                <w:lang w:bidi="ar"/>
              </w:rPr>
              <w:t xml:space="preserve"> 现有</w:t>
            </w:r>
            <w:r>
              <w:rPr>
                <w:rFonts w:hint="default" w:ascii="Times New Roman" w:hAnsi="Times New Roman" w:cs="Times New Roman"/>
                <w:b/>
                <w:bCs/>
                <w:color w:val="auto"/>
                <w:sz w:val="24"/>
                <w:szCs w:val="24"/>
                <w:lang w:bidi="ar"/>
              </w:rPr>
              <w:t>项目</w:t>
            </w:r>
            <w:r>
              <w:rPr>
                <w:rFonts w:hint="default" w:ascii="Times New Roman" w:hAnsi="Times New Roman" w:cs="Times New Roman"/>
                <w:b/>
                <w:color w:val="auto"/>
                <w:sz w:val="24"/>
                <w:szCs w:val="24"/>
                <w:lang w:bidi="ar"/>
              </w:rPr>
              <w:t>有组织废气检测结果表</w:t>
            </w:r>
          </w:p>
          <w:tbl>
            <w:tblPr>
              <w:tblStyle w:val="26"/>
              <w:tblW w:w="4991"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369"/>
              <w:gridCol w:w="1571"/>
              <w:gridCol w:w="1373"/>
              <w:gridCol w:w="1373"/>
              <w:gridCol w:w="1373"/>
              <w:gridCol w:w="1319"/>
            </w:tblGrid>
            <w:tr w14:paraId="38C5C92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817" w:type="pct"/>
                  <w:vMerge w:val="restart"/>
                  <w:tcBorders>
                    <w:tl2br w:val="nil"/>
                    <w:tr2bl w:val="nil"/>
                  </w:tcBorders>
                  <w:noWrap w:val="0"/>
                  <w:vAlign w:val="center"/>
                </w:tcPr>
                <w:p w14:paraId="30A53FBE">
                  <w:pPr>
                    <w:keepNext w:val="0"/>
                    <w:keepLines w:val="0"/>
                    <w:widowControl/>
                    <w:suppressLineNumbers w:val="0"/>
                    <w:spacing w:before="0" w:beforeAutospacing="0" w:after="0" w:afterAutospacing="0"/>
                    <w:ind w:left="0" w:right="0"/>
                    <w:jc w:val="center"/>
                    <w:rPr>
                      <w:rFonts w:hint="default" w:ascii="Times New Roman" w:hAnsi="Times New Roman" w:cs="Times New Roman"/>
                      <w:b/>
                      <w:bCs/>
                      <w:color w:val="auto"/>
                      <w:kern w:val="0"/>
                      <w:sz w:val="18"/>
                      <w:szCs w:val="18"/>
                    </w:rPr>
                  </w:pPr>
                  <w:r>
                    <w:rPr>
                      <w:rFonts w:hint="default" w:ascii="Times New Roman" w:hAnsi="Times New Roman" w:cs="Times New Roman"/>
                      <w:b/>
                      <w:bCs/>
                      <w:color w:val="auto"/>
                      <w:kern w:val="0"/>
                      <w:sz w:val="18"/>
                      <w:szCs w:val="18"/>
                      <w:lang w:bidi="ar"/>
                    </w:rPr>
                    <w:t>采样日期</w:t>
                  </w:r>
                </w:p>
              </w:tc>
              <w:tc>
                <w:tcPr>
                  <w:tcW w:w="937" w:type="pct"/>
                  <w:vMerge w:val="restart"/>
                  <w:tcBorders>
                    <w:tl2br w:val="nil"/>
                    <w:tr2bl w:val="nil"/>
                  </w:tcBorders>
                  <w:noWrap w:val="0"/>
                  <w:vAlign w:val="center"/>
                </w:tcPr>
                <w:p w14:paraId="6FA1C6ED">
                  <w:pPr>
                    <w:keepNext w:val="0"/>
                    <w:keepLines w:val="0"/>
                    <w:widowControl/>
                    <w:suppressLineNumbers w:val="0"/>
                    <w:spacing w:before="0" w:beforeAutospacing="0" w:after="0" w:afterAutospacing="0"/>
                    <w:ind w:left="0" w:right="0"/>
                    <w:jc w:val="center"/>
                    <w:rPr>
                      <w:rFonts w:hint="default" w:ascii="Times New Roman" w:hAnsi="Times New Roman" w:cs="Times New Roman"/>
                      <w:b/>
                      <w:bCs/>
                      <w:color w:val="auto"/>
                      <w:kern w:val="0"/>
                      <w:sz w:val="18"/>
                      <w:szCs w:val="18"/>
                    </w:rPr>
                  </w:pPr>
                  <w:r>
                    <w:rPr>
                      <w:rFonts w:hint="default" w:ascii="Times New Roman" w:hAnsi="Times New Roman" w:cs="Times New Roman"/>
                      <w:b/>
                      <w:bCs/>
                      <w:color w:val="auto"/>
                      <w:kern w:val="0"/>
                      <w:sz w:val="18"/>
                      <w:szCs w:val="18"/>
                      <w:lang w:bidi="ar"/>
                    </w:rPr>
                    <w:t>采样点位</w:t>
                  </w:r>
                </w:p>
              </w:tc>
              <w:tc>
                <w:tcPr>
                  <w:tcW w:w="3245" w:type="pct"/>
                  <w:gridSpan w:val="4"/>
                  <w:tcBorders>
                    <w:tl2br w:val="nil"/>
                    <w:tr2bl w:val="nil"/>
                  </w:tcBorders>
                  <w:noWrap w:val="0"/>
                  <w:vAlign w:val="center"/>
                </w:tcPr>
                <w:p w14:paraId="245A6362">
                  <w:pPr>
                    <w:keepNext w:val="0"/>
                    <w:keepLines w:val="0"/>
                    <w:widowControl/>
                    <w:suppressLineNumbers w:val="0"/>
                    <w:spacing w:before="0" w:beforeAutospacing="0" w:after="0" w:afterAutospacing="0"/>
                    <w:ind w:left="0" w:right="0"/>
                    <w:jc w:val="center"/>
                    <w:rPr>
                      <w:rFonts w:hint="eastAsia" w:cs="Times New Roman"/>
                      <w:b/>
                      <w:bCs/>
                      <w:color w:val="auto"/>
                      <w:kern w:val="0"/>
                      <w:sz w:val="18"/>
                      <w:szCs w:val="18"/>
                      <w:lang w:val="en-US" w:eastAsia="zh-CN" w:bidi="ar"/>
                    </w:rPr>
                  </w:pPr>
                  <w:r>
                    <w:rPr>
                      <w:rFonts w:hint="eastAsia" w:cs="Times New Roman"/>
                      <w:b/>
                      <w:bCs/>
                      <w:color w:val="auto"/>
                      <w:kern w:val="0"/>
                      <w:sz w:val="18"/>
                      <w:szCs w:val="18"/>
                      <w:lang w:val="en-US" w:eastAsia="zh-CN" w:bidi="ar"/>
                    </w:rPr>
                    <w:t>监测结果（非甲烷总烃</w:t>
                  </w:r>
                  <w:r>
                    <w:rPr>
                      <w:rFonts w:hint="default" w:ascii="Times New Roman" w:hAnsi="Times New Roman" w:cs="Times New Roman"/>
                      <w:b/>
                      <w:bCs/>
                      <w:color w:val="auto"/>
                      <w:kern w:val="0"/>
                      <w:sz w:val="18"/>
                      <w:szCs w:val="18"/>
                      <w:lang w:bidi="ar"/>
                    </w:rPr>
                    <w:t>（</w:t>
                  </w:r>
                  <w:r>
                    <w:rPr>
                      <w:rFonts w:hint="eastAsia" w:ascii="Times New Roman" w:hAnsi="Times New Roman" w:cs="Times New Roman"/>
                      <w:b/>
                      <w:bCs/>
                      <w:color w:val="auto"/>
                      <w:kern w:val="0"/>
                      <w:sz w:val="18"/>
                      <w:szCs w:val="18"/>
                      <w:lang w:bidi="ar"/>
                    </w:rPr>
                    <w:t>m</w:t>
                  </w:r>
                  <w:r>
                    <w:rPr>
                      <w:rFonts w:hint="default" w:ascii="Times New Roman" w:hAnsi="Times New Roman" w:cs="Times New Roman"/>
                      <w:b/>
                      <w:bCs/>
                      <w:color w:val="auto"/>
                      <w:kern w:val="0"/>
                      <w:sz w:val="18"/>
                      <w:szCs w:val="18"/>
                      <w:lang w:bidi="ar"/>
                    </w:rPr>
                    <w:t>g/m</w:t>
                  </w:r>
                  <w:r>
                    <w:rPr>
                      <w:rFonts w:hint="default" w:ascii="Times New Roman" w:hAnsi="Times New Roman" w:cs="Times New Roman"/>
                      <w:b/>
                      <w:bCs/>
                      <w:color w:val="auto"/>
                      <w:kern w:val="0"/>
                      <w:sz w:val="18"/>
                      <w:szCs w:val="18"/>
                      <w:vertAlign w:val="superscript"/>
                      <w:lang w:bidi="ar"/>
                    </w:rPr>
                    <w:t>3</w:t>
                  </w:r>
                  <w:r>
                    <w:rPr>
                      <w:rFonts w:hint="default" w:ascii="Times New Roman" w:hAnsi="Times New Roman" w:cs="Times New Roman"/>
                      <w:b/>
                      <w:bCs/>
                      <w:color w:val="auto"/>
                      <w:kern w:val="0"/>
                      <w:sz w:val="18"/>
                      <w:szCs w:val="18"/>
                      <w:lang w:bidi="ar"/>
                    </w:rPr>
                    <w:t>）</w:t>
                  </w:r>
                  <w:r>
                    <w:rPr>
                      <w:rFonts w:hint="eastAsia" w:cs="Times New Roman"/>
                      <w:b/>
                      <w:bCs/>
                      <w:color w:val="auto"/>
                      <w:kern w:val="0"/>
                      <w:sz w:val="18"/>
                      <w:szCs w:val="18"/>
                      <w:lang w:val="en-US" w:eastAsia="zh-CN" w:bidi="ar"/>
                    </w:rPr>
                    <w:t>）</w:t>
                  </w:r>
                </w:p>
              </w:tc>
            </w:tr>
            <w:tr w14:paraId="581DE59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46" w:hRule="atLeast"/>
              </w:trPr>
              <w:tc>
                <w:tcPr>
                  <w:tcW w:w="817" w:type="pct"/>
                  <w:vMerge w:val="continue"/>
                  <w:tcBorders>
                    <w:tl2br w:val="nil"/>
                    <w:tr2bl w:val="nil"/>
                  </w:tcBorders>
                  <w:noWrap w:val="0"/>
                  <w:vAlign w:val="center"/>
                </w:tcPr>
                <w:p w14:paraId="4C99D16D">
                  <w:pPr>
                    <w:keepNext w:val="0"/>
                    <w:keepLines w:val="0"/>
                    <w:widowControl/>
                    <w:suppressLineNumbers w:val="0"/>
                    <w:spacing w:before="0" w:beforeAutospacing="0" w:after="0" w:afterAutospacing="0"/>
                    <w:ind w:left="0" w:right="0"/>
                    <w:jc w:val="center"/>
                    <w:rPr>
                      <w:rFonts w:hint="default" w:ascii="Times New Roman" w:hAnsi="Times New Roman" w:cs="Times New Roman"/>
                      <w:b/>
                      <w:bCs/>
                      <w:color w:val="auto"/>
                      <w:kern w:val="0"/>
                      <w:sz w:val="18"/>
                      <w:szCs w:val="18"/>
                      <w:lang w:bidi="ar"/>
                    </w:rPr>
                  </w:pPr>
                </w:p>
              </w:tc>
              <w:tc>
                <w:tcPr>
                  <w:tcW w:w="937" w:type="pct"/>
                  <w:vMerge w:val="continue"/>
                  <w:tcBorders>
                    <w:tl2br w:val="nil"/>
                    <w:tr2bl w:val="nil"/>
                  </w:tcBorders>
                  <w:noWrap w:val="0"/>
                  <w:vAlign w:val="center"/>
                </w:tcPr>
                <w:p w14:paraId="5E08F310">
                  <w:pPr>
                    <w:keepNext w:val="0"/>
                    <w:keepLines w:val="0"/>
                    <w:widowControl/>
                    <w:suppressLineNumbers w:val="0"/>
                    <w:spacing w:before="0" w:beforeAutospacing="0" w:after="0" w:afterAutospacing="0"/>
                    <w:ind w:left="0" w:right="0"/>
                    <w:jc w:val="center"/>
                    <w:rPr>
                      <w:rFonts w:hint="default" w:ascii="Times New Roman" w:hAnsi="Times New Roman" w:cs="Times New Roman"/>
                      <w:b/>
                      <w:bCs/>
                      <w:color w:val="auto"/>
                      <w:kern w:val="0"/>
                      <w:sz w:val="18"/>
                      <w:szCs w:val="18"/>
                      <w:lang w:bidi="ar"/>
                    </w:rPr>
                  </w:pPr>
                </w:p>
              </w:tc>
              <w:tc>
                <w:tcPr>
                  <w:tcW w:w="819" w:type="pct"/>
                  <w:tcBorders>
                    <w:tl2br w:val="nil"/>
                    <w:tr2bl w:val="nil"/>
                  </w:tcBorders>
                  <w:noWrap w:val="0"/>
                  <w:vAlign w:val="center"/>
                </w:tcPr>
                <w:p w14:paraId="7060E91D">
                  <w:pPr>
                    <w:keepNext w:val="0"/>
                    <w:keepLines w:val="0"/>
                    <w:widowControl/>
                    <w:suppressLineNumbers w:val="0"/>
                    <w:spacing w:before="0" w:beforeAutospacing="0" w:after="0" w:afterAutospacing="0"/>
                    <w:ind w:left="0" w:right="0"/>
                    <w:jc w:val="center"/>
                    <w:rPr>
                      <w:rFonts w:hint="eastAsia" w:ascii="Times New Roman" w:hAnsi="Times New Roman" w:eastAsia="宋体" w:cs="Times New Roman"/>
                      <w:b/>
                      <w:bCs/>
                      <w:color w:val="auto"/>
                      <w:kern w:val="0"/>
                      <w:sz w:val="18"/>
                      <w:szCs w:val="18"/>
                      <w:lang w:val="en-US" w:eastAsia="zh-CN" w:bidi="ar"/>
                    </w:rPr>
                  </w:pPr>
                  <w:r>
                    <w:rPr>
                      <w:rFonts w:hint="eastAsia" w:cs="Times New Roman"/>
                      <w:b/>
                      <w:bCs/>
                      <w:color w:val="auto"/>
                      <w:kern w:val="0"/>
                      <w:sz w:val="18"/>
                      <w:szCs w:val="18"/>
                      <w:lang w:val="en-US" w:eastAsia="zh-CN" w:bidi="ar"/>
                    </w:rPr>
                    <w:t>第一次</w:t>
                  </w:r>
                </w:p>
              </w:tc>
              <w:tc>
                <w:tcPr>
                  <w:tcW w:w="819" w:type="pct"/>
                  <w:tcBorders>
                    <w:tl2br w:val="nil"/>
                    <w:tr2bl w:val="nil"/>
                  </w:tcBorders>
                  <w:noWrap w:val="0"/>
                  <w:vAlign w:val="center"/>
                </w:tcPr>
                <w:p w14:paraId="4FB63551">
                  <w:pPr>
                    <w:keepNext w:val="0"/>
                    <w:keepLines w:val="0"/>
                    <w:widowControl/>
                    <w:suppressLineNumbers w:val="0"/>
                    <w:spacing w:before="0" w:beforeAutospacing="0" w:after="0" w:afterAutospacing="0"/>
                    <w:ind w:left="0" w:right="0"/>
                    <w:jc w:val="center"/>
                    <w:rPr>
                      <w:rFonts w:hint="eastAsia" w:ascii="Times New Roman" w:hAnsi="Times New Roman" w:eastAsia="宋体" w:cs="Times New Roman"/>
                      <w:b/>
                      <w:bCs/>
                      <w:color w:val="auto"/>
                      <w:kern w:val="0"/>
                      <w:sz w:val="18"/>
                      <w:szCs w:val="18"/>
                      <w:lang w:val="en-US" w:eastAsia="zh-CN" w:bidi="ar"/>
                    </w:rPr>
                  </w:pPr>
                  <w:r>
                    <w:rPr>
                      <w:rFonts w:hint="eastAsia" w:cs="Times New Roman"/>
                      <w:b/>
                      <w:bCs/>
                      <w:color w:val="auto"/>
                      <w:kern w:val="0"/>
                      <w:sz w:val="18"/>
                      <w:szCs w:val="18"/>
                      <w:lang w:val="en-US" w:eastAsia="zh-CN" w:bidi="ar"/>
                    </w:rPr>
                    <w:t>第二次</w:t>
                  </w:r>
                </w:p>
              </w:tc>
              <w:tc>
                <w:tcPr>
                  <w:tcW w:w="819" w:type="pct"/>
                  <w:tcBorders>
                    <w:tl2br w:val="nil"/>
                    <w:tr2bl w:val="nil"/>
                  </w:tcBorders>
                  <w:noWrap w:val="0"/>
                  <w:vAlign w:val="center"/>
                </w:tcPr>
                <w:p w14:paraId="7D6B63E5">
                  <w:pPr>
                    <w:keepNext w:val="0"/>
                    <w:keepLines w:val="0"/>
                    <w:widowControl/>
                    <w:suppressLineNumbers w:val="0"/>
                    <w:spacing w:before="0" w:beforeAutospacing="0" w:after="0" w:afterAutospacing="0"/>
                    <w:ind w:left="0" w:right="0"/>
                    <w:jc w:val="center"/>
                    <w:rPr>
                      <w:rFonts w:hint="eastAsia" w:ascii="Times New Roman" w:hAnsi="Times New Roman" w:eastAsia="宋体" w:cs="Times New Roman"/>
                      <w:b/>
                      <w:bCs/>
                      <w:color w:val="auto"/>
                      <w:kern w:val="0"/>
                      <w:sz w:val="18"/>
                      <w:szCs w:val="18"/>
                      <w:lang w:val="en-US" w:eastAsia="zh-CN" w:bidi="ar"/>
                    </w:rPr>
                  </w:pPr>
                  <w:r>
                    <w:rPr>
                      <w:rFonts w:hint="eastAsia" w:cs="Times New Roman"/>
                      <w:b/>
                      <w:bCs/>
                      <w:color w:val="auto"/>
                      <w:kern w:val="0"/>
                      <w:sz w:val="18"/>
                      <w:szCs w:val="18"/>
                      <w:lang w:val="en-US" w:eastAsia="zh-CN" w:bidi="ar"/>
                    </w:rPr>
                    <w:t>第三次</w:t>
                  </w:r>
                </w:p>
              </w:tc>
              <w:tc>
                <w:tcPr>
                  <w:tcW w:w="787" w:type="pct"/>
                  <w:tcBorders>
                    <w:tl2br w:val="nil"/>
                    <w:tr2bl w:val="nil"/>
                  </w:tcBorders>
                  <w:noWrap w:val="0"/>
                  <w:vAlign w:val="center"/>
                </w:tcPr>
                <w:p w14:paraId="565E4FD7">
                  <w:pPr>
                    <w:keepNext w:val="0"/>
                    <w:keepLines w:val="0"/>
                    <w:widowControl/>
                    <w:suppressLineNumbers w:val="0"/>
                    <w:spacing w:before="0" w:beforeAutospacing="0" w:after="0" w:afterAutospacing="0"/>
                    <w:ind w:left="0" w:right="0"/>
                    <w:jc w:val="center"/>
                    <w:rPr>
                      <w:rFonts w:hint="eastAsia" w:cs="Times New Roman"/>
                      <w:b/>
                      <w:bCs/>
                      <w:color w:val="auto"/>
                      <w:kern w:val="0"/>
                      <w:sz w:val="18"/>
                      <w:szCs w:val="18"/>
                      <w:lang w:val="en-US" w:eastAsia="zh-CN" w:bidi="ar"/>
                    </w:rPr>
                  </w:pPr>
                  <w:r>
                    <w:rPr>
                      <w:rFonts w:hint="default" w:ascii="Times New Roman" w:hAnsi="Times New Roman" w:cs="Times New Roman"/>
                      <w:b/>
                      <w:bCs/>
                      <w:color w:val="auto"/>
                      <w:kern w:val="0"/>
                      <w:sz w:val="18"/>
                      <w:szCs w:val="18"/>
                      <w:lang w:bidi="ar"/>
                    </w:rPr>
                    <w:t>标准限值</w:t>
                  </w:r>
                </w:p>
              </w:tc>
            </w:tr>
            <w:tr w14:paraId="1E01566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46" w:hRule="atLeast"/>
              </w:trPr>
              <w:tc>
                <w:tcPr>
                  <w:tcW w:w="817" w:type="pct"/>
                  <w:vMerge w:val="restart"/>
                  <w:tcBorders>
                    <w:tl2br w:val="nil"/>
                    <w:tr2bl w:val="nil"/>
                  </w:tcBorders>
                  <w:noWrap w:val="0"/>
                  <w:vAlign w:val="center"/>
                </w:tcPr>
                <w:p w14:paraId="7E3D330A">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lang w:bidi="ar"/>
                    </w:rPr>
                    <w:t>20</w:t>
                  </w:r>
                  <w:r>
                    <w:rPr>
                      <w:rFonts w:hint="eastAsia" w:cs="Times New Roman"/>
                      <w:color w:val="auto"/>
                      <w:kern w:val="0"/>
                      <w:sz w:val="18"/>
                      <w:szCs w:val="18"/>
                      <w:lang w:val="en-US" w:eastAsia="zh-CN" w:bidi="ar"/>
                    </w:rPr>
                    <w:t>25</w:t>
                  </w:r>
                  <w:r>
                    <w:rPr>
                      <w:rFonts w:hint="default" w:ascii="Times New Roman" w:hAnsi="Times New Roman" w:cs="Times New Roman"/>
                      <w:color w:val="auto"/>
                      <w:kern w:val="0"/>
                      <w:sz w:val="18"/>
                      <w:szCs w:val="18"/>
                      <w:lang w:bidi="ar"/>
                    </w:rPr>
                    <w:t>年</w:t>
                  </w:r>
                  <w:r>
                    <w:rPr>
                      <w:rFonts w:hint="eastAsia" w:cs="Times New Roman"/>
                      <w:color w:val="auto"/>
                      <w:kern w:val="0"/>
                      <w:sz w:val="18"/>
                      <w:szCs w:val="18"/>
                      <w:lang w:val="en-US" w:eastAsia="zh-CN" w:bidi="ar"/>
                    </w:rPr>
                    <w:t>3</w:t>
                  </w:r>
                  <w:r>
                    <w:rPr>
                      <w:rFonts w:hint="default" w:ascii="Times New Roman" w:hAnsi="Times New Roman" w:cs="Times New Roman"/>
                      <w:color w:val="auto"/>
                      <w:kern w:val="0"/>
                      <w:sz w:val="18"/>
                      <w:szCs w:val="18"/>
                      <w:lang w:bidi="ar"/>
                    </w:rPr>
                    <w:t>月</w:t>
                  </w:r>
                  <w:r>
                    <w:rPr>
                      <w:rFonts w:hint="eastAsia" w:cs="Times New Roman"/>
                      <w:color w:val="auto"/>
                      <w:kern w:val="0"/>
                      <w:sz w:val="18"/>
                      <w:szCs w:val="18"/>
                      <w:lang w:val="en-US" w:eastAsia="zh-CN" w:bidi="ar"/>
                    </w:rPr>
                    <w:t>27</w:t>
                  </w:r>
                  <w:r>
                    <w:rPr>
                      <w:rFonts w:hint="default" w:ascii="Times New Roman" w:hAnsi="Times New Roman" w:cs="Times New Roman"/>
                      <w:color w:val="auto"/>
                      <w:kern w:val="0"/>
                      <w:sz w:val="18"/>
                      <w:szCs w:val="18"/>
                      <w:lang w:bidi="ar"/>
                    </w:rPr>
                    <w:t>日</w:t>
                  </w:r>
                </w:p>
              </w:tc>
              <w:tc>
                <w:tcPr>
                  <w:tcW w:w="937" w:type="pct"/>
                  <w:tcBorders>
                    <w:tl2br w:val="nil"/>
                    <w:tr2bl w:val="nil"/>
                  </w:tcBorders>
                  <w:noWrap w:val="0"/>
                  <w:vAlign w:val="center"/>
                </w:tcPr>
                <w:p w14:paraId="312520A8">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lang w:bidi="ar"/>
                    </w:rPr>
                    <w:t>上风向G1</w:t>
                  </w:r>
                </w:p>
              </w:tc>
              <w:tc>
                <w:tcPr>
                  <w:tcW w:w="819" w:type="pct"/>
                  <w:tcBorders>
                    <w:tl2br w:val="nil"/>
                    <w:tr2bl w:val="nil"/>
                  </w:tcBorders>
                  <w:noWrap w:val="0"/>
                  <w:vAlign w:val="center"/>
                </w:tcPr>
                <w:p w14:paraId="21585F27">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sz w:val="18"/>
                      <w:szCs w:val="18"/>
                      <w:lang w:val="en-US" w:eastAsia="zh-CN"/>
                    </w:rPr>
                  </w:pPr>
                  <w:r>
                    <w:rPr>
                      <w:rFonts w:hint="eastAsia" w:eastAsia="宋体" w:cs="Times New Roman"/>
                      <w:color w:val="auto"/>
                      <w:kern w:val="0"/>
                      <w:sz w:val="18"/>
                      <w:szCs w:val="18"/>
                      <w:lang w:val="en-US" w:eastAsia="zh-CN"/>
                    </w:rPr>
                    <w:t>0.76</w:t>
                  </w:r>
                </w:p>
              </w:tc>
              <w:tc>
                <w:tcPr>
                  <w:tcW w:w="819" w:type="pct"/>
                  <w:tcBorders>
                    <w:tl2br w:val="nil"/>
                    <w:tr2bl w:val="nil"/>
                  </w:tcBorders>
                  <w:noWrap w:val="0"/>
                  <w:vAlign w:val="center"/>
                </w:tcPr>
                <w:p w14:paraId="68ADEB5E">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sz w:val="18"/>
                      <w:szCs w:val="18"/>
                      <w:lang w:val="en-US" w:eastAsia="zh-CN"/>
                    </w:rPr>
                  </w:pPr>
                  <w:r>
                    <w:rPr>
                      <w:rFonts w:hint="eastAsia" w:eastAsia="宋体" w:cs="Times New Roman"/>
                      <w:color w:val="auto"/>
                      <w:kern w:val="0"/>
                      <w:sz w:val="18"/>
                      <w:szCs w:val="18"/>
                      <w:lang w:val="en-US" w:eastAsia="zh-CN"/>
                    </w:rPr>
                    <w:t>0.78</w:t>
                  </w:r>
                </w:p>
              </w:tc>
              <w:tc>
                <w:tcPr>
                  <w:tcW w:w="819" w:type="pct"/>
                  <w:tcBorders>
                    <w:tl2br w:val="nil"/>
                    <w:tr2bl w:val="nil"/>
                  </w:tcBorders>
                  <w:noWrap w:val="0"/>
                  <w:vAlign w:val="center"/>
                </w:tcPr>
                <w:p w14:paraId="57E38D64">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sz w:val="18"/>
                      <w:szCs w:val="18"/>
                      <w:lang w:val="en-US" w:eastAsia="zh-CN"/>
                    </w:rPr>
                  </w:pPr>
                  <w:r>
                    <w:rPr>
                      <w:rFonts w:hint="eastAsia" w:eastAsia="宋体" w:cs="Times New Roman"/>
                      <w:color w:val="auto"/>
                      <w:kern w:val="0"/>
                      <w:sz w:val="18"/>
                      <w:szCs w:val="18"/>
                      <w:lang w:val="en-US" w:eastAsia="zh-CN"/>
                    </w:rPr>
                    <w:t>0.79</w:t>
                  </w:r>
                </w:p>
              </w:tc>
              <w:tc>
                <w:tcPr>
                  <w:tcW w:w="787" w:type="pct"/>
                  <w:vMerge w:val="restart"/>
                  <w:tcBorders>
                    <w:tl2br w:val="nil"/>
                    <w:tr2bl w:val="nil"/>
                  </w:tcBorders>
                  <w:noWrap w:val="0"/>
                  <w:vAlign w:val="center"/>
                </w:tcPr>
                <w:p w14:paraId="2EFF8028">
                  <w:pPr>
                    <w:keepNext w:val="0"/>
                    <w:keepLines w:val="0"/>
                    <w:widowControl/>
                    <w:suppressLineNumbers w:val="0"/>
                    <w:spacing w:before="0" w:beforeAutospacing="0" w:after="0" w:afterAutospacing="0"/>
                    <w:ind w:left="0" w:right="0"/>
                    <w:jc w:val="center"/>
                    <w:rPr>
                      <w:rFonts w:hint="default" w:eastAsia="宋体" w:cs="Times New Roman"/>
                      <w:color w:val="auto"/>
                      <w:kern w:val="0"/>
                      <w:sz w:val="18"/>
                      <w:szCs w:val="18"/>
                      <w:lang w:val="en-US" w:eastAsia="zh-CN"/>
                    </w:rPr>
                  </w:pPr>
                  <w:r>
                    <w:rPr>
                      <w:rFonts w:hint="eastAsia" w:eastAsia="宋体" w:cs="Times New Roman"/>
                      <w:color w:val="auto"/>
                      <w:kern w:val="0"/>
                      <w:sz w:val="18"/>
                      <w:szCs w:val="18"/>
                      <w:lang w:val="en-US" w:eastAsia="zh-CN"/>
                    </w:rPr>
                    <w:t>4.0</w:t>
                  </w:r>
                </w:p>
              </w:tc>
            </w:tr>
            <w:tr w14:paraId="670E065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46" w:hRule="atLeast"/>
              </w:trPr>
              <w:tc>
                <w:tcPr>
                  <w:tcW w:w="817" w:type="pct"/>
                  <w:vMerge w:val="continue"/>
                  <w:tcBorders>
                    <w:tl2br w:val="nil"/>
                    <w:tr2bl w:val="nil"/>
                  </w:tcBorders>
                  <w:noWrap w:val="0"/>
                  <w:vAlign w:val="center"/>
                </w:tcPr>
                <w:p w14:paraId="28191C94">
                  <w:pPr>
                    <w:keepNext w:val="0"/>
                    <w:keepLines w:val="0"/>
                    <w:suppressLineNumbers w:val="0"/>
                    <w:spacing w:before="0" w:beforeAutospacing="0" w:after="0" w:afterAutospacing="0"/>
                    <w:ind w:left="0" w:right="0"/>
                    <w:rPr>
                      <w:rFonts w:hint="default" w:ascii="Times New Roman" w:hAnsi="Times New Roman" w:cs="Times New Roman"/>
                      <w:color w:val="auto"/>
                      <w:sz w:val="18"/>
                      <w:szCs w:val="18"/>
                    </w:rPr>
                  </w:pPr>
                </w:p>
              </w:tc>
              <w:tc>
                <w:tcPr>
                  <w:tcW w:w="937" w:type="pct"/>
                  <w:tcBorders>
                    <w:tl2br w:val="nil"/>
                    <w:tr2bl w:val="nil"/>
                  </w:tcBorders>
                  <w:noWrap w:val="0"/>
                  <w:vAlign w:val="center"/>
                </w:tcPr>
                <w:p w14:paraId="27DD58D8">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lang w:bidi="ar"/>
                    </w:rPr>
                    <w:t>下风向G2</w:t>
                  </w:r>
                </w:p>
              </w:tc>
              <w:tc>
                <w:tcPr>
                  <w:tcW w:w="819" w:type="pct"/>
                  <w:tcBorders>
                    <w:tl2br w:val="nil"/>
                    <w:tr2bl w:val="nil"/>
                  </w:tcBorders>
                  <w:noWrap w:val="0"/>
                  <w:vAlign w:val="center"/>
                </w:tcPr>
                <w:p w14:paraId="3AA7AE1C">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sz w:val="18"/>
                      <w:szCs w:val="18"/>
                      <w:lang w:val="en-US" w:eastAsia="zh-CN"/>
                    </w:rPr>
                  </w:pPr>
                  <w:r>
                    <w:rPr>
                      <w:rFonts w:hint="eastAsia" w:eastAsia="宋体" w:cs="Times New Roman"/>
                      <w:color w:val="auto"/>
                      <w:kern w:val="0"/>
                      <w:sz w:val="18"/>
                      <w:szCs w:val="18"/>
                      <w:lang w:val="en-US" w:eastAsia="zh-CN"/>
                    </w:rPr>
                    <w:t>0.79</w:t>
                  </w:r>
                </w:p>
              </w:tc>
              <w:tc>
                <w:tcPr>
                  <w:tcW w:w="819" w:type="pct"/>
                  <w:tcBorders>
                    <w:tl2br w:val="nil"/>
                    <w:tr2bl w:val="nil"/>
                  </w:tcBorders>
                  <w:noWrap w:val="0"/>
                  <w:vAlign w:val="center"/>
                </w:tcPr>
                <w:p w14:paraId="41706AE0">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sz w:val="18"/>
                      <w:szCs w:val="18"/>
                      <w:lang w:val="en-US" w:eastAsia="zh-CN"/>
                    </w:rPr>
                  </w:pPr>
                  <w:r>
                    <w:rPr>
                      <w:rFonts w:hint="eastAsia" w:eastAsia="宋体" w:cs="Times New Roman"/>
                      <w:color w:val="auto"/>
                      <w:kern w:val="0"/>
                      <w:sz w:val="18"/>
                      <w:szCs w:val="18"/>
                      <w:lang w:val="en-US" w:eastAsia="zh-CN"/>
                    </w:rPr>
                    <w:t>0.83</w:t>
                  </w:r>
                </w:p>
              </w:tc>
              <w:tc>
                <w:tcPr>
                  <w:tcW w:w="819" w:type="pct"/>
                  <w:tcBorders>
                    <w:tl2br w:val="nil"/>
                    <w:tr2bl w:val="nil"/>
                  </w:tcBorders>
                  <w:noWrap w:val="0"/>
                  <w:vAlign w:val="center"/>
                </w:tcPr>
                <w:p w14:paraId="2AFFBB07">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sz w:val="18"/>
                      <w:szCs w:val="18"/>
                      <w:lang w:val="en-US" w:eastAsia="zh-CN"/>
                    </w:rPr>
                  </w:pPr>
                  <w:r>
                    <w:rPr>
                      <w:rFonts w:hint="eastAsia" w:eastAsia="宋体" w:cs="Times New Roman"/>
                      <w:color w:val="auto"/>
                      <w:kern w:val="0"/>
                      <w:sz w:val="18"/>
                      <w:szCs w:val="18"/>
                      <w:lang w:val="en-US" w:eastAsia="zh-CN"/>
                    </w:rPr>
                    <w:t>0.84</w:t>
                  </w:r>
                </w:p>
              </w:tc>
              <w:tc>
                <w:tcPr>
                  <w:tcW w:w="787" w:type="pct"/>
                  <w:vMerge w:val="continue"/>
                  <w:tcBorders>
                    <w:tl2br w:val="nil"/>
                    <w:tr2bl w:val="nil"/>
                  </w:tcBorders>
                  <w:noWrap w:val="0"/>
                  <w:vAlign w:val="center"/>
                </w:tcPr>
                <w:p w14:paraId="151FF258">
                  <w:pPr>
                    <w:keepNext w:val="0"/>
                    <w:keepLines w:val="0"/>
                    <w:widowControl/>
                    <w:suppressLineNumbers w:val="0"/>
                    <w:spacing w:before="0" w:beforeAutospacing="0" w:after="0" w:afterAutospacing="0"/>
                    <w:ind w:left="0" w:right="0"/>
                    <w:jc w:val="center"/>
                    <w:rPr>
                      <w:rFonts w:hint="eastAsia" w:eastAsia="宋体" w:cs="Times New Roman"/>
                      <w:color w:val="auto"/>
                      <w:kern w:val="0"/>
                      <w:sz w:val="18"/>
                      <w:szCs w:val="18"/>
                      <w:lang w:val="en-US" w:eastAsia="zh-CN"/>
                    </w:rPr>
                  </w:pPr>
                </w:p>
              </w:tc>
            </w:tr>
            <w:tr w14:paraId="288E291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46" w:hRule="atLeast"/>
              </w:trPr>
              <w:tc>
                <w:tcPr>
                  <w:tcW w:w="817" w:type="pct"/>
                  <w:vMerge w:val="continue"/>
                  <w:tcBorders>
                    <w:tl2br w:val="nil"/>
                    <w:tr2bl w:val="nil"/>
                  </w:tcBorders>
                  <w:noWrap w:val="0"/>
                  <w:vAlign w:val="center"/>
                </w:tcPr>
                <w:p w14:paraId="0E54D8AA">
                  <w:pPr>
                    <w:keepNext w:val="0"/>
                    <w:keepLines w:val="0"/>
                    <w:suppressLineNumbers w:val="0"/>
                    <w:spacing w:before="0" w:beforeAutospacing="0" w:after="0" w:afterAutospacing="0"/>
                    <w:ind w:left="0" w:right="0"/>
                    <w:rPr>
                      <w:rFonts w:hint="default" w:ascii="Times New Roman" w:hAnsi="Times New Roman" w:cs="Times New Roman"/>
                      <w:color w:val="auto"/>
                      <w:sz w:val="18"/>
                      <w:szCs w:val="18"/>
                    </w:rPr>
                  </w:pPr>
                </w:p>
              </w:tc>
              <w:tc>
                <w:tcPr>
                  <w:tcW w:w="937" w:type="pct"/>
                  <w:tcBorders>
                    <w:tl2br w:val="nil"/>
                    <w:tr2bl w:val="nil"/>
                  </w:tcBorders>
                  <w:noWrap w:val="0"/>
                  <w:vAlign w:val="center"/>
                </w:tcPr>
                <w:p w14:paraId="3AFBA972">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lang w:bidi="ar"/>
                    </w:rPr>
                    <w:t>下风向G3</w:t>
                  </w:r>
                </w:p>
              </w:tc>
              <w:tc>
                <w:tcPr>
                  <w:tcW w:w="819" w:type="pct"/>
                  <w:tcBorders>
                    <w:tl2br w:val="nil"/>
                    <w:tr2bl w:val="nil"/>
                  </w:tcBorders>
                  <w:noWrap w:val="0"/>
                  <w:vAlign w:val="center"/>
                </w:tcPr>
                <w:p w14:paraId="20AF2D28">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sz w:val="18"/>
                      <w:szCs w:val="18"/>
                      <w:lang w:val="en-US" w:eastAsia="zh-CN"/>
                    </w:rPr>
                  </w:pPr>
                  <w:r>
                    <w:rPr>
                      <w:rFonts w:hint="eastAsia" w:eastAsia="宋体" w:cs="Times New Roman"/>
                      <w:color w:val="auto"/>
                      <w:kern w:val="0"/>
                      <w:sz w:val="18"/>
                      <w:szCs w:val="18"/>
                      <w:lang w:val="en-US" w:eastAsia="zh-CN"/>
                    </w:rPr>
                    <w:t>0.84</w:t>
                  </w:r>
                </w:p>
              </w:tc>
              <w:tc>
                <w:tcPr>
                  <w:tcW w:w="819" w:type="pct"/>
                  <w:tcBorders>
                    <w:tl2br w:val="nil"/>
                    <w:tr2bl w:val="nil"/>
                  </w:tcBorders>
                  <w:noWrap w:val="0"/>
                  <w:vAlign w:val="center"/>
                </w:tcPr>
                <w:p w14:paraId="7D01BE48">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sz w:val="18"/>
                      <w:szCs w:val="18"/>
                      <w:lang w:val="en-US" w:eastAsia="zh-CN"/>
                    </w:rPr>
                  </w:pPr>
                  <w:r>
                    <w:rPr>
                      <w:rFonts w:hint="eastAsia" w:eastAsia="宋体" w:cs="Times New Roman"/>
                      <w:color w:val="auto"/>
                      <w:kern w:val="0"/>
                      <w:sz w:val="18"/>
                      <w:szCs w:val="18"/>
                      <w:lang w:val="en-US" w:eastAsia="zh-CN"/>
                    </w:rPr>
                    <w:t>0.78</w:t>
                  </w:r>
                </w:p>
              </w:tc>
              <w:tc>
                <w:tcPr>
                  <w:tcW w:w="819" w:type="pct"/>
                  <w:tcBorders>
                    <w:tl2br w:val="nil"/>
                    <w:tr2bl w:val="nil"/>
                  </w:tcBorders>
                  <w:noWrap w:val="0"/>
                  <w:vAlign w:val="center"/>
                </w:tcPr>
                <w:p w14:paraId="52619978">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sz w:val="18"/>
                      <w:szCs w:val="18"/>
                      <w:lang w:val="en-US" w:eastAsia="zh-CN"/>
                    </w:rPr>
                  </w:pPr>
                  <w:r>
                    <w:rPr>
                      <w:rFonts w:hint="eastAsia" w:eastAsia="宋体" w:cs="Times New Roman"/>
                      <w:color w:val="auto"/>
                      <w:kern w:val="0"/>
                      <w:sz w:val="18"/>
                      <w:szCs w:val="18"/>
                      <w:lang w:val="en-US" w:eastAsia="zh-CN"/>
                    </w:rPr>
                    <w:t>0.80</w:t>
                  </w:r>
                </w:p>
              </w:tc>
              <w:tc>
                <w:tcPr>
                  <w:tcW w:w="787" w:type="pct"/>
                  <w:vMerge w:val="continue"/>
                  <w:tcBorders>
                    <w:tl2br w:val="nil"/>
                    <w:tr2bl w:val="nil"/>
                  </w:tcBorders>
                  <w:noWrap w:val="0"/>
                  <w:vAlign w:val="center"/>
                </w:tcPr>
                <w:p w14:paraId="21AE89D5">
                  <w:pPr>
                    <w:keepNext w:val="0"/>
                    <w:keepLines w:val="0"/>
                    <w:widowControl/>
                    <w:suppressLineNumbers w:val="0"/>
                    <w:spacing w:before="0" w:beforeAutospacing="0" w:after="0" w:afterAutospacing="0"/>
                    <w:ind w:left="0" w:right="0"/>
                    <w:jc w:val="center"/>
                    <w:rPr>
                      <w:rFonts w:hint="eastAsia" w:eastAsia="宋体" w:cs="Times New Roman"/>
                      <w:color w:val="auto"/>
                      <w:kern w:val="0"/>
                      <w:sz w:val="18"/>
                      <w:szCs w:val="18"/>
                      <w:lang w:val="en-US" w:eastAsia="zh-CN"/>
                    </w:rPr>
                  </w:pPr>
                </w:p>
              </w:tc>
            </w:tr>
            <w:tr w14:paraId="52135CC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46" w:hRule="atLeast"/>
              </w:trPr>
              <w:tc>
                <w:tcPr>
                  <w:tcW w:w="817" w:type="pct"/>
                  <w:vMerge w:val="continue"/>
                  <w:tcBorders>
                    <w:tl2br w:val="nil"/>
                    <w:tr2bl w:val="nil"/>
                  </w:tcBorders>
                  <w:noWrap w:val="0"/>
                  <w:vAlign w:val="center"/>
                </w:tcPr>
                <w:p w14:paraId="4B40D18E">
                  <w:pPr>
                    <w:keepNext w:val="0"/>
                    <w:keepLines w:val="0"/>
                    <w:suppressLineNumbers w:val="0"/>
                    <w:spacing w:before="0" w:beforeAutospacing="0" w:after="0" w:afterAutospacing="0"/>
                    <w:ind w:left="0" w:right="0"/>
                    <w:rPr>
                      <w:rFonts w:hint="default" w:ascii="Times New Roman" w:hAnsi="Times New Roman" w:cs="Times New Roman"/>
                      <w:color w:val="auto"/>
                      <w:sz w:val="18"/>
                      <w:szCs w:val="18"/>
                    </w:rPr>
                  </w:pPr>
                </w:p>
              </w:tc>
              <w:tc>
                <w:tcPr>
                  <w:tcW w:w="937" w:type="pct"/>
                  <w:tcBorders>
                    <w:tl2br w:val="nil"/>
                    <w:tr2bl w:val="nil"/>
                  </w:tcBorders>
                  <w:noWrap w:val="0"/>
                  <w:vAlign w:val="center"/>
                </w:tcPr>
                <w:p w14:paraId="0351B1B7">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lang w:bidi="ar"/>
                    </w:rPr>
                    <w:t>下风向G4</w:t>
                  </w:r>
                </w:p>
              </w:tc>
              <w:tc>
                <w:tcPr>
                  <w:tcW w:w="819" w:type="pct"/>
                  <w:tcBorders>
                    <w:tl2br w:val="nil"/>
                    <w:tr2bl w:val="nil"/>
                  </w:tcBorders>
                  <w:noWrap w:val="0"/>
                  <w:vAlign w:val="center"/>
                </w:tcPr>
                <w:p w14:paraId="3E51B1E3">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sz w:val="18"/>
                      <w:szCs w:val="18"/>
                      <w:lang w:val="en-US" w:eastAsia="zh-CN"/>
                    </w:rPr>
                  </w:pPr>
                  <w:r>
                    <w:rPr>
                      <w:rFonts w:hint="eastAsia" w:eastAsia="宋体" w:cs="Times New Roman"/>
                      <w:color w:val="auto"/>
                      <w:kern w:val="0"/>
                      <w:sz w:val="18"/>
                      <w:szCs w:val="18"/>
                      <w:lang w:val="en-US" w:eastAsia="zh-CN"/>
                    </w:rPr>
                    <w:t>0.78</w:t>
                  </w:r>
                </w:p>
              </w:tc>
              <w:tc>
                <w:tcPr>
                  <w:tcW w:w="819" w:type="pct"/>
                  <w:tcBorders>
                    <w:tl2br w:val="nil"/>
                    <w:tr2bl w:val="nil"/>
                  </w:tcBorders>
                  <w:noWrap w:val="0"/>
                  <w:vAlign w:val="center"/>
                </w:tcPr>
                <w:p w14:paraId="2E048B0B">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sz w:val="18"/>
                      <w:szCs w:val="18"/>
                      <w:lang w:val="en-US" w:eastAsia="zh-CN"/>
                    </w:rPr>
                  </w:pPr>
                  <w:r>
                    <w:rPr>
                      <w:rFonts w:hint="eastAsia" w:eastAsia="宋体" w:cs="Times New Roman"/>
                      <w:color w:val="auto"/>
                      <w:kern w:val="0"/>
                      <w:sz w:val="18"/>
                      <w:szCs w:val="18"/>
                      <w:lang w:val="en-US" w:eastAsia="zh-CN"/>
                    </w:rPr>
                    <w:t>0.82</w:t>
                  </w:r>
                </w:p>
              </w:tc>
              <w:tc>
                <w:tcPr>
                  <w:tcW w:w="819" w:type="pct"/>
                  <w:tcBorders>
                    <w:tl2br w:val="nil"/>
                    <w:tr2bl w:val="nil"/>
                  </w:tcBorders>
                  <w:noWrap w:val="0"/>
                  <w:vAlign w:val="center"/>
                </w:tcPr>
                <w:p w14:paraId="05DBA597">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sz w:val="18"/>
                      <w:szCs w:val="18"/>
                      <w:lang w:val="en-US" w:eastAsia="zh-CN"/>
                    </w:rPr>
                  </w:pPr>
                  <w:r>
                    <w:rPr>
                      <w:rFonts w:hint="eastAsia" w:eastAsia="宋体" w:cs="Times New Roman"/>
                      <w:color w:val="auto"/>
                      <w:kern w:val="0"/>
                      <w:sz w:val="18"/>
                      <w:szCs w:val="18"/>
                      <w:lang w:val="en-US" w:eastAsia="zh-CN"/>
                    </w:rPr>
                    <w:t>0.76</w:t>
                  </w:r>
                </w:p>
              </w:tc>
              <w:tc>
                <w:tcPr>
                  <w:tcW w:w="787" w:type="pct"/>
                  <w:vMerge w:val="continue"/>
                  <w:tcBorders>
                    <w:tl2br w:val="nil"/>
                    <w:tr2bl w:val="nil"/>
                  </w:tcBorders>
                  <w:noWrap w:val="0"/>
                  <w:vAlign w:val="center"/>
                </w:tcPr>
                <w:p w14:paraId="112E079F">
                  <w:pPr>
                    <w:keepNext w:val="0"/>
                    <w:keepLines w:val="0"/>
                    <w:widowControl/>
                    <w:suppressLineNumbers w:val="0"/>
                    <w:spacing w:before="0" w:beforeAutospacing="0" w:after="0" w:afterAutospacing="0"/>
                    <w:ind w:left="0" w:right="0"/>
                    <w:jc w:val="center"/>
                    <w:rPr>
                      <w:rFonts w:hint="eastAsia" w:eastAsia="宋体" w:cs="Times New Roman"/>
                      <w:color w:val="auto"/>
                      <w:kern w:val="0"/>
                      <w:sz w:val="18"/>
                      <w:szCs w:val="18"/>
                      <w:lang w:val="en-US" w:eastAsia="zh-CN"/>
                    </w:rPr>
                  </w:pPr>
                </w:p>
              </w:tc>
            </w:tr>
            <w:tr w14:paraId="15652C9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46" w:hRule="atLeast"/>
              </w:trPr>
              <w:tc>
                <w:tcPr>
                  <w:tcW w:w="817" w:type="pct"/>
                  <w:vMerge w:val="continue"/>
                  <w:tcBorders>
                    <w:tl2br w:val="nil"/>
                    <w:tr2bl w:val="nil"/>
                  </w:tcBorders>
                  <w:noWrap w:val="0"/>
                  <w:vAlign w:val="center"/>
                </w:tcPr>
                <w:p w14:paraId="344E37C1">
                  <w:pPr>
                    <w:keepNext w:val="0"/>
                    <w:keepLines w:val="0"/>
                    <w:suppressLineNumbers w:val="0"/>
                    <w:spacing w:before="0" w:beforeAutospacing="0" w:after="0" w:afterAutospacing="0"/>
                    <w:ind w:left="0" w:right="0"/>
                    <w:rPr>
                      <w:rFonts w:hint="default" w:ascii="Times New Roman" w:hAnsi="Times New Roman" w:cs="Times New Roman"/>
                      <w:color w:val="auto"/>
                      <w:sz w:val="18"/>
                      <w:szCs w:val="18"/>
                    </w:rPr>
                  </w:pPr>
                </w:p>
              </w:tc>
              <w:tc>
                <w:tcPr>
                  <w:tcW w:w="937" w:type="pct"/>
                  <w:tcBorders>
                    <w:tl2br w:val="nil"/>
                    <w:tr2bl w:val="nil"/>
                  </w:tcBorders>
                  <w:noWrap w:val="0"/>
                  <w:vAlign w:val="center"/>
                </w:tcPr>
                <w:p w14:paraId="48D469C2">
                  <w:pPr>
                    <w:keepNext w:val="0"/>
                    <w:keepLines w:val="0"/>
                    <w:widowControl/>
                    <w:suppressLineNumbers w:val="0"/>
                    <w:spacing w:before="0" w:beforeAutospacing="0" w:after="0" w:afterAutospacing="0"/>
                    <w:ind w:left="0" w:right="0"/>
                    <w:jc w:val="center"/>
                    <w:rPr>
                      <w:rFonts w:hint="eastAsia" w:ascii="Times New Roman" w:hAnsi="Times New Roman" w:eastAsia="宋体" w:cs="Times New Roman"/>
                      <w:color w:val="auto"/>
                      <w:kern w:val="0"/>
                      <w:sz w:val="18"/>
                      <w:szCs w:val="18"/>
                      <w:lang w:val="en-US" w:eastAsia="zh-CN" w:bidi="ar"/>
                    </w:rPr>
                  </w:pPr>
                  <w:r>
                    <w:rPr>
                      <w:rFonts w:hint="eastAsia" w:cs="Times New Roman"/>
                      <w:color w:val="auto"/>
                      <w:kern w:val="0"/>
                      <w:sz w:val="18"/>
                      <w:szCs w:val="18"/>
                      <w:lang w:val="en-US" w:eastAsia="zh-CN" w:bidi="ar"/>
                    </w:rPr>
                    <w:t>厂区内</w:t>
                  </w:r>
                  <w:r>
                    <w:rPr>
                      <w:rFonts w:hint="default" w:ascii="Times New Roman" w:hAnsi="Times New Roman" w:cs="Times New Roman"/>
                      <w:color w:val="auto"/>
                      <w:kern w:val="0"/>
                      <w:sz w:val="18"/>
                      <w:szCs w:val="18"/>
                      <w:lang w:bidi="ar"/>
                    </w:rPr>
                    <w:t>G</w:t>
                  </w:r>
                  <w:r>
                    <w:rPr>
                      <w:rFonts w:hint="eastAsia" w:ascii="Times New Roman" w:hAnsi="Times New Roman" w:cs="Times New Roman"/>
                      <w:color w:val="auto"/>
                      <w:kern w:val="0"/>
                      <w:sz w:val="18"/>
                      <w:szCs w:val="18"/>
                      <w:lang w:val="en-US" w:eastAsia="zh-CN" w:bidi="ar"/>
                    </w:rPr>
                    <w:t>5</w:t>
                  </w:r>
                </w:p>
              </w:tc>
              <w:tc>
                <w:tcPr>
                  <w:tcW w:w="819" w:type="pct"/>
                  <w:tcBorders>
                    <w:tl2br w:val="nil"/>
                    <w:tr2bl w:val="nil"/>
                  </w:tcBorders>
                  <w:noWrap w:val="0"/>
                  <w:vAlign w:val="center"/>
                </w:tcPr>
                <w:p w14:paraId="701BBCCE">
                  <w:pPr>
                    <w:keepNext w:val="0"/>
                    <w:keepLines w:val="0"/>
                    <w:widowControl/>
                    <w:suppressLineNumbers w:val="0"/>
                    <w:spacing w:before="0" w:beforeAutospacing="0" w:after="0" w:afterAutospacing="0"/>
                    <w:ind w:left="0" w:right="0"/>
                    <w:jc w:val="center"/>
                    <w:rPr>
                      <w:rFonts w:hint="default" w:eastAsia="宋体" w:cs="Times New Roman"/>
                      <w:color w:val="auto"/>
                      <w:kern w:val="0"/>
                      <w:sz w:val="18"/>
                      <w:szCs w:val="18"/>
                      <w:lang w:val="en-US" w:eastAsia="zh-CN"/>
                    </w:rPr>
                  </w:pPr>
                  <w:r>
                    <w:rPr>
                      <w:rFonts w:hint="eastAsia" w:eastAsia="宋体" w:cs="Times New Roman"/>
                      <w:color w:val="auto"/>
                      <w:kern w:val="0"/>
                      <w:sz w:val="18"/>
                      <w:szCs w:val="18"/>
                      <w:lang w:val="en-US" w:eastAsia="zh-CN"/>
                    </w:rPr>
                    <w:t>0.66</w:t>
                  </w:r>
                </w:p>
              </w:tc>
              <w:tc>
                <w:tcPr>
                  <w:tcW w:w="819" w:type="pct"/>
                  <w:tcBorders>
                    <w:tl2br w:val="nil"/>
                    <w:tr2bl w:val="nil"/>
                  </w:tcBorders>
                  <w:noWrap w:val="0"/>
                  <w:vAlign w:val="center"/>
                </w:tcPr>
                <w:p w14:paraId="6399EC9E">
                  <w:pPr>
                    <w:keepNext w:val="0"/>
                    <w:keepLines w:val="0"/>
                    <w:widowControl/>
                    <w:suppressLineNumbers w:val="0"/>
                    <w:spacing w:before="0" w:beforeAutospacing="0" w:after="0" w:afterAutospacing="0"/>
                    <w:ind w:left="0" w:right="0"/>
                    <w:jc w:val="center"/>
                    <w:rPr>
                      <w:rFonts w:hint="default" w:eastAsia="宋体" w:cs="Times New Roman"/>
                      <w:color w:val="auto"/>
                      <w:kern w:val="0"/>
                      <w:sz w:val="18"/>
                      <w:szCs w:val="18"/>
                      <w:lang w:val="en-US" w:eastAsia="zh-CN"/>
                    </w:rPr>
                  </w:pPr>
                  <w:r>
                    <w:rPr>
                      <w:rFonts w:hint="eastAsia" w:eastAsia="宋体" w:cs="Times New Roman"/>
                      <w:color w:val="auto"/>
                      <w:kern w:val="0"/>
                      <w:sz w:val="18"/>
                      <w:szCs w:val="18"/>
                      <w:lang w:val="en-US" w:eastAsia="zh-CN"/>
                    </w:rPr>
                    <w:t>0.79</w:t>
                  </w:r>
                </w:p>
              </w:tc>
              <w:tc>
                <w:tcPr>
                  <w:tcW w:w="819" w:type="pct"/>
                  <w:tcBorders>
                    <w:tl2br w:val="nil"/>
                    <w:tr2bl w:val="nil"/>
                  </w:tcBorders>
                  <w:noWrap w:val="0"/>
                  <w:vAlign w:val="center"/>
                </w:tcPr>
                <w:p w14:paraId="7364498B">
                  <w:pPr>
                    <w:keepNext w:val="0"/>
                    <w:keepLines w:val="0"/>
                    <w:widowControl/>
                    <w:suppressLineNumbers w:val="0"/>
                    <w:spacing w:before="0" w:beforeAutospacing="0" w:after="0" w:afterAutospacing="0"/>
                    <w:ind w:left="0" w:right="0"/>
                    <w:jc w:val="center"/>
                    <w:rPr>
                      <w:rFonts w:hint="default" w:eastAsia="宋体" w:cs="Times New Roman"/>
                      <w:color w:val="auto"/>
                      <w:kern w:val="0"/>
                      <w:sz w:val="18"/>
                      <w:szCs w:val="18"/>
                      <w:lang w:val="en-US" w:eastAsia="zh-CN"/>
                    </w:rPr>
                  </w:pPr>
                  <w:r>
                    <w:rPr>
                      <w:rFonts w:hint="eastAsia" w:eastAsia="宋体" w:cs="Times New Roman"/>
                      <w:color w:val="auto"/>
                      <w:kern w:val="0"/>
                      <w:sz w:val="18"/>
                      <w:szCs w:val="18"/>
                      <w:lang w:val="en-US" w:eastAsia="zh-CN"/>
                    </w:rPr>
                    <w:t>0.80</w:t>
                  </w:r>
                </w:p>
              </w:tc>
              <w:tc>
                <w:tcPr>
                  <w:tcW w:w="787" w:type="pct"/>
                  <w:tcBorders>
                    <w:tl2br w:val="nil"/>
                    <w:tr2bl w:val="nil"/>
                  </w:tcBorders>
                  <w:noWrap w:val="0"/>
                  <w:vAlign w:val="center"/>
                </w:tcPr>
                <w:p w14:paraId="514851C9">
                  <w:pPr>
                    <w:keepNext w:val="0"/>
                    <w:keepLines w:val="0"/>
                    <w:widowControl/>
                    <w:suppressLineNumbers w:val="0"/>
                    <w:spacing w:before="0" w:beforeAutospacing="0" w:after="0" w:afterAutospacing="0"/>
                    <w:ind w:left="0" w:right="0"/>
                    <w:jc w:val="center"/>
                    <w:rPr>
                      <w:rFonts w:hint="default" w:eastAsia="宋体" w:cs="Times New Roman"/>
                      <w:color w:val="auto"/>
                      <w:kern w:val="0"/>
                      <w:sz w:val="18"/>
                      <w:szCs w:val="18"/>
                      <w:lang w:val="en-US" w:eastAsia="zh-CN"/>
                    </w:rPr>
                  </w:pPr>
                  <w:r>
                    <w:rPr>
                      <w:rFonts w:hint="eastAsia" w:eastAsia="宋体" w:cs="Times New Roman"/>
                      <w:color w:val="auto"/>
                      <w:kern w:val="0"/>
                      <w:sz w:val="18"/>
                      <w:szCs w:val="18"/>
                      <w:lang w:val="en-US" w:eastAsia="zh-CN"/>
                    </w:rPr>
                    <w:t>6.0</w:t>
                  </w:r>
                </w:p>
              </w:tc>
            </w:tr>
            <w:tr w14:paraId="0827E1F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46" w:hRule="atLeast"/>
              </w:trPr>
              <w:tc>
                <w:tcPr>
                  <w:tcW w:w="1754" w:type="pct"/>
                  <w:gridSpan w:val="2"/>
                  <w:tcBorders>
                    <w:tl2br w:val="nil"/>
                    <w:tr2bl w:val="nil"/>
                  </w:tcBorders>
                  <w:noWrap w:val="0"/>
                  <w:vAlign w:val="center"/>
                </w:tcPr>
                <w:p w14:paraId="1CF826C4">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lang w:bidi="ar"/>
                    </w:rPr>
                    <w:t>判定</w:t>
                  </w:r>
                </w:p>
              </w:tc>
              <w:tc>
                <w:tcPr>
                  <w:tcW w:w="3245" w:type="pct"/>
                  <w:gridSpan w:val="4"/>
                  <w:tcBorders>
                    <w:tl2br w:val="nil"/>
                    <w:tr2bl w:val="nil"/>
                  </w:tcBorders>
                  <w:noWrap w:val="0"/>
                  <w:vAlign w:val="center"/>
                </w:tcPr>
                <w:p w14:paraId="1472F8F9">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lang w:bidi="ar"/>
                    </w:rPr>
                    <w:t>合格</w:t>
                  </w:r>
                </w:p>
              </w:tc>
            </w:tr>
            <w:tr w14:paraId="7BB5E0A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5000" w:type="pct"/>
                  <w:gridSpan w:val="6"/>
                  <w:tcBorders>
                    <w:tl2br w:val="nil"/>
                    <w:tr2bl w:val="nil"/>
                  </w:tcBorders>
                  <w:noWrap w:val="0"/>
                  <w:vAlign w:val="center"/>
                </w:tcPr>
                <w:p w14:paraId="22BD2404">
                  <w:pPr>
                    <w:keepNext w:val="0"/>
                    <w:keepLines w:val="0"/>
                    <w:widowControl/>
                    <w:suppressLineNumbers w:val="0"/>
                    <w:spacing w:before="0" w:beforeAutospacing="0" w:after="0" w:afterAutospacing="0"/>
                    <w:ind w:left="0" w:right="0"/>
                    <w:jc w:val="center"/>
                    <w:rPr>
                      <w:rFonts w:hint="eastAsia" w:ascii="Times New Roman" w:hAnsi="Times New Roman" w:eastAsia="宋体" w:cs="Times New Roman"/>
                      <w:color w:val="auto"/>
                      <w:kern w:val="0"/>
                      <w:sz w:val="18"/>
                      <w:szCs w:val="18"/>
                      <w:lang w:val="en-US" w:eastAsia="zh-CN"/>
                    </w:rPr>
                  </w:pPr>
                  <w:r>
                    <w:rPr>
                      <w:rFonts w:hint="default" w:ascii="Times New Roman" w:hAnsi="Times New Roman" w:cs="Times New Roman"/>
                      <w:color w:val="auto"/>
                      <w:kern w:val="0"/>
                      <w:sz w:val="18"/>
                      <w:szCs w:val="18"/>
                      <w:lang w:bidi="ar"/>
                    </w:rPr>
                    <w:t>执行标准</w:t>
                  </w:r>
                  <w:r>
                    <w:rPr>
                      <w:rFonts w:hint="eastAsia" w:cs="Times New Roman"/>
                      <w:color w:val="auto"/>
                      <w:kern w:val="0"/>
                      <w:sz w:val="18"/>
                      <w:szCs w:val="18"/>
                      <w:lang w:eastAsia="zh-CN" w:bidi="ar"/>
                    </w:rPr>
                    <w:t>：江苏省《大气污染物综合排放标准》（DB32/4041-2021）表</w:t>
                  </w:r>
                  <w:r>
                    <w:rPr>
                      <w:rFonts w:hint="eastAsia" w:cs="Times New Roman"/>
                      <w:color w:val="auto"/>
                      <w:kern w:val="0"/>
                      <w:sz w:val="18"/>
                      <w:szCs w:val="18"/>
                      <w:lang w:val="en-US" w:eastAsia="zh-CN" w:bidi="ar"/>
                    </w:rPr>
                    <w:t>3</w:t>
                  </w:r>
                  <w:r>
                    <w:rPr>
                      <w:rFonts w:hint="eastAsia" w:cs="Times New Roman"/>
                      <w:color w:val="auto"/>
                      <w:kern w:val="0"/>
                      <w:sz w:val="18"/>
                      <w:szCs w:val="18"/>
                      <w:lang w:eastAsia="zh-CN" w:bidi="ar"/>
                    </w:rPr>
                    <w:t>标准</w:t>
                  </w:r>
                </w:p>
              </w:tc>
            </w:tr>
          </w:tbl>
          <w:p w14:paraId="5B35CE16">
            <w:pPr>
              <w:pStyle w:val="49"/>
              <w:ind w:firstLine="482"/>
              <w:jc w:val="left"/>
              <w:rPr>
                <w:b/>
                <w:bCs/>
                <w:color w:val="auto"/>
                <w:sz w:val="24"/>
                <w:szCs w:val="24"/>
              </w:rPr>
            </w:pPr>
            <w:r>
              <w:rPr>
                <w:rFonts w:hint="eastAsia"/>
                <w:b/>
                <w:bCs/>
                <w:color w:val="auto"/>
                <w:sz w:val="24"/>
                <w:szCs w:val="24"/>
                <w:lang w:val="en-US" w:eastAsia="zh-CN"/>
              </w:rPr>
              <w:t>②</w:t>
            </w:r>
            <w:r>
              <w:rPr>
                <w:b/>
                <w:bCs/>
                <w:color w:val="auto"/>
                <w:sz w:val="24"/>
                <w:szCs w:val="24"/>
              </w:rPr>
              <w:t>废水</w:t>
            </w:r>
          </w:p>
          <w:p w14:paraId="045D0F93">
            <w:pPr>
              <w:pStyle w:val="49"/>
              <w:ind w:firstLine="480"/>
              <w:jc w:val="left"/>
              <w:rPr>
                <w:color w:val="auto"/>
                <w:sz w:val="24"/>
                <w:szCs w:val="24"/>
              </w:rPr>
            </w:pPr>
            <w:r>
              <w:rPr>
                <w:rFonts w:hint="eastAsia"/>
                <w:color w:val="auto"/>
                <w:sz w:val="24"/>
                <w:szCs w:val="24"/>
                <w:lang w:val="en-US" w:eastAsia="zh-CN"/>
              </w:rPr>
              <w:t>现有</w:t>
            </w:r>
            <w:r>
              <w:rPr>
                <w:color w:val="auto"/>
                <w:sz w:val="24"/>
                <w:szCs w:val="24"/>
              </w:rPr>
              <w:t>项目</w:t>
            </w:r>
            <w:r>
              <w:rPr>
                <w:rFonts w:hint="eastAsia"/>
                <w:color w:val="auto"/>
                <w:sz w:val="24"/>
                <w:szCs w:val="24"/>
              </w:rPr>
              <w:t>排水</w:t>
            </w:r>
            <w:r>
              <w:rPr>
                <w:color w:val="auto"/>
                <w:sz w:val="24"/>
                <w:szCs w:val="24"/>
              </w:rPr>
              <w:t>主要为生活</w:t>
            </w:r>
            <w:r>
              <w:rPr>
                <w:rFonts w:hint="eastAsia"/>
                <w:color w:val="auto"/>
                <w:sz w:val="24"/>
                <w:szCs w:val="24"/>
              </w:rPr>
              <w:t>污水，经化粪池预处理后接管至鹰泰水务海安有限公司集中处理</w:t>
            </w:r>
            <w:r>
              <w:rPr>
                <w:color w:val="auto"/>
                <w:sz w:val="24"/>
                <w:szCs w:val="24"/>
              </w:rPr>
              <w:t>。</w:t>
            </w:r>
          </w:p>
          <w:p w14:paraId="6BC41047">
            <w:pPr>
              <w:pStyle w:val="49"/>
              <w:ind w:firstLine="482"/>
              <w:jc w:val="left"/>
              <w:rPr>
                <w:rFonts w:hint="default"/>
                <w:b/>
                <w:bCs/>
                <w:color w:val="auto"/>
                <w:sz w:val="24"/>
                <w:szCs w:val="24"/>
                <w:lang w:val="en-US" w:eastAsia="zh-CN"/>
              </w:rPr>
            </w:pPr>
            <w:r>
              <w:rPr>
                <w:rFonts w:hint="eastAsia"/>
                <w:b w:val="0"/>
                <w:bCs w:val="0"/>
                <w:color w:val="auto"/>
                <w:sz w:val="24"/>
                <w:szCs w:val="24"/>
                <w:lang w:val="en-US" w:eastAsia="zh-CN"/>
              </w:rPr>
              <w:t>根据南通化学环境监测站有限公司2019年10月27日-28日对现有项目的验收监测数据，现有项目废水排放达标，监测结果如下：</w:t>
            </w:r>
          </w:p>
          <w:p w14:paraId="76F06A1E">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sz w:val="24"/>
                <w:szCs w:val="24"/>
              </w:rPr>
            </w:pPr>
            <w:r>
              <w:rPr>
                <w:rFonts w:hint="default" w:ascii="Times New Roman" w:hAnsi="Times New Roman" w:cs="Times New Roman"/>
                <w:b/>
                <w:bCs/>
                <w:color w:val="auto"/>
                <w:sz w:val="24"/>
                <w:szCs w:val="24"/>
                <w:lang w:bidi="ar"/>
              </w:rPr>
              <w:t>表2-</w:t>
            </w:r>
            <w:r>
              <w:rPr>
                <w:rFonts w:hint="eastAsia" w:cs="Times New Roman"/>
                <w:b/>
                <w:bCs/>
                <w:color w:val="auto"/>
                <w:sz w:val="24"/>
                <w:szCs w:val="24"/>
                <w:lang w:val="en-US" w:eastAsia="zh-CN" w:bidi="ar"/>
              </w:rPr>
              <w:t>9</w:t>
            </w:r>
            <w:r>
              <w:rPr>
                <w:rFonts w:hint="eastAsia" w:ascii="Times New Roman" w:hAnsi="Times New Roman" w:cs="Times New Roman"/>
                <w:b/>
                <w:bCs/>
                <w:color w:val="auto"/>
                <w:sz w:val="24"/>
                <w:szCs w:val="24"/>
                <w:lang w:bidi="ar"/>
              </w:rPr>
              <w:t xml:space="preserve"> </w:t>
            </w:r>
            <w:r>
              <w:rPr>
                <w:rFonts w:hint="default" w:ascii="Times New Roman" w:hAnsi="Times New Roman" w:cs="Times New Roman"/>
                <w:b/>
                <w:bCs/>
                <w:color w:val="auto"/>
                <w:sz w:val="24"/>
                <w:szCs w:val="24"/>
                <w:lang w:bidi="ar"/>
              </w:rPr>
              <w:t>原有项目废水检测结果表</w:t>
            </w:r>
          </w:p>
          <w:tbl>
            <w:tblPr>
              <w:tblStyle w:val="26"/>
              <w:tblW w:w="5001"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736"/>
              <w:gridCol w:w="773"/>
              <w:gridCol w:w="1511"/>
              <w:gridCol w:w="1235"/>
              <w:gridCol w:w="1631"/>
              <w:gridCol w:w="1414"/>
              <w:gridCol w:w="1094"/>
            </w:tblGrid>
            <w:tr w14:paraId="52BFBEF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438" w:type="pct"/>
                  <w:tcBorders>
                    <w:tl2br w:val="nil"/>
                    <w:tr2bl w:val="nil"/>
                  </w:tcBorders>
                  <w:noWrap w:val="0"/>
                  <w:vAlign w:val="center"/>
                </w:tcPr>
                <w:p w14:paraId="2B24B12E">
                  <w:pPr>
                    <w:keepNext w:val="0"/>
                    <w:keepLines w:val="0"/>
                    <w:widowControl/>
                    <w:suppressLineNumbers w:val="0"/>
                    <w:spacing w:before="0" w:beforeAutospacing="0" w:after="0" w:afterAutospacing="0"/>
                    <w:ind w:left="0" w:right="0"/>
                    <w:jc w:val="center"/>
                    <w:rPr>
                      <w:rFonts w:hint="default" w:ascii="Times New Roman" w:hAnsi="Times New Roman" w:cs="Times New Roman"/>
                      <w:b/>
                      <w:bCs/>
                      <w:color w:val="auto"/>
                      <w:kern w:val="0"/>
                      <w:sz w:val="21"/>
                      <w:szCs w:val="21"/>
                    </w:rPr>
                  </w:pPr>
                  <w:r>
                    <w:rPr>
                      <w:rFonts w:hint="default" w:ascii="Times New Roman" w:hAnsi="Times New Roman" w:cs="Times New Roman"/>
                      <w:b/>
                      <w:bCs/>
                      <w:color w:val="auto"/>
                      <w:kern w:val="0"/>
                      <w:sz w:val="21"/>
                      <w:szCs w:val="21"/>
                      <w:lang w:bidi="ar"/>
                    </w:rPr>
                    <w:t>监测点位</w:t>
                  </w:r>
                </w:p>
              </w:tc>
              <w:tc>
                <w:tcPr>
                  <w:tcW w:w="460" w:type="pct"/>
                  <w:tcBorders>
                    <w:tl2br w:val="nil"/>
                    <w:tr2bl w:val="nil"/>
                  </w:tcBorders>
                  <w:noWrap w:val="0"/>
                  <w:vAlign w:val="center"/>
                </w:tcPr>
                <w:p w14:paraId="7F569A4D">
                  <w:pPr>
                    <w:keepNext w:val="0"/>
                    <w:keepLines w:val="0"/>
                    <w:widowControl/>
                    <w:suppressLineNumbers w:val="0"/>
                    <w:spacing w:before="0" w:beforeAutospacing="0" w:after="0" w:afterAutospacing="0"/>
                    <w:ind w:left="0" w:right="0"/>
                    <w:jc w:val="center"/>
                    <w:rPr>
                      <w:rFonts w:hint="eastAsia" w:ascii="Times New Roman" w:hAnsi="Times New Roman" w:cs="Times New Roman"/>
                      <w:b/>
                      <w:bCs/>
                      <w:color w:val="auto"/>
                      <w:kern w:val="0"/>
                      <w:sz w:val="21"/>
                      <w:szCs w:val="21"/>
                      <w:lang w:bidi="ar"/>
                    </w:rPr>
                  </w:pPr>
                  <w:r>
                    <w:rPr>
                      <w:rFonts w:hint="eastAsia" w:ascii="Times New Roman" w:hAnsi="Times New Roman" w:cs="Times New Roman"/>
                      <w:b/>
                      <w:bCs/>
                      <w:color w:val="auto"/>
                      <w:kern w:val="0"/>
                      <w:sz w:val="21"/>
                      <w:szCs w:val="21"/>
                      <w:lang w:bidi="ar"/>
                    </w:rPr>
                    <w:t>采样日期</w:t>
                  </w:r>
                </w:p>
              </w:tc>
              <w:tc>
                <w:tcPr>
                  <w:tcW w:w="900" w:type="pct"/>
                  <w:tcBorders>
                    <w:tl2br w:val="nil"/>
                    <w:tr2bl w:val="nil"/>
                  </w:tcBorders>
                  <w:noWrap w:val="0"/>
                  <w:vAlign w:val="center"/>
                </w:tcPr>
                <w:p w14:paraId="24BB5329">
                  <w:pPr>
                    <w:keepNext w:val="0"/>
                    <w:keepLines w:val="0"/>
                    <w:widowControl/>
                    <w:suppressLineNumbers w:val="0"/>
                    <w:spacing w:before="0" w:beforeAutospacing="0" w:after="0" w:afterAutospacing="0"/>
                    <w:ind w:left="0" w:right="0"/>
                    <w:jc w:val="center"/>
                    <w:rPr>
                      <w:rFonts w:hint="default" w:ascii="Times New Roman" w:hAnsi="Times New Roman" w:cs="Times New Roman"/>
                      <w:b/>
                      <w:bCs/>
                      <w:color w:val="auto"/>
                      <w:kern w:val="0"/>
                      <w:sz w:val="21"/>
                      <w:szCs w:val="21"/>
                    </w:rPr>
                  </w:pPr>
                  <w:r>
                    <w:rPr>
                      <w:rFonts w:hint="default" w:ascii="Times New Roman" w:hAnsi="Times New Roman" w:cs="Times New Roman"/>
                      <w:b/>
                      <w:bCs/>
                      <w:color w:val="auto"/>
                      <w:kern w:val="0"/>
                      <w:sz w:val="21"/>
                      <w:szCs w:val="21"/>
                      <w:lang w:bidi="ar"/>
                    </w:rPr>
                    <w:t>检测项目</w:t>
                  </w:r>
                </w:p>
              </w:tc>
              <w:tc>
                <w:tcPr>
                  <w:tcW w:w="735" w:type="pct"/>
                  <w:tcBorders>
                    <w:tl2br w:val="nil"/>
                    <w:tr2bl w:val="nil"/>
                  </w:tcBorders>
                  <w:noWrap w:val="0"/>
                  <w:vAlign w:val="center"/>
                </w:tcPr>
                <w:p w14:paraId="39159620">
                  <w:pPr>
                    <w:keepNext w:val="0"/>
                    <w:keepLines w:val="0"/>
                    <w:widowControl/>
                    <w:suppressLineNumbers w:val="0"/>
                    <w:spacing w:before="0" w:beforeAutospacing="0" w:after="0" w:afterAutospacing="0"/>
                    <w:ind w:left="0" w:right="0"/>
                    <w:jc w:val="center"/>
                    <w:rPr>
                      <w:rFonts w:hint="default" w:ascii="Times New Roman" w:hAnsi="Times New Roman" w:cs="Times New Roman"/>
                      <w:b/>
                      <w:bCs/>
                      <w:color w:val="auto"/>
                      <w:kern w:val="0"/>
                      <w:sz w:val="21"/>
                      <w:szCs w:val="21"/>
                    </w:rPr>
                  </w:pPr>
                  <w:r>
                    <w:rPr>
                      <w:rFonts w:hint="default" w:ascii="Times New Roman" w:hAnsi="Times New Roman" w:cs="Times New Roman"/>
                      <w:b/>
                      <w:bCs/>
                      <w:color w:val="auto"/>
                      <w:kern w:val="0"/>
                      <w:sz w:val="21"/>
                      <w:szCs w:val="21"/>
                      <w:lang w:bidi="ar"/>
                    </w:rPr>
                    <w:t>单位</w:t>
                  </w:r>
                </w:p>
              </w:tc>
              <w:tc>
                <w:tcPr>
                  <w:tcW w:w="971" w:type="pct"/>
                  <w:tcBorders>
                    <w:tl2br w:val="nil"/>
                    <w:tr2bl w:val="nil"/>
                  </w:tcBorders>
                  <w:noWrap w:val="0"/>
                  <w:vAlign w:val="center"/>
                </w:tcPr>
                <w:p w14:paraId="298DF17E">
                  <w:pPr>
                    <w:keepNext w:val="0"/>
                    <w:keepLines w:val="0"/>
                    <w:widowControl/>
                    <w:suppressLineNumbers w:val="0"/>
                    <w:spacing w:before="0" w:beforeAutospacing="0" w:after="0" w:afterAutospacing="0"/>
                    <w:ind w:left="0" w:right="0"/>
                    <w:jc w:val="center"/>
                    <w:rPr>
                      <w:rFonts w:hint="default" w:ascii="Times New Roman" w:hAnsi="Times New Roman" w:cs="Times New Roman"/>
                      <w:b/>
                      <w:bCs/>
                      <w:color w:val="auto"/>
                      <w:kern w:val="0"/>
                      <w:sz w:val="21"/>
                      <w:szCs w:val="21"/>
                    </w:rPr>
                  </w:pPr>
                  <w:r>
                    <w:rPr>
                      <w:rFonts w:hint="default" w:ascii="Times New Roman" w:hAnsi="Times New Roman" w:cs="Times New Roman"/>
                      <w:b/>
                      <w:bCs/>
                      <w:color w:val="auto"/>
                      <w:kern w:val="0"/>
                      <w:sz w:val="21"/>
                      <w:szCs w:val="21"/>
                      <w:lang w:bidi="ar"/>
                    </w:rPr>
                    <w:t>平均值</w:t>
                  </w:r>
                </w:p>
              </w:tc>
              <w:tc>
                <w:tcPr>
                  <w:tcW w:w="842" w:type="pct"/>
                  <w:tcBorders>
                    <w:tl2br w:val="nil"/>
                    <w:tr2bl w:val="nil"/>
                  </w:tcBorders>
                  <w:noWrap w:val="0"/>
                  <w:vAlign w:val="center"/>
                </w:tcPr>
                <w:p w14:paraId="17F13D7A">
                  <w:pPr>
                    <w:keepNext w:val="0"/>
                    <w:keepLines w:val="0"/>
                    <w:widowControl/>
                    <w:suppressLineNumbers w:val="0"/>
                    <w:spacing w:before="0" w:beforeAutospacing="0" w:after="0" w:afterAutospacing="0"/>
                    <w:ind w:left="0" w:right="0"/>
                    <w:jc w:val="center"/>
                    <w:rPr>
                      <w:rFonts w:hint="default" w:ascii="Times New Roman" w:hAnsi="Times New Roman" w:cs="Times New Roman"/>
                      <w:b/>
                      <w:bCs/>
                      <w:color w:val="auto"/>
                      <w:kern w:val="0"/>
                      <w:sz w:val="21"/>
                      <w:szCs w:val="21"/>
                    </w:rPr>
                  </w:pPr>
                  <w:r>
                    <w:rPr>
                      <w:rFonts w:hint="default" w:ascii="Times New Roman" w:hAnsi="Times New Roman" w:cs="Times New Roman"/>
                      <w:b/>
                      <w:bCs/>
                      <w:color w:val="auto"/>
                      <w:kern w:val="0"/>
                      <w:sz w:val="21"/>
                      <w:szCs w:val="21"/>
                      <w:lang w:bidi="ar"/>
                    </w:rPr>
                    <w:t>标准限值</w:t>
                  </w:r>
                </w:p>
              </w:tc>
              <w:tc>
                <w:tcPr>
                  <w:tcW w:w="651" w:type="pct"/>
                  <w:tcBorders>
                    <w:tl2br w:val="nil"/>
                    <w:tr2bl w:val="nil"/>
                  </w:tcBorders>
                  <w:noWrap w:val="0"/>
                  <w:vAlign w:val="center"/>
                </w:tcPr>
                <w:p w14:paraId="66B50926">
                  <w:pPr>
                    <w:keepNext w:val="0"/>
                    <w:keepLines w:val="0"/>
                    <w:widowControl/>
                    <w:suppressLineNumbers w:val="0"/>
                    <w:spacing w:before="0" w:beforeAutospacing="0" w:after="0" w:afterAutospacing="0"/>
                    <w:ind w:left="0" w:right="0"/>
                    <w:jc w:val="center"/>
                    <w:rPr>
                      <w:rFonts w:hint="default" w:ascii="Times New Roman" w:hAnsi="Times New Roman" w:cs="Times New Roman"/>
                      <w:b/>
                      <w:bCs/>
                      <w:color w:val="auto"/>
                      <w:kern w:val="0"/>
                      <w:sz w:val="21"/>
                      <w:szCs w:val="21"/>
                    </w:rPr>
                  </w:pPr>
                  <w:r>
                    <w:rPr>
                      <w:rFonts w:hint="default" w:ascii="Times New Roman" w:hAnsi="Times New Roman" w:cs="Times New Roman"/>
                      <w:b/>
                      <w:bCs/>
                      <w:color w:val="auto"/>
                      <w:kern w:val="0"/>
                      <w:sz w:val="21"/>
                      <w:szCs w:val="21"/>
                      <w:lang w:bidi="ar"/>
                    </w:rPr>
                    <w:t>判定</w:t>
                  </w:r>
                </w:p>
              </w:tc>
            </w:tr>
            <w:tr w14:paraId="69061F3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438" w:type="pct"/>
                  <w:vMerge w:val="restart"/>
                  <w:tcBorders>
                    <w:tl2br w:val="nil"/>
                    <w:tr2bl w:val="nil"/>
                  </w:tcBorders>
                  <w:noWrap w:val="0"/>
                  <w:vAlign w:val="center"/>
                </w:tcPr>
                <w:p w14:paraId="51AE1797">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lang w:bidi="ar"/>
                    </w:rPr>
                    <w:t>污水</w:t>
                  </w:r>
                  <w:r>
                    <w:rPr>
                      <w:rFonts w:hint="eastAsia" w:cs="Times New Roman"/>
                      <w:color w:val="auto"/>
                      <w:kern w:val="0"/>
                      <w:sz w:val="21"/>
                      <w:szCs w:val="21"/>
                      <w:lang w:val="en-US" w:eastAsia="zh-CN" w:bidi="ar"/>
                    </w:rPr>
                    <w:t>总</w:t>
                  </w:r>
                  <w:r>
                    <w:rPr>
                      <w:rFonts w:hint="default" w:ascii="Times New Roman" w:hAnsi="Times New Roman" w:cs="Times New Roman"/>
                      <w:color w:val="auto"/>
                      <w:kern w:val="0"/>
                      <w:sz w:val="21"/>
                      <w:szCs w:val="21"/>
                      <w:lang w:bidi="ar"/>
                    </w:rPr>
                    <w:t>排口</w:t>
                  </w:r>
                </w:p>
              </w:tc>
              <w:tc>
                <w:tcPr>
                  <w:tcW w:w="460" w:type="pct"/>
                  <w:vMerge w:val="restart"/>
                  <w:tcBorders>
                    <w:tl2br w:val="nil"/>
                    <w:tr2bl w:val="nil"/>
                  </w:tcBorders>
                  <w:noWrap w:val="0"/>
                  <w:vAlign w:val="center"/>
                </w:tcPr>
                <w:p w14:paraId="03EE8BAC">
                  <w:pPr>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0"/>
                      <w:sz w:val="21"/>
                      <w:szCs w:val="21"/>
                      <w:lang w:val="en-US" w:eastAsia="zh-CN" w:bidi="ar"/>
                    </w:rPr>
                  </w:pPr>
                  <w:r>
                    <w:rPr>
                      <w:rFonts w:hint="eastAsia" w:cs="Times New Roman"/>
                      <w:color w:val="auto"/>
                      <w:kern w:val="0"/>
                      <w:sz w:val="21"/>
                      <w:szCs w:val="21"/>
                      <w:lang w:val="en-US" w:eastAsia="zh-CN" w:bidi="ar"/>
                    </w:rPr>
                    <w:t>2019.10.27-28</w:t>
                  </w:r>
                </w:p>
              </w:tc>
              <w:tc>
                <w:tcPr>
                  <w:tcW w:w="900" w:type="pct"/>
                  <w:tcBorders>
                    <w:tl2br w:val="nil"/>
                    <w:tr2bl w:val="nil"/>
                  </w:tcBorders>
                  <w:noWrap w:val="0"/>
                  <w:vAlign w:val="center"/>
                </w:tcPr>
                <w:p w14:paraId="2614F1D2">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lang w:bidi="ar"/>
                    </w:rPr>
                    <w:t>pH值</w:t>
                  </w:r>
                </w:p>
              </w:tc>
              <w:tc>
                <w:tcPr>
                  <w:tcW w:w="735" w:type="pct"/>
                  <w:tcBorders>
                    <w:tl2br w:val="nil"/>
                    <w:tr2bl w:val="nil"/>
                  </w:tcBorders>
                  <w:noWrap w:val="0"/>
                  <w:vAlign w:val="center"/>
                </w:tcPr>
                <w:p w14:paraId="2F5BE6FE">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lang w:bidi="ar"/>
                    </w:rPr>
                    <w:t>无量纲</w:t>
                  </w:r>
                </w:p>
              </w:tc>
              <w:tc>
                <w:tcPr>
                  <w:tcW w:w="971" w:type="pct"/>
                  <w:tcBorders>
                    <w:tl2br w:val="nil"/>
                    <w:tr2bl w:val="nil"/>
                  </w:tcBorders>
                  <w:noWrap w:val="0"/>
                  <w:vAlign w:val="center"/>
                </w:tcPr>
                <w:p w14:paraId="088A8F00">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sz w:val="21"/>
                      <w:szCs w:val="21"/>
                      <w:lang w:val="en-US" w:eastAsia="zh-CN"/>
                    </w:rPr>
                  </w:pPr>
                  <w:r>
                    <w:rPr>
                      <w:rFonts w:hint="eastAsia" w:cs="Times New Roman"/>
                      <w:color w:val="auto"/>
                      <w:kern w:val="0"/>
                      <w:sz w:val="21"/>
                      <w:szCs w:val="21"/>
                      <w:lang w:val="en-US" w:eastAsia="zh-CN"/>
                    </w:rPr>
                    <w:t>7.03-7.04</w:t>
                  </w:r>
                </w:p>
              </w:tc>
              <w:tc>
                <w:tcPr>
                  <w:tcW w:w="842" w:type="pct"/>
                  <w:tcBorders>
                    <w:tl2br w:val="nil"/>
                    <w:tr2bl w:val="nil"/>
                  </w:tcBorders>
                  <w:noWrap w:val="0"/>
                  <w:vAlign w:val="center"/>
                </w:tcPr>
                <w:p w14:paraId="2DBAE055">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6-9（无量纲）</w:t>
                  </w:r>
                </w:p>
              </w:tc>
              <w:tc>
                <w:tcPr>
                  <w:tcW w:w="651" w:type="pct"/>
                  <w:tcBorders>
                    <w:tl2br w:val="nil"/>
                    <w:tr2bl w:val="nil"/>
                  </w:tcBorders>
                  <w:noWrap w:val="0"/>
                  <w:vAlign w:val="center"/>
                </w:tcPr>
                <w:p w14:paraId="0722CF55">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lang w:bidi="ar"/>
                    </w:rPr>
                    <w:t>合格</w:t>
                  </w:r>
                </w:p>
              </w:tc>
            </w:tr>
            <w:tr w14:paraId="73A063C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438" w:type="pct"/>
                  <w:vMerge w:val="continue"/>
                  <w:tcBorders>
                    <w:tl2br w:val="nil"/>
                    <w:tr2bl w:val="nil"/>
                  </w:tcBorders>
                  <w:noWrap w:val="0"/>
                  <w:vAlign w:val="center"/>
                </w:tcPr>
                <w:p w14:paraId="58A987D4">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460" w:type="pct"/>
                  <w:vMerge w:val="continue"/>
                  <w:tcBorders>
                    <w:tl2br w:val="nil"/>
                    <w:tr2bl w:val="nil"/>
                  </w:tcBorders>
                  <w:noWrap w:val="0"/>
                  <w:vAlign w:val="center"/>
                </w:tcPr>
                <w:p w14:paraId="66C64191">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900" w:type="pct"/>
                  <w:tcBorders>
                    <w:tl2br w:val="nil"/>
                    <w:tr2bl w:val="nil"/>
                  </w:tcBorders>
                  <w:noWrap w:val="0"/>
                  <w:vAlign w:val="center"/>
                </w:tcPr>
                <w:p w14:paraId="4B7F65AC">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lang w:bidi="ar"/>
                    </w:rPr>
                    <w:t>化学需氧量</w:t>
                  </w:r>
                </w:p>
              </w:tc>
              <w:tc>
                <w:tcPr>
                  <w:tcW w:w="735" w:type="pct"/>
                  <w:tcBorders>
                    <w:tl2br w:val="nil"/>
                    <w:tr2bl w:val="nil"/>
                  </w:tcBorders>
                  <w:noWrap w:val="0"/>
                  <w:vAlign w:val="center"/>
                </w:tcPr>
                <w:p w14:paraId="0591B1A8">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lang w:bidi="ar"/>
                    </w:rPr>
                    <w:t>mg/L</w:t>
                  </w:r>
                </w:p>
              </w:tc>
              <w:tc>
                <w:tcPr>
                  <w:tcW w:w="971" w:type="pct"/>
                  <w:tcBorders>
                    <w:tl2br w:val="nil"/>
                    <w:tr2bl w:val="nil"/>
                  </w:tcBorders>
                  <w:noWrap w:val="0"/>
                  <w:vAlign w:val="center"/>
                </w:tcPr>
                <w:p w14:paraId="4839A15C">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color w:val="auto"/>
                      <w:kern w:val="0"/>
                      <w:sz w:val="21"/>
                      <w:szCs w:val="21"/>
                      <w:lang w:val="en-US" w:eastAsia="zh-CN"/>
                    </w:rPr>
                  </w:pPr>
                  <w:r>
                    <w:rPr>
                      <w:rFonts w:hint="eastAsia" w:cs="Times New Roman"/>
                      <w:color w:val="auto"/>
                      <w:kern w:val="0"/>
                      <w:sz w:val="21"/>
                      <w:szCs w:val="21"/>
                      <w:lang w:val="en-US" w:eastAsia="zh-CN"/>
                    </w:rPr>
                    <w:t>131.75</w:t>
                  </w:r>
                </w:p>
              </w:tc>
              <w:tc>
                <w:tcPr>
                  <w:tcW w:w="842" w:type="pct"/>
                  <w:tcBorders>
                    <w:tl2br w:val="nil"/>
                    <w:tr2bl w:val="nil"/>
                  </w:tcBorders>
                  <w:shd w:val="clear" w:color="auto" w:fill="auto"/>
                  <w:noWrap w:val="0"/>
                  <w:vAlign w:val="center"/>
                </w:tcPr>
                <w:p w14:paraId="637AA43D">
                  <w:pPr>
                    <w:adjustRightInd w:val="0"/>
                    <w:snapToGrid w:val="0"/>
                    <w:spacing w:before="24" w:beforeLines="10" w:after="24" w:afterLines="10" w:line="259" w:lineRule="auto"/>
                    <w:jc w:val="center"/>
                    <w:textAlignment w:val="baseline"/>
                    <w:rPr>
                      <w:rFonts w:hint="default" w:ascii="Times New Roman" w:hAnsi="Times New Roman" w:eastAsia="宋体" w:cs="Times New Roman"/>
                      <w:color w:val="auto"/>
                      <w:spacing w:val="-10"/>
                      <w:kern w:val="2"/>
                      <w:sz w:val="21"/>
                      <w:szCs w:val="21"/>
                      <w:lang w:val="en-US" w:eastAsia="zh-CN" w:bidi="ar"/>
                    </w:rPr>
                  </w:pPr>
                  <w:r>
                    <w:rPr>
                      <w:color w:val="auto"/>
                      <w:spacing w:val="-10"/>
                      <w:kern w:val="0"/>
                    </w:rPr>
                    <w:t>500</w:t>
                  </w:r>
                </w:p>
              </w:tc>
              <w:tc>
                <w:tcPr>
                  <w:tcW w:w="651" w:type="pct"/>
                  <w:tcBorders>
                    <w:tl2br w:val="nil"/>
                    <w:tr2bl w:val="nil"/>
                  </w:tcBorders>
                  <w:noWrap w:val="0"/>
                  <w:vAlign w:val="center"/>
                </w:tcPr>
                <w:p w14:paraId="11244460">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lang w:bidi="ar"/>
                    </w:rPr>
                    <w:t>合格</w:t>
                  </w:r>
                </w:p>
              </w:tc>
            </w:tr>
            <w:tr w14:paraId="1654C03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438" w:type="pct"/>
                  <w:vMerge w:val="continue"/>
                  <w:tcBorders>
                    <w:tl2br w:val="nil"/>
                    <w:tr2bl w:val="nil"/>
                  </w:tcBorders>
                  <w:noWrap w:val="0"/>
                  <w:vAlign w:val="center"/>
                </w:tcPr>
                <w:p w14:paraId="1AE8568E">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460" w:type="pct"/>
                  <w:vMerge w:val="continue"/>
                  <w:tcBorders>
                    <w:tl2br w:val="nil"/>
                    <w:tr2bl w:val="nil"/>
                  </w:tcBorders>
                  <w:noWrap w:val="0"/>
                  <w:vAlign w:val="center"/>
                </w:tcPr>
                <w:p w14:paraId="6D81891E">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900" w:type="pct"/>
                  <w:tcBorders>
                    <w:tl2br w:val="nil"/>
                    <w:tr2bl w:val="nil"/>
                  </w:tcBorders>
                  <w:noWrap w:val="0"/>
                  <w:vAlign w:val="center"/>
                </w:tcPr>
                <w:p w14:paraId="0E77692B">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lang w:bidi="ar"/>
                    </w:rPr>
                    <w:t>悬浮物</w:t>
                  </w:r>
                </w:p>
              </w:tc>
              <w:tc>
                <w:tcPr>
                  <w:tcW w:w="735" w:type="pct"/>
                  <w:tcBorders>
                    <w:tl2br w:val="nil"/>
                    <w:tr2bl w:val="nil"/>
                  </w:tcBorders>
                  <w:noWrap w:val="0"/>
                  <w:vAlign w:val="center"/>
                </w:tcPr>
                <w:p w14:paraId="36484BAA">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lang w:bidi="ar"/>
                    </w:rPr>
                    <w:t>mg/L</w:t>
                  </w:r>
                </w:p>
              </w:tc>
              <w:tc>
                <w:tcPr>
                  <w:tcW w:w="971" w:type="pct"/>
                  <w:tcBorders>
                    <w:tl2br w:val="nil"/>
                    <w:tr2bl w:val="nil"/>
                  </w:tcBorders>
                  <w:noWrap w:val="0"/>
                  <w:vAlign w:val="center"/>
                </w:tcPr>
                <w:p w14:paraId="2740CF43">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color w:val="auto"/>
                      <w:kern w:val="0"/>
                      <w:sz w:val="21"/>
                      <w:szCs w:val="21"/>
                      <w:lang w:val="en-US" w:eastAsia="zh-CN"/>
                    </w:rPr>
                  </w:pPr>
                  <w:r>
                    <w:rPr>
                      <w:rFonts w:hint="eastAsia" w:cs="Times New Roman"/>
                      <w:color w:val="auto"/>
                      <w:kern w:val="0"/>
                      <w:sz w:val="21"/>
                      <w:szCs w:val="21"/>
                      <w:lang w:val="en-US" w:eastAsia="zh-CN"/>
                    </w:rPr>
                    <w:t>41.3625</w:t>
                  </w:r>
                </w:p>
              </w:tc>
              <w:tc>
                <w:tcPr>
                  <w:tcW w:w="842" w:type="pct"/>
                  <w:tcBorders>
                    <w:tl2br w:val="nil"/>
                    <w:tr2bl w:val="nil"/>
                  </w:tcBorders>
                  <w:shd w:val="clear" w:color="auto" w:fill="auto"/>
                  <w:noWrap w:val="0"/>
                  <w:vAlign w:val="center"/>
                </w:tcPr>
                <w:p w14:paraId="534F9423">
                  <w:pPr>
                    <w:adjustRightInd w:val="0"/>
                    <w:snapToGrid w:val="0"/>
                    <w:spacing w:before="24" w:beforeLines="10" w:after="24" w:afterLines="10" w:line="259" w:lineRule="auto"/>
                    <w:jc w:val="center"/>
                    <w:textAlignment w:val="baseline"/>
                    <w:rPr>
                      <w:rFonts w:hint="default" w:ascii="Times New Roman" w:hAnsi="Times New Roman" w:eastAsia="宋体" w:cs="Times New Roman"/>
                      <w:color w:val="auto"/>
                      <w:spacing w:val="-10"/>
                      <w:kern w:val="2"/>
                      <w:sz w:val="21"/>
                      <w:szCs w:val="21"/>
                      <w:lang w:val="en-US" w:eastAsia="zh-CN" w:bidi="ar"/>
                    </w:rPr>
                  </w:pPr>
                  <w:r>
                    <w:rPr>
                      <w:color w:val="auto"/>
                      <w:spacing w:val="-10"/>
                      <w:kern w:val="0"/>
                    </w:rPr>
                    <w:t>400</w:t>
                  </w:r>
                </w:p>
              </w:tc>
              <w:tc>
                <w:tcPr>
                  <w:tcW w:w="651" w:type="pct"/>
                  <w:tcBorders>
                    <w:tl2br w:val="nil"/>
                    <w:tr2bl w:val="nil"/>
                  </w:tcBorders>
                  <w:noWrap w:val="0"/>
                  <w:vAlign w:val="center"/>
                </w:tcPr>
                <w:p w14:paraId="43EE62D7">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lang w:bidi="ar"/>
                    </w:rPr>
                    <w:t>合格</w:t>
                  </w:r>
                </w:p>
              </w:tc>
            </w:tr>
            <w:tr w14:paraId="45E0F3C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438" w:type="pct"/>
                  <w:vMerge w:val="continue"/>
                  <w:tcBorders>
                    <w:tl2br w:val="nil"/>
                    <w:tr2bl w:val="nil"/>
                  </w:tcBorders>
                  <w:noWrap w:val="0"/>
                  <w:vAlign w:val="center"/>
                </w:tcPr>
                <w:p w14:paraId="6C6AF5DF">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460" w:type="pct"/>
                  <w:vMerge w:val="continue"/>
                  <w:tcBorders>
                    <w:tl2br w:val="nil"/>
                    <w:tr2bl w:val="nil"/>
                  </w:tcBorders>
                  <w:noWrap w:val="0"/>
                  <w:vAlign w:val="center"/>
                </w:tcPr>
                <w:p w14:paraId="222E5881">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900" w:type="pct"/>
                  <w:tcBorders>
                    <w:tl2br w:val="nil"/>
                    <w:tr2bl w:val="nil"/>
                  </w:tcBorders>
                  <w:noWrap w:val="0"/>
                  <w:vAlign w:val="center"/>
                </w:tcPr>
                <w:p w14:paraId="491B9EAB">
                  <w:pPr>
                    <w:keepNext w:val="0"/>
                    <w:keepLines w:val="0"/>
                    <w:widowControl/>
                    <w:suppressLineNumbers w:val="0"/>
                    <w:spacing w:before="0" w:beforeAutospacing="0" w:after="0" w:afterAutospacing="0"/>
                    <w:ind w:left="0" w:right="0"/>
                    <w:jc w:val="center"/>
                    <w:rPr>
                      <w:rFonts w:hint="eastAsia" w:ascii="Times New Roman" w:hAnsi="Times New Roman" w:eastAsia="宋体" w:cs="Times New Roman"/>
                      <w:color w:val="auto"/>
                      <w:kern w:val="0"/>
                      <w:sz w:val="21"/>
                      <w:szCs w:val="21"/>
                      <w:lang w:val="en-US" w:eastAsia="zh-CN"/>
                    </w:rPr>
                  </w:pPr>
                  <w:r>
                    <w:rPr>
                      <w:rFonts w:hint="eastAsia" w:cs="Times New Roman"/>
                      <w:color w:val="auto"/>
                      <w:kern w:val="0"/>
                      <w:sz w:val="21"/>
                      <w:szCs w:val="21"/>
                      <w:lang w:val="en-US" w:eastAsia="zh-CN"/>
                    </w:rPr>
                    <w:t>氨氮</w:t>
                  </w:r>
                </w:p>
              </w:tc>
              <w:tc>
                <w:tcPr>
                  <w:tcW w:w="735" w:type="pct"/>
                  <w:tcBorders>
                    <w:tl2br w:val="nil"/>
                    <w:tr2bl w:val="nil"/>
                  </w:tcBorders>
                  <w:noWrap w:val="0"/>
                  <w:vAlign w:val="center"/>
                </w:tcPr>
                <w:p w14:paraId="16E51B73">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lang w:bidi="ar"/>
                    </w:rPr>
                    <w:t>mg/L</w:t>
                  </w:r>
                </w:p>
              </w:tc>
              <w:tc>
                <w:tcPr>
                  <w:tcW w:w="971" w:type="pct"/>
                  <w:tcBorders>
                    <w:tl2br w:val="nil"/>
                    <w:tr2bl w:val="nil"/>
                  </w:tcBorders>
                  <w:noWrap w:val="0"/>
                  <w:vAlign w:val="center"/>
                </w:tcPr>
                <w:p w14:paraId="36FB0C6F">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color w:val="auto"/>
                      <w:kern w:val="0"/>
                      <w:sz w:val="21"/>
                      <w:szCs w:val="21"/>
                      <w:lang w:val="en-US" w:eastAsia="zh-CN"/>
                    </w:rPr>
                  </w:pPr>
                  <w:r>
                    <w:rPr>
                      <w:rFonts w:hint="eastAsia" w:cs="Times New Roman"/>
                      <w:color w:val="auto"/>
                      <w:kern w:val="0"/>
                      <w:sz w:val="21"/>
                      <w:szCs w:val="21"/>
                      <w:lang w:val="en-US" w:eastAsia="zh-CN"/>
                    </w:rPr>
                    <w:t>12.375</w:t>
                  </w:r>
                </w:p>
              </w:tc>
              <w:tc>
                <w:tcPr>
                  <w:tcW w:w="842" w:type="pct"/>
                  <w:tcBorders>
                    <w:tl2br w:val="nil"/>
                    <w:tr2bl w:val="nil"/>
                  </w:tcBorders>
                  <w:noWrap w:val="0"/>
                  <w:vAlign w:val="center"/>
                </w:tcPr>
                <w:p w14:paraId="63FF4993">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sz w:val="21"/>
                      <w:szCs w:val="21"/>
                      <w:lang w:val="en-US" w:eastAsia="zh-CN"/>
                    </w:rPr>
                  </w:pPr>
                  <w:r>
                    <w:rPr>
                      <w:rFonts w:hint="eastAsia" w:cs="Times New Roman"/>
                      <w:color w:val="auto"/>
                      <w:kern w:val="0"/>
                      <w:sz w:val="21"/>
                      <w:szCs w:val="21"/>
                      <w:lang w:val="en-US" w:eastAsia="zh-CN"/>
                    </w:rPr>
                    <w:t>45</w:t>
                  </w:r>
                </w:p>
              </w:tc>
              <w:tc>
                <w:tcPr>
                  <w:tcW w:w="651" w:type="pct"/>
                  <w:tcBorders>
                    <w:tl2br w:val="nil"/>
                    <w:tr2bl w:val="nil"/>
                  </w:tcBorders>
                  <w:noWrap w:val="0"/>
                  <w:vAlign w:val="center"/>
                </w:tcPr>
                <w:p w14:paraId="3046928E">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lang w:bidi="ar"/>
                    </w:rPr>
                    <w:t>合格</w:t>
                  </w:r>
                </w:p>
              </w:tc>
            </w:tr>
            <w:tr w14:paraId="00EACFB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438" w:type="pct"/>
                  <w:vMerge w:val="continue"/>
                  <w:tcBorders>
                    <w:tl2br w:val="nil"/>
                    <w:tr2bl w:val="nil"/>
                  </w:tcBorders>
                  <w:noWrap w:val="0"/>
                  <w:vAlign w:val="center"/>
                </w:tcPr>
                <w:p w14:paraId="702639B6">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460" w:type="pct"/>
                  <w:vMerge w:val="continue"/>
                  <w:tcBorders>
                    <w:tl2br w:val="nil"/>
                    <w:tr2bl w:val="nil"/>
                  </w:tcBorders>
                  <w:noWrap w:val="0"/>
                  <w:vAlign w:val="center"/>
                </w:tcPr>
                <w:p w14:paraId="5C4DE1D3">
                  <w:pPr>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0"/>
                      <w:sz w:val="21"/>
                      <w:szCs w:val="21"/>
                      <w:lang w:val="en-US" w:eastAsia="zh-CN" w:bidi="ar-SA"/>
                    </w:rPr>
                  </w:pPr>
                </w:p>
              </w:tc>
              <w:tc>
                <w:tcPr>
                  <w:tcW w:w="900" w:type="pct"/>
                  <w:tcBorders>
                    <w:tl2br w:val="nil"/>
                    <w:tr2bl w:val="nil"/>
                  </w:tcBorders>
                  <w:noWrap w:val="0"/>
                  <w:vAlign w:val="center"/>
                </w:tcPr>
                <w:p w14:paraId="163AB107">
                  <w:pPr>
                    <w:keepNext w:val="0"/>
                    <w:keepLines w:val="0"/>
                    <w:widowControl/>
                    <w:suppressLineNumbers w:val="0"/>
                    <w:spacing w:before="0" w:beforeAutospacing="0" w:after="0" w:afterAutospacing="0"/>
                    <w:ind w:left="0" w:right="0"/>
                    <w:jc w:val="center"/>
                    <w:rPr>
                      <w:rFonts w:hint="eastAsia" w:ascii="Times New Roman" w:hAnsi="Times New Roman" w:cs="Times New Roman"/>
                      <w:color w:val="auto"/>
                      <w:kern w:val="0"/>
                      <w:sz w:val="21"/>
                      <w:szCs w:val="21"/>
                      <w:lang w:bidi="ar"/>
                    </w:rPr>
                  </w:pPr>
                  <w:r>
                    <w:rPr>
                      <w:rFonts w:hint="default" w:ascii="Times New Roman" w:hAnsi="Times New Roman" w:cs="Times New Roman"/>
                      <w:color w:val="auto"/>
                      <w:kern w:val="0"/>
                      <w:sz w:val="21"/>
                      <w:szCs w:val="21"/>
                      <w:lang w:bidi="ar"/>
                    </w:rPr>
                    <w:t>总磷</w:t>
                  </w:r>
                </w:p>
              </w:tc>
              <w:tc>
                <w:tcPr>
                  <w:tcW w:w="735" w:type="pct"/>
                  <w:tcBorders>
                    <w:tl2br w:val="nil"/>
                    <w:tr2bl w:val="nil"/>
                  </w:tcBorders>
                  <w:noWrap w:val="0"/>
                  <w:vAlign w:val="center"/>
                </w:tcPr>
                <w:p w14:paraId="5AA0CCFE">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sz w:val="21"/>
                      <w:szCs w:val="21"/>
                      <w:lang w:bidi="ar"/>
                    </w:rPr>
                  </w:pPr>
                  <w:r>
                    <w:rPr>
                      <w:rFonts w:hint="default" w:ascii="Times New Roman" w:hAnsi="Times New Roman" w:cs="Times New Roman"/>
                      <w:color w:val="auto"/>
                      <w:kern w:val="0"/>
                      <w:sz w:val="21"/>
                      <w:szCs w:val="21"/>
                      <w:lang w:bidi="ar"/>
                    </w:rPr>
                    <w:t>mg/L</w:t>
                  </w:r>
                </w:p>
              </w:tc>
              <w:tc>
                <w:tcPr>
                  <w:tcW w:w="971" w:type="pct"/>
                  <w:tcBorders>
                    <w:tl2br w:val="nil"/>
                    <w:tr2bl w:val="nil"/>
                  </w:tcBorders>
                  <w:noWrap w:val="0"/>
                  <w:vAlign w:val="center"/>
                </w:tcPr>
                <w:p w14:paraId="0E06988A">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color w:val="auto"/>
                      <w:kern w:val="0"/>
                      <w:sz w:val="21"/>
                      <w:szCs w:val="21"/>
                      <w:lang w:val="en-US" w:eastAsia="zh-CN" w:bidi="ar"/>
                    </w:rPr>
                  </w:pPr>
                  <w:r>
                    <w:rPr>
                      <w:rFonts w:hint="eastAsia" w:cs="Times New Roman"/>
                      <w:color w:val="auto"/>
                      <w:kern w:val="0"/>
                      <w:sz w:val="21"/>
                      <w:szCs w:val="21"/>
                      <w:lang w:val="en-US" w:eastAsia="zh-CN" w:bidi="ar"/>
                    </w:rPr>
                    <w:t>0.7475</w:t>
                  </w:r>
                </w:p>
              </w:tc>
              <w:tc>
                <w:tcPr>
                  <w:tcW w:w="842" w:type="pct"/>
                  <w:tcBorders>
                    <w:tl2br w:val="nil"/>
                    <w:tr2bl w:val="nil"/>
                  </w:tcBorders>
                  <w:noWrap w:val="0"/>
                  <w:vAlign w:val="center"/>
                </w:tcPr>
                <w:p w14:paraId="0F1D3E53">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sz w:val="21"/>
                      <w:szCs w:val="21"/>
                      <w:lang w:val="en-US" w:eastAsia="zh-CN" w:bidi="ar"/>
                    </w:rPr>
                  </w:pPr>
                  <w:r>
                    <w:rPr>
                      <w:rFonts w:hint="eastAsia" w:cs="Times New Roman"/>
                      <w:color w:val="auto"/>
                      <w:kern w:val="0"/>
                      <w:sz w:val="21"/>
                      <w:szCs w:val="21"/>
                      <w:lang w:val="en-US" w:eastAsia="zh-CN" w:bidi="ar"/>
                    </w:rPr>
                    <w:t>8</w:t>
                  </w:r>
                </w:p>
              </w:tc>
              <w:tc>
                <w:tcPr>
                  <w:tcW w:w="651" w:type="pct"/>
                  <w:tcBorders>
                    <w:tl2br w:val="nil"/>
                    <w:tr2bl w:val="nil"/>
                  </w:tcBorders>
                  <w:noWrap w:val="0"/>
                  <w:vAlign w:val="center"/>
                </w:tcPr>
                <w:p w14:paraId="1A2F9760">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sz w:val="21"/>
                      <w:szCs w:val="21"/>
                      <w:lang w:bidi="ar"/>
                    </w:rPr>
                  </w:pPr>
                  <w:r>
                    <w:rPr>
                      <w:rFonts w:hint="default" w:ascii="Times New Roman" w:hAnsi="Times New Roman" w:cs="Times New Roman"/>
                      <w:color w:val="auto"/>
                      <w:kern w:val="0"/>
                      <w:sz w:val="21"/>
                      <w:szCs w:val="21"/>
                      <w:lang w:bidi="ar"/>
                    </w:rPr>
                    <w:t>合格</w:t>
                  </w:r>
                </w:p>
              </w:tc>
            </w:tr>
          </w:tbl>
          <w:p w14:paraId="0A1812B8">
            <w:pPr>
              <w:pStyle w:val="49"/>
              <w:ind w:firstLine="482"/>
              <w:jc w:val="left"/>
              <w:rPr>
                <w:b/>
                <w:bCs/>
                <w:color w:val="auto"/>
                <w:sz w:val="24"/>
                <w:szCs w:val="24"/>
              </w:rPr>
            </w:pPr>
            <w:r>
              <w:rPr>
                <w:rFonts w:hint="eastAsia"/>
                <w:b/>
                <w:bCs/>
                <w:color w:val="auto"/>
                <w:sz w:val="24"/>
                <w:szCs w:val="24"/>
                <w:lang w:val="en-US" w:eastAsia="zh-CN"/>
              </w:rPr>
              <w:t>③</w:t>
            </w:r>
            <w:r>
              <w:rPr>
                <w:rFonts w:hint="eastAsia"/>
                <w:b/>
                <w:bCs/>
                <w:color w:val="auto"/>
                <w:sz w:val="24"/>
                <w:szCs w:val="24"/>
              </w:rPr>
              <w:t>固废</w:t>
            </w:r>
          </w:p>
          <w:p w14:paraId="2EF84D46">
            <w:pPr>
              <w:pStyle w:val="49"/>
              <w:ind w:firstLine="480"/>
              <w:jc w:val="left"/>
              <w:rPr>
                <w:rFonts w:hint="eastAsia" w:eastAsia="宋体"/>
                <w:color w:val="auto"/>
                <w:sz w:val="24"/>
                <w:szCs w:val="24"/>
                <w:lang w:val="en-US" w:eastAsia="zh-CN"/>
              </w:rPr>
            </w:pPr>
            <w:r>
              <w:rPr>
                <w:rFonts w:hint="eastAsia"/>
                <w:color w:val="auto"/>
                <w:sz w:val="24"/>
                <w:szCs w:val="24"/>
                <w:lang w:val="en-US" w:eastAsia="zh-CN"/>
              </w:rPr>
              <w:t>现有</w:t>
            </w:r>
            <w:r>
              <w:rPr>
                <w:rFonts w:hint="eastAsia"/>
                <w:color w:val="auto"/>
                <w:sz w:val="24"/>
                <w:szCs w:val="24"/>
              </w:rPr>
              <w:t>项目</w:t>
            </w:r>
            <w:r>
              <w:rPr>
                <w:color w:val="auto"/>
                <w:sz w:val="24"/>
                <w:szCs w:val="24"/>
              </w:rPr>
              <w:t>产生的固废主要为生活垃圾、</w:t>
            </w:r>
            <w:r>
              <w:rPr>
                <w:rFonts w:hint="eastAsia"/>
                <w:color w:val="auto"/>
                <w:sz w:val="24"/>
                <w:szCs w:val="24"/>
              </w:rPr>
              <w:t>边角料</w:t>
            </w:r>
            <w:r>
              <w:rPr>
                <w:rFonts w:hint="eastAsia"/>
                <w:color w:val="auto"/>
                <w:sz w:val="24"/>
                <w:szCs w:val="24"/>
                <w:lang w:eastAsia="zh-CN"/>
              </w:rPr>
              <w:t>、废包装材料、废深孔钻油、含油废屑、废切削液</w:t>
            </w:r>
            <w:r>
              <w:rPr>
                <w:rFonts w:hint="eastAsia"/>
                <w:color w:val="auto"/>
                <w:sz w:val="24"/>
                <w:szCs w:val="24"/>
                <w:lang w:val="en-US" w:eastAsia="zh-CN"/>
              </w:rPr>
              <w:t>、废抹布及手套、废包装桶</w:t>
            </w:r>
            <w:r>
              <w:rPr>
                <w:rFonts w:hint="eastAsia"/>
                <w:color w:val="auto"/>
                <w:sz w:val="24"/>
                <w:szCs w:val="24"/>
                <w:lang w:eastAsia="zh-CN"/>
              </w:rPr>
              <w:t>、</w:t>
            </w:r>
            <w:r>
              <w:rPr>
                <w:rFonts w:hint="eastAsia"/>
                <w:color w:val="auto"/>
                <w:sz w:val="24"/>
                <w:szCs w:val="24"/>
                <w:lang w:val="en-US" w:eastAsia="zh-CN"/>
              </w:rPr>
              <w:t>废油桶。</w:t>
            </w:r>
            <w:r>
              <w:rPr>
                <w:rFonts w:hint="eastAsia"/>
                <w:color w:val="auto"/>
                <w:sz w:val="24"/>
                <w:szCs w:val="24"/>
              </w:rPr>
              <w:t>生活垃圾由环卫清运；边角料、废包装材料集中收集后外售综合利用</w:t>
            </w:r>
            <w:r>
              <w:rPr>
                <w:rFonts w:hint="eastAsia"/>
                <w:color w:val="auto"/>
                <w:sz w:val="24"/>
                <w:szCs w:val="24"/>
                <w:lang w:eastAsia="zh-CN"/>
              </w:rPr>
              <w:t>；废深孔钻油、含油废屑、废切削液、废抹布及手套、废包装桶、废油桶委托</w:t>
            </w:r>
            <w:r>
              <w:rPr>
                <w:rFonts w:hint="eastAsia"/>
                <w:color w:val="auto"/>
                <w:sz w:val="24"/>
                <w:szCs w:val="24"/>
                <w:lang w:val="en-US" w:eastAsia="zh-CN"/>
              </w:rPr>
              <w:t>有</w:t>
            </w:r>
            <w:r>
              <w:rPr>
                <w:rFonts w:hint="eastAsia"/>
                <w:color w:val="auto"/>
                <w:sz w:val="24"/>
                <w:szCs w:val="24"/>
                <w:lang w:eastAsia="zh-CN"/>
              </w:rPr>
              <w:t>资质单位处置，</w:t>
            </w:r>
            <w:r>
              <w:rPr>
                <w:rFonts w:hint="eastAsia" w:cs="Times New Roman"/>
                <w:b w:val="0"/>
                <w:bCs w:val="0"/>
                <w:color w:val="auto"/>
                <w:kern w:val="2"/>
                <w:sz w:val="24"/>
                <w:szCs w:val="24"/>
                <w:lang w:val="en-US" w:eastAsia="zh-CN" w:bidi="ar"/>
              </w:rPr>
              <w:t>具体见下表</w:t>
            </w:r>
            <w:r>
              <w:rPr>
                <w:rFonts w:hint="eastAsia" w:ascii="Times New Roman" w:hAnsi="Times New Roman" w:eastAsia="宋体" w:cs="Times New Roman"/>
                <w:b w:val="0"/>
                <w:bCs w:val="0"/>
                <w:color w:val="auto"/>
                <w:kern w:val="2"/>
                <w:sz w:val="24"/>
                <w:szCs w:val="24"/>
                <w:lang w:val="en-US" w:eastAsia="zh-CN" w:bidi="ar"/>
              </w:rPr>
              <w:t>。</w:t>
            </w:r>
          </w:p>
          <w:p w14:paraId="0199B24F">
            <w:pPr>
              <w:jc w:val="center"/>
              <w:rPr>
                <w:rFonts w:hint="default" w:ascii="Times New Roman" w:hAnsi="Times New Roman" w:cs="Times New Roman"/>
                <w:b/>
                <w:bCs/>
                <w:color w:val="auto"/>
                <w:sz w:val="24"/>
                <w:szCs w:val="24"/>
                <w:lang w:bidi="ar-SA"/>
              </w:rPr>
            </w:pPr>
            <w:r>
              <w:rPr>
                <w:rFonts w:hint="eastAsia" w:ascii="Times New Roman" w:hAnsi="Times New Roman" w:cs="Times New Roman"/>
                <w:b/>
                <w:bCs/>
                <w:color w:val="auto"/>
                <w:sz w:val="24"/>
                <w:szCs w:val="24"/>
                <w:lang w:bidi="ar-SA"/>
              </w:rPr>
              <w:t>表</w:t>
            </w:r>
            <w:r>
              <w:rPr>
                <w:rFonts w:hint="eastAsia" w:ascii="Times New Roman" w:hAnsi="Times New Roman" w:cs="Times New Roman"/>
                <w:b/>
                <w:bCs/>
                <w:color w:val="auto"/>
                <w:sz w:val="24"/>
                <w:szCs w:val="24"/>
                <w:lang w:val="en-US" w:eastAsia="zh-CN" w:bidi="ar-SA"/>
              </w:rPr>
              <w:t>2-10 现有项目</w:t>
            </w:r>
            <w:r>
              <w:rPr>
                <w:rFonts w:hint="default" w:ascii="Times New Roman" w:hAnsi="Times New Roman" w:cs="Times New Roman"/>
                <w:b/>
                <w:bCs/>
                <w:color w:val="auto"/>
                <w:sz w:val="24"/>
                <w:szCs w:val="24"/>
                <w:lang w:bidi="ar-SA"/>
              </w:rPr>
              <w:t>固废产生及处置情况</w:t>
            </w:r>
          </w:p>
          <w:tbl>
            <w:tblPr>
              <w:tblStyle w:val="26"/>
              <w:tblW w:w="4995" w:type="pct"/>
              <w:jc w:val="center"/>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Layout w:type="fixed"/>
              <w:tblCellMar>
                <w:top w:w="0" w:type="dxa"/>
                <w:left w:w="28" w:type="dxa"/>
                <w:bottom w:w="0" w:type="dxa"/>
                <w:right w:w="28" w:type="dxa"/>
              </w:tblCellMar>
            </w:tblPr>
            <w:tblGrid>
              <w:gridCol w:w="392"/>
              <w:gridCol w:w="758"/>
              <w:gridCol w:w="344"/>
              <w:gridCol w:w="1201"/>
              <w:gridCol w:w="605"/>
              <w:gridCol w:w="794"/>
              <w:gridCol w:w="518"/>
              <w:gridCol w:w="1251"/>
              <w:gridCol w:w="1256"/>
              <w:gridCol w:w="765"/>
              <w:gridCol w:w="500"/>
            </w:tblGrid>
            <w:tr w14:paraId="2695F47F">
              <w:tblPrEx>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CellMar>
                  <w:top w:w="0" w:type="dxa"/>
                  <w:left w:w="28" w:type="dxa"/>
                  <w:bottom w:w="0" w:type="dxa"/>
                  <w:right w:w="28" w:type="dxa"/>
                </w:tblCellMar>
              </w:tblPrEx>
              <w:trPr>
                <w:trHeight w:val="23" w:hRule="atLeast"/>
                <w:jc w:val="center"/>
              </w:trPr>
              <w:tc>
                <w:tcPr>
                  <w:tcW w:w="233" w:type="pct"/>
                  <w:tcBorders>
                    <w:tl2br w:val="nil"/>
                    <w:tr2bl w:val="nil"/>
                  </w:tcBorders>
                  <w:vAlign w:val="center"/>
                </w:tcPr>
                <w:p w14:paraId="4833D3C7">
                  <w:pPr>
                    <w:widowControl/>
                    <w:adjustRightInd w:val="0"/>
                    <w:snapToGrid w:val="0"/>
                    <w:spacing w:before="0" w:beforeLines="0" w:after="0" w:afterLines="0" w:line="240" w:lineRule="auto"/>
                    <w:ind w:firstLine="0" w:firstLineChars="0"/>
                    <w:jc w:val="center"/>
                    <w:textAlignment w:val="baseline"/>
                    <w:rPr>
                      <w:rFonts w:ascii="Times New Roman" w:hAnsi="宋体" w:eastAsia="宋体" w:cs="Times New Roman"/>
                      <w:b/>
                      <w:color w:val="auto"/>
                      <w:spacing w:val="-10"/>
                      <w:kern w:val="0"/>
                      <w:sz w:val="21"/>
                      <w:szCs w:val="21"/>
                      <w:lang w:val="en-US" w:eastAsia="zh-CN" w:bidi="ar-SA"/>
                    </w:rPr>
                  </w:pPr>
                  <w:r>
                    <w:rPr>
                      <w:rFonts w:ascii="Times New Roman" w:hAnsi="宋体" w:eastAsia="宋体" w:cs="Times New Roman"/>
                      <w:b/>
                      <w:color w:val="auto"/>
                      <w:spacing w:val="-10"/>
                      <w:kern w:val="0"/>
                      <w:sz w:val="21"/>
                      <w:szCs w:val="21"/>
                      <w:lang w:val="en-US" w:eastAsia="zh-CN" w:bidi="ar-SA"/>
                    </w:rPr>
                    <w:t>序号</w:t>
                  </w:r>
                </w:p>
              </w:tc>
              <w:tc>
                <w:tcPr>
                  <w:tcW w:w="452" w:type="pct"/>
                  <w:tcBorders>
                    <w:tl2br w:val="nil"/>
                    <w:tr2bl w:val="nil"/>
                  </w:tcBorders>
                  <w:vAlign w:val="center"/>
                </w:tcPr>
                <w:p w14:paraId="058099F7">
                  <w:pPr>
                    <w:widowControl/>
                    <w:adjustRightInd w:val="0"/>
                    <w:snapToGrid w:val="0"/>
                    <w:spacing w:before="0" w:beforeLines="0" w:after="0" w:afterLines="0" w:line="240" w:lineRule="auto"/>
                    <w:ind w:firstLine="0" w:firstLineChars="0"/>
                    <w:jc w:val="center"/>
                    <w:textAlignment w:val="baseline"/>
                    <w:rPr>
                      <w:rFonts w:ascii="Times New Roman" w:hAnsi="宋体" w:eastAsia="宋体" w:cs="Times New Roman"/>
                      <w:b/>
                      <w:color w:val="auto"/>
                      <w:spacing w:val="-10"/>
                      <w:kern w:val="0"/>
                      <w:sz w:val="21"/>
                      <w:szCs w:val="21"/>
                      <w:lang w:val="en-US" w:eastAsia="zh-CN" w:bidi="ar-SA"/>
                    </w:rPr>
                  </w:pPr>
                  <w:r>
                    <w:rPr>
                      <w:rFonts w:ascii="Times New Roman" w:hAnsi="宋体" w:eastAsia="宋体" w:cs="Times New Roman"/>
                      <w:b/>
                      <w:color w:val="auto"/>
                      <w:spacing w:val="-10"/>
                      <w:kern w:val="0"/>
                      <w:sz w:val="21"/>
                      <w:szCs w:val="21"/>
                      <w:lang w:val="en-US" w:eastAsia="zh-CN" w:bidi="ar-SA"/>
                    </w:rPr>
                    <w:t>固体</w:t>
                  </w:r>
                </w:p>
                <w:p w14:paraId="7398B750">
                  <w:pPr>
                    <w:widowControl/>
                    <w:adjustRightInd w:val="0"/>
                    <w:snapToGrid w:val="0"/>
                    <w:spacing w:before="0" w:beforeLines="0" w:after="0" w:afterLines="0" w:line="240" w:lineRule="auto"/>
                    <w:ind w:firstLine="0" w:firstLineChars="0"/>
                    <w:jc w:val="center"/>
                    <w:textAlignment w:val="baseline"/>
                    <w:rPr>
                      <w:rFonts w:ascii="Times New Roman" w:hAnsi="宋体" w:eastAsia="宋体" w:cs="Times New Roman"/>
                      <w:b/>
                      <w:color w:val="auto"/>
                      <w:spacing w:val="-10"/>
                      <w:kern w:val="0"/>
                      <w:sz w:val="21"/>
                      <w:szCs w:val="21"/>
                      <w:lang w:val="en-US" w:eastAsia="zh-CN" w:bidi="ar-SA"/>
                    </w:rPr>
                  </w:pPr>
                  <w:r>
                    <w:rPr>
                      <w:rFonts w:ascii="Times New Roman" w:hAnsi="宋体" w:eastAsia="宋体" w:cs="Times New Roman"/>
                      <w:b/>
                      <w:color w:val="auto"/>
                      <w:spacing w:val="-10"/>
                      <w:kern w:val="0"/>
                      <w:sz w:val="21"/>
                      <w:szCs w:val="21"/>
                      <w:lang w:val="en-US" w:eastAsia="zh-CN" w:bidi="ar-SA"/>
                    </w:rPr>
                    <w:t>废物</w:t>
                  </w:r>
                </w:p>
              </w:tc>
              <w:tc>
                <w:tcPr>
                  <w:tcW w:w="205" w:type="pct"/>
                  <w:tcBorders>
                    <w:tl2br w:val="nil"/>
                    <w:tr2bl w:val="nil"/>
                  </w:tcBorders>
                  <w:vAlign w:val="center"/>
                </w:tcPr>
                <w:p w14:paraId="164B7E79">
                  <w:pPr>
                    <w:widowControl/>
                    <w:adjustRightInd w:val="0"/>
                    <w:snapToGrid w:val="0"/>
                    <w:spacing w:before="0" w:beforeLines="0" w:after="0" w:afterLines="0" w:line="240" w:lineRule="auto"/>
                    <w:ind w:firstLine="0" w:firstLineChars="0"/>
                    <w:jc w:val="center"/>
                    <w:textAlignment w:val="baseline"/>
                    <w:rPr>
                      <w:rFonts w:ascii="Times New Roman" w:hAnsi="宋体" w:eastAsia="宋体" w:cs="Times New Roman"/>
                      <w:b/>
                      <w:color w:val="auto"/>
                      <w:spacing w:val="-10"/>
                      <w:kern w:val="0"/>
                      <w:sz w:val="21"/>
                      <w:szCs w:val="21"/>
                      <w:lang w:val="en-US" w:eastAsia="zh-CN" w:bidi="ar-SA"/>
                    </w:rPr>
                  </w:pPr>
                  <w:r>
                    <w:rPr>
                      <w:rFonts w:ascii="Times New Roman" w:hAnsi="宋体" w:eastAsia="宋体" w:cs="Times New Roman"/>
                      <w:b/>
                      <w:color w:val="auto"/>
                      <w:spacing w:val="-10"/>
                      <w:kern w:val="0"/>
                      <w:sz w:val="21"/>
                      <w:szCs w:val="21"/>
                      <w:lang w:val="en-US" w:eastAsia="zh-CN" w:bidi="ar-SA"/>
                    </w:rPr>
                    <w:t>属性</w:t>
                  </w:r>
                </w:p>
              </w:tc>
              <w:tc>
                <w:tcPr>
                  <w:tcW w:w="716" w:type="pct"/>
                  <w:tcBorders>
                    <w:tl2br w:val="nil"/>
                    <w:tr2bl w:val="nil"/>
                  </w:tcBorders>
                  <w:vAlign w:val="center"/>
                </w:tcPr>
                <w:p w14:paraId="47718739">
                  <w:pPr>
                    <w:widowControl/>
                    <w:adjustRightInd w:val="0"/>
                    <w:snapToGrid w:val="0"/>
                    <w:spacing w:before="0" w:beforeLines="0" w:after="0" w:afterLines="0" w:line="240" w:lineRule="auto"/>
                    <w:ind w:firstLine="0" w:firstLineChars="0"/>
                    <w:jc w:val="center"/>
                    <w:textAlignment w:val="baseline"/>
                    <w:rPr>
                      <w:rFonts w:ascii="Times New Roman" w:hAnsi="宋体" w:eastAsia="宋体" w:cs="Times New Roman"/>
                      <w:b/>
                      <w:color w:val="auto"/>
                      <w:spacing w:val="-10"/>
                      <w:kern w:val="0"/>
                      <w:sz w:val="21"/>
                      <w:szCs w:val="21"/>
                      <w:lang w:val="en-US" w:eastAsia="zh-CN" w:bidi="ar-SA"/>
                    </w:rPr>
                  </w:pPr>
                  <w:r>
                    <w:rPr>
                      <w:rFonts w:ascii="Times New Roman" w:hAnsi="宋体" w:eastAsia="宋体" w:cs="Times New Roman"/>
                      <w:b/>
                      <w:color w:val="auto"/>
                      <w:spacing w:val="-10"/>
                      <w:kern w:val="0"/>
                      <w:sz w:val="21"/>
                      <w:szCs w:val="21"/>
                      <w:lang w:val="en-US" w:eastAsia="zh-CN" w:bidi="ar-SA"/>
                    </w:rPr>
                    <w:t>产生</w:t>
                  </w:r>
                </w:p>
                <w:p w14:paraId="566B77F9">
                  <w:pPr>
                    <w:widowControl/>
                    <w:adjustRightInd w:val="0"/>
                    <w:snapToGrid w:val="0"/>
                    <w:spacing w:before="0" w:beforeLines="0" w:after="0" w:afterLines="0" w:line="240" w:lineRule="auto"/>
                    <w:ind w:firstLine="0" w:firstLineChars="0"/>
                    <w:jc w:val="center"/>
                    <w:textAlignment w:val="baseline"/>
                    <w:rPr>
                      <w:rFonts w:ascii="Times New Roman" w:hAnsi="宋体" w:eastAsia="宋体" w:cs="Times New Roman"/>
                      <w:b/>
                      <w:color w:val="auto"/>
                      <w:spacing w:val="-10"/>
                      <w:kern w:val="0"/>
                      <w:sz w:val="21"/>
                      <w:szCs w:val="21"/>
                      <w:lang w:val="en-US" w:eastAsia="zh-CN" w:bidi="ar-SA"/>
                    </w:rPr>
                  </w:pPr>
                  <w:r>
                    <w:rPr>
                      <w:rFonts w:ascii="Times New Roman" w:hAnsi="宋体" w:eastAsia="宋体" w:cs="Times New Roman"/>
                      <w:b/>
                      <w:color w:val="auto"/>
                      <w:spacing w:val="-10"/>
                      <w:kern w:val="0"/>
                      <w:sz w:val="21"/>
                      <w:szCs w:val="21"/>
                      <w:lang w:val="en-US" w:eastAsia="zh-CN" w:bidi="ar-SA"/>
                    </w:rPr>
                    <w:t>工序</w:t>
                  </w:r>
                </w:p>
              </w:tc>
              <w:tc>
                <w:tcPr>
                  <w:tcW w:w="360" w:type="pct"/>
                  <w:tcBorders>
                    <w:tl2br w:val="nil"/>
                    <w:tr2bl w:val="nil"/>
                  </w:tcBorders>
                  <w:vAlign w:val="center"/>
                </w:tcPr>
                <w:p w14:paraId="3EA2D30E">
                  <w:pPr>
                    <w:widowControl/>
                    <w:adjustRightInd w:val="0"/>
                    <w:snapToGrid w:val="0"/>
                    <w:spacing w:before="0" w:beforeLines="0" w:after="0" w:afterLines="0" w:line="240" w:lineRule="auto"/>
                    <w:ind w:firstLine="0" w:firstLineChars="0"/>
                    <w:jc w:val="center"/>
                    <w:textAlignment w:val="baseline"/>
                    <w:rPr>
                      <w:rFonts w:ascii="Times New Roman" w:hAnsi="宋体" w:eastAsia="宋体" w:cs="Times New Roman"/>
                      <w:b/>
                      <w:color w:val="auto"/>
                      <w:spacing w:val="-10"/>
                      <w:kern w:val="0"/>
                      <w:sz w:val="21"/>
                      <w:szCs w:val="21"/>
                      <w:lang w:val="en-US" w:eastAsia="zh-CN" w:bidi="ar-SA"/>
                    </w:rPr>
                  </w:pPr>
                  <w:r>
                    <w:rPr>
                      <w:rFonts w:ascii="Times New Roman" w:hAnsi="宋体" w:eastAsia="宋体" w:cs="Times New Roman"/>
                      <w:b/>
                      <w:color w:val="auto"/>
                      <w:spacing w:val="-10"/>
                      <w:kern w:val="0"/>
                      <w:sz w:val="21"/>
                      <w:szCs w:val="21"/>
                      <w:lang w:val="en-US" w:eastAsia="zh-CN" w:bidi="ar-SA"/>
                    </w:rPr>
                    <w:t>形态</w:t>
                  </w:r>
                </w:p>
              </w:tc>
              <w:tc>
                <w:tcPr>
                  <w:tcW w:w="473" w:type="pct"/>
                  <w:tcBorders>
                    <w:tl2br w:val="nil"/>
                    <w:tr2bl w:val="nil"/>
                  </w:tcBorders>
                  <w:vAlign w:val="center"/>
                </w:tcPr>
                <w:p w14:paraId="77EA7F72">
                  <w:pPr>
                    <w:widowControl/>
                    <w:adjustRightInd w:val="0"/>
                    <w:snapToGrid w:val="0"/>
                    <w:spacing w:before="0" w:beforeLines="0" w:after="0" w:afterLines="0" w:line="240" w:lineRule="auto"/>
                    <w:ind w:firstLine="0" w:firstLineChars="0"/>
                    <w:jc w:val="center"/>
                    <w:textAlignment w:val="baseline"/>
                    <w:rPr>
                      <w:rFonts w:ascii="Times New Roman" w:hAnsi="宋体" w:eastAsia="宋体" w:cs="Times New Roman"/>
                      <w:b/>
                      <w:color w:val="auto"/>
                      <w:spacing w:val="-10"/>
                      <w:kern w:val="0"/>
                      <w:sz w:val="21"/>
                      <w:szCs w:val="21"/>
                      <w:lang w:val="en-US" w:eastAsia="zh-CN" w:bidi="ar-SA"/>
                    </w:rPr>
                  </w:pPr>
                  <w:r>
                    <w:rPr>
                      <w:rFonts w:ascii="Times New Roman" w:hAnsi="宋体" w:eastAsia="宋体" w:cs="Times New Roman"/>
                      <w:b/>
                      <w:color w:val="auto"/>
                      <w:spacing w:val="-10"/>
                      <w:kern w:val="0"/>
                      <w:sz w:val="21"/>
                      <w:szCs w:val="21"/>
                      <w:lang w:val="en-US" w:eastAsia="zh-CN" w:bidi="ar-SA"/>
                    </w:rPr>
                    <w:t>主要成分</w:t>
                  </w:r>
                </w:p>
              </w:tc>
              <w:tc>
                <w:tcPr>
                  <w:tcW w:w="308" w:type="pct"/>
                  <w:tcBorders>
                    <w:tl2br w:val="nil"/>
                    <w:tr2bl w:val="nil"/>
                  </w:tcBorders>
                  <w:vAlign w:val="center"/>
                </w:tcPr>
                <w:p w14:paraId="406A14C9">
                  <w:pPr>
                    <w:keepNext w:val="0"/>
                    <w:keepLines w:val="0"/>
                    <w:pageBreakBefore w:val="0"/>
                    <w:widowControl w:val="0"/>
                    <w:kinsoku/>
                    <w:wordWrap/>
                    <w:overflowPunct/>
                    <w:topLinePunct w:val="0"/>
                    <w:autoSpaceDE/>
                    <w:autoSpaceDN/>
                    <w:bidi w:val="0"/>
                    <w:adjustRightInd/>
                    <w:snapToGrid w:val="0"/>
                    <w:spacing w:before="0" w:beforeLines="0" w:beforeAutospacing="0" w:after="0" w:afterLines="0" w:afterAutospacing="0" w:line="240" w:lineRule="auto"/>
                    <w:ind w:left="0" w:right="0" w:firstLine="0"/>
                    <w:jc w:val="center"/>
                    <w:rPr>
                      <w:rFonts w:hint="default" w:ascii="Times New Roman" w:hAnsi="Times New Roman" w:eastAsia="宋体" w:cs="Times New Roman"/>
                      <w:b/>
                      <w:color w:val="auto"/>
                      <w:kern w:val="0"/>
                      <w:sz w:val="21"/>
                      <w:szCs w:val="21"/>
                      <w:lang w:val="en-US" w:eastAsia="zh-CN" w:bidi="ar-SA"/>
                    </w:rPr>
                  </w:pPr>
                  <w:r>
                    <w:rPr>
                      <w:rFonts w:hint="default" w:ascii="Times New Roman" w:hAnsi="Times New Roman" w:eastAsia="宋体" w:cs="Times New Roman"/>
                      <w:b/>
                      <w:color w:val="auto"/>
                      <w:kern w:val="0"/>
                      <w:sz w:val="21"/>
                      <w:szCs w:val="21"/>
                      <w:lang w:val="en-US" w:eastAsia="zh-CN" w:bidi="ar"/>
                    </w:rPr>
                    <w:t>危险</w:t>
                  </w:r>
                </w:p>
                <w:p w14:paraId="0BB7BEB5">
                  <w:pPr>
                    <w:widowControl/>
                    <w:adjustRightInd w:val="0"/>
                    <w:snapToGrid w:val="0"/>
                    <w:spacing w:before="0" w:beforeLines="0" w:after="0" w:afterLines="0" w:line="240" w:lineRule="auto"/>
                    <w:ind w:firstLine="0" w:firstLineChars="0"/>
                    <w:jc w:val="center"/>
                    <w:textAlignment w:val="baseline"/>
                    <w:rPr>
                      <w:rFonts w:ascii="Times New Roman" w:hAnsi="宋体" w:eastAsia="宋体" w:cs="Times New Roman"/>
                      <w:b/>
                      <w:color w:val="auto"/>
                      <w:spacing w:val="-10"/>
                      <w:kern w:val="0"/>
                      <w:sz w:val="21"/>
                      <w:szCs w:val="21"/>
                      <w:lang w:val="en-US" w:eastAsia="zh-CN" w:bidi="ar-SA"/>
                    </w:rPr>
                  </w:pPr>
                  <w:r>
                    <w:rPr>
                      <w:rFonts w:hint="default" w:ascii="Times New Roman" w:hAnsi="Times New Roman" w:eastAsia="宋体" w:cs="Times New Roman"/>
                      <w:b/>
                      <w:color w:val="auto"/>
                      <w:kern w:val="0"/>
                      <w:sz w:val="21"/>
                      <w:szCs w:val="21"/>
                      <w:lang w:val="en-US" w:eastAsia="zh-CN" w:bidi="ar"/>
                    </w:rPr>
                    <w:t>特性</w:t>
                  </w:r>
                </w:p>
              </w:tc>
              <w:tc>
                <w:tcPr>
                  <w:tcW w:w="746" w:type="pct"/>
                  <w:tcBorders>
                    <w:tl2br w:val="nil"/>
                    <w:tr2bl w:val="nil"/>
                  </w:tcBorders>
                  <w:vAlign w:val="center"/>
                </w:tcPr>
                <w:p w14:paraId="422DA515">
                  <w:pPr>
                    <w:widowControl/>
                    <w:adjustRightInd w:val="0"/>
                    <w:snapToGrid w:val="0"/>
                    <w:spacing w:before="0" w:beforeLines="0" w:after="0" w:afterLines="0" w:line="240" w:lineRule="auto"/>
                    <w:ind w:firstLine="0" w:firstLineChars="0"/>
                    <w:jc w:val="center"/>
                    <w:textAlignment w:val="baseline"/>
                    <w:rPr>
                      <w:rFonts w:ascii="Times New Roman" w:hAnsi="宋体" w:eastAsia="宋体" w:cs="Times New Roman"/>
                      <w:b/>
                      <w:color w:val="auto"/>
                      <w:spacing w:val="-10"/>
                      <w:kern w:val="0"/>
                      <w:sz w:val="21"/>
                      <w:szCs w:val="21"/>
                      <w:lang w:val="en-US" w:eastAsia="zh-CN" w:bidi="ar-SA"/>
                    </w:rPr>
                  </w:pPr>
                  <w:r>
                    <w:rPr>
                      <w:rFonts w:ascii="Times New Roman" w:hAnsi="宋体" w:eastAsia="宋体" w:cs="Times New Roman"/>
                      <w:b/>
                      <w:color w:val="auto"/>
                      <w:spacing w:val="-10"/>
                      <w:kern w:val="0"/>
                      <w:sz w:val="21"/>
                      <w:szCs w:val="21"/>
                      <w:lang w:val="en-US" w:eastAsia="zh-CN" w:bidi="ar-SA"/>
                    </w:rPr>
                    <w:t>废物</w:t>
                  </w:r>
                </w:p>
                <w:p w14:paraId="4DE38E5B">
                  <w:pPr>
                    <w:widowControl/>
                    <w:adjustRightInd w:val="0"/>
                    <w:snapToGrid w:val="0"/>
                    <w:spacing w:before="0" w:beforeLines="0" w:after="0" w:afterLines="0" w:line="240" w:lineRule="auto"/>
                    <w:ind w:firstLine="0" w:firstLineChars="0"/>
                    <w:jc w:val="center"/>
                    <w:textAlignment w:val="baseline"/>
                    <w:rPr>
                      <w:rFonts w:ascii="Times New Roman" w:hAnsi="宋体" w:eastAsia="宋体" w:cs="Times New Roman"/>
                      <w:b/>
                      <w:color w:val="auto"/>
                      <w:spacing w:val="-10"/>
                      <w:kern w:val="0"/>
                      <w:sz w:val="21"/>
                      <w:szCs w:val="21"/>
                      <w:lang w:val="en-US" w:eastAsia="zh-CN" w:bidi="ar-SA"/>
                    </w:rPr>
                  </w:pPr>
                  <w:r>
                    <w:rPr>
                      <w:rFonts w:ascii="Times New Roman" w:hAnsi="宋体" w:eastAsia="宋体" w:cs="Times New Roman"/>
                      <w:b/>
                      <w:color w:val="auto"/>
                      <w:spacing w:val="-10"/>
                      <w:kern w:val="0"/>
                      <w:sz w:val="21"/>
                      <w:szCs w:val="21"/>
                      <w:lang w:val="en-US" w:eastAsia="zh-CN" w:bidi="ar-SA"/>
                    </w:rPr>
                    <w:t>类别</w:t>
                  </w:r>
                </w:p>
              </w:tc>
              <w:tc>
                <w:tcPr>
                  <w:tcW w:w="749" w:type="pct"/>
                  <w:tcBorders>
                    <w:tl2br w:val="nil"/>
                    <w:tr2bl w:val="nil"/>
                  </w:tcBorders>
                  <w:vAlign w:val="center"/>
                </w:tcPr>
                <w:p w14:paraId="3932C659">
                  <w:pPr>
                    <w:widowControl/>
                    <w:adjustRightInd w:val="0"/>
                    <w:snapToGrid w:val="0"/>
                    <w:spacing w:before="0" w:beforeLines="0" w:after="0" w:afterLines="0" w:line="240" w:lineRule="auto"/>
                    <w:ind w:firstLine="0" w:firstLineChars="0"/>
                    <w:jc w:val="center"/>
                    <w:textAlignment w:val="baseline"/>
                    <w:rPr>
                      <w:rFonts w:ascii="Times New Roman" w:hAnsi="宋体" w:eastAsia="宋体" w:cs="Times New Roman"/>
                      <w:b/>
                      <w:color w:val="auto"/>
                      <w:spacing w:val="-10"/>
                      <w:kern w:val="0"/>
                      <w:sz w:val="21"/>
                      <w:szCs w:val="21"/>
                      <w:lang w:val="en-US" w:eastAsia="zh-CN" w:bidi="ar-SA"/>
                    </w:rPr>
                  </w:pPr>
                  <w:r>
                    <w:rPr>
                      <w:rFonts w:ascii="Times New Roman" w:hAnsi="宋体" w:eastAsia="宋体" w:cs="Times New Roman"/>
                      <w:b/>
                      <w:color w:val="auto"/>
                      <w:spacing w:val="-10"/>
                      <w:kern w:val="0"/>
                      <w:sz w:val="21"/>
                      <w:szCs w:val="21"/>
                      <w:lang w:val="en-US" w:eastAsia="zh-CN" w:bidi="ar-SA"/>
                    </w:rPr>
                    <w:t>废物</w:t>
                  </w:r>
                </w:p>
                <w:p w14:paraId="2F27576D">
                  <w:pPr>
                    <w:widowControl/>
                    <w:adjustRightInd w:val="0"/>
                    <w:snapToGrid w:val="0"/>
                    <w:spacing w:before="0" w:beforeLines="0" w:after="0" w:afterLines="0" w:line="240" w:lineRule="auto"/>
                    <w:ind w:firstLine="0" w:firstLineChars="0"/>
                    <w:jc w:val="center"/>
                    <w:textAlignment w:val="baseline"/>
                    <w:rPr>
                      <w:rFonts w:ascii="Times New Roman" w:hAnsi="宋体" w:eastAsia="宋体" w:cs="Times New Roman"/>
                      <w:b/>
                      <w:color w:val="auto"/>
                      <w:spacing w:val="-10"/>
                      <w:kern w:val="0"/>
                      <w:sz w:val="21"/>
                      <w:szCs w:val="21"/>
                      <w:lang w:val="en-US" w:eastAsia="zh-CN" w:bidi="ar-SA"/>
                    </w:rPr>
                  </w:pPr>
                  <w:r>
                    <w:rPr>
                      <w:rFonts w:ascii="Times New Roman" w:hAnsi="宋体" w:eastAsia="宋体" w:cs="Times New Roman"/>
                      <w:b/>
                      <w:color w:val="auto"/>
                      <w:spacing w:val="-10"/>
                      <w:kern w:val="0"/>
                      <w:sz w:val="21"/>
                      <w:szCs w:val="21"/>
                      <w:lang w:val="en-US" w:eastAsia="zh-CN" w:bidi="ar-SA"/>
                    </w:rPr>
                    <w:t>代码</w:t>
                  </w:r>
                </w:p>
              </w:tc>
              <w:tc>
                <w:tcPr>
                  <w:tcW w:w="456" w:type="pct"/>
                  <w:tcBorders>
                    <w:tl2br w:val="nil"/>
                    <w:tr2bl w:val="nil"/>
                  </w:tcBorders>
                  <w:vAlign w:val="center"/>
                </w:tcPr>
                <w:p w14:paraId="3E13234F">
                  <w:pPr>
                    <w:widowControl/>
                    <w:adjustRightInd w:val="0"/>
                    <w:snapToGrid w:val="0"/>
                    <w:spacing w:before="0" w:beforeLines="0" w:after="0" w:afterLines="0" w:line="240" w:lineRule="auto"/>
                    <w:ind w:firstLine="0" w:firstLineChars="0"/>
                    <w:jc w:val="center"/>
                    <w:textAlignment w:val="baseline"/>
                    <w:rPr>
                      <w:rFonts w:ascii="Times New Roman" w:hAnsi="宋体" w:eastAsia="宋体" w:cs="Times New Roman"/>
                      <w:b/>
                      <w:color w:val="auto"/>
                      <w:spacing w:val="-10"/>
                      <w:kern w:val="0"/>
                      <w:sz w:val="21"/>
                      <w:szCs w:val="21"/>
                      <w:lang w:val="en-US" w:eastAsia="zh-CN" w:bidi="ar-SA"/>
                    </w:rPr>
                  </w:pPr>
                  <w:r>
                    <w:rPr>
                      <w:rFonts w:ascii="Times New Roman" w:hAnsi="宋体" w:eastAsia="宋体" w:cs="Times New Roman"/>
                      <w:b/>
                      <w:color w:val="auto"/>
                      <w:spacing w:val="-10"/>
                      <w:kern w:val="0"/>
                      <w:sz w:val="21"/>
                      <w:szCs w:val="21"/>
                      <w:lang w:val="en-US" w:eastAsia="zh-CN" w:bidi="ar-SA"/>
                    </w:rPr>
                    <w:t>产生量（t/a）</w:t>
                  </w:r>
                </w:p>
              </w:tc>
              <w:tc>
                <w:tcPr>
                  <w:tcW w:w="298" w:type="pct"/>
                  <w:tcBorders>
                    <w:tl2br w:val="nil"/>
                    <w:tr2bl w:val="nil"/>
                  </w:tcBorders>
                  <w:vAlign w:val="center"/>
                </w:tcPr>
                <w:p w14:paraId="6CBCF453">
                  <w:pPr>
                    <w:widowControl/>
                    <w:adjustRightInd w:val="0"/>
                    <w:snapToGrid w:val="0"/>
                    <w:spacing w:before="0" w:beforeLines="0" w:after="0" w:afterLines="0" w:line="240" w:lineRule="auto"/>
                    <w:ind w:firstLine="0" w:firstLineChars="0"/>
                    <w:jc w:val="center"/>
                    <w:textAlignment w:val="baseline"/>
                    <w:rPr>
                      <w:rFonts w:ascii="Times New Roman" w:hAnsi="宋体" w:eastAsia="宋体" w:cs="Times New Roman"/>
                      <w:b/>
                      <w:color w:val="auto"/>
                      <w:spacing w:val="-10"/>
                      <w:kern w:val="0"/>
                      <w:sz w:val="21"/>
                      <w:szCs w:val="21"/>
                      <w:lang w:val="en-US" w:eastAsia="zh-CN" w:bidi="ar-SA"/>
                    </w:rPr>
                  </w:pPr>
                  <w:r>
                    <w:rPr>
                      <w:rFonts w:ascii="Times New Roman" w:hAnsi="宋体" w:eastAsia="宋体" w:cs="Times New Roman"/>
                      <w:b/>
                      <w:color w:val="auto"/>
                      <w:spacing w:val="-10"/>
                      <w:kern w:val="0"/>
                      <w:sz w:val="21"/>
                      <w:szCs w:val="21"/>
                      <w:lang w:val="en-US" w:eastAsia="zh-CN" w:bidi="ar-SA"/>
                    </w:rPr>
                    <w:t>处置方式</w:t>
                  </w:r>
                </w:p>
              </w:tc>
            </w:tr>
            <w:tr w14:paraId="0D753C85">
              <w:tblPrEx>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CellMar>
                  <w:top w:w="0" w:type="dxa"/>
                  <w:left w:w="28" w:type="dxa"/>
                  <w:bottom w:w="0" w:type="dxa"/>
                  <w:right w:w="28" w:type="dxa"/>
                </w:tblCellMar>
              </w:tblPrEx>
              <w:trPr>
                <w:trHeight w:val="23" w:hRule="atLeast"/>
                <w:jc w:val="center"/>
              </w:trPr>
              <w:tc>
                <w:tcPr>
                  <w:tcW w:w="233" w:type="pct"/>
                  <w:tcBorders>
                    <w:tl2br w:val="nil"/>
                    <w:tr2bl w:val="nil"/>
                  </w:tcBorders>
                  <w:vAlign w:val="center"/>
                </w:tcPr>
                <w:p w14:paraId="08439274">
                  <w:pPr>
                    <w:snapToGrid w:val="0"/>
                    <w:jc w:val="center"/>
                    <w:textAlignment w:val="baseline"/>
                    <w:rPr>
                      <w:rFonts w:hint="default" w:ascii="Times New Roman" w:hAnsi="Times New Roman" w:cs="Times New Roman"/>
                      <w:color w:val="auto"/>
                      <w:sz w:val="21"/>
                      <w:szCs w:val="21"/>
                      <w:lang w:bidi="ar-SA"/>
                    </w:rPr>
                  </w:pPr>
                  <w:r>
                    <w:rPr>
                      <w:rFonts w:hint="default" w:ascii="Times New Roman" w:hAnsi="Times New Roman" w:cs="Times New Roman"/>
                      <w:color w:val="auto"/>
                      <w:sz w:val="21"/>
                      <w:szCs w:val="21"/>
                      <w:lang w:bidi="ar-SA"/>
                    </w:rPr>
                    <w:t>1</w:t>
                  </w:r>
                </w:p>
              </w:tc>
              <w:tc>
                <w:tcPr>
                  <w:tcW w:w="452" w:type="pct"/>
                  <w:tcBorders>
                    <w:tl2br w:val="nil"/>
                    <w:tr2bl w:val="nil"/>
                  </w:tcBorders>
                  <w:vAlign w:val="center"/>
                </w:tcPr>
                <w:p w14:paraId="475B0DF4">
                  <w:pPr>
                    <w:widowControl w:val="0"/>
                    <w:snapToGrid w:val="0"/>
                    <w:spacing w:before="0" w:beforeAutospacing="0" w:after="0" w:afterAutospacing="0"/>
                    <w:jc w:val="center"/>
                    <w:rPr>
                      <w:rFonts w:ascii="Times New Roman" w:hAnsi="Times New Roman" w:eastAsia="宋体" w:cs="Times New Roman"/>
                      <w:bCs/>
                      <w:color w:val="auto"/>
                      <w:kern w:val="2"/>
                      <w:sz w:val="21"/>
                      <w:szCs w:val="21"/>
                      <w:lang w:val="en-US" w:eastAsia="zh-CN" w:bidi="ar-SA"/>
                    </w:rPr>
                  </w:pPr>
                  <w:r>
                    <w:rPr>
                      <w:rFonts w:ascii="Times New Roman" w:hAnsi="Times New Roman" w:eastAsia="宋体" w:cs="Times New Roman"/>
                      <w:bCs/>
                      <w:color w:val="auto"/>
                      <w:kern w:val="0"/>
                      <w:sz w:val="21"/>
                      <w:szCs w:val="21"/>
                      <w:lang w:val="en-US" w:eastAsia="zh-CN" w:bidi="ar-SA"/>
                    </w:rPr>
                    <w:t>生活垃圾</w:t>
                  </w:r>
                </w:p>
              </w:tc>
              <w:tc>
                <w:tcPr>
                  <w:tcW w:w="205" w:type="pct"/>
                  <w:vMerge w:val="restart"/>
                  <w:tcBorders>
                    <w:tl2br w:val="nil"/>
                    <w:tr2bl w:val="nil"/>
                  </w:tcBorders>
                  <w:vAlign w:val="center"/>
                </w:tcPr>
                <w:p w14:paraId="2127D1EC">
                  <w:pPr>
                    <w:snapToGrid w:val="0"/>
                    <w:jc w:val="center"/>
                    <w:textAlignment w:val="baseline"/>
                    <w:rPr>
                      <w:rFonts w:hint="default" w:ascii="Times New Roman" w:hAnsi="Times New Roman" w:cs="Times New Roman"/>
                      <w:color w:val="auto"/>
                      <w:sz w:val="21"/>
                      <w:szCs w:val="21"/>
                      <w:lang w:bidi="ar-SA"/>
                    </w:rPr>
                  </w:pPr>
                  <w:r>
                    <w:rPr>
                      <w:rFonts w:hint="default" w:ascii="Times New Roman" w:hAnsi="Times New Roman" w:cs="Times New Roman"/>
                      <w:color w:val="auto"/>
                      <w:sz w:val="21"/>
                      <w:szCs w:val="21"/>
                      <w:lang w:bidi="ar-SA"/>
                    </w:rPr>
                    <w:t>一般固废</w:t>
                  </w:r>
                </w:p>
              </w:tc>
              <w:tc>
                <w:tcPr>
                  <w:tcW w:w="716" w:type="pct"/>
                  <w:tcBorders>
                    <w:tl2br w:val="nil"/>
                    <w:tr2bl w:val="nil"/>
                  </w:tcBorders>
                  <w:vAlign w:val="center"/>
                </w:tcPr>
                <w:p w14:paraId="0146236D">
                  <w:pPr>
                    <w:widowControl w:val="0"/>
                    <w:snapToGrid w:val="0"/>
                    <w:spacing w:before="0" w:beforeAutospacing="0" w:after="0" w:afterAutospacing="0"/>
                    <w:jc w:val="center"/>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bCs/>
                      <w:color w:val="auto"/>
                      <w:kern w:val="0"/>
                      <w:sz w:val="21"/>
                      <w:szCs w:val="21"/>
                      <w:lang w:val="en-US" w:eastAsia="zh-CN" w:bidi="ar-SA"/>
                    </w:rPr>
                    <w:t>员工生活</w:t>
                  </w:r>
                </w:p>
              </w:tc>
              <w:tc>
                <w:tcPr>
                  <w:tcW w:w="360" w:type="pct"/>
                  <w:tcBorders>
                    <w:tl2br w:val="nil"/>
                    <w:tr2bl w:val="nil"/>
                  </w:tcBorders>
                  <w:vAlign w:val="center"/>
                </w:tcPr>
                <w:p w14:paraId="18C4E25F">
                  <w:pPr>
                    <w:widowControl/>
                    <w:adjustRightInd w:val="0"/>
                    <w:snapToGrid w:val="0"/>
                    <w:jc w:val="center"/>
                    <w:rPr>
                      <w:rFonts w:hint="default" w:ascii="Times New Roman" w:hAnsi="Times New Roman" w:cs="Times New Roman"/>
                      <w:color w:val="auto"/>
                      <w:sz w:val="21"/>
                      <w:szCs w:val="21"/>
                      <w:lang w:bidi="ar-SA"/>
                    </w:rPr>
                  </w:pPr>
                  <w:r>
                    <w:rPr>
                      <w:rFonts w:hint="default" w:ascii="Times New Roman" w:hAnsi="Times New Roman" w:cs="Times New Roman"/>
                      <w:color w:val="auto"/>
                      <w:kern w:val="0"/>
                      <w:sz w:val="21"/>
                      <w:szCs w:val="21"/>
                      <w:lang w:bidi="ar-SA"/>
                    </w:rPr>
                    <w:t>固态</w:t>
                  </w:r>
                </w:p>
              </w:tc>
              <w:tc>
                <w:tcPr>
                  <w:tcW w:w="473" w:type="pct"/>
                  <w:tcBorders>
                    <w:tl2br w:val="nil"/>
                    <w:tr2bl w:val="nil"/>
                  </w:tcBorders>
                  <w:vAlign w:val="center"/>
                </w:tcPr>
                <w:p w14:paraId="68C729E4">
                  <w:pPr>
                    <w:widowControl w:val="0"/>
                    <w:snapToGrid w:val="0"/>
                    <w:spacing w:before="0" w:beforeAutospacing="0" w:after="0" w:afterAutospacing="0"/>
                    <w:jc w:val="center"/>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bCs/>
                      <w:color w:val="auto"/>
                      <w:kern w:val="0"/>
                      <w:sz w:val="21"/>
                      <w:szCs w:val="21"/>
                      <w:lang w:val="en-US" w:eastAsia="zh-CN" w:bidi="ar-SA"/>
                    </w:rPr>
                    <w:t>纸张、塑料等</w:t>
                  </w:r>
                </w:p>
              </w:tc>
              <w:tc>
                <w:tcPr>
                  <w:tcW w:w="308" w:type="pct"/>
                  <w:tcBorders>
                    <w:tl2br w:val="nil"/>
                    <w:tr2bl w:val="nil"/>
                  </w:tcBorders>
                  <w:vAlign w:val="center"/>
                </w:tcPr>
                <w:p w14:paraId="278010E5">
                  <w:pPr>
                    <w:widowControl w:val="0"/>
                    <w:snapToGrid w:val="0"/>
                    <w:spacing w:before="0" w:beforeAutospacing="0" w:after="0" w:afterAutospacing="0"/>
                    <w:jc w:val="center"/>
                    <w:rPr>
                      <w:rFonts w:hint="default" w:ascii="Times New Roman" w:hAnsi="Times New Roman" w:eastAsia="宋体" w:cs="Times New Roman"/>
                      <w:bCs/>
                      <w:color w:val="auto"/>
                      <w:kern w:val="0"/>
                      <w:sz w:val="21"/>
                      <w:szCs w:val="21"/>
                      <w:lang w:val="en-US" w:eastAsia="zh-CN" w:bidi="ar-SA"/>
                    </w:rPr>
                  </w:pPr>
                  <w:r>
                    <w:rPr>
                      <w:rFonts w:hint="eastAsia" w:ascii="Times New Roman" w:hAnsi="Times New Roman" w:eastAsia="宋体" w:cs="Times New Roman"/>
                      <w:bCs/>
                      <w:color w:val="auto"/>
                      <w:kern w:val="0"/>
                      <w:sz w:val="21"/>
                      <w:szCs w:val="21"/>
                      <w:lang w:val="en-US" w:eastAsia="zh-CN" w:bidi="ar-SA"/>
                    </w:rPr>
                    <w:t>/</w:t>
                  </w:r>
                </w:p>
              </w:tc>
              <w:tc>
                <w:tcPr>
                  <w:tcW w:w="746" w:type="pct"/>
                  <w:tcBorders>
                    <w:tl2br w:val="nil"/>
                    <w:tr2bl w:val="nil"/>
                  </w:tcBorders>
                  <w:vAlign w:val="center"/>
                </w:tcPr>
                <w:p w14:paraId="16986B8A">
                  <w:pPr>
                    <w:widowControl w:val="0"/>
                    <w:snapToGrid w:val="0"/>
                    <w:spacing w:before="0" w:beforeAutospacing="0" w:after="0" w:afterAutospacing="0"/>
                    <w:jc w:val="center"/>
                    <w:rPr>
                      <w:rFonts w:ascii="Times New Roman" w:hAnsi="Times New Roman" w:eastAsia="宋体" w:cs="Times New Roman"/>
                      <w:bCs/>
                      <w:color w:val="auto"/>
                      <w:kern w:val="0"/>
                      <w:sz w:val="21"/>
                      <w:szCs w:val="21"/>
                      <w:lang w:val="en-US" w:eastAsia="zh-CN" w:bidi="ar-SA"/>
                    </w:rPr>
                  </w:pPr>
                  <w:r>
                    <w:rPr>
                      <w:rFonts w:hint="eastAsia" w:ascii="Times New Roman" w:hAnsi="Times New Roman" w:eastAsia="宋体" w:cs="Times New Roman"/>
                      <w:bCs/>
                      <w:color w:val="auto"/>
                      <w:kern w:val="0"/>
                      <w:sz w:val="21"/>
                      <w:szCs w:val="21"/>
                      <w:lang w:val="en-US" w:eastAsia="zh-CN" w:bidi="ar-SA"/>
                    </w:rPr>
                    <w:t>SW62</w:t>
                  </w:r>
                </w:p>
                <w:p w14:paraId="2F313B88">
                  <w:pPr>
                    <w:widowControl w:val="0"/>
                    <w:snapToGrid w:val="0"/>
                    <w:spacing w:before="0" w:beforeAutospacing="0" w:after="0" w:afterAutospacing="0"/>
                    <w:jc w:val="center"/>
                    <w:rPr>
                      <w:rFonts w:ascii="Times New Roman" w:hAnsi="Times New Roman" w:eastAsia="宋体" w:cs="Times New Roman"/>
                      <w:bCs/>
                      <w:color w:val="auto"/>
                      <w:kern w:val="0"/>
                      <w:sz w:val="21"/>
                      <w:szCs w:val="21"/>
                      <w:lang w:val="en-US" w:eastAsia="zh-CN" w:bidi="ar-SA"/>
                    </w:rPr>
                  </w:pPr>
                  <w:r>
                    <w:rPr>
                      <w:rFonts w:hint="eastAsia" w:ascii="Times New Roman" w:hAnsi="Times New Roman" w:eastAsia="宋体" w:cs="Times New Roman"/>
                      <w:bCs/>
                      <w:color w:val="auto"/>
                      <w:kern w:val="0"/>
                      <w:sz w:val="21"/>
                      <w:szCs w:val="21"/>
                      <w:lang w:val="en-US" w:eastAsia="zh-CN" w:bidi="ar-SA"/>
                    </w:rPr>
                    <w:t>可回收物</w:t>
                  </w:r>
                </w:p>
                <w:p w14:paraId="7F0BD39C">
                  <w:pPr>
                    <w:widowControl w:val="0"/>
                    <w:snapToGrid w:val="0"/>
                    <w:spacing w:before="0" w:beforeAutospacing="0" w:after="0" w:afterAutospacing="0"/>
                    <w:jc w:val="center"/>
                    <w:rPr>
                      <w:rFonts w:ascii="Times New Roman" w:hAnsi="Times New Roman" w:eastAsia="宋体" w:cs="Times New Roman"/>
                      <w:bCs/>
                      <w:color w:val="auto"/>
                      <w:kern w:val="0"/>
                      <w:sz w:val="21"/>
                      <w:szCs w:val="21"/>
                      <w:lang w:val="en-US" w:eastAsia="zh-CN" w:bidi="ar-SA"/>
                    </w:rPr>
                  </w:pPr>
                  <w:r>
                    <w:rPr>
                      <w:rFonts w:hint="eastAsia" w:ascii="Times New Roman" w:hAnsi="Times New Roman" w:eastAsia="宋体" w:cs="Times New Roman"/>
                      <w:bCs/>
                      <w:color w:val="auto"/>
                      <w:kern w:val="0"/>
                      <w:sz w:val="21"/>
                      <w:szCs w:val="21"/>
                      <w:lang w:val="en-US" w:eastAsia="zh-CN" w:bidi="ar-SA"/>
                    </w:rPr>
                    <w:t>SW64</w:t>
                  </w:r>
                </w:p>
                <w:p w14:paraId="1580AA32">
                  <w:pPr>
                    <w:widowControl w:val="0"/>
                    <w:snapToGrid w:val="0"/>
                    <w:spacing w:before="0" w:beforeAutospacing="0" w:after="0" w:afterAutospacing="0"/>
                    <w:jc w:val="center"/>
                    <w:rPr>
                      <w:rFonts w:ascii="Times New Roman" w:hAnsi="Times New Roman" w:eastAsia="宋体" w:cs="Times New Roman"/>
                      <w:bCs/>
                      <w:color w:val="auto"/>
                      <w:kern w:val="0"/>
                      <w:sz w:val="21"/>
                      <w:szCs w:val="21"/>
                      <w:lang w:val="en-US" w:eastAsia="zh-CN" w:bidi="ar-SA"/>
                    </w:rPr>
                  </w:pPr>
                  <w:r>
                    <w:rPr>
                      <w:rFonts w:hint="eastAsia" w:ascii="Times New Roman" w:hAnsi="Times New Roman" w:eastAsia="宋体" w:cs="Times New Roman"/>
                      <w:bCs/>
                      <w:color w:val="auto"/>
                      <w:kern w:val="0"/>
                      <w:sz w:val="21"/>
                      <w:szCs w:val="21"/>
                      <w:lang w:val="en-US" w:eastAsia="zh-CN" w:bidi="ar-SA"/>
                    </w:rPr>
                    <w:t>其他垃圾</w:t>
                  </w:r>
                </w:p>
              </w:tc>
              <w:tc>
                <w:tcPr>
                  <w:tcW w:w="749" w:type="pct"/>
                  <w:tcBorders>
                    <w:tl2br w:val="nil"/>
                    <w:tr2bl w:val="nil"/>
                  </w:tcBorders>
                  <w:vAlign w:val="center"/>
                </w:tcPr>
                <w:p w14:paraId="65AFEC3C">
                  <w:pPr>
                    <w:widowControl w:val="0"/>
                    <w:snapToGrid w:val="0"/>
                    <w:spacing w:before="0" w:beforeAutospacing="0" w:after="0" w:afterAutospacing="0"/>
                    <w:jc w:val="center"/>
                    <w:rPr>
                      <w:rFonts w:ascii="Times New Roman" w:hAnsi="Times New Roman" w:eastAsia="宋体" w:cs="Times New Roman"/>
                      <w:bCs/>
                      <w:color w:val="auto"/>
                      <w:kern w:val="0"/>
                      <w:sz w:val="21"/>
                      <w:szCs w:val="21"/>
                      <w:lang w:val="en-US" w:eastAsia="zh-CN" w:bidi="ar-SA"/>
                    </w:rPr>
                  </w:pPr>
                  <w:r>
                    <w:rPr>
                      <w:rFonts w:hint="eastAsia" w:ascii="Times New Roman" w:hAnsi="Times New Roman" w:eastAsia="宋体" w:cs="Times New Roman"/>
                      <w:bCs/>
                      <w:color w:val="auto"/>
                      <w:kern w:val="0"/>
                      <w:sz w:val="21"/>
                      <w:szCs w:val="21"/>
                      <w:lang w:val="en-US" w:eastAsia="zh-CN" w:bidi="ar-SA"/>
                    </w:rPr>
                    <w:t>900-001-S62</w:t>
                  </w:r>
                </w:p>
                <w:p w14:paraId="57E7D14A">
                  <w:pPr>
                    <w:widowControl w:val="0"/>
                    <w:snapToGrid w:val="0"/>
                    <w:spacing w:before="0" w:beforeAutospacing="0" w:after="0" w:afterAutospacing="0"/>
                    <w:jc w:val="center"/>
                    <w:rPr>
                      <w:rFonts w:ascii="Times New Roman" w:hAnsi="Times New Roman" w:eastAsia="宋体" w:cs="Times New Roman"/>
                      <w:bCs/>
                      <w:color w:val="auto"/>
                      <w:kern w:val="0"/>
                      <w:sz w:val="21"/>
                      <w:szCs w:val="21"/>
                      <w:lang w:val="en-US" w:eastAsia="zh-CN" w:bidi="ar-SA"/>
                    </w:rPr>
                  </w:pPr>
                  <w:r>
                    <w:rPr>
                      <w:rFonts w:hint="eastAsia" w:ascii="Times New Roman" w:hAnsi="Times New Roman" w:eastAsia="宋体" w:cs="Times New Roman"/>
                      <w:bCs/>
                      <w:color w:val="auto"/>
                      <w:kern w:val="0"/>
                      <w:sz w:val="21"/>
                      <w:szCs w:val="21"/>
                      <w:lang w:val="en-US" w:eastAsia="zh-CN" w:bidi="ar-SA"/>
                    </w:rPr>
                    <w:t>900-002-S62</w:t>
                  </w:r>
                </w:p>
                <w:p w14:paraId="77FA1AB5">
                  <w:pPr>
                    <w:widowControl w:val="0"/>
                    <w:snapToGrid w:val="0"/>
                    <w:spacing w:before="0" w:beforeAutospacing="0" w:after="0" w:afterAutospacing="0"/>
                    <w:jc w:val="center"/>
                    <w:rPr>
                      <w:rFonts w:ascii="Times New Roman" w:hAnsi="Times New Roman" w:eastAsia="宋体" w:cs="Times New Roman"/>
                      <w:bCs/>
                      <w:color w:val="auto"/>
                      <w:kern w:val="0"/>
                      <w:sz w:val="21"/>
                      <w:szCs w:val="21"/>
                      <w:lang w:val="en-US" w:eastAsia="zh-CN" w:bidi="ar-SA"/>
                    </w:rPr>
                  </w:pPr>
                  <w:r>
                    <w:rPr>
                      <w:rFonts w:hint="eastAsia" w:ascii="Times New Roman" w:hAnsi="Times New Roman" w:eastAsia="宋体" w:cs="Times New Roman"/>
                      <w:bCs/>
                      <w:color w:val="auto"/>
                      <w:kern w:val="0"/>
                      <w:sz w:val="21"/>
                      <w:szCs w:val="21"/>
                      <w:lang w:val="en-US" w:eastAsia="zh-CN" w:bidi="ar-SA"/>
                    </w:rPr>
                    <w:t>900-002-S64</w:t>
                  </w:r>
                </w:p>
              </w:tc>
              <w:tc>
                <w:tcPr>
                  <w:tcW w:w="456" w:type="pct"/>
                  <w:tcBorders>
                    <w:tl2br w:val="nil"/>
                    <w:tr2bl w:val="nil"/>
                  </w:tcBorders>
                  <w:shd w:val="clear" w:color="auto" w:fill="auto"/>
                  <w:vAlign w:val="center"/>
                </w:tcPr>
                <w:p w14:paraId="51846B6F">
                  <w:pPr>
                    <w:widowControl/>
                    <w:jc w:val="center"/>
                    <w:rPr>
                      <w:rFonts w:hint="default" w:ascii="Times New Roman" w:hAnsi="Times New Roman" w:eastAsia="宋体" w:cs="Times New Roman"/>
                      <w:bCs/>
                      <w:snapToGrid w:val="0"/>
                      <w:color w:val="auto"/>
                      <w:spacing w:val="6"/>
                      <w:kern w:val="2"/>
                      <w:sz w:val="21"/>
                      <w:szCs w:val="21"/>
                      <w:lang w:val="en-US" w:eastAsia="zh-CN" w:bidi="ar"/>
                    </w:rPr>
                  </w:pPr>
                  <w:r>
                    <w:rPr>
                      <w:rFonts w:hint="eastAsia" w:ascii="Times New Roman" w:hAnsi="Times New Roman" w:eastAsia="宋体" w:cs="Times New Roman"/>
                      <w:bCs/>
                      <w:snapToGrid w:val="0"/>
                      <w:color w:val="auto"/>
                      <w:spacing w:val="6"/>
                      <w:kern w:val="2"/>
                      <w:sz w:val="21"/>
                      <w:szCs w:val="21"/>
                      <w:lang w:val="en-US" w:eastAsia="zh-CN" w:bidi="ar"/>
                    </w:rPr>
                    <w:t>2</w:t>
                  </w:r>
                </w:p>
              </w:tc>
              <w:tc>
                <w:tcPr>
                  <w:tcW w:w="298" w:type="pct"/>
                  <w:tcBorders>
                    <w:tl2br w:val="nil"/>
                    <w:tr2bl w:val="nil"/>
                  </w:tcBorders>
                  <w:vAlign w:val="center"/>
                </w:tcPr>
                <w:p w14:paraId="14393FC5">
                  <w:pPr>
                    <w:snapToGrid w:val="0"/>
                    <w:jc w:val="center"/>
                    <w:textAlignment w:val="baseline"/>
                    <w:rPr>
                      <w:rFonts w:hint="default" w:ascii="Times New Roman" w:hAnsi="Times New Roman" w:cs="Times New Roman"/>
                      <w:color w:val="auto"/>
                      <w:sz w:val="21"/>
                      <w:szCs w:val="21"/>
                      <w:lang w:bidi="ar-SA"/>
                    </w:rPr>
                  </w:pPr>
                  <w:r>
                    <w:rPr>
                      <w:rFonts w:hint="eastAsia" w:ascii="Times New Roman" w:hAnsi="Times New Roman" w:cs="Times New Roman"/>
                      <w:color w:val="auto"/>
                      <w:sz w:val="21"/>
                      <w:szCs w:val="21"/>
                      <w:lang w:bidi="ar-SA"/>
                    </w:rPr>
                    <w:t>环卫清运</w:t>
                  </w:r>
                </w:p>
              </w:tc>
            </w:tr>
            <w:tr w14:paraId="76B4F9D7">
              <w:tblPrEx>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CellMar>
                  <w:top w:w="0" w:type="dxa"/>
                  <w:left w:w="28" w:type="dxa"/>
                  <w:bottom w:w="0" w:type="dxa"/>
                  <w:right w:w="28" w:type="dxa"/>
                </w:tblCellMar>
              </w:tblPrEx>
              <w:trPr>
                <w:trHeight w:val="23" w:hRule="atLeast"/>
                <w:jc w:val="center"/>
              </w:trPr>
              <w:tc>
                <w:tcPr>
                  <w:tcW w:w="233" w:type="pct"/>
                  <w:tcBorders>
                    <w:tl2br w:val="nil"/>
                    <w:tr2bl w:val="nil"/>
                  </w:tcBorders>
                  <w:vAlign w:val="center"/>
                </w:tcPr>
                <w:p w14:paraId="4F0EF5E2">
                  <w:pPr>
                    <w:snapToGrid w:val="0"/>
                    <w:jc w:val="center"/>
                    <w:textAlignment w:val="baseline"/>
                    <w:rPr>
                      <w:rFonts w:hint="eastAsia" w:ascii="Times New Roman" w:hAnsi="Times New Roman" w:eastAsia="宋体"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2</w:t>
                  </w:r>
                </w:p>
              </w:tc>
              <w:tc>
                <w:tcPr>
                  <w:tcW w:w="452" w:type="pct"/>
                  <w:tcBorders>
                    <w:tl2br w:val="nil"/>
                    <w:tr2bl w:val="nil"/>
                  </w:tcBorders>
                  <w:shd w:val="clear" w:color="auto" w:fill="auto"/>
                  <w:vAlign w:val="center"/>
                </w:tcPr>
                <w:p w14:paraId="1DBB9953">
                  <w:pPr>
                    <w:widowControl/>
                    <w:jc w:val="center"/>
                    <w:rPr>
                      <w:rFonts w:hint="default" w:ascii="Times New Roman" w:hAnsi="Times New Roman" w:eastAsia="宋体" w:cs="Times New Roman"/>
                      <w:bCs/>
                      <w:snapToGrid w:val="0"/>
                      <w:color w:val="auto"/>
                      <w:spacing w:val="6"/>
                      <w:kern w:val="2"/>
                      <w:sz w:val="21"/>
                      <w:szCs w:val="21"/>
                      <w:lang w:val="en-US" w:eastAsia="zh-CN" w:bidi="ar"/>
                    </w:rPr>
                  </w:pPr>
                  <w:r>
                    <w:rPr>
                      <w:rFonts w:hint="default" w:ascii="Times New Roman" w:hAnsi="Times New Roman" w:eastAsia="宋体" w:cs="Times New Roman"/>
                      <w:bCs/>
                      <w:snapToGrid w:val="0"/>
                      <w:color w:val="auto"/>
                      <w:spacing w:val="6"/>
                      <w:sz w:val="21"/>
                      <w:szCs w:val="21"/>
                      <w:lang w:eastAsia="zh-CN"/>
                    </w:rPr>
                    <w:t>边角料</w:t>
                  </w:r>
                </w:p>
              </w:tc>
              <w:tc>
                <w:tcPr>
                  <w:tcW w:w="205" w:type="pct"/>
                  <w:vMerge w:val="continue"/>
                  <w:tcBorders>
                    <w:tl2br w:val="nil"/>
                    <w:tr2bl w:val="nil"/>
                  </w:tcBorders>
                  <w:vAlign w:val="center"/>
                </w:tcPr>
                <w:p w14:paraId="1199BFBB">
                  <w:pPr>
                    <w:snapToGrid w:val="0"/>
                    <w:jc w:val="center"/>
                    <w:textAlignment w:val="baseline"/>
                    <w:rPr>
                      <w:rFonts w:hint="default" w:ascii="Times New Roman" w:hAnsi="Times New Roman" w:cs="Times New Roman"/>
                      <w:color w:val="auto"/>
                      <w:sz w:val="21"/>
                      <w:szCs w:val="21"/>
                      <w:lang w:bidi="ar-SA"/>
                    </w:rPr>
                  </w:pPr>
                </w:p>
              </w:tc>
              <w:tc>
                <w:tcPr>
                  <w:tcW w:w="716" w:type="pct"/>
                  <w:tcBorders>
                    <w:tl2br w:val="nil"/>
                    <w:tr2bl w:val="nil"/>
                  </w:tcBorders>
                  <w:shd w:val="clear" w:color="auto" w:fill="auto"/>
                  <w:vAlign w:val="center"/>
                </w:tcPr>
                <w:p w14:paraId="0BF1E23A">
                  <w:pPr>
                    <w:widowControl/>
                    <w:jc w:val="center"/>
                    <w:rPr>
                      <w:rFonts w:hint="default" w:ascii="Times New Roman" w:hAnsi="Times New Roman" w:eastAsia="宋体" w:cs="Times New Roman"/>
                      <w:bCs/>
                      <w:snapToGrid w:val="0"/>
                      <w:color w:val="auto"/>
                      <w:spacing w:val="6"/>
                      <w:kern w:val="2"/>
                      <w:sz w:val="21"/>
                      <w:szCs w:val="21"/>
                      <w:lang w:val="en-US" w:eastAsia="zh-CN" w:bidi="ar"/>
                    </w:rPr>
                  </w:pPr>
                  <w:r>
                    <w:rPr>
                      <w:rFonts w:hint="eastAsia" w:ascii="Times New Roman" w:hAnsi="Times New Roman" w:eastAsia="宋体" w:cs="Times New Roman"/>
                      <w:bCs/>
                      <w:snapToGrid w:val="0"/>
                      <w:color w:val="auto"/>
                      <w:spacing w:val="6"/>
                      <w:sz w:val="21"/>
                      <w:szCs w:val="21"/>
                      <w:lang w:val="en-US" w:eastAsia="zh-CN"/>
                    </w:rPr>
                    <w:t>机械加工</w:t>
                  </w:r>
                </w:p>
              </w:tc>
              <w:tc>
                <w:tcPr>
                  <w:tcW w:w="360" w:type="pct"/>
                  <w:tcBorders>
                    <w:tl2br w:val="nil"/>
                    <w:tr2bl w:val="nil"/>
                  </w:tcBorders>
                  <w:shd w:val="clear" w:color="auto" w:fill="auto"/>
                  <w:vAlign w:val="center"/>
                </w:tcPr>
                <w:p w14:paraId="15B1F368">
                  <w:pPr>
                    <w:widowControl/>
                    <w:jc w:val="center"/>
                    <w:rPr>
                      <w:rFonts w:hint="default" w:ascii="Times New Roman" w:hAnsi="Times New Roman" w:eastAsia="宋体" w:cs="Times New Roman"/>
                      <w:bCs/>
                      <w:snapToGrid w:val="0"/>
                      <w:color w:val="auto"/>
                      <w:spacing w:val="6"/>
                      <w:kern w:val="2"/>
                      <w:sz w:val="21"/>
                      <w:szCs w:val="21"/>
                      <w:lang w:val="en-US" w:eastAsia="zh-CN" w:bidi="ar"/>
                    </w:rPr>
                  </w:pPr>
                  <w:r>
                    <w:rPr>
                      <w:rFonts w:hint="default" w:ascii="Times New Roman" w:hAnsi="Times New Roman" w:eastAsia="宋体" w:cs="Times New Roman"/>
                      <w:bCs/>
                      <w:snapToGrid w:val="0"/>
                      <w:color w:val="auto"/>
                      <w:spacing w:val="6"/>
                      <w:sz w:val="21"/>
                      <w:szCs w:val="21"/>
                    </w:rPr>
                    <w:t>固态</w:t>
                  </w:r>
                </w:p>
              </w:tc>
              <w:tc>
                <w:tcPr>
                  <w:tcW w:w="473" w:type="pct"/>
                  <w:tcBorders>
                    <w:tl2br w:val="nil"/>
                    <w:tr2bl w:val="nil"/>
                  </w:tcBorders>
                  <w:shd w:val="clear" w:color="auto" w:fill="auto"/>
                  <w:vAlign w:val="center"/>
                </w:tcPr>
                <w:p w14:paraId="5D7ED495">
                  <w:pPr>
                    <w:widowControl/>
                    <w:jc w:val="center"/>
                    <w:rPr>
                      <w:rFonts w:hint="default" w:ascii="Times New Roman" w:hAnsi="Times New Roman" w:eastAsia="宋体" w:cs="Times New Roman"/>
                      <w:bCs/>
                      <w:snapToGrid w:val="0"/>
                      <w:color w:val="auto"/>
                      <w:spacing w:val="6"/>
                      <w:kern w:val="2"/>
                      <w:sz w:val="21"/>
                      <w:szCs w:val="21"/>
                      <w:lang w:val="en-US" w:eastAsia="zh-CN" w:bidi="ar"/>
                    </w:rPr>
                  </w:pPr>
                  <w:r>
                    <w:rPr>
                      <w:rFonts w:hint="eastAsia" w:cs="Times New Roman"/>
                      <w:bCs/>
                      <w:snapToGrid w:val="0"/>
                      <w:color w:val="auto"/>
                      <w:spacing w:val="6"/>
                      <w:sz w:val="21"/>
                      <w:szCs w:val="21"/>
                      <w:lang w:val="en-US" w:eastAsia="zh-CN"/>
                    </w:rPr>
                    <w:t>钢</w:t>
                  </w:r>
                </w:p>
              </w:tc>
              <w:tc>
                <w:tcPr>
                  <w:tcW w:w="308" w:type="pct"/>
                  <w:tcBorders>
                    <w:tl2br w:val="nil"/>
                    <w:tr2bl w:val="nil"/>
                  </w:tcBorders>
                  <w:shd w:val="clear" w:color="auto" w:fill="auto"/>
                  <w:vAlign w:val="center"/>
                </w:tcPr>
                <w:p w14:paraId="5CFD0814">
                  <w:pPr>
                    <w:widowControl/>
                    <w:jc w:val="center"/>
                    <w:rPr>
                      <w:rFonts w:hint="eastAsia" w:cs="Times New Roman"/>
                      <w:bCs/>
                      <w:snapToGrid w:val="0"/>
                      <w:color w:val="auto"/>
                      <w:spacing w:val="6"/>
                      <w:sz w:val="21"/>
                      <w:szCs w:val="21"/>
                      <w:lang w:val="en-US" w:eastAsia="zh-CN"/>
                    </w:rPr>
                  </w:pPr>
                  <w:r>
                    <w:rPr>
                      <w:rFonts w:hint="eastAsia" w:ascii="Times New Roman" w:hAnsi="Times New Roman" w:eastAsia="宋体" w:cs="Times New Roman"/>
                      <w:bCs/>
                      <w:color w:val="auto"/>
                      <w:kern w:val="0"/>
                      <w:sz w:val="21"/>
                      <w:szCs w:val="21"/>
                      <w:lang w:val="en-US" w:eastAsia="zh-CN" w:bidi="ar-SA"/>
                    </w:rPr>
                    <w:t>/</w:t>
                  </w:r>
                </w:p>
              </w:tc>
              <w:tc>
                <w:tcPr>
                  <w:tcW w:w="746" w:type="pct"/>
                  <w:tcBorders>
                    <w:tl2br w:val="nil"/>
                    <w:tr2bl w:val="nil"/>
                  </w:tcBorders>
                  <w:shd w:val="clear" w:color="auto" w:fill="auto"/>
                  <w:vAlign w:val="center"/>
                </w:tcPr>
                <w:p w14:paraId="4923BD34">
                  <w:pPr>
                    <w:widowControl w:val="0"/>
                    <w:snapToGrid w:val="0"/>
                    <w:spacing w:before="0" w:beforeAutospacing="0" w:after="0" w:afterAutospacing="0"/>
                    <w:jc w:val="center"/>
                    <w:rPr>
                      <w:rFonts w:hint="eastAsia" w:ascii="Times New Roman" w:hAnsi="Times New Roman" w:eastAsia="宋体" w:cs="Times New Roman"/>
                      <w:bCs/>
                      <w:color w:val="auto"/>
                      <w:kern w:val="0"/>
                      <w:sz w:val="21"/>
                      <w:szCs w:val="21"/>
                      <w:lang w:val="en-US" w:eastAsia="zh-CN" w:bidi="ar-SA"/>
                    </w:rPr>
                  </w:pPr>
                  <w:r>
                    <w:rPr>
                      <w:rFonts w:hint="eastAsia" w:ascii="Times New Roman" w:hAnsi="Times New Roman" w:eastAsia="宋体" w:cs="Times New Roman"/>
                      <w:bCs/>
                      <w:color w:val="auto"/>
                      <w:kern w:val="0"/>
                      <w:sz w:val="21"/>
                      <w:szCs w:val="21"/>
                      <w:lang w:val="en-US" w:eastAsia="zh-CN" w:bidi="ar-SA"/>
                    </w:rPr>
                    <w:t>SW17</w:t>
                  </w:r>
                </w:p>
                <w:p w14:paraId="02664889">
                  <w:pPr>
                    <w:widowControl w:val="0"/>
                    <w:snapToGrid w:val="0"/>
                    <w:spacing w:before="0" w:beforeAutospacing="0" w:after="0" w:afterAutospacing="0"/>
                    <w:jc w:val="center"/>
                    <w:rPr>
                      <w:rFonts w:hint="eastAsia" w:ascii="Times New Roman" w:hAnsi="Times New Roman" w:eastAsia="宋体" w:cs="Times New Roman"/>
                      <w:bCs/>
                      <w:color w:val="auto"/>
                      <w:kern w:val="0"/>
                      <w:sz w:val="21"/>
                      <w:szCs w:val="21"/>
                      <w:lang w:val="en-US" w:eastAsia="zh-CN" w:bidi="ar-SA"/>
                    </w:rPr>
                  </w:pPr>
                  <w:r>
                    <w:rPr>
                      <w:rFonts w:hint="eastAsia" w:ascii="Times New Roman" w:hAnsi="Times New Roman" w:eastAsia="宋体" w:cs="Times New Roman"/>
                      <w:bCs/>
                      <w:color w:val="auto"/>
                      <w:kern w:val="0"/>
                      <w:sz w:val="21"/>
                      <w:szCs w:val="21"/>
                      <w:lang w:val="en-US" w:eastAsia="zh-CN" w:bidi="ar-SA"/>
                    </w:rPr>
                    <w:t>可再生类废物</w:t>
                  </w:r>
                </w:p>
              </w:tc>
              <w:tc>
                <w:tcPr>
                  <w:tcW w:w="749" w:type="pct"/>
                  <w:tcBorders>
                    <w:tl2br w:val="nil"/>
                    <w:tr2bl w:val="nil"/>
                  </w:tcBorders>
                  <w:shd w:val="clear" w:color="auto" w:fill="auto"/>
                  <w:vAlign w:val="center"/>
                </w:tcPr>
                <w:p w14:paraId="381CE811">
                  <w:pPr>
                    <w:widowControl w:val="0"/>
                    <w:snapToGrid w:val="0"/>
                    <w:spacing w:before="0" w:beforeAutospacing="0" w:after="0" w:afterAutospacing="0"/>
                    <w:jc w:val="center"/>
                    <w:rPr>
                      <w:rFonts w:hint="eastAsia" w:ascii="Times New Roman" w:hAnsi="Times New Roman" w:eastAsia="宋体" w:cs="Times New Roman"/>
                      <w:bCs/>
                      <w:color w:val="auto"/>
                      <w:kern w:val="0"/>
                      <w:sz w:val="21"/>
                      <w:szCs w:val="21"/>
                      <w:lang w:val="en-US" w:eastAsia="zh-CN" w:bidi="ar-SA"/>
                    </w:rPr>
                  </w:pPr>
                  <w:r>
                    <w:rPr>
                      <w:rFonts w:hint="eastAsia" w:ascii="Times New Roman" w:hAnsi="Times New Roman" w:eastAsia="宋体" w:cs="Times New Roman"/>
                      <w:bCs/>
                      <w:color w:val="auto"/>
                      <w:kern w:val="0"/>
                      <w:sz w:val="21"/>
                      <w:szCs w:val="21"/>
                      <w:lang w:val="en-US" w:eastAsia="zh-CN" w:bidi="ar-SA"/>
                    </w:rPr>
                    <w:t>900-001-S17</w:t>
                  </w:r>
                </w:p>
              </w:tc>
              <w:tc>
                <w:tcPr>
                  <w:tcW w:w="456" w:type="pct"/>
                  <w:tcBorders>
                    <w:tl2br w:val="nil"/>
                    <w:tr2bl w:val="nil"/>
                  </w:tcBorders>
                  <w:shd w:val="clear" w:color="auto" w:fill="auto"/>
                  <w:vAlign w:val="center"/>
                </w:tcPr>
                <w:p w14:paraId="559D2FBB">
                  <w:pPr>
                    <w:widowControl/>
                    <w:jc w:val="center"/>
                    <w:rPr>
                      <w:rFonts w:hint="eastAsia" w:ascii="Times New Roman" w:hAnsi="Times New Roman" w:eastAsia="宋体" w:cs="Times New Roman"/>
                      <w:bCs/>
                      <w:snapToGrid w:val="0"/>
                      <w:color w:val="auto"/>
                      <w:spacing w:val="6"/>
                      <w:kern w:val="2"/>
                      <w:sz w:val="21"/>
                      <w:szCs w:val="21"/>
                      <w:lang w:val="en-US" w:eastAsia="zh-CN" w:bidi="ar"/>
                    </w:rPr>
                  </w:pPr>
                  <w:r>
                    <w:rPr>
                      <w:rFonts w:hint="eastAsia" w:ascii="Times New Roman" w:hAnsi="Times New Roman" w:eastAsia="宋体" w:cs="Times New Roman"/>
                      <w:bCs/>
                      <w:snapToGrid w:val="0"/>
                      <w:color w:val="auto"/>
                      <w:spacing w:val="6"/>
                      <w:kern w:val="2"/>
                      <w:sz w:val="21"/>
                      <w:szCs w:val="21"/>
                      <w:lang w:val="en-US" w:eastAsia="zh-CN" w:bidi="ar"/>
                    </w:rPr>
                    <w:t>30</w:t>
                  </w:r>
                </w:p>
              </w:tc>
              <w:tc>
                <w:tcPr>
                  <w:tcW w:w="298" w:type="pct"/>
                  <w:vMerge w:val="restart"/>
                  <w:tcBorders>
                    <w:tl2br w:val="nil"/>
                    <w:tr2bl w:val="nil"/>
                  </w:tcBorders>
                  <w:vAlign w:val="center"/>
                </w:tcPr>
                <w:p w14:paraId="3E701851">
                  <w:pPr>
                    <w:snapToGrid w:val="0"/>
                    <w:jc w:val="center"/>
                    <w:textAlignment w:val="baseline"/>
                    <w:rPr>
                      <w:rFonts w:hint="eastAsia" w:ascii="Times New Roman" w:hAnsi="Times New Roman" w:cs="Times New Roman"/>
                      <w:color w:val="auto"/>
                      <w:sz w:val="21"/>
                      <w:szCs w:val="21"/>
                      <w:lang w:bidi="ar-SA"/>
                    </w:rPr>
                  </w:pPr>
                  <w:r>
                    <w:rPr>
                      <w:rFonts w:hint="eastAsia" w:ascii="Times New Roman" w:hAnsi="Times New Roman" w:cs="Times New Roman"/>
                      <w:color w:val="auto"/>
                      <w:sz w:val="21"/>
                      <w:szCs w:val="21"/>
                      <w:lang w:bidi="ar-SA"/>
                    </w:rPr>
                    <w:t>集中收集后外售综合利用</w:t>
                  </w:r>
                </w:p>
              </w:tc>
            </w:tr>
            <w:tr w14:paraId="7356037C">
              <w:tblPrEx>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CellMar>
                  <w:top w:w="0" w:type="dxa"/>
                  <w:left w:w="28" w:type="dxa"/>
                  <w:bottom w:w="0" w:type="dxa"/>
                  <w:right w:w="28" w:type="dxa"/>
                </w:tblCellMar>
              </w:tblPrEx>
              <w:trPr>
                <w:trHeight w:val="23" w:hRule="atLeast"/>
                <w:jc w:val="center"/>
              </w:trPr>
              <w:tc>
                <w:tcPr>
                  <w:tcW w:w="233" w:type="pct"/>
                  <w:tcBorders>
                    <w:tl2br w:val="nil"/>
                    <w:tr2bl w:val="nil"/>
                  </w:tcBorders>
                  <w:vAlign w:val="center"/>
                </w:tcPr>
                <w:p w14:paraId="0732B567">
                  <w:pPr>
                    <w:snapToGrid w:val="0"/>
                    <w:jc w:val="center"/>
                    <w:textAlignment w:val="baseline"/>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3</w:t>
                  </w:r>
                </w:p>
              </w:tc>
              <w:tc>
                <w:tcPr>
                  <w:tcW w:w="452" w:type="pct"/>
                  <w:tcBorders>
                    <w:tl2br w:val="nil"/>
                    <w:tr2bl w:val="nil"/>
                  </w:tcBorders>
                  <w:shd w:val="clear" w:color="auto" w:fill="auto"/>
                  <w:vAlign w:val="center"/>
                </w:tcPr>
                <w:p w14:paraId="57583DF2">
                  <w:pPr>
                    <w:widowControl/>
                    <w:jc w:val="center"/>
                    <w:rPr>
                      <w:rFonts w:hint="default" w:ascii="Times New Roman" w:hAnsi="Times New Roman" w:eastAsia="宋体" w:cs="Times New Roman"/>
                      <w:bCs/>
                      <w:snapToGrid w:val="0"/>
                      <w:color w:val="auto"/>
                      <w:spacing w:val="6"/>
                      <w:kern w:val="2"/>
                      <w:sz w:val="21"/>
                      <w:szCs w:val="21"/>
                      <w:lang w:val="en-US" w:eastAsia="zh-CN" w:bidi="ar"/>
                    </w:rPr>
                  </w:pPr>
                  <w:r>
                    <w:rPr>
                      <w:rFonts w:hint="default" w:ascii="Times New Roman" w:hAnsi="Times New Roman" w:eastAsia="宋体" w:cs="Times New Roman"/>
                      <w:bCs/>
                      <w:snapToGrid w:val="0"/>
                      <w:color w:val="auto"/>
                      <w:spacing w:val="6"/>
                      <w:sz w:val="21"/>
                      <w:szCs w:val="21"/>
                    </w:rPr>
                    <w:t>废包装材料</w:t>
                  </w:r>
                </w:p>
              </w:tc>
              <w:tc>
                <w:tcPr>
                  <w:tcW w:w="205" w:type="pct"/>
                  <w:vMerge w:val="continue"/>
                  <w:tcBorders>
                    <w:tl2br w:val="nil"/>
                    <w:tr2bl w:val="nil"/>
                  </w:tcBorders>
                  <w:vAlign w:val="center"/>
                </w:tcPr>
                <w:p w14:paraId="5A4F8BDF">
                  <w:pPr>
                    <w:snapToGrid w:val="0"/>
                    <w:jc w:val="center"/>
                    <w:textAlignment w:val="baseline"/>
                    <w:rPr>
                      <w:rFonts w:hint="default" w:ascii="Times New Roman" w:hAnsi="Times New Roman" w:cs="Times New Roman"/>
                      <w:color w:val="auto"/>
                      <w:sz w:val="21"/>
                      <w:szCs w:val="21"/>
                      <w:lang w:bidi="ar-SA"/>
                    </w:rPr>
                  </w:pPr>
                </w:p>
              </w:tc>
              <w:tc>
                <w:tcPr>
                  <w:tcW w:w="716" w:type="pct"/>
                  <w:tcBorders>
                    <w:tl2br w:val="nil"/>
                    <w:tr2bl w:val="nil"/>
                  </w:tcBorders>
                  <w:shd w:val="clear" w:color="auto" w:fill="auto"/>
                  <w:vAlign w:val="center"/>
                </w:tcPr>
                <w:p w14:paraId="252DEC4F">
                  <w:pPr>
                    <w:widowControl/>
                    <w:jc w:val="center"/>
                    <w:rPr>
                      <w:rFonts w:hint="default" w:ascii="Times New Roman" w:hAnsi="Times New Roman" w:eastAsia="宋体" w:cs="Times New Roman"/>
                      <w:bCs/>
                      <w:snapToGrid w:val="0"/>
                      <w:color w:val="auto"/>
                      <w:spacing w:val="6"/>
                      <w:kern w:val="2"/>
                      <w:sz w:val="21"/>
                      <w:szCs w:val="21"/>
                      <w:lang w:val="en-US" w:eastAsia="zh-CN" w:bidi="ar"/>
                    </w:rPr>
                  </w:pPr>
                  <w:r>
                    <w:rPr>
                      <w:rFonts w:hint="eastAsia" w:ascii="Times New Roman" w:hAnsi="Times New Roman" w:cs="Times New Roman"/>
                      <w:bCs/>
                      <w:color w:val="auto"/>
                      <w:sz w:val="21"/>
                      <w:szCs w:val="21"/>
                      <w:lang w:val="en-US" w:eastAsia="zh-CN"/>
                    </w:rPr>
                    <w:t>原料</w:t>
                  </w:r>
                  <w:r>
                    <w:rPr>
                      <w:rFonts w:hint="default" w:ascii="Times New Roman" w:hAnsi="Times New Roman" w:eastAsia="宋体" w:cs="Times New Roman"/>
                      <w:bCs/>
                      <w:color w:val="auto"/>
                      <w:sz w:val="21"/>
                      <w:szCs w:val="21"/>
                    </w:rPr>
                    <w:t>包装</w:t>
                  </w:r>
                </w:p>
              </w:tc>
              <w:tc>
                <w:tcPr>
                  <w:tcW w:w="360" w:type="pct"/>
                  <w:tcBorders>
                    <w:tl2br w:val="nil"/>
                    <w:tr2bl w:val="nil"/>
                  </w:tcBorders>
                  <w:shd w:val="clear" w:color="auto" w:fill="auto"/>
                  <w:vAlign w:val="center"/>
                </w:tcPr>
                <w:p w14:paraId="01A9F0C1">
                  <w:pPr>
                    <w:widowControl/>
                    <w:jc w:val="center"/>
                    <w:rPr>
                      <w:rFonts w:hint="default" w:ascii="Times New Roman" w:hAnsi="Times New Roman" w:eastAsia="宋体" w:cs="Times New Roman"/>
                      <w:bCs/>
                      <w:snapToGrid w:val="0"/>
                      <w:color w:val="auto"/>
                      <w:spacing w:val="6"/>
                      <w:kern w:val="2"/>
                      <w:sz w:val="21"/>
                      <w:szCs w:val="21"/>
                      <w:lang w:val="en-US" w:eastAsia="zh-CN" w:bidi="ar"/>
                    </w:rPr>
                  </w:pPr>
                  <w:r>
                    <w:rPr>
                      <w:rFonts w:hint="default" w:ascii="Times New Roman" w:hAnsi="Times New Roman" w:eastAsia="宋体" w:cs="Times New Roman"/>
                      <w:b w:val="0"/>
                      <w:bCs w:val="0"/>
                      <w:snapToGrid w:val="0"/>
                      <w:color w:val="auto"/>
                      <w:spacing w:val="6"/>
                      <w:sz w:val="21"/>
                      <w:szCs w:val="21"/>
                    </w:rPr>
                    <w:t>固态</w:t>
                  </w:r>
                </w:p>
              </w:tc>
              <w:tc>
                <w:tcPr>
                  <w:tcW w:w="473" w:type="pct"/>
                  <w:tcBorders>
                    <w:tl2br w:val="nil"/>
                    <w:tr2bl w:val="nil"/>
                  </w:tcBorders>
                  <w:shd w:val="clear" w:color="auto" w:fill="auto"/>
                  <w:vAlign w:val="center"/>
                </w:tcPr>
                <w:p w14:paraId="5E4D762A">
                  <w:pPr>
                    <w:widowControl/>
                    <w:jc w:val="center"/>
                    <w:rPr>
                      <w:rFonts w:hint="default" w:ascii="Times New Roman" w:hAnsi="Times New Roman" w:eastAsia="宋体" w:cs="Times New Roman"/>
                      <w:color w:val="auto"/>
                      <w:spacing w:val="6"/>
                      <w:kern w:val="2"/>
                      <w:sz w:val="21"/>
                      <w:szCs w:val="21"/>
                      <w:lang w:val="en-US" w:eastAsia="zh-CN" w:bidi="ar"/>
                    </w:rPr>
                  </w:pPr>
                  <w:r>
                    <w:rPr>
                      <w:rFonts w:hint="default" w:ascii="Times New Roman" w:hAnsi="Times New Roman" w:eastAsia="宋体" w:cs="Times New Roman"/>
                      <w:color w:val="auto"/>
                      <w:spacing w:val="6"/>
                      <w:kern w:val="2"/>
                      <w:sz w:val="21"/>
                      <w:szCs w:val="21"/>
                      <w:lang w:val="en-US" w:eastAsia="zh-CN" w:bidi="ar"/>
                    </w:rPr>
                    <w:t>包装材料</w:t>
                  </w:r>
                </w:p>
              </w:tc>
              <w:tc>
                <w:tcPr>
                  <w:tcW w:w="308" w:type="pct"/>
                  <w:tcBorders>
                    <w:tl2br w:val="nil"/>
                    <w:tr2bl w:val="nil"/>
                  </w:tcBorders>
                  <w:shd w:val="clear" w:color="auto" w:fill="auto"/>
                  <w:vAlign w:val="center"/>
                </w:tcPr>
                <w:p w14:paraId="1A5BCF04">
                  <w:pPr>
                    <w:widowControl/>
                    <w:jc w:val="center"/>
                    <w:rPr>
                      <w:rFonts w:hint="default" w:ascii="Times New Roman" w:hAnsi="Times New Roman" w:eastAsia="宋体" w:cs="Times New Roman"/>
                      <w:color w:val="auto"/>
                      <w:spacing w:val="6"/>
                      <w:kern w:val="2"/>
                      <w:sz w:val="21"/>
                      <w:szCs w:val="21"/>
                      <w:lang w:val="en-US" w:eastAsia="zh-CN" w:bidi="ar"/>
                    </w:rPr>
                  </w:pPr>
                  <w:r>
                    <w:rPr>
                      <w:rFonts w:hint="eastAsia" w:ascii="Times New Roman" w:hAnsi="Times New Roman" w:eastAsia="宋体" w:cs="Times New Roman"/>
                      <w:bCs/>
                      <w:color w:val="auto"/>
                      <w:kern w:val="0"/>
                      <w:sz w:val="21"/>
                      <w:szCs w:val="21"/>
                      <w:lang w:val="en-US" w:eastAsia="zh-CN" w:bidi="ar-SA"/>
                    </w:rPr>
                    <w:t>/</w:t>
                  </w:r>
                </w:p>
              </w:tc>
              <w:tc>
                <w:tcPr>
                  <w:tcW w:w="746" w:type="pct"/>
                  <w:tcBorders>
                    <w:tl2br w:val="nil"/>
                    <w:tr2bl w:val="nil"/>
                  </w:tcBorders>
                  <w:shd w:val="clear" w:color="auto" w:fill="auto"/>
                  <w:vAlign w:val="center"/>
                </w:tcPr>
                <w:p w14:paraId="08738DEC">
                  <w:pPr>
                    <w:pStyle w:val="34"/>
                    <w:spacing w:before="24" w:after="24"/>
                    <w:ind w:firstLine="0" w:firstLineChars="0"/>
                    <w:rPr>
                      <w:rFonts w:hint="eastAsia" w:ascii="Times New Roman" w:hAnsi="宋体" w:eastAsia="宋体" w:cs="Times New Roman"/>
                      <w:color w:val="auto"/>
                      <w:spacing w:val="-10"/>
                      <w:kern w:val="0"/>
                      <w:sz w:val="21"/>
                      <w:szCs w:val="21"/>
                      <w:lang w:val="en-US" w:eastAsia="zh-CN" w:bidi="ar"/>
                    </w:rPr>
                  </w:pPr>
                  <w:r>
                    <w:rPr>
                      <w:rFonts w:ascii="Times New Roman" w:eastAsia="宋体"/>
                      <w:color w:val="auto"/>
                      <w:szCs w:val="21"/>
                    </w:rPr>
                    <w:t>SW59其他工业固体废物</w:t>
                  </w:r>
                </w:p>
              </w:tc>
              <w:tc>
                <w:tcPr>
                  <w:tcW w:w="749" w:type="pct"/>
                  <w:tcBorders>
                    <w:tl2br w:val="nil"/>
                    <w:tr2bl w:val="nil"/>
                  </w:tcBorders>
                  <w:shd w:val="clear" w:color="auto" w:fill="auto"/>
                  <w:vAlign w:val="center"/>
                </w:tcPr>
                <w:p w14:paraId="1DE3CA96">
                  <w:pPr>
                    <w:pStyle w:val="34"/>
                    <w:spacing w:before="24" w:after="24"/>
                    <w:ind w:firstLine="0" w:firstLineChars="0"/>
                    <w:rPr>
                      <w:rFonts w:hint="eastAsia" w:ascii="Times New Roman" w:hAnsi="宋体" w:eastAsia="宋体" w:cs="Times New Roman"/>
                      <w:color w:val="auto"/>
                      <w:spacing w:val="-10"/>
                      <w:kern w:val="0"/>
                      <w:sz w:val="21"/>
                      <w:szCs w:val="21"/>
                      <w:lang w:val="en-US" w:eastAsia="zh-CN" w:bidi="ar"/>
                    </w:rPr>
                  </w:pPr>
                  <w:r>
                    <w:rPr>
                      <w:rFonts w:ascii="Times New Roman" w:eastAsia="宋体"/>
                      <w:color w:val="auto"/>
                      <w:szCs w:val="21"/>
                    </w:rPr>
                    <w:t>900-099-S59</w:t>
                  </w:r>
                </w:p>
              </w:tc>
              <w:tc>
                <w:tcPr>
                  <w:tcW w:w="456" w:type="pct"/>
                  <w:tcBorders>
                    <w:tl2br w:val="nil"/>
                    <w:tr2bl w:val="nil"/>
                  </w:tcBorders>
                  <w:shd w:val="clear" w:color="auto" w:fill="auto"/>
                  <w:vAlign w:val="center"/>
                </w:tcPr>
                <w:p w14:paraId="0E2365AA">
                  <w:pPr>
                    <w:widowControl/>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0.15</w:t>
                  </w:r>
                </w:p>
              </w:tc>
              <w:tc>
                <w:tcPr>
                  <w:tcW w:w="298" w:type="pct"/>
                  <w:vMerge w:val="continue"/>
                  <w:tcBorders>
                    <w:tl2br w:val="nil"/>
                    <w:tr2bl w:val="nil"/>
                  </w:tcBorders>
                  <w:vAlign w:val="center"/>
                </w:tcPr>
                <w:p w14:paraId="730C1051">
                  <w:pPr>
                    <w:snapToGrid w:val="0"/>
                    <w:jc w:val="center"/>
                    <w:textAlignment w:val="baseline"/>
                    <w:rPr>
                      <w:rFonts w:hint="eastAsia" w:ascii="Times New Roman" w:hAnsi="Times New Roman" w:cs="Times New Roman"/>
                      <w:color w:val="auto"/>
                      <w:sz w:val="21"/>
                      <w:szCs w:val="21"/>
                      <w:lang w:bidi="ar-SA"/>
                    </w:rPr>
                  </w:pPr>
                </w:p>
              </w:tc>
            </w:tr>
            <w:tr w14:paraId="6233E538">
              <w:tblPrEx>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CellMar>
                  <w:top w:w="0" w:type="dxa"/>
                  <w:left w:w="28" w:type="dxa"/>
                  <w:bottom w:w="0" w:type="dxa"/>
                  <w:right w:w="28" w:type="dxa"/>
                </w:tblCellMar>
              </w:tblPrEx>
              <w:trPr>
                <w:trHeight w:val="23" w:hRule="atLeast"/>
                <w:jc w:val="center"/>
              </w:trPr>
              <w:tc>
                <w:tcPr>
                  <w:tcW w:w="233" w:type="pct"/>
                  <w:tcBorders>
                    <w:tl2br w:val="nil"/>
                    <w:tr2bl w:val="nil"/>
                  </w:tcBorders>
                  <w:shd w:val="clear" w:color="auto" w:fill="auto"/>
                  <w:vAlign w:val="center"/>
                </w:tcPr>
                <w:p w14:paraId="7A6009CF">
                  <w:pPr>
                    <w:snapToGrid w:val="0"/>
                    <w:jc w:val="center"/>
                    <w:textAlignment w:val="baseline"/>
                    <w:rPr>
                      <w:rFonts w:hint="eastAsia"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bidi="ar-SA"/>
                    </w:rPr>
                    <w:t>4</w:t>
                  </w:r>
                </w:p>
              </w:tc>
              <w:tc>
                <w:tcPr>
                  <w:tcW w:w="452" w:type="pct"/>
                  <w:tcBorders>
                    <w:tl2br w:val="nil"/>
                    <w:tr2bl w:val="nil"/>
                  </w:tcBorders>
                  <w:shd w:val="clear" w:color="auto" w:fill="auto"/>
                  <w:vAlign w:val="center"/>
                </w:tcPr>
                <w:p w14:paraId="38E46284">
                  <w:pPr>
                    <w:widowControl/>
                    <w:jc w:val="center"/>
                    <w:rPr>
                      <w:rFonts w:hint="default" w:ascii="Times New Roman" w:hAnsi="Times New Roman" w:eastAsia="宋体" w:cs="Times New Roman"/>
                      <w:bCs/>
                      <w:snapToGrid w:val="0"/>
                      <w:color w:val="auto"/>
                      <w:spacing w:val="6"/>
                      <w:sz w:val="21"/>
                      <w:szCs w:val="21"/>
                    </w:rPr>
                  </w:pPr>
                  <w:r>
                    <w:rPr>
                      <w:rFonts w:hint="default" w:ascii="Times New Roman" w:hAnsi="Times New Roman" w:eastAsia="宋体" w:cs="Times New Roman"/>
                      <w:bCs/>
                      <w:snapToGrid w:val="0"/>
                      <w:color w:val="auto"/>
                      <w:spacing w:val="6"/>
                      <w:sz w:val="21"/>
                      <w:szCs w:val="21"/>
                    </w:rPr>
                    <w:t>废耐火材料</w:t>
                  </w:r>
                </w:p>
              </w:tc>
              <w:tc>
                <w:tcPr>
                  <w:tcW w:w="205" w:type="pct"/>
                  <w:vMerge w:val="continue"/>
                  <w:tcBorders>
                    <w:tl2br w:val="nil"/>
                    <w:tr2bl w:val="nil"/>
                  </w:tcBorders>
                  <w:vAlign w:val="center"/>
                </w:tcPr>
                <w:p w14:paraId="55B0533B">
                  <w:pPr>
                    <w:snapToGrid w:val="0"/>
                    <w:jc w:val="center"/>
                    <w:textAlignment w:val="baseline"/>
                    <w:rPr>
                      <w:rFonts w:hint="default" w:ascii="Times New Roman" w:hAnsi="Times New Roman" w:cs="Times New Roman"/>
                      <w:color w:val="auto"/>
                      <w:sz w:val="21"/>
                      <w:szCs w:val="21"/>
                      <w:lang w:bidi="ar-SA"/>
                    </w:rPr>
                  </w:pPr>
                </w:p>
              </w:tc>
              <w:tc>
                <w:tcPr>
                  <w:tcW w:w="716" w:type="pct"/>
                  <w:tcBorders>
                    <w:tl2br w:val="nil"/>
                    <w:tr2bl w:val="nil"/>
                  </w:tcBorders>
                  <w:shd w:val="clear" w:color="auto" w:fill="auto"/>
                  <w:vAlign w:val="center"/>
                </w:tcPr>
                <w:p w14:paraId="6224D2D4">
                  <w:pPr>
                    <w:widowControl/>
                    <w:jc w:val="center"/>
                    <w:rPr>
                      <w:rFonts w:hint="eastAsia" w:ascii="Times New Roman" w:hAnsi="Times New Roman" w:eastAsia="宋体" w:cs="Times New Roman"/>
                      <w:bCs/>
                      <w:color w:val="auto"/>
                      <w:kern w:val="2"/>
                      <w:sz w:val="21"/>
                      <w:szCs w:val="21"/>
                      <w:lang w:val="en-US" w:eastAsia="zh-CN" w:bidi="ar"/>
                    </w:rPr>
                  </w:pPr>
                  <w:r>
                    <w:rPr>
                      <w:rFonts w:hint="eastAsia" w:cs="Times New Roman"/>
                      <w:bCs/>
                      <w:color w:val="auto"/>
                      <w:sz w:val="21"/>
                      <w:szCs w:val="21"/>
                      <w:lang w:val="en-US" w:eastAsia="zh-CN"/>
                    </w:rPr>
                    <w:t>真空炉耐火材料更换</w:t>
                  </w:r>
                </w:p>
              </w:tc>
              <w:tc>
                <w:tcPr>
                  <w:tcW w:w="360" w:type="pct"/>
                  <w:tcBorders>
                    <w:tl2br w:val="nil"/>
                    <w:tr2bl w:val="nil"/>
                  </w:tcBorders>
                  <w:shd w:val="clear" w:color="auto" w:fill="auto"/>
                  <w:vAlign w:val="center"/>
                </w:tcPr>
                <w:p w14:paraId="07551434">
                  <w:pPr>
                    <w:widowControl/>
                    <w:jc w:val="center"/>
                    <w:rPr>
                      <w:rFonts w:hint="default" w:ascii="Times New Roman" w:hAnsi="Times New Roman" w:eastAsia="宋体" w:cs="Times New Roman"/>
                      <w:b w:val="0"/>
                      <w:bCs w:val="0"/>
                      <w:snapToGrid w:val="0"/>
                      <w:color w:val="auto"/>
                      <w:spacing w:val="6"/>
                      <w:kern w:val="2"/>
                      <w:sz w:val="21"/>
                      <w:szCs w:val="21"/>
                      <w:lang w:val="en-US" w:eastAsia="zh-CN" w:bidi="ar"/>
                    </w:rPr>
                  </w:pPr>
                  <w:r>
                    <w:rPr>
                      <w:rFonts w:hint="default" w:ascii="Times New Roman" w:hAnsi="Times New Roman" w:eastAsia="宋体" w:cs="Times New Roman"/>
                      <w:b w:val="0"/>
                      <w:bCs w:val="0"/>
                      <w:snapToGrid w:val="0"/>
                      <w:color w:val="auto"/>
                      <w:spacing w:val="6"/>
                      <w:sz w:val="21"/>
                      <w:szCs w:val="21"/>
                    </w:rPr>
                    <w:t>固态</w:t>
                  </w:r>
                </w:p>
              </w:tc>
              <w:tc>
                <w:tcPr>
                  <w:tcW w:w="473" w:type="pct"/>
                  <w:tcBorders>
                    <w:tl2br w:val="nil"/>
                    <w:tr2bl w:val="nil"/>
                  </w:tcBorders>
                  <w:shd w:val="clear" w:color="auto" w:fill="auto"/>
                  <w:vAlign w:val="center"/>
                </w:tcPr>
                <w:p w14:paraId="34F8F152">
                  <w:pPr>
                    <w:widowControl/>
                    <w:jc w:val="center"/>
                    <w:rPr>
                      <w:rFonts w:hint="default" w:ascii="Times New Roman" w:hAnsi="Times New Roman" w:eastAsia="宋体" w:cs="Times New Roman"/>
                      <w:color w:val="auto"/>
                      <w:spacing w:val="6"/>
                      <w:kern w:val="2"/>
                      <w:sz w:val="21"/>
                      <w:szCs w:val="21"/>
                      <w:lang w:val="en-US" w:eastAsia="zh-CN" w:bidi="ar"/>
                    </w:rPr>
                  </w:pPr>
                  <w:r>
                    <w:rPr>
                      <w:rFonts w:hint="eastAsia" w:cs="Times New Roman"/>
                      <w:bCs/>
                      <w:color w:val="auto"/>
                      <w:sz w:val="21"/>
                      <w:szCs w:val="21"/>
                      <w:lang w:val="en-US" w:eastAsia="zh-CN"/>
                    </w:rPr>
                    <w:t>耐火材料</w:t>
                  </w:r>
                </w:p>
              </w:tc>
              <w:tc>
                <w:tcPr>
                  <w:tcW w:w="308" w:type="pct"/>
                  <w:tcBorders>
                    <w:tl2br w:val="nil"/>
                    <w:tr2bl w:val="nil"/>
                  </w:tcBorders>
                  <w:shd w:val="clear" w:color="auto" w:fill="auto"/>
                  <w:vAlign w:val="center"/>
                </w:tcPr>
                <w:p w14:paraId="13C22F7A">
                  <w:pPr>
                    <w:widowControl/>
                    <w:jc w:val="center"/>
                    <w:rPr>
                      <w:rFonts w:hint="default" w:ascii="Times New Roman" w:hAnsi="Times New Roman" w:eastAsia="宋体" w:cs="Times New Roman"/>
                      <w:bCs/>
                      <w:color w:val="auto"/>
                      <w:kern w:val="0"/>
                      <w:sz w:val="21"/>
                      <w:szCs w:val="21"/>
                      <w:lang w:val="en-US" w:eastAsia="zh-CN" w:bidi="ar-SA"/>
                    </w:rPr>
                  </w:pPr>
                  <w:r>
                    <w:rPr>
                      <w:rFonts w:hint="eastAsia" w:cs="Times New Roman"/>
                      <w:bCs/>
                      <w:color w:val="auto"/>
                      <w:kern w:val="0"/>
                      <w:sz w:val="21"/>
                      <w:szCs w:val="21"/>
                      <w:lang w:val="en-US" w:eastAsia="zh-CN" w:bidi="ar-SA"/>
                    </w:rPr>
                    <w:t>/</w:t>
                  </w:r>
                </w:p>
              </w:tc>
              <w:tc>
                <w:tcPr>
                  <w:tcW w:w="746" w:type="pct"/>
                  <w:tcBorders>
                    <w:tl2br w:val="nil"/>
                    <w:tr2bl w:val="nil"/>
                  </w:tcBorders>
                  <w:shd w:val="clear" w:color="auto" w:fill="auto"/>
                  <w:vAlign w:val="center"/>
                </w:tcPr>
                <w:p w14:paraId="5B27BF2B">
                  <w:pPr>
                    <w:pStyle w:val="22"/>
                    <w:widowControl w:val="0"/>
                    <w:snapToGrid w:val="0"/>
                    <w:spacing w:before="0" w:beforeAutospacing="0" w:after="0" w:afterAutospacing="0"/>
                    <w:jc w:val="center"/>
                    <w:rPr>
                      <w:rFonts w:ascii="Times New Roman" w:hAnsi="Times New Roman"/>
                      <w:bCs/>
                      <w:color w:val="auto"/>
                      <w:sz w:val="21"/>
                      <w:szCs w:val="21"/>
                    </w:rPr>
                  </w:pPr>
                  <w:r>
                    <w:rPr>
                      <w:rFonts w:hint="eastAsia" w:ascii="Times New Roman" w:hAnsi="Times New Roman"/>
                      <w:bCs/>
                      <w:color w:val="auto"/>
                      <w:sz w:val="21"/>
                      <w:szCs w:val="21"/>
                    </w:rPr>
                    <w:t>SW59</w:t>
                  </w:r>
                </w:p>
                <w:p w14:paraId="52136783">
                  <w:pPr>
                    <w:pStyle w:val="22"/>
                    <w:widowControl w:val="0"/>
                    <w:snapToGrid w:val="0"/>
                    <w:spacing w:before="0" w:beforeAutospacing="0" w:after="0" w:afterAutospacing="0"/>
                    <w:jc w:val="center"/>
                    <w:rPr>
                      <w:rFonts w:hint="default" w:ascii="Times New Roman" w:hAnsi="Times New Roman" w:eastAsia="宋体" w:cs="Times New Roman"/>
                      <w:bCs/>
                      <w:color w:val="auto"/>
                      <w:kern w:val="0"/>
                      <w:sz w:val="21"/>
                      <w:szCs w:val="21"/>
                      <w:lang w:val="en-US" w:eastAsia="zh-CN" w:bidi="ar"/>
                    </w:rPr>
                  </w:pPr>
                  <w:r>
                    <w:rPr>
                      <w:rFonts w:hint="eastAsia" w:ascii="Times New Roman" w:hAnsi="Times New Roman"/>
                      <w:bCs/>
                      <w:color w:val="auto"/>
                      <w:sz w:val="21"/>
                      <w:szCs w:val="21"/>
                    </w:rPr>
                    <w:t>其他工业固体废物</w:t>
                  </w:r>
                </w:p>
              </w:tc>
              <w:tc>
                <w:tcPr>
                  <w:tcW w:w="749" w:type="pct"/>
                  <w:tcBorders>
                    <w:tl2br w:val="nil"/>
                    <w:tr2bl w:val="nil"/>
                  </w:tcBorders>
                  <w:shd w:val="clear" w:color="auto" w:fill="auto"/>
                  <w:vAlign w:val="center"/>
                </w:tcPr>
                <w:p w14:paraId="5FA532F8">
                  <w:pPr>
                    <w:pStyle w:val="22"/>
                    <w:spacing w:before="0" w:beforeAutospacing="0" w:after="0"/>
                    <w:jc w:val="center"/>
                    <w:rPr>
                      <w:rFonts w:hint="default" w:ascii="Times New Roman" w:hAnsi="Times New Roman" w:eastAsia="宋体" w:cs="Times New Roman"/>
                      <w:bCs/>
                      <w:color w:val="auto"/>
                      <w:kern w:val="2"/>
                      <w:sz w:val="21"/>
                      <w:szCs w:val="21"/>
                      <w:lang w:val="en-US" w:eastAsia="zh-CN" w:bidi="ar"/>
                    </w:rPr>
                  </w:pPr>
                  <w:r>
                    <w:rPr>
                      <w:rFonts w:hint="eastAsia" w:ascii="Times New Roman" w:hAnsi="Times New Roman"/>
                      <w:bCs/>
                      <w:color w:val="auto"/>
                      <w:kern w:val="2"/>
                      <w:sz w:val="21"/>
                      <w:szCs w:val="21"/>
                    </w:rPr>
                    <w:t>900-002-S59</w:t>
                  </w:r>
                </w:p>
              </w:tc>
              <w:tc>
                <w:tcPr>
                  <w:tcW w:w="456" w:type="pct"/>
                  <w:tcBorders>
                    <w:tl2br w:val="nil"/>
                    <w:tr2bl w:val="nil"/>
                  </w:tcBorders>
                  <w:shd w:val="clear" w:color="auto" w:fill="auto"/>
                  <w:vAlign w:val="center"/>
                </w:tcPr>
                <w:p w14:paraId="325ED58C">
                  <w:pPr>
                    <w:widowControl/>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0.3t/5a</w:t>
                  </w:r>
                </w:p>
              </w:tc>
              <w:tc>
                <w:tcPr>
                  <w:tcW w:w="298" w:type="pct"/>
                  <w:vMerge w:val="continue"/>
                  <w:tcBorders>
                    <w:tl2br w:val="nil"/>
                    <w:tr2bl w:val="nil"/>
                  </w:tcBorders>
                  <w:vAlign w:val="center"/>
                </w:tcPr>
                <w:p w14:paraId="2D1001A7">
                  <w:pPr>
                    <w:snapToGrid w:val="0"/>
                    <w:jc w:val="center"/>
                    <w:textAlignment w:val="baseline"/>
                    <w:rPr>
                      <w:rFonts w:hint="eastAsia" w:ascii="Times New Roman" w:hAnsi="Times New Roman" w:cs="Times New Roman"/>
                      <w:color w:val="auto"/>
                      <w:sz w:val="21"/>
                      <w:szCs w:val="21"/>
                      <w:lang w:bidi="ar-SA"/>
                    </w:rPr>
                  </w:pPr>
                </w:p>
              </w:tc>
            </w:tr>
            <w:tr w14:paraId="67026B99">
              <w:tblPrEx>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CellMar>
                  <w:top w:w="0" w:type="dxa"/>
                  <w:left w:w="28" w:type="dxa"/>
                  <w:bottom w:w="0" w:type="dxa"/>
                  <w:right w:w="28" w:type="dxa"/>
                </w:tblCellMar>
              </w:tblPrEx>
              <w:trPr>
                <w:trHeight w:val="23" w:hRule="atLeast"/>
                <w:jc w:val="center"/>
              </w:trPr>
              <w:tc>
                <w:tcPr>
                  <w:tcW w:w="233" w:type="pct"/>
                  <w:tcBorders>
                    <w:tl2br w:val="nil"/>
                    <w:tr2bl w:val="nil"/>
                  </w:tcBorders>
                  <w:shd w:val="clear" w:color="auto" w:fill="auto"/>
                  <w:vAlign w:val="center"/>
                </w:tcPr>
                <w:p w14:paraId="18686242">
                  <w:pPr>
                    <w:snapToGrid w:val="0"/>
                    <w:jc w:val="center"/>
                    <w:textAlignment w:val="baseline"/>
                    <w:rPr>
                      <w:rFonts w:hint="default"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bidi="ar-SA"/>
                    </w:rPr>
                    <w:t>5</w:t>
                  </w:r>
                </w:p>
              </w:tc>
              <w:tc>
                <w:tcPr>
                  <w:tcW w:w="452" w:type="pct"/>
                  <w:tcBorders>
                    <w:tl2br w:val="nil"/>
                    <w:tr2bl w:val="nil"/>
                  </w:tcBorders>
                  <w:shd w:val="clear" w:color="auto" w:fill="auto"/>
                  <w:vAlign w:val="center"/>
                </w:tcPr>
                <w:p w14:paraId="60F298A5">
                  <w:pPr>
                    <w:widowControl/>
                    <w:jc w:val="center"/>
                    <w:rPr>
                      <w:rFonts w:hint="default" w:ascii="Times New Roman" w:hAnsi="Times New Roman" w:eastAsia="宋体" w:cs="Times New Roman"/>
                      <w:bCs/>
                      <w:snapToGrid w:val="0"/>
                      <w:color w:val="auto"/>
                      <w:spacing w:val="6"/>
                      <w:kern w:val="2"/>
                      <w:sz w:val="21"/>
                      <w:szCs w:val="21"/>
                      <w:lang w:val="en-US" w:eastAsia="zh-CN" w:bidi="ar"/>
                    </w:rPr>
                  </w:pPr>
                  <w:r>
                    <w:rPr>
                      <w:rFonts w:hint="default" w:ascii="Times New Roman" w:hAnsi="Times New Roman" w:eastAsia="宋体" w:cs="Times New Roman"/>
                      <w:bCs/>
                      <w:snapToGrid w:val="0"/>
                      <w:color w:val="auto"/>
                      <w:spacing w:val="6"/>
                      <w:sz w:val="21"/>
                      <w:szCs w:val="21"/>
                    </w:rPr>
                    <w:t>废深孔钻油</w:t>
                  </w:r>
                </w:p>
              </w:tc>
              <w:tc>
                <w:tcPr>
                  <w:tcW w:w="205" w:type="pct"/>
                  <w:vMerge w:val="restart"/>
                  <w:tcBorders>
                    <w:tl2br w:val="nil"/>
                    <w:tr2bl w:val="nil"/>
                  </w:tcBorders>
                  <w:vAlign w:val="center"/>
                </w:tcPr>
                <w:p w14:paraId="7A423876">
                  <w:pPr>
                    <w:snapToGrid w:val="0"/>
                    <w:jc w:val="center"/>
                    <w:textAlignment w:val="baseline"/>
                    <w:rPr>
                      <w:rFonts w:hint="default" w:ascii="Times New Roman" w:hAnsi="Times New Roman" w:cs="Times New Roman"/>
                      <w:color w:val="auto"/>
                      <w:sz w:val="21"/>
                      <w:szCs w:val="21"/>
                      <w:lang w:bidi="ar-SA"/>
                    </w:rPr>
                  </w:pPr>
                  <w:r>
                    <w:rPr>
                      <w:rFonts w:hint="eastAsia" w:ascii="Times New Roman" w:hAnsi="Times New Roman" w:eastAsia="宋体" w:cs="Times New Roman"/>
                      <w:bCs/>
                      <w:color w:val="auto"/>
                      <w:kern w:val="0"/>
                      <w:sz w:val="21"/>
                      <w:szCs w:val="21"/>
                      <w:lang w:val="en-US" w:eastAsia="zh-CN" w:bidi="ar-SA"/>
                    </w:rPr>
                    <w:t>危险废物</w:t>
                  </w:r>
                </w:p>
              </w:tc>
              <w:tc>
                <w:tcPr>
                  <w:tcW w:w="716" w:type="pct"/>
                  <w:tcBorders>
                    <w:tl2br w:val="nil"/>
                    <w:tr2bl w:val="nil"/>
                  </w:tcBorders>
                  <w:shd w:val="clear" w:color="auto" w:fill="auto"/>
                  <w:vAlign w:val="center"/>
                </w:tcPr>
                <w:p w14:paraId="63CA1380">
                  <w:pPr>
                    <w:pStyle w:val="2"/>
                    <w:spacing w:before="0" w:after="0" w:line="240" w:lineRule="auto"/>
                    <w:jc w:val="center"/>
                    <w:rPr>
                      <w:rFonts w:hint="eastAsia" w:ascii="Times New Roman" w:hAnsi="Times New Roman" w:eastAsia="宋体" w:cs="Times New Roman"/>
                      <w:b w:val="0"/>
                      <w:bCs w:val="0"/>
                      <w:color w:val="auto"/>
                      <w:kern w:val="2"/>
                      <w:sz w:val="21"/>
                      <w:szCs w:val="21"/>
                      <w:lang w:val="en-US" w:eastAsia="zh-CN" w:bidi="ar"/>
                    </w:rPr>
                  </w:pPr>
                  <w:r>
                    <w:rPr>
                      <w:rFonts w:hint="default" w:ascii="Times New Roman" w:hAnsi="Times New Roman" w:eastAsia="宋体" w:cs="Times New Roman"/>
                      <w:b w:val="0"/>
                      <w:bCs w:val="0"/>
                      <w:color w:val="auto"/>
                      <w:kern w:val="2"/>
                      <w:sz w:val="21"/>
                      <w:szCs w:val="21"/>
                      <w:lang w:val="en-US" w:eastAsia="zh-CN" w:bidi="ar"/>
                    </w:rPr>
                    <w:t>钻孔</w:t>
                  </w:r>
                </w:p>
              </w:tc>
              <w:tc>
                <w:tcPr>
                  <w:tcW w:w="360" w:type="pct"/>
                  <w:tcBorders>
                    <w:tl2br w:val="nil"/>
                    <w:tr2bl w:val="nil"/>
                  </w:tcBorders>
                  <w:shd w:val="clear" w:color="auto" w:fill="auto"/>
                  <w:vAlign w:val="center"/>
                </w:tcPr>
                <w:p w14:paraId="14565D1C">
                  <w:pPr>
                    <w:pStyle w:val="2"/>
                    <w:spacing w:before="0" w:after="0" w:line="240" w:lineRule="auto"/>
                    <w:jc w:val="center"/>
                    <w:rPr>
                      <w:rFonts w:hint="default" w:ascii="Times New Roman" w:hAnsi="Times New Roman" w:eastAsia="宋体" w:cs="Times New Roman"/>
                      <w:b w:val="0"/>
                      <w:bCs w:val="0"/>
                      <w:color w:val="auto"/>
                      <w:kern w:val="2"/>
                      <w:sz w:val="21"/>
                      <w:szCs w:val="21"/>
                      <w:lang w:val="en-US" w:eastAsia="zh-CN" w:bidi="ar"/>
                    </w:rPr>
                  </w:pPr>
                  <w:r>
                    <w:rPr>
                      <w:rFonts w:hint="eastAsia" w:ascii="Times New Roman" w:hAnsi="Times New Roman" w:cs="Times New Roman"/>
                      <w:b w:val="0"/>
                      <w:bCs w:val="0"/>
                      <w:color w:val="auto"/>
                      <w:kern w:val="2"/>
                      <w:sz w:val="21"/>
                      <w:szCs w:val="21"/>
                      <w:lang w:val="en-US" w:eastAsia="zh-CN" w:bidi="ar"/>
                    </w:rPr>
                    <w:t>液态</w:t>
                  </w:r>
                </w:p>
              </w:tc>
              <w:tc>
                <w:tcPr>
                  <w:tcW w:w="473" w:type="pct"/>
                  <w:tcBorders>
                    <w:tl2br w:val="nil"/>
                    <w:tr2bl w:val="nil"/>
                  </w:tcBorders>
                  <w:shd w:val="clear" w:color="auto" w:fill="auto"/>
                  <w:vAlign w:val="center"/>
                </w:tcPr>
                <w:p w14:paraId="68D6EB26">
                  <w:pPr>
                    <w:pStyle w:val="2"/>
                    <w:spacing w:before="0" w:after="0" w:line="240" w:lineRule="auto"/>
                    <w:jc w:val="center"/>
                    <w:rPr>
                      <w:rFonts w:hint="default" w:ascii="Times New Roman" w:hAnsi="Times New Roman" w:eastAsia="宋体" w:cs="Times New Roman"/>
                      <w:b w:val="0"/>
                      <w:bCs w:val="0"/>
                      <w:color w:val="auto"/>
                      <w:spacing w:val="6"/>
                      <w:kern w:val="2"/>
                      <w:sz w:val="21"/>
                      <w:szCs w:val="21"/>
                      <w:lang w:val="en-US" w:eastAsia="zh-CN" w:bidi="ar"/>
                    </w:rPr>
                  </w:pPr>
                  <w:r>
                    <w:rPr>
                      <w:rFonts w:hint="eastAsia" w:ascii="Times New Roman" w:hAnsi="Times New Roman" w:cs="Times New Roman"/>
                      <w:b w:val="0"/>
                      <w:bCs w:val="0"/>
                      <w:color w:val="auto"/>
                      <w:spacing w:val="6"/>
                      <w:kern w:val="2"/>
                      <w:sz w:val="21"/>
                      <w:szCs w:val="21"/>
                      <w:lang w:val="en-US" w:eastAsia="zh-CN" w:bidi="ar"/>
                    </w:rPr>
                    <w:t>矿物油等</w:t>
                  </w:r>
                </w:p>
              </w:tc>
              <w:tc>
                <w:tcPr>
                  <w:tcW w:w="308" w:type="pct"/>
                  <w:tcBorders>
                    <w:tl2br w:val="nil"/>
                    <w:tr2bl w:val="nil"/>
                  </w:tcBorders>
                  <w:shd w:val="clear" w:color="auto" w:fill="auto"/>
                  <w:vAlign w:val="center"/>
                </w:tcPr>
                <w:p w14:paraId="0A328568">
                  <w:pPr>
                    <w:pStyle w:val="2"/>
                    <w:spacing w:before="0" w:after="0" w:line="240" w:lineRule="auto"/>
                    <w:jc w:val="center"/>
                    <w:rPr>
                      <w:rFonts w:hint="eastAsia" w:ascii="Times New Roman" w:hAnsi="Times New Roman" w:eastAsia="宋体" w:cs="Times New Roman"/>
                      <w:b w:val="0"/>
                      <w:bCs w:val="0"/>
                      <w:color w:val="auto"/>
                      <w:kern w:val="2"/>
                      <w:sz w:val="21"/>
                      <w:szCs w:val="21"/>
                      <w:lang w:val="en-US" w:eastAsia="zh-CN" w:bidi="ar"/>
                    </w:rPr>
                  </w:pPr>
                  <w:r>
                    <w:rPr>
                      <w:rFonts w:hint="default" w:ascii="Times New Roman" w:hAnsi="Times New Roman" w:eastAsia="宋体" w:cs="Times New Roman"/>
                      <w:b w:val="0"/>
                      <w:bCs w:val="0"/>
                      <w:color w:val="auto"/>
                      <w:kern w:val="2"/>
                      <w:sz w:val="21"/>
                      <w:szCs w:val="21"/>
                      <w:lang w:val="en-US" w:eastAsia="zh-CN" w:bidi="ar"/>
                    </w:rPr>
                    <w:t>T，I</w:t>
                  </w:r>
                </w:p>
              </w:tc>
              <w:tc>
                <w:tcPr>
                  <w:tcW w:w="746" w:type="pct"/>
                  <w:tcBorders>
                    <w:tl2br w:val="nil"/>
                    <w:tr2bl w:val="nil"/>
                  </w:tcBorders>
                  <w:shd w:val="clear" w:color="auto" w:fill="auto"/>
                  <w:vAlign w:val="center"/>
                </w:tcPr>
                <w:p w14:paraId="20A6F330">
                  <w:pPr>
                    <w:pStyle w:val="2"/>
                    <w:spacing w:before="0" w:after="0" w:line="240" w:lineRule="auto"/>
                    <w:jc w:val="center"/>
                    <w:rPr>
                      <w:rFonts w:hint="default" w:ascii="Times New Roman" w:hAnsi="Times New Roman" w:eastAsia="宋体" w:cs="Times New Roman"/>
                      <w:b w:val="0"/>
                      <w:bCs w:val="0"/>
                      <w:color w:val="auto"/>
                      <w:kern w:val="2"/>
                      <w:sz w:val="21"/>
                      <w:szCs w:val="21"/>
                      <w:lang w:val="en-US" w:eastAsia="zh-CN" w:bidi="ar"/>
                    </w:rPr>
                  </w:pPr>
                  <w:r>
                    <w:rPr>
                      <w:rFonts w:hint="default" w:ascii="Times New Roman" w:hAnsi="Times New Roman" w:eastAsia="宋体" w:cs="Times New Roman"/>
                      <w:b w:val="0"/>
                      <w:bCs w:val="0"/>
                      <w:color w:val="auto"/>
                      <w:kern w:val="2"/>
                      <w:sz w:val="21"/>
                      <w:szCs w:val="21"/>
                      <w:lang w:val="en-US" w:eastAsia="zh-CN" w:bidi="ar"/>
                    </w:rPr>
                    <w:t>HW08</w:t>
                  </w:r>
                </w:p>
              </w:tc>
              <w:tc>
                <w:tcPr>
                  <w:tcW w:w="749" w:type="pct"/>
                  <w:tcBorders>
                    <w:tl2br w:val="nil"/>
                    <w:tr2bl w:val="nil"/>
                  </w:tcBorders>
                  <w:shd w:val="clear" w:color="auto" w:fill="auto"/>
                  <w:vAlign w:val="center"/>
                </w:tcPr>
                <w:p w14:paraId="324C8810">
                  <w:pPr>
                    <w:pStyle w:val="2"/>
                    <w:spacing w:before="0" w:after="0" w:line="240" w:lineRule="auto"/>
                    <w:jc w:val="center"/>
                    <w:rPr>
                      <w:rFonts w:hint="default" w:ascii="Times New Roman" w:hAnsi="Times New Roman" w:eastAsia="宋体" w:cs="Times New Roman"/>
                      <w:b w:val="0"/>
                      <w:bCs w:val="0"/>
                      <w:color w:val="auto"/>
                      <w:kern w:val="2"/>
                      <w:sz w:val="21"/>
                      <w:szCs w:val="21"/>
                      <w:lang w:val="en-US" w:eastAsia="zh-CN" w:bidi="ar"/>
                    </w:rPr>
                  </w:pPr>
                  <w:r>
                    <w:rPr>
                      <w:rFonts w:hint="default" w:ascii="Times New Roman" w:hAnsi="Times New Roman" w:eastAsia="宋体" w:cs="Times New Roman"/>
                      <w:b w:val="0"/>
                      <w:bCs w:val="0"/>
                      <w:color w:val="auto"/>
                      <w:kern w:val="2"/>
                      <w:sz w:val="21"/>
                      <w:szCs w:val="21"/>
                      <w:lang w:val="en-US" w:eastAsia="zh-CN" w:bidi="ar"/>
                    </w:rPr>
                    <w:t>900-249-08</w:t>
                  </w:r>
                </w:p>
              </w:tc>
              <w:tc>
                <w:tcPr>
                  <w:tcW w:w="456" w:type="pct"/>
                  <w:tcBorders>
                    <w:tl2br w:val="nil"/>
                    <w:tr2bl w:val="nil"/>
                  </w:tcBorders>
                  <w:shd w:val="clear" w:color="auto" w:fill="auto"/>
                  <w:vAlign w:val="center"/>
                </w:tcPr>
                <w:p w14:paraId="54DB808E">
                  <w:pPr>
                    <w:pStyle w:val="2"/>
                    <w:spacing w:before="0" w:after="0" w:line="240" w:lineRule="auto"/>
                    <w:jc w:val="center"/>
                    <w:rPr>
                      <w:rFonts w:hint="default" w:ascii="Times New Roman" w:hAnsi="Times New Roman" w:eastAsia="宋体" w:cs="Times New Roman"/>
                      <w:b w:val="0"/>
                      <w:bCs w:val="0"/>
                      <w:color w:val="auto"/>
                      <w:kern w:val="2"/>
                      <w:sz w:val="21"/>
                      <w:szCs w:val="21"/>
                      <w:lang w:val="en-US" w:eastAsia="zh-CN" w:bidi="ar"/>
                    </w:rPr>
                  </w:pPr>
                  <w:r>
                    <w:rPr>
                      <w:rFonts w:hint="eastAsia" w:ascii="Times New Roman" w:hAnsi="Times New Roman" w:cs="Times New Roman"/>
                      <w:b w:val="0"/>
                      <w:bCs w:val="0"/>
                      <w:color w:val="auto"/>
                      <w:kern w:val="2"/>
                      <w:sz w:val="21"/>
                      <w:szCs w:val="21"/>
                      <w:lang w:val="en-US" w:eastAsia="zh-CN" w:bidi="ar"/>
                    </w:rPr>
                    <w:t>1.35</w:t>
                  </w:r>
                </w:p>
              </w:tc>
              <w:tc>
                <w:tcPr>
                  <w:tcW w:w="298" w:type="pct"/>
                  <w:vMerge w:val="restart"/>
                  <w:tcBorders>
                    <w:tl2br w:val="nil"/>
                    <w:tr2bl w:val="nil"/>
                  </w:tcBorders>
                  <w:vAlign w:val="center"/>
                </w:tcPr>
                <w:p w14:paraId="5463FC7C">
                  <w:pPr>
                    <w:snapToGrid w:val="0"/>
                    <w:jc w:val="center"/>
                    <w:textAlignment w:val="baseline"/>
                    <w:rPr>
                      <w:rFonts w:hint="eastAsia" w:ascii="Times New Roman" w:hAnsi="Times New Roman" w:cs="Times New Roman"/>
                      <w:color w:val="auto"/>
                      <w:sz w:val="21"/>
                      <w:szCs w:val="21"/>
                      <w:lang w:bidi="ar-SA"/>
                    </w:rPr>
                  </w:pPr>
                  <w:r>
                    <w:rPr>
                      <w:rFonts w:hint="eastAsia" w:ascii="Times New Roman" w:hAnsi="Times New Roman" w:cs="Times New Roman"/>
                      <w:color w:val="auto"/>
                      <w:sz w:val="21"/>
                      <w:szCs w:val="21"/>
                      <w:lang w:bidi="ar-SA"/>
                    </w:rPr>
                    <w:t>委托资质单位处置</w:t>
                  </w:r>
                </w:p>
              </w:tc>
            </w:tr>
            <w:tr w14:paraId="25987131">
              <w:tblPrEx>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CellMar>
                  <w:top w:w="0" w:type="dxa"/>
                  <w:left w:w="28" w:type="dxa"/>
                  <w:bottom w:w="0" w:type="dxa"/>
                  <w:right w:w="28" w:type="dxa"/>
                </w:tblCellMar>
              </w:tblPrEx>
              <w:trPr>
                <w:trHeight w:val="23" w:hRule="atLeast"/>
                <w:jc w:val="center"/>
              </w:trPr>
              <w:tc>
                <w:tcPr>
                  <w:tcW w:w="233" w:type="pct"/>
                  <w:tcBorders>
                    <w:tl2br w:val="nil"/>
                    <w:tr2bl w:val="nil"/>
                  </w:tcBorders>
                  <w:shd w:val="clear" w:color="auto" w:fill="auto"/>
                  <w:vAlign w:val="center"/>
                </w:tcPr>
                <w:p w14:paraId="7E77BED0">
                  <w:pPr>
                    <w:snapToGrid w:val="0"/>
                    <w:jc w:val="center"/>
                    <w:textAlignment w:val="baseline"/>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6</w:t>
                  </w:r>
                </w:p>
              </w:tc>
              <w:tc>
                <w:tcPr>
                  <w:tcW w:w="452" w:type="pct"/>
                  <w:tcBorders>
                    <w:tl2br w:val="nil"/>
                    <w:tr2bl w:val="nil"/>
                  </w:tcBorders>
                  <w:shd w:val="clear" w:color="auto" w:fill="auto"/>
                  <w:vAlign w:val="center"/>
                </w:tcPr>
                <w:p w14:paraId="1ED1DC8C">
                  <w:pPr>
                    <w:widowControl/>
                    <w:jc w:val="center"/>
                    <w:rPr>
                      <w:rFonts w:hint="default" w:ascii="Times New Roman" w:hAnsi="Times New Roman" w:eastAsia="宋体" w:cs="Times New Roman"/>
                      <w:bCs/>
                      <w:snapToGrid w:val="0"/>
                      <w:color w:val="auto"/>
                      <w:spacing w:val="6"/>
                      <w:kern w:val="2"/>
                      <w:sz w:val="21"/>
                      <w:szCs w:val="21"/>
                      <w:lang w:val="en-US" w:eastAsia="zh-CN" w:bidi="ar"/>
                    </w:rPr>
                  </w:pPr>
                  <w:r>
                    <w:rPr>
                      <w:rFonts w:hint="default" w:ascii="Times New Roman" w:hAnsi="Times New Roman" w:eastAsia="宋体" w:cs="Times New Roman"/>
                      <w:bCs/>
                      <w:snapToGrid w:val="0"/>
                      <w:color w:val="auto"/>
                      <w:spacing w:val="6"/>
                      <w:sz w:val="21"/>
                      <w:szCs w:val="21"/>
                    </w:rPr>
                    <w:t>废切削液</w:t>
                  </w:r>
                </w:p>
              </w:tc>
              <w:tc>
                <w:tcPr>
                  <w:tcW w:w="205" w:type="pct"/>
                  <w:vMerge w:val="continue"/>
                  <w:tcBorders>
                    <w:tl2br w:val="nil"/>
                    <w:tr2bl w:val="nil"/>
                  </w:tcBorders>
                  <w:vAlign w:val="center"/>
                </w:tcPr>
                <w:p w14:paraId="47A7CAD4">
                  <w:pPr>
                    <w:snapToGrid w:val="0"/>
                    <w:jc w:val="center"/>
                    <w:textAlignment w:val="baseline"/>
                    <w:rPr>
                      <w:rFonts w:hint="default" w:ascii="Times New Roman" w:hAnsi="Times New Roman" w:cs="Times New Roman"/>
                      <w:color w:val="auto"/>
                      <w:sz w:val="21"/>
                      <w:szCs w:val="21"/>
                      <w:lang w:bidi="ar-SA"/>
                    </w:rPr>
                  </w:pPr>
                </w:p>
              </w:tc>
              <w:tc>
                <w:tcPr>
                  <w:tcW w:w="716" w:type="pct"/>
                  <w:tcBorders>
                    <w:tl2br w:val="nil"/>
                    <w:tr2bl w:val="nil"/>
                  </w:tcBorders>
                  <w:shd w:val="clear" w:color="auto" w:fill="auto"/>
                  <w:vAlign w:val="center"/>
                </w:tcPr>
                <w:p w14:paraId="14804F91">
                  <w:pPr>
                    <w:pStyle w:val="2"/>
                    <w:spacing w:before="0" w:after="0" w:line="240" w:lineRule="auto"/>
                    <w:jc w:val="center"/>
                    <w:rPr>
                      <w:rFonts w:hint="eastAsia" w:ascii="Times New Roman" w:hAnsi="Times New Roman" w:eastAsia="宋体" w:cs="Times New Roman"/>
                      <w:b w:val="0"/>
                      <w:bCs w:val="0"/>
                      <w:color w:val="auto"/>
                      <w:kern w:val="2"/>
                      <w:sz w:val="21"/>
                      <w:szCs w:val="21"/>
                      <w:lang w:val="en-US" w:eastAsia="zh-CN" w:bidi="ar"/>
                    </w:rPr>
                  </w:pPr>
                  <w:r>
                    <w:rPr>
                      <w:rFonts w:hint="eastAsia" w:ascii="Times New Roman" w:hAnsi="Times New Roman" w:eastAsia="宋体" w:cs="Times New Roman"/>
                      <w:b w:val="0"/>
                      <w:bCs w:val="0"/>
                      <w:color w:val="auto"/>
                      <w:kern w:val="2"/>
                      <w:sz w:val="21"/>
                      <w:szCs w:val="21"/>
                      <w:lang w:val="en-US" w:eastAsia="zh-CN" w:bidi="ar"/>
                    </w:rPr>
                    <w:t>机械加工</w:t>
                  </w:r>
                </w:p>
              </w:tc>
              <w:tc>
                <w:tcPr>
                  <w:tcW w:w="360" w:type="pct"/>
                  <w:tcBorders>
                    <w:tl2br w:val="nil"/>
                    <w:tr2bl w:val="nil"/>
                  </w:tcBorders>
                  <w:shd w:val="clear" w:color="auto" w:fill="auto"/>
                  <w:vAlign w:val="center"/>
                </w:tcPr>
                <w:p w14:paraId="5E59FDB6">
                  <w:pPr>
                    <w:pStyle w:val="2"/>
                    <w:spacing w:before="0" w:after="0" w:line="240" w:lineRule="auto"/>
                    <w:jc w:val="center"/>
                    <w:rPr>
                      <w:rFonts w:hint="default" w:ascii="Times New Roman" w:hAnsi="Times New Roman" w:eastAsia="宋体" w:cs="Times New Roman"/>
                      <w:b w:val="0"/>
                      <w:bCs w:val="0"/>
                      <w:color w:val="auto"/>
                      <w:kern w:val="2"/>
                      <w:sz w:val="21"/>
                      <w:szCs w:val="21"/>
                      <w:lang w:val="en-US" w:eastAsia="zh-CN" w:bidi="ar"/>
                    </w:rPr>
                  </w:pPr>
                  <w:r>
                    <w:rPr>
                      <w:rFonts w:hint="eastAsia" w:ascii="Times New Roman" w:hAnsi="Times New Roman" w:cs="Times New Roman"/>
                      <w:b w:val="0"/>
                      <w:bCs w:val="0"/>
                      <w:color w:val="auto"/>
                      <w:kern w:val="2"/>
                      <w:sz w:val="21"/>
                      <w:szCs w:val="21"/>
                      <w:lang w:val="en-US" w:eastAsia="zh-CN" w:bidi="ar"/>
                    </w:rPr>
                    <w:t>液态</w:t>
                  </w:r>
                </w:p>
              </w:tc>
              <w:tc>
                <w:tcPr>
                  <w:tcW w:w="473" w:type="pct"/>
                  <w:tcBorders>
                    <w:tl2br w:val="nil"/>
                    <w:tr2bl w:val="nil"/>
                  </w:tcBorders>
                  <w:shd w:val="clear" w:color="auto" w:fill="auto"/>
                  <w:vAlign w:val="center"/>
                </w:tcPr>
                <w:p w14:paraId="6ACCDE1E">
                  <w:pPr>
                    <w:pStyle w:val="2"/>
                    <w:spacing w:before="0" w:after="0" w:line="240" w:lineRule="auto"/>
                    <w:jc w:val="center"/>
                    <w:rPr>
                      <w:rFonts w:hint="default" w:ascii="Times New Roman" w:hAnsi="Times New Roman" w:eastAsia="宋体" w:cs="Times New Roman"/>
                      <w:b w:val="0"/>
                      <w:bCs w:val="0"/>
                      <w:color w:val="auto"/>
                      <w:spacing w:val="6"/>
                      <w:kern w:val="2"/>
                      <w:sz w:val="21"/>
                      <w:szCs w:val="21"/>
                      <w:lang w:val="en-US" w:eastAsia="zh-CN" w:bidi="ar"/>
                    </w:rPr>
                  </w:pPr>
                  <w:r>
                    <w:rPr>
                      <w:rFonts w:hint="default" w:ascii="Times New Roman" w:hAnsi="Times New Roman" w:eastAsia="宋体" w:cs="Times New Roman"/>
                      <w:b w:val="0"/>
                      <w:bCs w:val="0"/>
                      <w:color w:val="auto"/>
                      <w:spacing w:val="6"/>
                      <w:kern w:val="2"/>
                      <w:sz w:val="21"/>
                      <w:szCs w:val="21"/>
                      <w:lang w:val="en-US" w:eastAsia="zh-CN" w:bidi="ar"/>
                    </w:rPr>
                    <w:t>水、切削液</w:t>
                  </w:r>
                </w:p>
              </w:tc>
              <w:tc>
                <w:tcPr>
                  <w:tcW w:w="308" w:type="pct"/>
                  <w:tcBorders>
                    <w:tl2br w:val="nil"/>
                    <w:tr2bl w:val="nil"/>
                  </w:tcBorders>
                  <w:shd w:val="clear" w:color="auto" w:fill="auto"/>
                  <w:vAlign w:val="center"/>
                </w:tcPr>
                <w:p w14:paraId="7FE763F7">
                  <w:pPr>
                    <w:pStyle w:val="22"/>
                    <w:widowControl w:val="0"/>
                    <w:snapToGrid w:val="0"/>
                    <w:spacing w:before="0" w:beforeAutospacing="0" w:after="0" w:afterAutospacing="0"/>
                    <w:jc w:val="center"/>
                    <w:rPr>
                      <w:rFonts w:hint="eastAsia" w:ascii="Times New Roman" w:hAnsi="Times New Roman" w:eastAsia="宋体" w:cs="Times New Roman"/>
                      <w:bCs/>
                      <w:color w:val="auto"/>
                      <w:kern w:val="0"/>
                      <w:sz w:val="21"/>
                      <w:szCs w:val="21"/>
                      <w:lang w:val="en-US" w:eastAsia="zh-CN" w:bidi="ar"/>
                    </w:rPr>
                  </w:pPr>
                  <w:r>
                    <w:rPr>
                      <w:rFonts w:ascii="Times New Roman" w:hAnsi="Times New Roman"/>
                      <w:color w:val="auto"/>
                      <w:sz w:val="21"/>
                      <w:szCs w:val="21"/>
                    </w:rPr>
                    <w:t>T</w:t>
                  </w:r>
                </w:p>
              </w:tc>
              <w:tc>
                <w:tcPr>
                  <w:tcW w:w="746" w:type="pct"/>
                  <w:tcBorders>
                    <w:tl2br w:val="nil"/>
                    <w:tr2bl w:val="nil"/>
                  </w:tcBorders>
                  <w:shd w:val="clear" w:color="auto" w:fill="auto"/>
                  <w:vAlign w:val="center"/>
                </w:tcPr>
                <w:p w14:paraId="287A8DD9">
                  <w:pPr>
                    <w:topLinePunct/>
                    <w:contextualSpacing/>
                    <w:jc w:val="center"/>
                    <w:outlineLvl w:val="8"/>
                    <w:rPr>
                      <w:rFonts w:hint="default" w:ascii="Times New Roman" w:hAnsi="Times New Roman" w:eastAsia="宋体" w:cs="Times New Roman"/>
                      <w:color w:val="auto"/>
                      <w:kern w:val="2"/>
                      <w:sz w:val="21"/>
                      <w:szCs w:val="21"/>
                      <w:lang w:val="en-US" w:eastAsia="zh-CN" w:bidi="ar"/>
                    </w:rPr>
                  </w:pPr>
                  <w:r>
                    <w:rPr>
                      <w:color w:val="auto"/>
                    </w:rPr>
                    <w:t>HW09</w:t>
                  </w:r>
                </w:p>
              </w:tc>
              <w:tc>
                <w:tcPr>
                  <w:tcW w:w="749" w:type="pct"/>
                  <w:tcBorders>
                    <w:tl2br w:val="nil"/>
                    <w:tr2bl w:val="nil"/>
                  </w:tcBorders>
                  <w:shd w:val="clear" w:color="auto" w:fill="auto"/>
                  <w:vAlign w:val="center"/>
                </w:tcPr>
                <w:p w14:paraId="59CFF936">
                  <w:pPr>
                    <w:contextualSpacing/>
                    <w:jc w:val="center"/>
                    <w:outlineLvl w:val="8"/>
                    <w:rPr>
                      <w:rFonts w:hint="default" w:ascii="Times New Roman" w:hAnsi="Times New Roman" w:eastAsia="宋体" w:cs="Times New Roman"/>
                      <w:color w:val="auto"/>
                      <w:kern w:val="2"/>
                      <w:sz w:val="21"/>
                      <w:szCs w:val="21"/>
                      <w:lang w:val="en-US" w:eastAsia="zh-CN" w:bidi="ar"/>
                    </w:rPr>
                  </w:pPr>
                  <w:r>
                    <w:rPr>
                      <w:color w:val="auto"/>
                    </w:rPr>
                    <w:t>900-006-09</w:t>
                  </w:r>
                </w:p>
              </w:tc>
              <w:tc>
                <w:tcPr>
                  <w:tcW w:w="456" w:type="pct"/>
                  <w:tcBorders>
                    <w:tl2br w:val="nil"/>
                    <w:tr2bl w:val="nil"/>
                  </w:tcBorders>
                  <w:shd w:val="clear" w:color="auto" w:fill="auto"/>
                  <w:vAlign w:val="center"/>
                </w:tcPr>
                <w:p w14:paraId="576A2247">
                  <w:pPr>
                    <w:pStyle w:val="2"/>
                    <w:spacing w:before="0" w:after="0" w:line="240" w:lineRule="auto"/>
                    <w:jc w:val="center"/>
                    <w:rPr>
                      <w:rFonts w:hint="default" w:ascii="Times New Roman" w:hAnsi="Times New Roman" w:eastAsia="宋体" w:cs="Times New Roman"/>
                      <w:b w:val="0"/>
                      <w:bCs w:val="0"/>
                      <w:color w:val="auto"/>
                      <w:kern w:val="2"/>
                      <w:sz w:val="21"/>
                      <w:szCs w:val="21"/>
                      <w:lang w:val="en-US" w:eastAsia="zh-CN" w:bidi="ar"/>
                    </w:rPr>
                  </w:pPr>
                  <w:r>
                    <w:rPr>
                      <w:rFonts w:hint="eastAsia" w:ascii="Times New Roman" w:hAnsi="Times New Roman" w:eastAsia="宋体" w:cs="Times New Roman"/>
                      <w:b w:val="0"/>
                      <w:bCs w:val="0"/>
                      <w:color w:val="auto"/>
                      <w:kern w:val="2"/>
                      <w:sz w:val="21"/>
                      <w:szCs w:val="21"/>
                      <w:lang w:val="en-US" w:eastAsia="zh-CN" w:bidi="ar"/>
                    </w:rPr>
                    <w:t>1.72</w:t>
                  </w:r>
                </w:p>
              </w:tc>
              <w:tc>
                <w:tcPr>
                  <w:tcW w:w="298" w:type="pct"/>
                  <w:vMerge w:val="continue"/>
                  <w:tcBorders>
                    <w:tl2br w:val="nil"/>
                    <w:tr2bl w:val="nil"/>
                  </w:tcBorders>
                  <w:vAlign w:val="center"/>
                </w:tcPr>
                <w:p w14:paraId="3D662240">
                  <w:pPr>
                    <w:snapToGrid w:val="0"/>
                    <w:jc w:val="center"/>
                    <w:textAlignment w:val="baseline"/>
                    <w:rPr>
                      <w:rFonts w:hint="eastAsia" w:ascii="Times New Roman" w:hAnsi="Times New Roman" w:cs="Times New Roman"/>
                      <w:color w:val="auto"/>
                      <w:sz w:val="21"/>
                      <w:szCs w:val="21"/>
                      <w:lang w:bidi="ar-SA"/>
                    </w:rPr>
                  </w:pPr>
                </w:p>
              </w:tc>
            </w:tr>
            <w:tr w14:paraId="2DC86940">
              <w:tblPrEx>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CellMar>
                  <w:top w:w="0" w:type="dxa"/>
                  <w:left w:w="28" w:type="dxa"/>
                  <w:bottom w:w="0" w:type="dxa"/>
                  <w:right w:w="28" w:type="dxa"/>
                </w:tblCellMar>
              </w:tblPrEx>
              <w:trPr>
                <w:trHeight w:val="23" w:hRule="atLeast"/>
                <w:jc w:val="center"/>
              </w:trPr>
              <w:tc>
                <w:tcPr>
                  <w:tcW w:w="233" w:type="pct"/>
                  <w:tcBorders>
                    <w:tl2br w:val="nil"/>
                    <w:tr2bl w:val="nil"/>
                  </w:tcBorders>
                  <w:shd w:val="clear" w:color="auto" w:fill="auto"/>
                  <w:vAlign w:val="center"/>
                </w:tcPr>
                <w:p w14:paraId="7942A199">
                  <w:pPr>
                    <w:snapToGrid w:val="0"/>
                    <w:jc w:val="center"/>
                    <w:textAlignment w:val="baseline"/>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7</w:t>
                  </w:r>
                </w:p>
              </w:tc>
              <w:tc>
                <w:tcPr>
                  <w:tcW w:w="452" w:type="pct"/>
                  <w:tcBorders>
                    <w:tl2br w:val="nil"/>
                    <w:tr2bl w:val="nil"/>
                  </w:tcBorders>
                  <w:shd w:val="clear" w:color="auto" w:fill="auto"/>
                  <w:vAlign w:val="center"/>
                </w:tcPr>
                <w:p w14:paraId="7611FA5E">
                  <w:pPr>
                    <w:widowControl/>
                    <w:jc w:val="center"/>
                    <w:rPr>
                      <w:rFonts w:hint="default" w:ascii="Times New Roman" w:hAnsi="Times New Roman" w:eastAsia="宋体" w:cs="Times New Roman"/>
                      <w:bCs/>
                      <w:snapToGrid w:val="0"/>
                      <w:color w:val="auto"/>
                      <w:spacing w:val="6"/>
                      <w:kern w:val="2"/>
                      <w:sz w:val="21"/>
                      <w:szCs w:val="21"/>
                      <w:lang w:val="en-US" w:eastAsia="zh-CN" w:bidi="ar"/>
                    </w:rPr>
                  </w:pPr>
                  <w:r>
                    <w:rPr>
                      <w:rFonts w:hint="default" w:ascii="Times New Roman" w:hAnsi="Times New Roman" w:eastAsia="宋体" w:cs="Times New Roman"/>
                      <w:bCs/>
                      <w:snapToGrid w:val="0"/>
                      <w:color w:val="auto"/>
                      <w:spacing w:val="6"/>
                      <w:sz w:val="21"/>
                      <w:szCs w:val="21"/>
                    </w:rPr>
                    <w:t>废抹布及手套</w:t>
                  </w:r>
                </w:p>
              </w:tc>
              <w:tc>
                <w:tcPr>
                  <w:tcW w:w="205" w:type="pct"/>
                  <w:vMerge w:val="continue"/>
                  <w:tcBorders>
                    <w:tl2br w:val="nil"/>
                    <w:tr2bl w:val="nil"/>
                  </w:tcBorders>
                  <w:vAlign w:val="center"/>
                </w:tcPr>
                <w:p w14:paraId="24420637">
                  <w:pPr>
                    <w:snapToGrid w:val="0"/>
                    <w:jc w:val="center"/>
                    <w:textAlignment w:val="baseline"/>
                    <w:rPr>
                      <w:rFonts w:hint="default" w:ascii="Times New Roman" w:hAnsi="Times New Roman" w:cs="Times New Roman"/>
                      <w:color w:val="auto"/>
                      <w:sz w:val="21"/>
                      <w:szCs w:val="21"/>
                      <w:lang w:bidi="ar-SA"/>
                    </w:rPr>
                  </w:pPr>
                </w:p>
              </w:tc>
              <w:tc>
                <w:tcPr>
                  <w:tcW w:w="716" w:type="pct"/>
                  <w:tcBorders>
                    <w:tl2br w:val="nil"/>
                    <w:tr2bl w:val="nil"/>
                  </w:tcBorders>
                  <w:shd w:val="clear" w:color="auto" w:fill="auto"/>
                  <w:vAlign w:val="center"/>
                </w:tcPr>
                <w:p w14:paraId="23D80505">
                  <w:pPr>
                    <w:widowControl/>
                    <w:jc w:val="center"/>
                    <w:rPr>
                      <w:rFonts w:hint="eastAsia" w:ascii="Times New Roman" w:hAnsi="Times New Roman" w:eastAsia="宋体" w:cs="Times New Roman"/>
                      <w:bCs/>
                      <w:snapToGrid w:val="0"/>
                      <w:color w:val="auto"/>
                      <w:spacing w:val="6"/>
                      <w:kern w:val="2"/>
                      <w:sz w:val="21"/>
                      <w:szCs w:val="21"/>
                      <w:lang w:val="en-US" w:eastAsia="zh-CN" w:bidi="ar-SA"/>
                    </w:rPr>
                  </w:pPr>
                  <w:r>
                    <w:rPr>
                      <w:rFonts w:hint="default" w:ascii="Times New Roman" w:hAnsi="Times New Roman" w:eastAsia="宋体" w:cs="Times New Roman"/>
                      <w:bCs/>
                      <w:snapToGrid w:val="0"/>
                      <w:color w:val="auto"/>
                      <w:spacing w:val="6"/>
                      <w:sz w:val="21"/>
                      <w:szCs w:val="21"/>
                    </w:rPr>
                    <w:t>员工操作</w:t>
                  </w:r>
                </w:p>
              </w:tc>
              <w:tc>
                <w:tcPr>
                  <w:tcW w:w="360" w:type="pct"/>
                  <w:tcBorders>
                    <w:tl2br w:val="nil"/>
                    <w:tr2bl w:val="nil"/>
                  </w:tcBorders>
                  <w:shd w:val="clear" w:color="auto" w:fill="auto"/>
                  <w:vAlign w:val="center"/>
                </w:tcPr>
                <w:p w14:paraId="4E7E93C5">
                  <w:pPr>
                    <w:widowControl/>
                    <w:jc w:val="center"/>
                    <w:rPr>
                      <w:rFonts w:hint="default" w:ascii="Times New Roman" w:hAnsi="Times New Roman" w:eastAsia="宋体" w:cs="Times New Roman"/>
                      <w:bCs/>
                      <w:snapToGrid w:val="0"/>
                      <w:color w:val="auto"/>
                      <w:spacing w:val="6"/>
                      <w:kern w:val="2"/>
                      <w:sz w:val="21"/>
                      <w:szCs w:val="21"/>
                      <w:lang w:val="en-US" w:eastAsia="zh-CN" w:bidi="ar-SA"/>
                    </w:rPr>
                  </w:pPr>
                  <w:r>
                    <w:rPr>
                      <w:rFonts w:hint="default" w:ascii="Times New Roman" w:hAnsi="Times New Roman" w:eastAsia="宋体" w:cs="Times New Roman"/>
                      <w:bCs/>
                      <w:snapToGrid w:val="0"/>
                      <w:color w:val="auto"/>
                      <w:spacing w:val="6"/>
                      <w:sz w:val="21"/>
                      <w:szCs w:val="21"/>
                    </w:rPr>
                    <w:t>固态</w:t>
                  </w:r>
                </w:p>
              </w:tc>
              <w:tc>
                <w:tcPr>
                  <w:tcW w:w="473" w:type="pct"/>
                  <w:tcBorders>
                    <w:tl2br w:val="nil"/>
                    <w:tr2bl w:val="nil"/>
                  </w:tcBorders>
                  <w:shd w:val="clear" w:color="auto" w:fill="auto"/>
                  <w:vAlign w:val="center"/>
                </w:tcPr>
                <w:p w14:paraId="2BF2BEDE">
                  <w:pPr>
                    <w:widowControl/>
                    <w:jc w:val="center"/>
                    <w:rPr>
                      <w:rFonts w:hint="default" w:ascii="Times New Roman" w:hAnsi="Times New Roman" w:eastAsia="宋体" w:cs="Times New Roman"/>
                      <w:bCs/>
                      <w:snapToGrid w:val="0"/>
                      <w:color w:val="auto"/>
                      <w:spacing w:val="6"/>
                      <w:kern w:val="2"/>
                      <w:sz w:val="21"/>
                      <w:szCs w:val="21"/>
                      <w:lang w:val="en-US" w:eastAsia="zh-CN" w:bidi="ar-SA"/>
                    </w:rPr>
                  </w:pPr>
                  <w:r>
                    <w:rPr>
                      <w:rFonts w:hint="default" w:ascii="Times New Roman" w:hAnsi="Times New Roman" w:eastAsia="宋体" w:cs="Times New Roman"/>
                      <w:bCs/>
                      <w:snapToGrid w:val="0"/>
                      <w:color w:val="auto"/>
                      <w:spacing w:val="6"/>
                      <w:sz w:val="21"/>
                      <w:szCs w:val="21"/>
                    </w:rPr>
                    <w:t>抹布手套、有机物</w:t>
                  </w:r>
                </w:p>
              </w:tc>
              <w:tc>
                <w:tcPr>
                  <w:tcW w:w="308" w:type="pct"/>
                  <w:tcBorders>
                    <w:tl2br w:val="nil"/>
                    <w:tr2bl w:val="nil"/>
                  </w:tcBorders>
                  <w:shd w:val="clear" w:color="auto" w:fill="auto"/>
                  <w:vAlign w:val="center"/>
                </w:tcPr>
                <w:p w14:paraId="72098CE8">
                  <w:pPr>
                    <w:pStyle w:val="22"/>
                    <w:widowControl w:val="0"/>
                    <w:snapToGrid w:val="0"/>
                    <w:spacing w:before="0" w:beforeAutospacing="0" w:after="0" w:afterAutospacing="0"/>
                    <w:jc w:val="center"/>
                    <w:rPr>
                      <w:rFonts w:hint="eastAsia" w:ascii="Times New Roman" w:hAnsi="Times New Roman" w:eastAsia="宋体" w:cs="Times New Roman"/>
                      <w:bCs/>
                      <w:color w:val="auto"/>
                      <w:kern w:val="0"/>
                      <w:sz w:val="21"/>
                      <w:szCs w:val="21"/>
                      <w:lang w:val="en-US" w:eastAsia="zh-CN" w:bidi="ar-SA"/>
                    </w:rPr>
                  </w:pPr>
                  <w:r>
                    <w:rPr>
                      <w:rFonts w:ascii="Times New Roman" w:hAnsi="Times New Roman"/>
                      <w:bCs/>
                      <w:color w:val="auto"/>
                      <w:sz w:val="21"/>
                      <w:szCs w:val="21"/>
                    </w:rPr>
                    <w:t>T/In</w:t>
                  </w:r>
                </w:p>
              </w:tc>
              <w:tc>
                <w:tcPr>
                  <w:tcW w:w="746" w:type="pct"/>
                  <w:tcBorders>
                    <w:tl2br w:val="nil"/>
                    <w:tr2bl w:val="nil"/>
                  </w:tcBorders>
                  <w:shd w:val="clear" w:color="auto" w:fill="auto"/>
                  <w:vAlign w:val="center"/>
                </w:tcPr>
                <w:p w14:paraId="18904A6C">
                  <w:pPr>
                    <w:pStyle w:val="22"/>
                    <w:widowControl w:val="0"/>
                    <w:snapToGrid w:val="0"/>
                    <w:spacing w:before="0" w:beforeAutospacing="0" w:after="0" w:afterAutospacing="0"/>
                    <w:jc w:val="center"/>
                    <w:rPr>
                      <w:rFonts w:hint="default" w:ascii="宋体" w:hAnsi="宋体" w:eastAsia="宋体" w:cs="Times New Roman"/>
                      <w:color w:val="auto"/>
                      <w:kern w:val="0"/>
                      <w:sz w:val="21"/>
                      <w:szCs w:val="21"/>
                      <w:lang w:val="en-US" w:eastAsia="zh-CN" w:bidi="ar-SA"/>
                    </w:rPr>
                  </w:pPr>
                  <w:r>
                    <w:rPr>
                      <w:rFonts w:ascii="Times New Roman" w:hAnsi="Times New Roman"/>
                      <w:bCs/>
                      <w:color w:val="auto"/>
                      <w:sz w:val="21"/>
                      <w:szCs w:val="21"/>
                    </w:rPr>
                    <w:t>HW49</w:t>
                  </w:r>
                </w:p>
              </w:tc>
              <w:tc>
                <w:tcPr>
                  <w:tcW w:w="749" w:type="pct"/>
                  <w:tcBorders>
                    <w:tl2br w:val="nil"/>
                    <w:tr2bl w:val="nil"/>
                  </w:tcBorders>
                  <w:shd w:val="clear" w:color="auto" w:fill="auto"/>
                  <w:vAlign w:val="center"/>
                </w:tcPr>
                <w:p w14:paraId="216738BA">
                  <w:pPr>
                    <w:pStyle w:val="22"/>
                    <w:widowControl w:val="0"/>
                    <w:snapToGrid w:val="0"/>
                    <w:spacing w:before="0" w:beforeAutospacing="0" w:after="0" w:afterAutospacing="0"/>
                    <w:jc w:val="center"/>
                    <w:rPr>
                      <w:rFonts w:hint="default" w:ascii="宋体" w:hAnsi="宋体" w:eastAsia="宋体" w:cs="Times New Roman"/>
                      <w:color w:val="auto"/>
                      <w:kern w:val="0"/>
                      <w:sz w:val="21"/>
                      <w:szCs w:val="21"/>
                      <w:lang w:val="en-US" w:eastAsia="zh-CN" w:bidi="ar-SA"/>
                    </w:rPr>
                  </w:pPr>
                  <w:r>
                    <w:rPr>
                      <w:rFonts w:ascii="Times New Roman" w:hAnsi="Times New Roman"/>
                      <w:bCs/>
                      <w:color w:val="auto"/>
                      <w:sz w:val="21"/>
                      <w:szCs w:val="21"/>
                    </w:rPr>
                    <w:t>900-041-49</w:t>
                  </w:r>
                </w:p>
              </w:tc>
              <w:tc>
                <w:tcPr>
                  <w:tcW w:w="456" w:type="pct"/>
                  <w:tcBorders>
                    <w:tl2br w:val="nil"/>
                    <w:tr2bl w:val="nil"/>
                  </w:tcBorders>
                  <w:shd w:val="clear" w:color="auto" w:fill="auto"/>
                  <w:vAlign w:val="center"/>
                </w:tcPr>
                <w:p w14:paraId="14CD0FBA">
                  <w:pPr>
                    <w:widowControl/>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0.01</w:t>
                  </w:r>
                </w:p>
              </w:tc>
              <w:tc>
                <w:tcPr>
                  <w:tcW w:w="298" w:type="pct"/>
                  <w:vMerge w:val="continue"/>
                  <w:tcBorders>
                    <w:tl2br w:val="nil"/>
                    <w:tr2bl w:val="nil"/>
                  </w:tcBorders>
                  <w:vAlign w:val="center"/>
                </w:tcPr>
                <w:p w14:paraId="3EE09FBD">
                  <w:pPr>
                    <w:snapToGrid w:val="0"/>
                    <w:jc w:val="center"/>
                    <w:textAlignment w:val="baseline"/>
                    <w:rPr>
                      <w:rFonts w:hint="eastAsia" w:ascii="Times New Roman" w:hAnsi="Times New Roman" w:cs="Times New Roman"/>
                      <w:color w:val="auto"/>
                      <w:sz w:val="21"/>
                      <w:szCs w:val="21"/>
                      <w:lang w:bidi="ar-SA"/>
                    </w:rPr>
                  </w:pPr>
                </w:p>
              </w:tc>
            </w:tr>
            <w:tr w14:paraId="041A866E">
              <w:tblPrEx>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CellMar>
                  <w:top w:w="0" w:type="dxa"/>
                  <w:left w:w="28" w:type="dxa"/>
                  <w:bottom w:w="0" w:type="dxa"/>
                  <w:right w:w="28" w:type="dxa"/>
                </w:tblCellMar>
              </w:tblPrEx>
              <w:trPr>
                <w:trHeight w:val="23" w:hRule="atLeast"/>
                <w:jc w:val="center"/>
              </w:trPr>
              <w:tc>
                <w:tcPr>
                  <w:tcW w:w="233" w:type="pct"/>
                  <w:tcBorders>
                    <w:tl2br w:val="nil"/>
                    <w:tr2bl w:val="nil"/>
                  </w:tcBorders>
                  <w:shd w:val="clear" w:color="auto" w:fill="auto"/>
                  <w:vAlign w:val="center"/>
                </w:tcPr>
                <w:p w14:paraId="65470937">
                  <w:pPr>
                    <w:snapToGrid w:val="0"/>
                    <w:jc w:val="center"/>
                    <w:textAlignment w:val="baseline"/>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8</w:t>
                  </w:r>
                </w:p>
              </w:tc>
              <w:tc>
                <w:tcPr>
                  <w:tcW w:w="452" w:type="pct"/>
                  <w:tcBorders>
                    <w:tl2br w:val="nil"/>
                    <w:tr2bl w:val="nil"/>
                  </w:tcBorders>
                  <w:shd w:val="clear" w:color="auto" w:fill="auto"/>
                  <w:vAlign w:val="center"/>
                </w:tcPr>
                <w:p w14:paraId="3E45E06C">
                  <w:pPr>
                    <w:widowControl/>
                    <w:jc w:val="center"/>
                    <w:rPr>
                      <w:rFonts w:hint="default" w:ascii="Times New Roman" w:hAnsi="Times New Roman" w:eastAsia="宋体" w:cs="Times New Roman"/>
                      <w:bCs/>
                      <w:snapToGrid w:val="0"/>
                      <w:color w:val="auto"/>
                      <w:spacing w:val="6"/>
                      <w:kern w:val="2"/>
                      <w:sz w:val="21"/>
                      <w:szCs w:val="21"/>
                      <w:lang w:val="en-US" w:eastAsia="zh-CN" w:bidi="ar"/>
                    </w:rPr>
                  </w:pPr>
                  <w:r>
                    <w:rPr>
                      <w:rFonts w:hint="default" w:ascii="Times New Roman" w:hAnsi="Times New Roman" w:eastAsia="宋体" w:cs="Times New Roman"/>
                      <w:bCs/>
                      <w:snapToGrid w:val="0"/>
                      <w:color w:val="auto"/>
                      <w:spacing w:val="6"/>
                      <w:kern w:val="2"/>
                      <w:sz w:val="21"/>
                      <w:szCs w:val="21"/>
                      <w:lang w:val="en-US" w:eastAsia="zh-CN" w:bidi="ar"/>
                    </w:rPr>
                    <w:t>废包装桶</w:t>
                  </w:r>
                </w:p>
              </w:tc>
              <w:tc>
                <w:tcPr>
                  <w:tcW w:w="205" w:type="pct"/>
                  <w:vMerge w:val="continue"/>
                  <w:tcBorders>
                    <w:tl2br w:val="nil"/>
                    <w:tr2bl w:val="nil"/>
                  </w:tcBorders>
                  <w:vAlign w:val="center"/>
                </w:tcPr>
                <w:p w14:paraId="362DF483">
                  <w:pPr>
                    <w:snapToGrid w:val="0"/>
                    <w:jc w:val="center"/>
                    <w:textAlignment w:val="baseline"/>
                    <w:rPr>
                      <w:rFonts w:hint="default" w:ascii="Times New Roman" w:hAnsi="Times New Roman" w:cs="Times New Roman"/>
                      <w:color w:val="auto"/>
                      <w:sz w:val="21"/>
                      <w:szCs w:val="21"/>
                      <w:lang w:bidi="ar-SA"/>
                    </w:rPr>
                  </w:pPr>
                </w:p>
              </w:tc>
              <w:tc>
                <w:tcPr>
                  <w:tcW w:w="716" w:type="pct"/>
                  <w:tcBorders>
                    <w:tl2br w:val="nil"/>
                    <w:tr2bl w:val="nil"/>
                  </w:tcBorders>
                  <w:shd w:val="clear" w:color="auto" w:fill="auto"/>
                  <w:vAlign w:val="center"/>
                </w:tcPr>
                <w:p w14:paraId="64EB822D">
                  <w:pPr>
                    <w:pStyle w:val="22"/>
                    <w:widowControl w:val="0"/>
                    <w:snapToGrid w:val="0"/>
                    <w:spacing w:before="0" w:beforeAutospacing="0" w:after="0" w:afterAutospacing="0"/>
                    <w:jc w:val="center"/>
                    <w:rPr>
                      <w:rFonts w:hint="eastAsia" w:ascii="Times New Roman" w:hAnsi="Times New Roman" w:eastAsia="宋体" w:cs="Times New Roman"/>
                      <w:bCs/>
                      <w:color w:val="auto"/>
                      <w:kern w:val="0"/>
                      <w:sz w:val="21"/>
                      <w:szCs w:val="21"/>
                      <w:lang w:val="en-US" w:eastAsia="zh-CN" w:bidi="ar-SA"/>
                    </w:rPr>
                  </w:pPr>
                  <w:r>
                    <w:rPr>
                      <w:rFonts w:hint="default" w:ascii="Times New Roman" w:hAnsi="Times New Roman" w:eastAsia="宋体" w:cs="Times New Roman"/>
                      <w:bCs/>
                      <w:color w:val="auto"/>
                      <w:sz w:val="21"/>
                      <w:szCs w:val="21"/>
                    </w:rPr>
                    <w:t>原料使用</w:t>
                  </w:r>
                </w:p>
              </w:tc>
              <w:tc>
                <w:tcPr>
                  <w:tcW w:w="360" w:type="pct"/>
                  <w:tcBorders>
                    <w:tl2br w:val="nil"/>
                    <w:tr2bl w:val="nil"/>
                  </w:tcBorders>
                  <w:shd w:val="clear" w:color="auto" w:fill="auto"/>
                  <w:vAlign w:val="center"/>
                </w:tcPr>
                <w:p w14:paraId="0653744F">
                  <w:pPr>
                    <w:pStyle w:val="22"/>
                    <w:widowControl w:val="0"/>
                    <w:snapToGrid w:val="0"/>
                    <w:spacing w:before="0" w:beforeAutospacing="0" w:after="0" w:afterAutospacing="0"/>
                    <w:jc w:val="center"/>
                    <w:rPr>
                      <w:rFonts w:hint="default" w:ascii="Times New Roman" w:hAnsi="Times New Roman" w:eastAsia="宋体" w:cs="Times New Roman"/>
                      <w:bCs/>
                      <w:color w:val="auto"/>
                      <w:kern w:val="0"/>
                      <w:sz w:val="21"/>
                      <w:szCs w:val="21"/>
                      <w:lang w:val="en-US" w:eastAsia="zh-CN" w:bidi="ar-SA"/>
                    </w:rPr>
                  </w:pPr>
                  <w:r>
                    <w:rPr>
                      <w:rFonts w:hint="default" w:ascii="Times New Roman" w:hAnsi="Times New Roman" w:eastAsia="宋体" w:cs="Times New Roman"/>
                      <w:bCs/>
                      <w:color w:val="auto"/>
                      <w:sz w:val="21"/>
                      <w:szCs w:val="21"/>
                    </w:rPr>
                    <w:t>固态</w:t>
                  </w:r>
                </w:p>
              </w:tc>
              <w:tc>
                <w:tcPr>
                  <w:tcW w:w="473" w:type="pct"/>
                  <w:tcBorders>
                    <w:tl2br w:val="nil"/>
                    <w:tr2bl w:val="nil"/>
                  </w:tcBorders>
                  <w:shd w:val="clear" w:color="auto" w:fill="auto"/>
                  <w:vAlign w:val="center"/>
                </w:tcPr>
                <w:p w14:paraId="715D1450">
                  <w:pPr>
                    <w:widowControl/>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bCs/>
                      <w:snapToGrid w:val="0"/>
                      <w:color w:val="auto"/>
                      <w:spacing w:val="6"/>
                      <w:sz w:val="21"/>
                      <w:szCs w:val="21"/>
                    </w:rPr>
                    <w:t>包装桶、有机物</w:t>
                  </w:r>
                </w:p>
              </w:tc>
              <w:tc>
                <w:tcPr>
                  <w:tcW w:w="308" w:type="pct"/>
                  <w:tcBorders>
                    <w:tl2br w:val="nil"/>
                    <w:tr2bl w:val="nil"/>
                  </w:tcBorders>
                  <w:shd w:val="clear" w:color="auto" w:fill="auto"/>
                  <w:vAlign w:val="center"/>
                </w:tcPr>
                <w:p w14:paraId="5021763E">
                  <w:pPr>
                    <w:pStyle w:val="22"/>
                    <w:widowControl w:val="0"/>
                    <w:snapToGrid w:val="0"/>
                    <w:spacing w:before="0" w:beforeAutospacing="0" w:after="0" w:afterAutospacing="0"/>
                    <w:jc w:val="center"/>
                    <w:rPr>
                      <w:rFonts w:hint="eastAsia" w:ascii="Times New Roman" w:hAnsi="Times New Roman" w:eastAsia="宋体" w:cs="Times New Roman"/>
                      <w:bCs/>
                      <w:color w:val="auto"/>
                      <w:kern w:val="0"/>
                      <w:sz w:val="21"/>
                      <w:szCs w:val="21"/>
                      <w:lang w:val="en-US" w:eastAsia="zh-CN" w:bidi="ar-SA"/>
                    </w:rPr>
                  </w:pPr>
                  <w:r>
                    <w:rPr>
                      <w:rFonts w:ascii="Times New Roman" w:hAnsi="Times New Roman"/>
                      <w:bCs/>
                      <w:color w:val="auto"/>
                      <w:sz w:val="21"/>
                      <w:szCs w:val="21"/>
                    </w:rPr>
                    <w:t>T/In</w:t>
                  </w:r>
                </w:p>
              </w:tc>
              <w:tc>
                <w:tcPr>
                  <w:tcW w:w="746" w:type="pct"/>
                  <w:tcBorders>
                    <w:tl2br w:val="nil"/>
                    <w:tr2bl w:val="nil"/>
                  </w:tcBorders>
                  <w:shd w:val="clear" w:color="auto" w:fill="auto"/>
                  <w:vAlign w:val="center"/>
                </w:tcPr>
                <w:p w14:paraId="438F4E00">
                  <w:pPr>
                    <w:pStyle w:val="22"/>
                    <w:widowControl w:val="0"/>
                    <w:snapToGrid w:val="0"/>
                    <w:spacing w:before="0" w:beforeAutospacing="0" w:after="0" w:afterAutospacing="0"/>
                    <w:jc w:val="center"/>
                    <w:rPr>
                      <w:rFonts w:hint="default" w:ascii="宋体" w:hAnsi="宋体" w:eastAsia="宋体" w:cs="Times New Roman"/>
                      <w:color w:val="auto"/>
                      <w:kern w:val="0"/>
                      <w:sz w:val="21"/>
                      <w:szCs w:val="21"/>
                      <w:lang w:val="en-US" w:eastAsia="zh-CN" w:bidi="ar-SA"/>
                    </w:rPr>
                  </w:pPr>
                  <w:r>
                    <w:rPr>
                      <w:rFonts w:ascii="Times New Roman" w:hAnsi="Times New Roman"/>
                      <w:bCs/>
                      <w:color w:val="auto"/>
                      <w:sz w:val="21"/>
                      <w:szCs w:val="21"/>
                    </w:rPr>
                    <w:t>HW49</w:t>
                  </w:r>
                </w:p>
              </w:tc>
              <w:tc>
                <w:tcPr>
                  <w:tcW w:w="749" w:type="pct"/>
                  <w:tcBorders>
                    <w:tl2br w:val="nil"/>
                    <w:tr2bl w:val="nil"/>
                  </w:tcBorders>
                  <w:shd w:val="clear" w:color="auto" w:fill="auto"/>
                  <w:vAlign w:val="center"/>
                </w:tcPr>
                <w:p w14:paraId="082117AB">
                  <w:pPr>
                    <w:pStyle w:val="22"/>
                    <w:widowControl w:val="0"/>
                    <w:snapToGrid w:val="0"/>
                    <w:spacing w:before="0" w:beforeAutospacing="0" w:after="0" w:afterAutospacing="0"/>
                    <w:jc w:val="center"/>
                    <w:rPr>
                      <w:rFonts w:hint="default" w:ascii="宋体" w:hAnsi="宋体" w:eastAsia="宋体" w:cs="Times New Roman"/>
                      <w:color w:val="auto"/>
                      <w:kern w:val="0"/>
                      <w:sz w:val="21"/>
                      <w:szCs w:val="21"/>
                      <w:lang w:val="en-US" w:eastAsia="zh-CN" w:bidi="ar-SA"/>
                    </w:rPr>
                  </w:pPr>
                  <w:r>
                    <w:rPr>
                      <w:rFonts w:ascii="Times New Roman" w:hAnsi="Times New Roman"/>
                      <w:bCs/>
                      <w:color w:val="auto"/>
                      <w:sz w:val="21"/>
                      <w:szCs w:val="21"/>
                    </w:rPr>
                    <w:t>900-041-49</w:t>
                  </w:r>
                </w:p>
              </w:tc>
              <w:tc>
                <w:tcPr>
                  <w:tcW w:w="456" w:type="pct"/>
                  <w:tcBorders>
                    <w:tl2br w:val="nil"/>
                    <w:tr2bl w:val="nil"/>
                  </w:tcBorders>
                  <w:shd w:val="clear" w:color="auto" w:fill="auto"/>
                  <w:vAlign w:val="center"/>
                </w:tcPr>
                <w:p w14:paraId="2955EA70">
                  <w:pPr>
                    <w:widowControl/>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0.025</w:t>
                  </w:r>
                </w:p>
              </w:tc>
              <w:tc>
                <w:tcPr>
                  <w:tcW w:w="298" w:type="pct"/>
                  <w:vMerge w:val="continue"/>
                  <w:tcBorders>
                    <w:tl2br w:val="nil"/>
                    <w:tr2bl w:val="nil"/>
                  </w:tcBorders>
                  <w:vAlign w:val="center"/>
                </w:tcPr>
                <w:p w14:paraId="70FBDD47">
                  <w:pPr>
                    <w:snapToGrid w:val="0"/>
                    <w:jc w:val="center"/>
                    <w:textAlignment w:val="baseline"/>
                    <w:rPr>
                      <w:rFonts w:hint="eastAsia" w:ascii="Times New Roman" w:hAnsi="Times New Roman" w:cs="Times New Roman"/>
                      <w:color w:val="auto"/>
                      <w:sz w:val="21"/>
                      <w:szCs w:val="21"/>
                      <w:lang w:bidi="ar-SA"/>
                    </w:rPr>
                  </w:pPr>
                </w:p>
              </w:tc>
            </w:tr>
            <w:tr w14:paraId="7BDD3B15">
              <w:tblPrEx>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CellMar>
                  <w:top w:w="0" w:type="dxa"/>
                  <w:left w:w="28" w:type="dxa"/>
                  <w:bottom w:w="0" w:type="dxa"/>
                  <w:right w:w="28" w:type="dxa"/>
                </w:tblCellMar>
              </w:tblPrEx>
              <w:trPr>
                <w:trHeight w:val="90" w:hRule="atLeast"/>
                <w:jc w:val="center"/>
              </w:trPr>
              <w:tc>
                <w:tcPr>
                  <w:tcW w:w="233" w:type="pct"/>
                  <w:tcBorders>
                    <w:tl2br w:val="nil"/>
                    <w:tr2bl w:val="nil"/>
                  </w:tcBorders>
                  <w:shd w:val="clear" w:color="auto" w:fill="auto"/>
                  <w:vAlign w:val="center"/>
                </w:tcPr>
                <w:p w14:paraId="28429527">
                  <w:pPr>
                    <w:snapToGrid w:val="0"/>
                    <w:jc w:val="center"/>
                    <w:textAlignment w:val="baseline"/>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9</w:t>
                  </w:r>
                </w:p>
              </w:tc>
              <w:tc>
                <w:tcPr>
                  <w:tcW w:w="452" w:type="pct"/>
                  <w:tcBorders>
                    <w:tl2br w:val="nil"/>
                    <w:tr2bl w:val="nil"/>
                  </w:tcBorders>
                  <w:shd w:val="clear" w:color="auto" w:fill="auto"/>
                  <w:vAlign w:val="center"/>
                </w:tcPr>
                <w:p w14:paraId="2CE67117">
                  <w:pPr>
                    <w:widowControl/>
                    <w:jc w:val="center"/>
                    <w:rPr>
                      <w:rFonts w:hint="default" w:ascii="Times New Roman" w:hAnsi="Times New Roman" w:eastAsia="宋体" w:cs="Times New Roman"/>
                      <w:bCs/>
                      <w:snapToGrid w:val="0"/>
                      <w:color w:val="auto"/>
                      <w:spacing w:val="6"/>
                      <w:kern w:val="2"/>
                      <w:sz w:val="21"/>
                      <w:szCs w:val="21"/>
                      <w:lang w:val="en-US" w:eastAsia="zh-CN" w:bidi="ar"/>
                    </w:rPr>
                  </w:pPr>
                  <w:r>
                    <w:rPr>
                      <w:rFonts w:hint="default" w:ascii="Times New Roman" w:hAnsi="Times New Roman" w:eastAsia="宋体" w:cs="Times New Roman"/>
                      <w:bCs/>
                      <w:snapToGrid w:val="0"/>
                      <w:color w:val="auto"/>
                      <w:spacing w:val="6"/>
                      <w:kern w:val="2"/>
                      <w:sz w:val="21"/>
                      <w:szCs w:val="21"/>
                      <w:lang w:val="en-US" w:eastAsia="zh-CN" w:bidi="ar"/>
                    </w:rPr>
                    <w:t>废油桶</w:t>
                  </w:r>
                </w:p>
              </w:tc>
              <w:tc>
                <w:tcPr>
                  <w:tcW w:w="205" w:type="pct"/>
                  <w:vMerge w:val="continue"/>
                  <w:tcBorders>
                    <w:tl2br w:val="nil"/>
                    <w:tr2bl w:val="nil"/>
                  </w:tcBorders>
                  <w:vAlign w:val="center"/>
                </w:tcPr>
                <w:p w14:paraId="1AC8635B">
                  <w:pPr>
                    <w:snapToGrid w:val="0"/>
                    <w:jc w:val="center"/>
                    <w:textAlignment w:val="baseline"/>
                    <w:rPr>
                      <w:rFonts w:hint="default" w:ascii="Times New Roman" w:hAnsi="Times New Roman" w:cs="Times New Roman"/>
                      <w:color w:val="auto"/>
                      <w:sz w:val="21"/>
                      <w:szCs w:val="21"/>
                      <w:lang w:bidi="ar-SA"/>
                    </w:rPr>
                  </w:pPr>
                </w:p>
              </w:tc>
              <w:tc>
                <w:tcPr>
                  <w:tcW w:w="716" w:type="pct"/>
                  <w:tcBorders>
                    <w:tl2br w:val="nil"/>
                    <w:tr2bl w:val="nil"/>
                  </w:tcBorders>
                  <w:shd w:val="clear" w:color="auto" w:fill="auto"/>
                  <w:vAlign w:val="center"/>
                </w:tcPr>
                <w:p w14:paraId="4A395EBD">
                  <w:pPr>
                    <w:widowControl/>
                    <w:jc w:val="center"/>
                    <w:rPr>
                      <w:rFonts w:hint="eastAsia" w:ascii="Times New Roman" w:hAnsi="Times New Roman" w:eastAsia="宋体" w:cs="Times New Roman"/>
                      <w:bCs/>
                      <w:snapToGrid w:val="0"/>
                      <w:color w:val="auto"/>
                      <w:spacing w:val="6"/>
                      <w:kern w:val="2"/>
                      <w:sz w:val="21"/>
                      <w:szCs w:val="21"/>
                      <w:lang w:val="en-US" w:eastAsia="zh-CN" w:bidi="ar"/>
                    </w:rPr>
                  </w:pPr>
                  <w:r>
                    <w:rPr>
                      <w:rFonts w:hint="eastAsia" w:cs="Times New Roman"/>
                      <w:bCs/>
                      <w:snapToGrid w:val="0"/>
                      <w:color w:val="auto"/>
                      <w:spacing w:val="6"/>
                      <w:sz w:val="21"/>
                      <w:szCs w:val="21"/>
                      <w:lang w:val="en-US" w:eastAsia="zh-CN"/>
                    </w:rPr>
                    <w:t>原料包装</w:t>
                  </w:r>
                </w:p>
              </w:tc>
              <w:tc>
                <w:tcPr>
                  <w:tcW w:w="360" w:type="pct"/>
                  <w:tcBorders>
                    <w:tl2br w:val="nil"/>
                    <w:tr2bl w:val="nil"/>
                  </w:tcBorders>
                  <w:shd w:val="clear" w:color="auto" w:fill="auto"/>
                  <w:vAlign w:val="center"/>
                </w:tcPr>
                <w:p w14:paraId="269FEDDB">
                  <w:pPr>
                    <w:widowControl/>
                    <w:jc w:val="center"/>
                    <w:rPr>
                      <w:rFonts w:hint="default" w:ascii="Times New Roman" w:hAnsi="Times New Roman" w:eastAsia="宋体" w:cs="Times New Roman"/>
                      <w:bCs/>
                      <w:snapToGrid w:val="0"/>
                      <w:color w:val="auto"/>
                      <w:spacing w:val="6"/>
                      <w:kern w:val="2"/>
                      <w:sz w:val="21"/>
                      <w:szCs w:val="21"/>
                      <w:lang w:val="en-US" w:eastAsia="zh-CN" w:bidi="ar-SA"/>
                    </w:rPr>
                  </w:pPr>
                  <w:r>
                    <w:rPr>
                      <w:rFonts w:hint="default" w:ascii="Times New Roman" w:hAnsi="Times New Roman" w:eastAsia="宋体" w:cs="Times New Roman"/>
                      <w:bCs/>
                      <w:snapToGrid w:val="0"/>
                      <w:color w:val="auto"/>
                      <w:spacing w:val="6"/>
                      <w:sz w:val="21"/>
                      <w:szCs w:val="21"/>
                    </w:rPr>
                    <w:t>固态</w:t>
                  </w:r>
                </w:p>
              </w:tc>
              <w:tc>
                <w:tcPr>
                  <w:tcW w:w="473" w:type="pct"/>
                  <w:tcBorders>
                    <w:tl2br w:val="nil"/>
                    <w:tr2bl w:val="nil"/>
                  </w:tcBorders>
                  <w:shd w:val="clear" w:color="auto" w:fill="auto"/>
                  <w:vAlign w:val="center"/>
                </w:tcPr>
                <w:p w14:paraId="3DD2149D">
                  <w:pPr>
                    <w:widowControl/>
                    <w:jc w:val="center"/>
                    <w:rPr>
                      <w:rFonts w:hint="default" w:ascii="Times New Roman" w:hAnsi="Times New Roman" w:eastAsia="宋体" w:cs="Times New Roman"/>
                      <w:bCs/>
                      <w:snapToGrid w:val="0"/>
                      <w:color w:val="auto"/>
                      <w:spacing w:val="6"/>
                      <w:kern w:val="2"/>
                      <w:sz w:val="21"/>
                      <w:szCs w:val="21"/>
                      <w:lang w:val="en-US" w:eastAsia="zh-CN" w:bidi="ar-SA"/>
                    </w:rPr>
                  </w:pPr>
                  <w:r>
                    <w:rPr>
                      <w:rFonts w:hint="default" w:ascii="Times New Roman" w:hAnsi="Times New Roman" w:eastAsia="宋体" w:cs="Times New Roman"/>
                      <w:bCs/>
                      <w:snapToGrid w:val="0"/>
                      <w:color w:val="auto"/>
                      <w:spacing w:val="6"/>
                      <w:sz w:val="21"/>
                      <w:szCs w:val="21"/>
                    </w:rPr>
                    <w:t>油桶、矿物油</w:t>
                  </w:r>
                </w:p>
              </w:tc>
              <w:tc>
                <w:tcPr>
                  <w:tcW w:w="308" w:type="pct"/>
                  <w:tcBorders>
                    <w:tl2br w:val="nil"/>
                    <w:tr2bl w:val="nil"/>
                  </w:tcBorders>
                  <w:shd w:val="clear" w:color="auto" w:fill="auto"/>
                  <w:vAlign w:val="center"/>
                </w:tcPr>
                <w:p w14:paraId="64C2C1C5">
                  <w:pPr>
                    <w:pStyle w:val="22"/>
                    <w:widowControl w:val="0"/>
                    <w:snapToGrid w:val="0"/>
                    <w:spacing w:before="0" w:beforeAutospacing="0" w:after="0" w:afterAutospacing="0"/>
                    <w:jc w:val="center"/>
                    <w:rPr>
                      <w:rFonts w:hint="eastAsia" w:ascii="Times New Roman" w:hAnsi="Times New Roman" w:eastAsia="宋体" w:cs="Times New Roman"/>
                      <w:bCs/>
                      <w:color w:val="auto"/>
                      <w:kern w:val="0"/>
                      <w:sz w:val="21"/>
                      <w:szCs w:val="21"/>
                      <w:lang w:val="en-US" w:eastAsia="zh-CN" w:bidi="ar-SA"/>
                    </w:rPr>
                  </w:pPr>
                  <w:r>
                    <w:rPr>
                      <w:rFonts w:ascii="Times New Roman" w:hAnsi="Times New Roman"/>
                      <w:bCs/>
                      <w:color w:val="auto"/>
                      <w:sz w:val="21"/>
                      <w:szCs w:val="21"/>
                    </w:rPr>
                    <w:t>T，I</w:t>
                  </w:r>
                </w:p>
              </w:tc>
              <w:tc>
                <w:tcPr>
                  <w:tcW w:w="746" w:type="pct"/>
                  <w:tcBorders>
                    <w:tl2br w:val="nil"/>
                    <w:tr2bl w:val="nil"/>
                  </w:tcBorders>
                  <w:shd w:val="clear" w:color="auto" w:fill="auto"/>
                  <w:vAlign w:val="center"/>
                </w:tcPr>
                <w:p w14:paraId="575222C4">
                  <w:pPr>
                    <w:pStyle w:val="22"/>
                    <w:widowControl w:val="0"/>
                    <w:snapToGrid w:val="0"/>
                    <w:spacing w:before="0" w:beforeAutospacing="0" w:after="0" w:afterAutospacing="0"/>
                    <w:jc w:val="center"/>
                    <w:rPr>
                      <w:rFonts w:hint="default" w:ascii="宋体" w:hAnsi="宋体" w:eastAsia="宋体" w:cs="Times New Roman"/>
                      <w:color w:val="auto"/>
                      <w:kern w:val="0"/>
                      <w:sz w:val="21"/>
                      <w:szCs w:val="21"/>
                      <w:lang w:val="en-US" w:eastAsia="zh-CN" w:bidi="ar-SA"/>
                    </w:rPr>
                  </w:pPr>
                  <w:r>
                    <w:rPr>
                      <w:rFonts w:ascii="Times New Roman" w:hAnsi="Times New Roman"/>
                      <w:bCs/>
                      <w:color w:val="auto"/>
                      <w:sz w:val="21"/>
                      <w:szCs w:val="21"/>
                    </w:rPr>
                    <w:t>HW08</w:t>
                  </w:r>
                </w:p>
              </w:tc>
              <w:tc>
                <w:tcPr>
                  <w:tcW w:w="749" w:type="pct"/>
                  <w:tcBorders>
                    <w:tl2br w:val="nil"/>
                    <w:tr2bl w:val="nil"/>
                  </w:tcBorders>
                  <w:shd w:val="clear" w:color="auto" w:fill="auto"/>
                  <w:vAlign w:val="center"/>
                </w:tcPr>
                <w:p w14:paraId="0D0D42A0">
                  <w:pPr>
                    <w:pStyle w:val="22"/>
                    <w:widowControl w:val="0"/>
                    <w:snapToGrid w:val="0"/>
                    <w:spacing w:before="0" w:beforeAutospacing="0" w:after="0" w:afterAutospacing="0"/>
                    <w:jc w:val="center"/>
                    <w:rPr>
                      <w:rFonts w:hint="default" w:ascii="宋体" w:hAnsi="宋体" w:eastAsia="宋体" w:cs="Times New Roman"/>
                      <w:color w:val="auto"/>
                      <w:kern w:val="0"/>
                      <w:sz w:val="21"/>
                      <w:szCs w:val="21"/>
                      <w:lang w:val="en-US" w:eastAsia="zh-CN" w:bidi="ar-SA"/>
                    </w:rPr>
                  </w:pPr>
                  <w:r>
                    <w:rPr>
                      <w:rFonts w:ascii="Times New Roman" w:hAnsi="Times New Roman"/>
                      <w:bCs/>
                      <w:color w:val="auto"/>
                      <w:sz w:val="21"/>
                      <w:szCs w:val="21"/>
                    </w:rPr>
                    <w:t>900-249-08</w:t>
                  </w:r>
                </w:p>
              </w:tc>
              <w:tc>
                <w:tcPr>
                  <w:tcW w:w="456" w:type="pct"/>
                  <w:tcBorders>
                    <w:tl2br w:val="nil"/>
                    <w:tr2bl w:val="nil"/>
                  </w:tcBorders>
                  <w:shd w:val="clear" w:color="auto" w:fill="auto"/>
                  <w:vAlign w:val="center"/>
                </w:tcPr>
                <w:p w14:paraId="31314317">
                  <w:pPr>
                    <w:widowControl/>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0.04</w:t>
                  </w:r>
                </w:p>
              </w:tc>
              <w:tc>
                <w:tcPr>
                  <w:tcW w:w="298" w:type="pct"/>
                  <w:vMerge w:val="continue"/>
                  <w:tcBorders>
                    <w:tl2br w:val="nil"/>
                    <w:tr2bl w:val="nil"/>
                  </w:tcBorders>
                  <w:vAlign w:val="center"/>
                </w:tcPr>
                <w:p w14:paraId="139AFB80">
                  <w:pPr>
                    <w:snapToGrid w:val="0"/>
                    <w:jc w:val="center"/>
                    <w:textAlignment w:val="baseline"/>
                    <w:rPr>
                      <w:rFonts w:hint="eastAsia" w:ascii="Times New Roman" w:hAnsi="Times New Roman" w:cs="Times New Roman"/>
                      <w:color w:val="auto"/>
                      <w:sz w:val="21"/>
                      <w:szCs w:val="21"/>
                      <w:lang w:bidi="ar-SA"/>
                    </w:rPr>
                  </w:pPr>
                </w:p>
              </w:tc>
            </w:tr>
            <w:tr w14:paraId="3D185C12">
              <w:tblPrEx>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CellMar>
                  <w:top w:w="0" w:type="dxa"/>
                  <w:left w:w="28" w:type="dxa"/>
                  <w:bottom w:w="0" w:type="dxa"/>
                  <w:right w:w="28" w:type="dxa"/>
                </w:tblCellMar>
              </w:tblPrEx>
              <w:trPr>
                <w:trHeight w:val="23" w:hRule="atLeast"/>
                <w:jc w:val="center"/>
              </w:trPr>
              <w:tc>
                <w:tcPr>
                  <w:tcW w:w="233" w:type="pct"/>
                  <w:tcBorders>
                    <w:tl2br w:val="nil"/>
                    <w:tr2bl w:val="nil"/>
                  </w:tcBorders>
                  <w:vAlign w:val="center"/>
                </w:tcPr>
                <w:p w14:paraId="00B49909">
                  <w:pPr>
                    <w:snapToGrid w:val="0"/>
                    <w:jc w:val="center"/>
                    <w:textAlignment w:val="baseline"/>
                    <w:rPr>
                      <w:rFonts w:hint="default" w:cs="Times New Roman"/>
                      <w:color w:val="auto"/>
                      <w:sz w:val="21"/>
                      <w:szCs w:val="21"/>
                      <w:lang w:val="en-US" w:eastAsia="zh-CN" w:bidi="ar-SA"/>
                    </w:rPr>
                  </w:pPr>
                  <w:r>
                    <w:rPr>
                      <w:rFonts w:hint="eastAsia" w:cs="Times New Roman"/>
                      <w:color w:val="auto"/>
                      <w:sz w:val="21"/>
                      <w:szCs w:val="21"/>
                      <w:lang w:val="en-US" w:eastAsia="zh-CN" w:bidi="ar-SA"/>
                    </w:rPr>
                    <w:t>10</w:t>
                  </w:r>
                </w:p>
              </w:tc>
              <w:tc>
                <w:tcPr>
                  <w:tcW w:w="452" w:type="pct"/>
                  <w:tcBorders>
                    <w:tl2br w:val="nil"/>
                    <w:tr2bl w:val="nil"/>
                  </w:tcBorders>
                  <w:shd w:val="clear" w:color="auto" w:fill="auto"/>
                  <w:vAlign w:val="center"/>
                </w:tcPr>
                <w:p w14:paraId="161789D1">
                  <w:pPr>
                    <w:widowControl/>
                    <w:jc w:val="center"/>
                    <w:rPr>
                      <w:rFonts w:hint="default" w:ascii="Times New Roman" w:hAnsi="Times New Roman" w:eastAsia="宋体" w:cs="Times New Roman"/>
                      <w:bCs/>
                      <w:snapToGrid w:val="0"/>
                      <w:color w:val="auto"/>
                      <w:spacing w:val="6"/>
                      <w:kern w:val="2"/>
                      <w:sz w:val="21"/>
                      <w:szCs w:val="21"/>
                      <w:lang w:val="en-US" w:eastAsia="zh-CN" w:bidi="ar"/>
                    </w:rPr>
                  </w:pPr>
                  <w:r>
                    <w:rPr>
                      <w:rFonts w:hint="eastAsia"/>
                      <w:bCs/>
                      <w:snapToGrid w:val="0"/>
                      <w:color w:val="auto"/>
                      <w:spacing w:val="6"/>
                    </w:rPr>
                    <w:t>空压机含油废水</w:t>
                  </w:r>
                </w:p>
              </w:tc>
              <w:tc>
                <w:tcPr>
                  <w:tcW w:w="205" w:type="pct"/>
                  <w:vMerge w:val="continue"/>
                  <w:tcBorders>
                    <w:tl2br w:val="nil"/>
                    <w:tr2bl w:val="nil"/>
                  </w:tcBorders>
                  <w:vAlign w:val="center"/>
                </w:tcPr>
                <w:p w14:paraId="49B1F72A">
                  <w:pPr>
                    <w:snapToGrid w:val="0"/>
                    <w:jc w:val="center"/>
                    <w:textAlignment w:val="baseline"/>
                    <w:rPr>
                      <w:rFonts w:hint="default" w:ascii="Times New Roman" w:hAnsi="Times New Roman" w:cs="Times New Roman"/>
                      <w:color w:val="auto"/>
                      <w:sz w:val="21"/>
                      <w:szCs w:val="21"/>
                      <w:lang w:bidi="ar-SA"/>
                    </w:rPr>
                  </w:pPr>
                </w:p>
              </w:tc>
              <w:tc>
                <w:tcPr>
                  <w:tcW w:w="716" w:type="pct"/>
                  <w:tcBorders>
                    <w:tl2br w:val="nil"/>
                    <w:tr2bl w:val="nil"/>
                  </w:tcBorders>
                  <w:shd w:val="clear" w:color="auto" w:fill="auto"/>
                  <w:vAlign w:val="center"/>
                </w:tcPr>
                <w:p w14:paraId="594634CE">
                  <w:pPr>
                    <w:widowControl/>
                    <w:jc w:val="center"/>
                    <w:rPr>
                      <w:rFonts w:hint="eastAsia" w:ascii="Times New Roman" w:hAnsi="Times New Roman" w:eastAsia="宋体" w:cs="Times New Roman"/>
                      <w:bCs/>
                      <w:snapToGrid w:val="0"/>
                      <w:color w:val="auto"/>
                      <w:spacing w:val="6"/>
                      <w:kern w:val="2"/>
                      <w:sz w:val="21"/>
                      <w:szCs w:val="21"/>
                      <w:lang w:val="en-US" w:eastAsia="zh-CN" w:bidi="ar-SA"/>
                    </w:rPr>
                  </w:pPr>
                  <w:r>
                    <w:rPr>
                      <w:rFonts w:hint="eastAsia"/>
                      <w:bCs/>
                      <w:snapToGrid w:val="0"/>
                      <w:color w:val="auto"/>
                      <w:spacing w:val="6"/>
                    </w:rPr>
                    <w:t>空压机</w:t>
                  </w:r>
                  <w:r>
                    <w:rPr>
                      <w:rFonts w:hint="eastAsia"/>
                      <w:bCs/>
                      <w:snapToGrid w:val="0"/>
                      <w:color w:val="auto"/>
                      <w:spacing w:val="6"/>
                      <w:lang w:val="en-US" w:eastAsia="zh-CN"/>
                    </w:rPr>
                    <w:t>运行</w:t>
                  </w:r>
                </w:p>
              </w:tc>
              <w:tc>
                <w:tcPr>
                  <w:tcW w:w="360" w:type="pct"/>
                  <w:tcBorders>
                    <w:tl2br w:val="nil"/>
                    <w:tr2bl w:val="nil"/>
                  </w:tcBorders>
                  <w:shd w:val="clear" w:color="auto" w:fill="auto"/>
                  <w:vAlign w:val="center"/>
                </w:tcPr>
                <w:p w14:paraId="1CFC256E">
                  <w:pPr>
                    <w:widowControl/>
                    <w:jc w:val="center"/>
                    <w:rPr>
                      <w:rFonts w:hint="default" w:ascii="Times New Roman" w:hAnsi="Times New Roman" w:eastAsia="宋体" w:cs="Times New Roman"/>
                      <w:bCs/>
                      <w:snapToGrid w:val="0"/>
                      <w:color w:val="auto"/>
                      <w:spacing w:val="6"/>
                      <w:kern w:val="2"/>
                      <w:sz w:val="21"/>
                      <w:szCs w:val="21"/>
                      <w:lang w:val="en-US" w:eastAsia="zh-CN" w:bidi="ar-SA"/>
                    </w:rPr>
                  </w:pPr>
                  <w:r>
                    <w:rPr>
                      <w:rFonts w:hint="eastAsia"/>
                      <w:bCs/>
                      <w:snapToGrid w:val="0"/>
                      <w:color w:val="auto"/>
                      <w:spacing w:val="6"/>
                      <w:lang w:val="en-US" w:eastAsia="zh-CN"/>
                    </w:rPr>
                    <w:t>液态</w:t>
                  </w:r>
                </w:p>
              </w:tc>
              <w:tc>
                <w:tcPr>
                  <w:tcW w:w="473" w:type="pct"/>
                  <w:tcBorders>
                    <w:tl2br w:val="nil"/>
                    <w:tr2bl w:val="nil"/>
                  </w:tcBorders>
                  <w:shd w:val="clear" w:color="auto" w:fill="auto"/>
                  <w:vAlign w:val="center"/>
                </w:tcPr>
                <w:p w14:paraId="16E6ADE3">
                  <w:pPr>
                    <w:widowControl/>
                    <w:jc w:val="center"/>
                    <w:rPr>
                      <w:rFonts w:hint="default" w:ascii="Times New Roman" w:hAnsi="Times New Roman" w:eastAsia="宋体" w:cs="Times New Roman"/>
                      <w:bCs/>
                      <w:snapToGrid w:val="0"/>
                      <w:color w:val="auto"/>
                      <w:spacing w:val="6"/>
                      <w:kern w:val="2"/>
                      <w:sz w:val="21"/>
                      <w:szCs w:val="21"/>
                      <w:lang w:val="en-US" w:eastAsia="zh-CN" w:bidi="ar-SA"/>
                    </w:rPr>
                  </w:pPr>
                  <w:r>
                    <w:rPr>
                      <w:rFonts w:hint="eastAsia" w:ascii="Times New Roman" w:hAnsi="Times New Roman"/>
                      <w:color w:val="auto"/>
                      <w:sz w:val="21"/>
                      <w:szCs w:val="21"/>
                    </w:rPr>
                    <w:t>矿物油、水</w:t>
                  </w:r>
                </w:p>
              </w:tc>
              <w:tc>
                <w:tcPr>
                  <w:tcW w:w="308" w:type="pct"/>
                  <w:tcBorders>
                    <w:tl2br w:val="nil"/>
                    <w:tr2bl w:val="nil"/>
                  </w:tcBorders>
                  <w:shd w:val="clear" w:color="auto" w:fill="auto"/>
                  <w:vAlign w:val="center"/>
                </w:tcPr>
                <w:p w14:paraId="1272F5F5">
                  <w:pPr>
                    <w:pStyle w:val="22"/>
                    <w:widowControl w:val="0"/>
                    <w:snapToGrid w:val="0"/>
                    <w:spacing w:before="0" w:beforeAutospacing="0" w:after="0" w:afterAutospacing="0"/>
                    <w:jc w:val="center"/>
                    <w:rPr>
                      <w:rFonts w:hint="eastAsia" w:ascii="Times New Roman" w:hAnsi="Times New Roman" w:eastAsia="宋体" w:cs="Times New Roman"/>
                      <w:bCs/>
                      <w:color w:val="auto"/>
                      <w:kern w:val="0"/>
                      <w:sz w:val="21"/>
                      <w:szCs w:val="21"/>
                      <w:highlight w:val="none"/>
                      <w:lang w:val="en-US" w:eastAsia="zh-CN" w:bidi="ar"/>
                    </w:rPr>
                  </w:pPr>
                  <w:r>
                    <w:rPr>
                      <w:rFonts w:hint="eastAsia" w:ascii="Times New Roman" w:hAnsi="Times New Roman"/>
                      <w:bCs/>
                      <w:color w:val="auto"/>
                      <w:sz w:val="21"/>
                      <w:szCs w:val="21"/>
                      <w:highlight w:val="none"/>
                      <w:lang w:val="en-US" w:eastAsia="zh-CN" w:bidi="ar"/>
                    </w:rPr>
                    <w:t>T</w:t>
                  </w:r>
                </w:p>
              </w:tc>
              <w:tc>
                <w:tcPr>
                  <w:tcW w:w="746" w:type="pct"/>
                  <w:tcBorders>
                    <w:tl2br w:val="nil"/>
                    <w:tr2bl w:val="nil"/>
                  </w:tcBorders>
                  <w:shd w:val="clear" w:color="auto" w:fill="auto"/>
                  <w:vAlign w:val="center"/>
                </w:tcPr>
                <w:p w14:paraId="50EF0027">
                  <w:pPr>
                    <w:adjustRightInd w:val="0"/>
                    <w:snapToGrid w:val="0"/>
                    <w:jc w:val="center"/>
                    <w:rPr>
                      <w:rFonts w:hint="default" w:ascii="Times New Roman" w:hAnsi="Times New Roman" w:eastAsia="宋体" w:cs="Times New Roman"/>
                      <w:color w:val="auto"/>
                      <w:kern w:val="2"/>
                      <w:sz w:val="21"/>
                      <w:szCs w:val="21"/>
                      <w:highlight w:val="none"/>
                      <w:lang w:val="en-US" w:eastAsia="zh-CN" w:bidi="ar"/>
                    </w:rPr>
                  </w:pPr>
                  <w:r>
                    <w:rPr>
                      <w:rFonts w:hint="eastAsia"/>
                      <w:color w:val="auto"/>
                      <w:sz w:val="21"/>
                      <w:szCs w:val="21"/>
                      <w:highlight w:val="none"/>
                      <w:lang w:val="en-US" w:eastAsia="zh-CN" w:bidi="ar"/>
                    </w:rPr>
                    <w:t>HW09</w:t>
                  </w:r>
                </w:p>
              </w:tc>
              <w:tc>
                <w:tcPr>
                  <w:tcW w:w="749" w:type="pct"/>
                  <w:tcBorders>
                    <w:tl2br w:val="nil"/>
                    <w:tr2bl w:val="nil"/>
                  </w:tcBorders>
                  <w:shd w:val="clear" w:color="auto" w:fill="auto"/>
                  <w:vAlign w:val="center"/>
                </w:tcPr>
                <w:p w14:paraId="5D89F959">
                  <w:pPr>
                    <w:adjustRightInd w:val="0"/>
                    <w:snapToGrid w:val="0"/>
                    <w:jc w:val="center"/>
                    <w:rPr>
                      <w:rFonts w:hint="default" w:ascii="Times New Roman" w:hAnsi="Times New Roman" w:eastAsia="宋体" w:cs="Times New Roman"/>
                      <w:color w:val="auto"/>
                      <w:kern w:val="2"/>
                      <w:sz w:val="21"/>
                      <w:szCs w:val="21"/>
                      <w:highlight w:val="none"/>
                      <w:lang w:val="en-US" w:eastAsia="zh-CN" w:bidi="ar"/>
                    </w:rPr>
                  </w:pPr>
                  <w:r>
                    <w:rPr>
                      <w:rFonts w:hint="default"/>
                      <w:color w:val="auto"/>
                      <w:sz w:val="21"/>
                      <w:szCs w:val="21"/>
                      <w:highlight w:val="none"/>
                      <w:lang w:bidi="ar"/>
                    </w:rPr>
                    <w:t>900-</w:t>
                  </w:r>
                  <w:r>
                    <w:rPr>
                      <w:rFonts w:hint="eastAsia"/>
                      <w:color w:val="auto"/>
                      <w:sz w:val="21"/>
                      <w:szCs w:val="21"/>
                      <w:highlight w:val="none"/>
                      <w:lang w:val="en-US" w:eastAsia="zh-CN" w:bidi="ar"/>
                    </w:rPr>
                    <w:t>007-09</w:t>
                  </w:r>
                </w:p>
              </w:tc>
              <w:tc>
                <w:tcPr>
                  <w:tcW w:w="456" w:type="pct"/>
                  <w:tcBorders>
                    <w:tl2br w:val="nil"/>
                    <w:tr2bl w:val="nil"/>
                  </w:tcBorders>
                  <w:shd w:val="clear" w:color="auto" w:fill="auto"/>
                  <w:vAlign w:val="center"/>
                </w:tcPr>
                <w:p w14:paraId="01473FBC">
                  <w:pPr>
                    <w:widowControl/>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0.1</w:t>
                  </w:r>
                </w:p>
              </w:tc>
              <w:tc>
                <w:tcPr>
                  <w:tcW w:w="298" w:type="pct"/>
                  <w:vMerge w:val="continue"/>
                  <w:tcBorders>
                    <w:tl2br w:val="nil"/>
                    <w:tr2bl w:val="nil"/>
                  </w:tcBorders>
                  <w:vAlign w:val="center"/>
                </w:tcPr>
                <w:p w14:paraId="1653EA3E">
                  <w:pPr>
                    <w:snapToGrid w:val="0"/>
                    <w:jc w:val="center"/>
                    <w:textAlignment w:val="baseline"/>
                    <w:rPr>
                      <w:rFonts w:hint="eastAsia" w:ascii="Times New Roman" w:hAnsi="Times New Roman" w:cs="Times New Roman"/>
                      <w:color w:val="auto"/>
                      <w:sz w:val="21"/>
                      <w:szCs w:val="21"/>
                      <w:lang w:bidi="ar-SA"/>
                    </w:rPr>
                  </w:pPr>
                </w:p>
              </w:tc>
            </w:tr>
            <w:tr w14:paraId="371193D1">
              <w:tblPrEx>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CellMar>
                  <w:top w:w="0" w:type="dxa"/>
                  <w:left w:w="28" w:type="dxa"/>
                  <w:bottom w:w="0" w:type="dxa"/>
                  <w:right w:w="28" w:type="dxa"/>
                </w:tblCellMar>
              </w:tblPrEx>
              <w:trPr>
                <w:trHeight w:val="23" w:hRule="atLeast"/>
                <w:jc w:val="center"/>
              </w:trPr>
              <w:tc>
                <w:tcPr>
                  <w:tcW w:w="233" w:type="pct"/>
                  <w:tcBorders>
                    <w:tl2br w:val="nil"/>
                    <w:tr2bl w:val="nil"/>
                  </w:tcBorders>
                  <w:vAlign w:val="center"/>
                </w:tcPr>
                <w:p w14:paraId="71FF45BB">
                  <w:pPr>
                    <w:snapToGrid w:val="0"/>
                    <w:jc w:val="center"/>
                    <w:textAlignment w:val="baseline"/>
                    <w:rPr>
                      <w:rFonts w:hint="default" w:cs="Times New Roman"/>
                      <w:color w:val="auto"/>
                      <w:sz w:val="21"/>
                      <w:szCs w:val="21"/>
                      <w:lang w:val="en-US" w:eastAsia="zh-CN" w:bidi="ar-SA"/>
                    </w:rPr>
                  </w:pPr>
                  <w:r>
                    <w:rPr>
                      <w:rFonts w:hint="eastAsia" w:cs="Times New Roman"/>
                      <w:color w:val="auto"/>
                      <w:sz w:val="21"/>
                      <w:szCs w:val="21"/>
                      <w:lang w:val="en-US" w:eastAsia="zh-CN" w:bidi="ar-SA"/>
                    </w:rPr>
                    <w:t>11</w:t>
                  </w:r>
                </w:p>
              </w:tc>
              <w:tc>
                <w:tcPr>
                  <w:tcW w:w="452" w:type="pct"/>
                  <w:tcBorders>
                    <w:tl2br w:val="nil"/>
                    <w:tr2bl w:val="nil"/>
                  </w:tcBorders>
                  <w:shd w:val="clear" w:color="auto" w:fill="auto"/>
                  <w:vAlign w:val="center"/>
                </w:tcPr>
                <w:p w14:paraId="3D39770F">
                  <w:pPr>
                    <w:widowControl/>
                    <w:jc w:val="center"/>
                    <w:rPr>
                      <w:rFonts w:hint="eastAsia"/>
                      <w:bCs/>
                      <w:snapToGrid w:val="0"/>
                      <w:color w:val="auto"/>
                      <w:spacing w:val="6"/>
                    </w:rPr>
                  </w:pPr>
                  <w:r>
                    <w:rPr>
                      <w:rFonts w:hint="eastAsia"/>
                      <w:bCs/>
                      <w:snapToGrid w:val="0"/>
                      <w:color w:val="auto"/>
                      <w:spacing w:val="6"/>
                    </w:rPr>
                    <w:t>含油废屑</w:t>
                  </w:r>
                </w:p>
              </w:tc>
              <w:tc>
                <w:tcPr>
                  <w:tcW w:w="205" w:type="pct"/>
                  <w:vMerge w:val="continue"/>
                  <w:tcBorders>
                    <w:tl2br w:val="nil"/>
                    <w:tr2bl w:val="nil"/>
                  </w:tcBorders>
                  <w:vAlign w:val="center"/>
                </w:tcPr>
                <w:p w14:paraId="7F1DD569">
                  <w:pPr>
                    <w:snapToGrid w:val="0"/>
                    <w:jc w:val="center"/>
                    <w:textAlignment w:val="baseline"/>
                    <w:rPr>
                      <w:rFonts w:hint="default" w:ascii="Times New Roman" w:hAnsi="Times New Roman" w:cs="Times New Roman"/>
                      <w:color w:val="auto"/>
                      <w:sz w:val="21"/>
                      <w:szCs w:val="21"/>
                      <w:lang w:bidi="ar-SA"/>
                    </w:rPr>
                  </w:pPr>
                </w:p>
              </w:tc>
              <w:tc>
                <w:tcPr>
                  <w:tcW w:w="716" w:type="pct"/>
                  <w:tcBorders>
                    <w:tl2br w:val="nil"/>
                    <w:tr2bl w:val="nil"/>
                  </w:tcBorders>
                  <w:shd w:val="clear" w:color="auto" w:fill="auto"/>
                  <w:vAlign w:val="center"/>
                </w:tcPr>
                <w:p w14:paraId="33105027">
                  <w:pPr>
                    <w:pStyle w:val="2"/>
                    <w:spacing w:before="0" w:after="0" w:line="240" w:lineRule="auto"/>
                    <w:jc w:val="center"/>
                    <w:rPr>
                      <w:rFonts w:hint="eastAsia" w:ascii="Times New Roman" w:hAnsi="Times New Roman" w:eastAsia="宋体" w:cs="Times New Roman"/>
                      <w:b w:val="0"/>
                      <w:bCs w:val="0"/>
                      <w:color w:val="auto"/>
                      <w:kern w:val="2"/>
                      <w:sz w:val="21"/>
                      <w:szCs w:val="21"/>
                      <w:lang w:val="en-US" w:eastAsia="zh-CN" w:bidi="ar"/>
                    </w:rPr>
                  </w:pPr>
                  <w:r>
                    <w:rPr>
                      <w:rFonts w:hint="default" w:ascii="Times New Roman" w:hAnsi="Times New Roman" w:eastAsia="宋体" w:cs="Times New Roman"/>
                      <w:b w:val="0"/>
                      <w:bCs w:val="0"/>
                      <w:color w:val="auto"/>
                      <w:kern w:val="2"/>
                      <w:sz w:val="21"/>
                      <w:szCs w:val="21"/>
                      <w:lang w:val="en-US" w:eastAsia="zh-CN" w:bidi="ar"/>
                    </w:rPr>
                    <w:t>钻孔</w:t>
                  </w:r>
                  <w:r>
                    <w:rPr>
                      <w:rFonts w:hint="eastAsia" w:ascii="Times New Roman" w:hAnsi="Times New Roman" w:eastAsia="宋体" w:cs="Times New Roman"/>
                      <w:b w:val="0"/>
                      <w:bCs w:val="0"/>
                      <w:color w:val="auto"/>
                      <w:kern w:val="2"/>
                      <w:sz w:val="21"/>
                      <w:szCs w:val="21"/>
                      <w:lang w:val="en-US" w:eastAsia="zh-CN" w:bidi="ar"/>
                    </w:rPr>
                    <w:t>、机械加工</w:t>
                  </w:r>
                </w:p>
              </w:tc>
              <w:tc>
                <w:tcPr>
                  <w:tcW w:w="360" w:type="pct"/>
                  <w:tcBorders>
                    <w:tl2br w:val="nil"/>
                    <w:tr2bl w:val="nil"/>
                  </w:tcBorders>
                  <w:shd w:val="clear" w:color="auto" w:fill="auto"/>
                  <w:vAlign w:val="center"/>
                </w:tcPr>
                <w:p w14:paraId="58CEB577">
                  <w:pPr>
                    <w:pStyle w:val="2"/>
                    <w:spacing w:before="0" w:after="0" w:line="240" w:lineRule="auto"/>
                    <w:jc w:val="center"/>
                    <w:rPr>
                      <w:rFonts w:hint="eastAsia" w:ascii="Times New Roman" w:hAnsi="Times New Roman" w:eastAsia="宋体" w:cs="Times New Roman"/>
                      <w:b w:val="0"/>
                      <w:bCs w:val="0"/>
                      <w:color w:val="auto"/>
                      <w:kern w:val="2"/>
                      <w:sz w:val="21"/>
                      <w:szCs w:val="21"/>
                      <w:lang w:val="en-US" w:eastAsia="zh-CN" w:bidi="ar"/>
                    </w:rPr>
                  </w:pPr>
                  <w:r>
                    <w:rPr>
                      <w:rFonts w:hint="default" w:ascii="Times New Roman" w:hAnsi="Times New Roman" w:eastAsia="宋体" w:cs="Times New Roman"/>
                      <w:b w:val="0"/>
                      <w:bCs w:val="0"/>
                      <w:snapToGrid w:val="0"/>
                      <w:color w:val="auto"/>
                      <w:spacing w:val="6"/>
                      <w:sz w:val="21"/>
                      <w:szCs w:val="21"/>
                    </w:rPr>
                    <w:t>固态</w:t>
                  </w:r>
                </w:p>
              </w:tc>
              <w:tc>
                <w:tcPr>
                  <w:tcW w:w="473" w:type="pct"/>
                  <w:tcBorders>
                    <w:tl2br w:val="nil"/>
                    <w:tr2bl w:val="nil"/>
                  </w:tcBorders>
                  <w:shd w:val="clear" w:color="auto" w:fill="auto"/>
                  <w:vAlign w:val="center"/>
                </w:tcPr>
                <w:p w14:paraId="4151A83D">
                  <w:pPr>
                    <w:pStyle w:val="2"/>
                    <w:spacing w:before="0" w:after="0" w:line="240" w:lineRule="auto"/>
                    <w:jc w:val="center"/>
                    <w:rPr>
                      <w:rFonts w:hint="eastAsia" w:ascii="Times New Roman" w:hAnsi="Times New Roman" w:eastAsia="宋体" w:cs="Times New Roman"/>
                      <w:b w:val="0"/>
                      <w:bCs w:val="0"/>
                      <w:color w:val="auto"/>
                      <w:spacing w:val="6"/>
                      <w:kern w:val="2"/>
                      <w:sz w:val="21"/>
                      <w:szCs w:val="21"/>
                      <w:lang w:val="en-US" w:eastAsia="zh-CN" w:bidi="ar"/>
                    </w:rPr>
                  </w:pPr>
                  <w:r>
                    <w:rPr>
                      <w:rFonts w:hint="default" w:ascii="Times New Roman" w:hAnsi="Times New Roman" w:eastAsia="宋体" w:cs="Times New Roman"/>
                      <w:b w:val="0"/>
                      <w:bCs w:val="0"/>
                      <w:color w:val="auto"/>
                      <w:spacing w:val="6"/>
                      <w:kern w:val="2"/>
                      <w:sz w:val="21"/>
                      <w:szCs w:val="21"/>
                      <w:lang w:val="en-US" w:eastAsia="zh-CN" w:bidi="ar"/>
                    </w:rPr>
                    <w:t>金属、切削液</w:t>
                  </w:r>
                </w:p>
              </w:tc>
              <w:tc>
                <w:tcPr>
                  <w:tcW w:w="308" w:type="pct"/>
                  <w:tcBorders>
                    <w:tl2br w:val="nil"/>
                    <w:tr2bl w:val="nil"/>
                  </w:tcBorders>
                  <w:shd w:val="clear" w:color="auto" w:fill="auto"/>
                  <w:vAlign w:val="center"/>
                </w:tcPr>
                <w:p w14:paraId="32DA5177">
                  <w:pPr>
                    <w:pStyle w:val="22"/>
                    <w:widowControl w:val="0"/>
                    <w:snapToGrid w:val="0"/>
                    <w:spacing w:before="0" w:beforeAutospacing="0" w:after="0" w:afterAutospacing="0"/>
                    <w:jc w:val="center"/>
                    <w:rPr>
                      <w:rFonts w:hint="eastAsia" w:ascii="Times New Roman" w:hAnsi="Times New Roman" w:eastAsia="宋体" w:cs="Times New Roman"/>
                      <w:color w:val="auto"/>
                      <w:kern w:val="2"/>
                      <w:sz w:val="21"/>
                      <w:szCs w:val="21"/>
                      <w:lang w:val="en-US" w:eastAsia="zh-CN" w:bidi="ar"/>
                    </w:rPr>
                  </w:pPr>
                  <w:r>
                    <w:rPr>
                      <w:rFonts w:ascii="Times New Roman" w:hAnsi="Times New Roman"/>
                      <w:bCs/>
                      <w:color w:val="auto"/>
                      <w:sz w:val="21"/>
                      <w:szCs w:val="21"/>
                    </w:rPr>
                    <w:t>T</w:t>
                  </w:r>
                </w:p>
              </w:tc>
              <w:tc>
                <w:tcPr>
                  <w:tcW w:w="746" w:type="pct"/>
                  <w:tcBorders>
                    <w:tl2br w:val="nil"/>
                    <w:tr2bl w:val="nil"/>
                  </w:tcBorders>
                  <w:shd w:val="clear" w:color="auto" w:fill="auto"/>
                  <w:vAlign w:val="center"/>
                </w:tcPr>
                <w:p w14:paraId="6BCC56CD">
                  <w:pPr>
                    <w:adjustRightInd w:val="0"/>
                    <w:snapToGrid w:val="0"/>
                    <w:jc w:val="center"/>
                    <w:outlineLvl w:val="8"/>
                    <w:rPr>
                      <w:rFonts w:hint="eastAsia" w:ascii="Times New Roman" w:hAnsi="Times New Roman" w:eastAsia="宋体" w:cs="Times New Roman"/>
                      <w:color w:val="auto"/>
                      <w:kern w:val="2"/>
                      <w:sz w:val="21"/>
                      <w:szCs w:val="21"/>
                      <w:lang w:val="en-US" w:eastAsia="zh-CN" w:bidi="ar"/>
                    </w:rPr>
                  </w:pPr>
                  <w:r>
                    <w:rPr>
                      <w:color w:val="auto"/>
                    </w:rPr>
                    <w:t>HW09</w:t>
                  </w:r>
                </w:p>
              </w:tc>
              <w:tc>
                <w:tcPr>
                  <w:tcW w:w="749" w:type="pct"/>
                  <w:tcBorders>
                    <w:tl2br w:val="nil"/>
                    <w:tr2bl w:val="nil"/>
                  </w:tcBorders>
                  <w:shd w:val="clear" w:color="auto" w:fill="auto"/>
                  <w:vAlign w:val="center"/>
                </w:tcPr>
                <w:p w14:paraId="5C1E20CD">
                  <w:pPr>
                    <w:adjustRightInd w:val="0"/>
                    <w:snapToGrid w:val="0"/>
                    <w:jc w:val="center"/>
                    <w:outlineLvl w:val="8"/>
                    <w:rPr>
                      <w:rFonts w:hint="default" w:ascii="Times New Roman" w:hAnsi="Times New Roman" w:eastAsia="宋体" w:cs="Times New Roman"/>
                      <w:bCs/>
                      <w:color w:val="auto"/>
                      <w:kern w:val="2"/>
                      <w:sz w:val="21"/>
                      <w:szCs w:val="21"/>
                      <w:lang w:val="en-US" w:eastAsia="zh-CN" w:bidi="ar"/>
                    </w:rPr>
                  </w:pPr>
                  <w:r>
                    <w:rPr>
                      <w:color w:val="auto"/>
                    </w:rPr>
                    <w:t>900-006-09</w:t>
                  </w:r>
                </w:p>
              </w:tc>
              <w:tc>
                <w:tcPr>
                  <w:tcW w:w="456" w:type="pct"/>
                  <w:tcBorders>
                    <w:tl2br w:val="nil"/>
                    <w:tr2bl w:val="nil"/>
                  </w:tcBorders>
                  <w:shd w:val="clear" w:color="auto" w:fill="auto"/>
                  <w:vAlign w:val="center"/>
                </w:tcPr>
                <w:p w14:paraId="5E4F7535">
                  <w:pPr>
                    <w:widowControl/>
                    <w:jc w:val="center"/>
                    <w:rPr>
                      <w:rFonts w:hint="eastAsia" w:cs="Times New Roman"/>
                      <w:color w:val="auto"/>
                      <w:kern w:val="2"/>
                      <w:sz w:val="21"/>
                      <w:szCs w:val="21"/>
                      <w:lang w:val="en-US" w:eastAsia="zh-CN" w:bidi="ar-SA"/>
                    </w:rPr>
                  </w:pPr>
                  <w:r>
                    <w:rPr>
                      <w:rFonts w:hint="eastAsia" w:cs="Times New Roman"/>
                      <w:color w:val="auto"/>
                      <w:kern w:val="2"/>
                      <w:sz w:val="21"/>
                      <w:szCs w:val="21"/>
                      <w:lang w:val="en-US" w:eastAsia="zh-CN" w:bidi="ar-SA"/>
                    </w:rPr>
                    <w:t>151.096</w:t>
                  </w:r>
                </w:p>
              </w:tc>
              <w:tc>
                <w:tcPr>
                  <w:tcW w:w="298" w:type="pct"/>
                  <w:vMerge w:val="continue"/>
                  <w:tcBorders>
                    <w:tl2br w:val="nil"/>
                    <w:tr2bl w:val="nil"/>
                  </w:tcBorders>
                  <w:vAlign w:val="center"/>
                </w:tcPr>
                <w:p w14:paraId="0BACDF09">
                  <w:pPr>
                    <w:snapToGrid w:val="0"/>
                    <w:jc w:val="center"/>
                    <w:textAlignment w:val="baseline"/>
                    <w:rPr>
                      <w:rFonts w:hint="eastAsia" w:ascii="Times New Roman" w:hAnsi="Times New Roman" w:cs="Times New Roman"/>
                      <w:color w:val="auto"/>
                      <w:sz w:val="21"/>
                      <w:szCs w:val="21"/>
                      <w:lang w:bidi="ar-SA"/>
                    </w:rPr>
                  </w:pPr>
                </w:p>
              </w:tc>
            </w:tr>
          </w:tbl>
          <w:p w14:paraId="00E378B6">
            <w:pPr>
              <w:pStyle w:val="49"/>
              <w:ind w:firstLine="482"/>
              <w:jc w:val="left"/>
              <w:rPr>
                <w:b/>
                <w:bCs/>
                <w:color w:val="auto"/>
                <w:sz w:val="24"/>
                <w:szCs w:val="24"/>
              </w:rPr>
            </w:pPr>
            <w:r>
              <w:rPr>
                <w:rFonts w:hint="eastAsia"/>
                <w:b/>
                <w:bCs/>
                <w:color w:val="auto"/>
                <w:sz w:val="24"/>
                <w:szCs w:val="24"/>
                <w:lang w:val="en-US" w:eastAsia="zh-CN"/>
              </w:rPr>
              <w:t>④</w:t>
            </w:r>
            <w:r>
              <w:rPr>
                <w:rFonts w:hint="eastAsia"/>
                <w:b/>
                <w:bCs/>
                <w:color w:val="auto"/>
                <w:sz w:val="24"/>
                <w:szCs w:val="24"/>
              </w:rPr>
              <w:t>噪声</w:t>
            </w:r>
          </w:p>
          <w:p w14:paraId="4D62D1E6">
            <w:pPr>
              <w:pStyle w:val="10"/>
              <w:spacing w:before="0" w:after="0" w:line="360" w:lineRule="auto"/>
              <w:ind w:right="0" w:firstLine="480" w:firstLineChars="200"/>
              <w:jc w:val="left"/>
              <w:rPr>
                <w:bCs/>
                <w:color w:val="auto"/>
                <w:sz w:val="24"/>
                <w:szCs w:val="24"/>
              </w:rPr>
            </w:pPr>
            <w:r>
              <w:rPr>
                <w:rFonts w:hint="eastAsia"/>
                <w:color w:val="auto"/>
                <w:sz w:val="24"/>
                <w:szCs w:val="24"/>
              </w:rPr>
              <w:t>噪声主要来自设备运行噪声，</w:t>
            </w:r>
            <w:r>
              <w:rPr>
                <w:color w:val="auto"/>
                <w:sz w:val="24"/>
                <w:szCs w:val="24"/>
              </w:rPr>
              <w:t>均设置在室内且离厂界距离较远</w:t>
            </w:r>
            <w:r>
              <w:rPr>
                <w:rFonts w:hint="eastAsia"/>
                <w:color w:val="auto"/>
                <w:sz w:val="24"/>
                <w:szCs w:val="24"/>
              </w:rPr>
              <w:t>，</w:t>
            </w:r>
            <w:r>
              <w:rPr>
                <w:color w:val="auto"/>
                <w:sz w:val="24"/>
                <w:szCs w:val="24"/>
              </w:rPr>
              <w:t>通过减振、车间隔声、</w:t>
            </w:r>
            <w:r>
              <w:rPr>
                <w:rFonts w:hint="eastAsia"/>
                <w:color w:val="auto"/>
                <w:sz w:val="24"/>
                <w:szCs w:val="24"/>
              </w:rPr>
              <w:t>距离衰减等</w:t>
            </w:r>
            <w:r>
              <w:rPr>
                <w:color w:val="auto"/>
                <w:sz w:val="24"/>
                <w:szCs w:val="24"/>
              </w:rPr>
              <w:t>作用</w:t>
            </w:r>
            <w:r>
              <w:rPr>
                <w:rFonts w:hint="eastAsia"/>
                <w:color w:val="auto"/>
                <w:sz w:val="24"/>
                <w:szCs w:val="24"/>
              </w:rPr>
              <w:t>，</w:t>
            </w:r>
            <w:r>
              <w:rPr>
                <w:rFonts w:hint="eastAsia"/>
                <w:color w:val="auto"/>
                <w:sz w:val="24"/>
                <w:szCs w:val="24"/>
                <w:lang w:val="en-US" w:eastAsia="zh-CN"/>
              </w:rPr>
              <w:t>现</w:t>
            </w:r>
            <w:r>
              <w:rPr>
                <w:rFonts w:hint="eastAsia"/>
                <w:color w:val="auto"/>
                <w:sz w:val="24"/>
                <w:szCs w:val="24"/>
              </w:rPr>
              <w:t>有</w:t>
            </w:r>
            <w:r>
              <w:rPr>
                <w:color w:val="auto"/>
                <w:sz w:val="24"/>
                <w:szCs w:val="24"/>
              </w:rPr>
              <w:t>项目</w:t>
            </w:r>
            <w:r>
              <w:rPr>
                <w:rFonts w:hint="eastAsia"/>
                <w:color w:val="auto"/>
                <w:sz w:val="24"/>
                <w:szCs w:val="24"/>
              </w:rPr>
              <w:t>东、南、北侧</w:t>
            </w:r>
            <w:r>
              <w:rPr>
                <w:color w:val="auto"/>
                <w:sz w:val="24"/>
                <w:szCs w:val="24"/>
              </w:rPr>
              <w:t>厂界噪声</w:t>
            </w:r>
            <w:r>
              <w:rPr>
                <w:rFonts w:hint="eastAsia"/>
                <w:color w:val="auto"/>
                <w:sz w:val="24"/>
                <w:szCs w:val="24"/>
              </w:rPr>
              <w:t>满足</w:t>
            </w:r>
            <w:r>
              <w:rPr>
                <w:color w:val="auto"/>
                <w:sz w:val="24"/>
                <w:szCs w:val="24"/>
              </w:rPr>
              <w:t>《工业企业厂界环境噪声排放标准》（GB12348-2008）</w:t>
            </w:r>
            <w:r>
              <w:rPr>
                <w:rFonts w:hint="eastAsia"/>
                <w:color w:val="auto"/>
                <w:sz w:val="24"/>
                <w:szCs w:val="24"/>
                <w:lang w:val="en-US" w:eastAsia="zh-CN"/>
              </w:rPr>
              <w:t>3</w:t>
            </w:r>
            <w:r>
              <w:rPr>
                <w:color w:val="auto"/>
                <w:sz w:val="24"/>
                <w:szCs w:val="24"/>
              </w:rPr>
              <w:t>类标准</w:t>
            </w:r>
            <w:r>
              <w:rPr>
                <w:rFonts w:hint="eastAsia"/>
                <w:color w:val="auto"/>
                <w:sz w:val="24"/>
                <w:szCs w:val="24"/>
                <w:lang w:eastAsia="zh-CN"/>
              </w:rPr>
              <w:t>，西侧厂界噪声满足《工业企业厂界环境噪声排放标准》（GB12348-2008）</w:t>
            </w:r>
            <w:r>
              <w:rPr>
                <w:rFonts w:hint="eastAsia"/>
                <w:color w:val="auto"/>
                <w:sz w:val="24"/>
                <w:szCs w:val="24"/>
                <w:lang w:val="en-US" w:eastAsia="zh-CN"/>
              </w:rPr>
              <w:t>4</w:t>
            </w:r>
            <w:r>
              <w:rPr>
                <w:rFonts w:hint="eastAsia"/>
                <w:color w:val="auto"/>
                <w:sz w:val="24"/>
                <w:szCs w:val="24"/>
                <w:lang w:eastAsia="zh-CN"/>
              </w:rPr>
              <w:t>类标准</w:t>
            </w:r>
            <w:r>
              <w:rPr>
                <w:color w:val="auto"/>
                <w:sz w:val="24"/>
                <w:szCs w:val="24"/>
              </w:rPr>
              <w:t>。</w:t>
            </w:r>
          </w:p>
          <w:p w14:paraId="012E1364">
            <w:pPr>
              <w:pStyle w:val="49"/>
              <w:ind w:firstLine="482"/>
              <w:jc w:val="left"/>
              <w:rPr>
                <w:rFonts w:hint="default"/>
                <w:b/>
                <w:bCs/>
                <w:color w:val="auto"/>
                <w:sz w:val="24"/>
                <w:szCs w:val="24"/>
                <w:lang w:val="en-US" w:eastAsia="zh-CN"/>
              </w:rPr>
            </w:pPr>
            <w:bookmarkStart w:id="14" w:name="_Toc24071"/>
            <w:r>
              <w:rPr>
                <w:rFonts w:hint="eastAsia"/>
                <w:b w:val="0"/>
                <w:bCs w:val="0"/>
                <w:color w:val="auto"/>
                <w:sz w:val="24"/>
                <w:szCs w:val="24"/>
                <w:lang w:val="en-US" w:eastAsia="zh-CN"/>
              </w:rPr>
              <w:t>根据南通化学环境监测站有限公司2019年10月27日-28日对现有项目的验收监测数据，现有项目噪声排放达标，监测结果如下：</w:t>
            </w:r>
          </w:p>
          <w:p w14:paraId="152C2084">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sz w:val="24"/>
                <w:szCs w:val="24"/>
              </w:rPr>
            </w:pPr>
            <w:r>
              <w:rPr>
                <w:rFonts w:hint="default" w:ascii="Times New Roman" w:hAnsi="Times New Roman" w:cs="Times New Roman"/>
                <w:b/>
                <w:bCs/>
                <w:color w:val="auto"/>
                <w:sz w:val="24"/>
                <w:szCs w:val="24"/>
                <w:lang w:bidi="ar"/>
              </w:rPr>
              <w:t>表2-</w:t>
            </w:r>
            <w:r>
              <w:rPr>
                <w:rFonts w:hint="eastAsia" w:ascii="Times New Roman" w:hAnsi="Times New Roman" w:cs="Times New Roman"/>
                <w:b/>
                <w:bCs/>
                <w:color w:val="auto"/>
                <w:sz w:val="24"/>
                <w:szCs w:val="24"/>
                <w:lang w:bidi="ar"/>
              </w:rPr>
              <w:t>1</w:t>
            </w:r>
            <w:r>
              <w:rPr>
                <w:rFonts w:hint="eastAsia" w:cs="Times New Roman"/>
                <w:b/>
                <w:bCs/>
                <w:color w:val="auto"/>
                <w:sz w:val="24"/>
                <w:szCs w:val="24"/>
                <w:lang w:val="en-US" w:eastAsia="zh-CN" w:bidi="ar"/>
              </w:rPr>
              <w:t>1</w:t>
            </w:r>
            <w:r>
              <w:rPr>
                <w:rFonts w:hint="eastAsia" w:ascii="Times New Roman" w:hAnsi="Times New Roman" w:cs="Times New Roman"/>
                <w:b/>
                <w:bCs/>
                <w:color w:val="auto"/>
                <w:sz w:val="24"/>
                <w:szCs w:val="24"/>
                <w:lang w:bidi="ar"/>
              </w:rPr>
              <w:t xml:space="preserve"> </w:t>
            </w:r>
            <w:r>
              <w:rPr>
                <w:rFonts w:hint="default" w:ascii="Times New Roman" w:hAnsi="Times New Roman" w:cs="Times New Roman"/>
                <w:b/>
                <w:bCs/>
                <w:color w:val="auto"/>
                <w:sz w:val="24"/>
                <w:szCs w:val="24"/>
                <w:lang w:bidi="ar"/>
              </w:rPr>
              <w:t>原有项目噪声检测结果表</w:t>
            </w:r>
          </w:p>
          <w:tbl>
            <w:tblPr>
              <w:tblStyle w:val="26"/>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Layout w:type="fixed"/>
              <w:tblCellMar>
                <w:top w:w="0" w:type="dxa"/>
                <w:left w:w="108" w:type="dxa"/>
                <w:bottom w:w="0" w:type="dxa"/>
                <w:right w:w="108" w:type="dxa"/>
              </w:tblCellMar>
            </w:tblPr>
            <w:tblGrid>
              <w:gridCol w:w="1704"/>
              <w:gridCol w:w="1314"/>
              <w:gridCol w:w="1314"/>
              <w:gridCol w:w="1314"/>
              <w:gridCol w:w="1316"/>
              <w:gridCol w:w="715"/>
              <w:gridCol w:w="715"/>
            </w:tblGrid>
            <w:tr w14:paraId="74548F9C">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23" w:hRule="atLeast"/>
                <w:jc w:val="center"/>
              </w:trPr>
              <w:tc>
                <w:tcPr>
                  <w:tcW w:w="1015" w:type="pct"/>
                  <w:vMerge w:val="restart"/>
                  <w:tcBorders>
                    <w:tl2br w:val="nil"/>
                    <w:tr2bl w:val="nil"/>
                  </w:tcBorders>
                  <w:noWrap w:val="0"/>
                  <w:vAlign w:val="center"/>
                </w:tcPr>
                <w:p w14:paraId="1B9677E6">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bCs/>
                      <w:color w:val="auto"/>
                      <w:kern w:val="0"/>
                      <w:sz w:val="21"/>
                      <w:szCs w:val="21"/>
                    </w:rPr>
                  </w:pPr>
                  <w:r>
                    <w:rPr>
                      <w:rFonts w:hint="default" w:ascii="Times New Roman" w:hAnsi="Times New Roman" w:cs="Times New Roman"/>
                      <w:b/>
                      <w:bCs/>
                      <w:color w:val="auto"/>
                      <w:kern w:val="0"/>
                      <w:sz w:val="21"/>
                      <w:szCs w:val="21"/>
                      <w:lang w:bidi="ar"/>
                    </w:rPr>
                    <w:t>检测点位置</w:t>
                  </w:r>
                </w:p>
              </w:tc>
              <w:tc>
                <w:tcPr>
                  <w:tcW w:w="3132" w:type="pct"/>
                  <w:gridSpan w:val="4"/>
                  <w:tcBorders>
                    <w:tl2br w:val="nil"/>
                    <w:tr2bl w:val="nil"/>
                  </w:tcBorders>
                  <w:noWrap w:val="0"/>
                  <w:vAlign w:val="center"/>
                </w:tcPr>
                <w:p w14:paraId="70445517">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bCs/>
                      <w:color w:val="auto"/>
                      <w:kern w:val="0"/>
                      <w:sz w:val="21"/>
                      <w:szCs w:val="21"/>
                    </w:rPr>
                  </w:pPr>
                  <w:r>
                    <w:rPr>
                      <w:rFonts w:hint="default" w:ascii="Times New Roman" w:hAnsi="Times New Roman" w:cs="Times New Roman"/>
                      <w:b/>
                      <w:bCs/>
                      <w:color w:val="auto"/>
                      <w:kern w:val="0"/>
                      <w:sz w:val="21"/>
                      <w:szCs w:val="21"/>
                      <w:lang w:bidi="ar"/>
                    </w:rPr>
                    <w:t>检测结果</w:t>
                  </w:r>
                </w:p>
              </w:tc>
              <w:tc>
                <w:tcPr>
                  <w:tcW w:w="852" w:type="pct"/>
                  <w:gridSpan w:val="2"/>
                  <w:tcBorders>
                    <w:tl2br w:val="nil"/>
                    <w:tr2bl w:val="nil"/>
                  </w:tcBorders>
                  <w:noWrap w:val="0"/>
                  <w:vAlign w:val="center"/>
                </w:tcPr>
                <w:p w14:paraId="2252D8AB">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bCs/>
                      <w:color w:val="auto"/>
                      <w:kern w:val="0"/>
                      <w:sz w:val="21"/>
                      <w:szCs w:val="21"/>
                      <w:lang w:bidi="ar"/>
                    </w:rPr>
                  </w:pPr>
                  <w:r>
                    <w:rPr>
                      <w:rFonts w:hint="default" w:ascii="Times New Roman" w:hAnsi="Times New Roman" w:cs="Times New Roman"/>
                      <w:b/>
                      <w:bCs/>
                      <w:color w:val="auto"/>
                      <w:kern w:val="0"/>
                      <w:sz w:val="21"/>
                      <w:szCs w:val="21"/>
                      <w:lang w:bidi="ar"/>
                    </w:rPr>
                    <w:t>标准限值</w:t>
                  </w:r>
                </w:p>
              </w:tc>
            </w:tr>
            <w:tr w14:paraId="0FCFF5A1">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23" w:hRule="atLeast"/>
                <w:jc w:val="center"/>
              </w:trPr>
              <w:tc>
                <w:tcPr>
                  <w:tcW w:w="1015" w:type="pct"/>
                  <w:vMerge w:val="continue"/>
                  <w:tcBorders>
                    <w:tl2br w:val="nil"/>
                    <w:tr2bl w:val="nil"/>
                  </w:tcBorders>
                  <w:noWrap w:val="0"/>
                  <w:vAlign w:val="center"/>
                </w:tcPr>
                <w:p w14:paraId="4159302A">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782" w:type="pct"/>
                  <w:tcBorders>
                    <w:tl2br w:val="nil"/>
                    <w:tr2bl w:val="nil"/>
                  </w:tcBorders>
                  <w:noWrap w:val="0"/>
                  <w:vAlign w:val="center"/>
                </w:tcPr>
                <w:p w14:paraId="74B5F940">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bCs/>
                      <w:color w:val="auto"/>
                      <w:kern w:val="0"/>
                      <w:sz w:val="21"/>
                      <w:szCs w:val="21"/>
                    </w:rPr>
                  </w:pPr>
                  <w:r>
                    <w:rPr>
                      <w:rFonts w:hint="default" w:ascii="Times New Roman" w:hAnsi="Times New Roman" w:cs="Times New Roman"/>
                      <w:b/>
                      <w:bCs/>
                      <w:color w:val="auto"/>
                      <w:kern w:val="0"/>
                      <w:sz w:val="21"/>
                      <w:szCs w:val="21"/>
                    </w:rPr>
                    <w:t>20</w:t>
                  </w:r>
                  <w:r>
                    <w:rPr>
                      <w:rFonts w:hint="eastAsia" w:cs="Times New Roman"/>
                      <w:b/>
                      <w:bCs/>
                      <w:color w:val="auto"/>
                      <w:kern w:val="0"/>
                      <w:sz w:val="21"/>
                      <w:szCs w:val="21"/>
                      <w:lang w:val="en-US" w:eastAsia="zh-CN"/>
                    </w:rPr>
                    <w:t>19</w:t>
                  </w:r>
                  <w:r>
                    <w:rPr>
                      <w:rFonts w:hint="default" w:ascii="Times New Roman" w:hAnsi="Times New Roman" w:cs="Times New Roman"/>
                      <w:b/>
                      <w:bCs/>
                      <w:color w:val="auto"/>
                      <w:kern w:val="0"/>
                      <w:sz w:val="21"/>
                      <w:szCs w:val="21"/>
                    </w:rPr>
                    <w:t>年</w:t>
                  </w:r>
                  <w:r>
                    <w:rPr>
                      <w:rFonts w:hint="eastAsia" w:cs="Times New Roman"/>
                      <w:b/>
                      <w:bCs/>
                      <w:color w:val="auto"/>
                      <w:kern w:val="0"/>
                      <w:sz w:val="21"/>
                      <w:szCs w:val="21"/>
                      <w:lang w:val="en-US" w:eastAsia="zh-CN"/>
                    </w:rPr>
                    <w:t>10</w:t>
                  </w:r>
                  <w:r>
                    <w:rPr>
                      <w:rFonts w:hint="default" w:ascii="Times New Roman" w:hAnsi="Times New Roman" w:cs="Times New Roman"/>
                      <w:b/>
                      <w:bCs/>
                      <w:color w:val="auto"/>
                      <w:kern w:val="0"/>
                      <w:sz w:val="21"/>
                      <w:szCs w:val="21"/>
                    </w:rPr>
                    <w:t>月</w:t>
                  </w:r>
                  <w:r>
                    <w:rPr>
                      <w:rFonts w:hint="eastAsia" w:cs="Times New Roman"/>
                      <w:b/>
                      <w:bCs/>
                      <w:color w:val="auto"/>
                      <w:kern w:val="0"/>
                      <w:sz w:val="21"/>
                      <w:szCs w:val="21"/>
                      <w:lang w:val="en-US" w:eastAsia="zh-CN"/>
                    </w:rPr>
                    <w:t>27</w:t>
                  </w:r>
                  <w:r>
                    <w:rPr>
                      <w:rFonts w:hint="default" w:ascii="Times New Roman" w:hAnsi="Times New Roman" w:cs="Times New Roman"/>
                      <w:b/>
                      <w:bCs/>
                      <w:color w:val="auto"/>
                      <w:kern w:val="0"/>
                      <w:sz w:val="21"/>
                      <w:szCs w:val="21"/>
                    </w:rPr>
                    <w:t>日（昼间）</w:t>
                  </w:r>
                </w:p>
              </w:tc>
              <w:tc>
                <w:tcPr>
                  <w:tcW w:w="782" w:type="pct"/>
                  <w:tcBorders>
                    <w:tl2br w:val="nil"/>
                    <w:tr2bl w:val="nil"/>
                  </w:tcBorders>
                  <w:noWrap w:val="0"/>
                  <w:vAlign w:val="center"/>
                </w:tcPr>
                <w:p w14:paraId="7FEA9030">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bCs/>
                      <w:color w:val="auto"/>
                      <w:kern w:val="0"/>
                      <w:sz w:val="21"/>
                      <w:szCs w:val="21"/>
                    </w:rPr>
                  </w:pPr>
                  <w:r>
                    <w:rPr>
                      <w:rFonts w:hint="default" w:ascii="Times New Roman" w:hAnsi="Times New Roman" w:cs="Times New Roman"/>
                      <w:b/>
                      <w:bCs/>
                      <w:color w:val="auto"/>
                      <w:kern w:val="0"/>
                      <w:sz w:val="21"/>
                      <w:szCs w:val="21"/>
                    </w:rPr>
                    <w:t>20</w:t>
                  </w:r>
                  <w:r>
                    <w:rPr>
                      <w:rFonts w:hint="eastAsia" w:cs="Times New Roman"/>
                      <w:b/>
                      <w:bCs/>
                      <w:color w:val="auto"/>
                      <w:kern w:val="0"/>
                      <w:sz w:val="21"/>
                      <w:szCs w:val="21"/>
                      <w:lang w:val="en-US" w:eastAsia="zh-CN"/>
                    </w:rPr>
                    <w:t>19</w:t>
                  </w:r>
                  <w:r>
                    <w:rPr>
                      <w:rFonts w:hint="default" w:ascii="Times New Roman" w:hAnsi="Times New Roman" w:cs="Times New Roman"/>
                      <w:b/>
                      <w:bCs/>
                      <w:color w:val="auto"/>
                      <w:kern w:val="0"/>
                      <w:sz w:val="21"/>
                      <w:szCs w:val="21"/>
                    </w:rPr>
                    <w:t>年</w:t>
                  </w:r>
                  <w:r>
                    <w:rPr>
                      <w:rFonts w:hint="eastAsia" w:cs="Times New Roman"/>
                      <w:b/>
                      <w:bCs/>
                      <w:color w:val="auto"/>
                      <w:kern w:val="0"/>
                      <w:sz w:val="21"/>
                      <w:szCs w:val="21"/>
                      <w:lang w:val="en-US" w:eastAsia="zh-CN"/>
                    </w:rPr>
                    <w:t>10</w:t>
                  </w:r>
                  <w:r>
                    <w:rPr>
                      <w:rFonts w:hint="default" w:ascii="Times New Roman" w:hAnsi="Times New Roman" w:cs="Times New Roman"/>
                      <w:b/>
                      <w:bCs/>
                      <w:color w:val="auto"/>
                      <w:kern w:val="0"/>
                      <w:sz w:val="21"/>
                      <w:szCs w:val="21"/>
                    </w:rPr>
                    <w:t>月</w:t>
                  </w:r>
                  <w:r>
                    <w:rPr>
                      <w:rFonts w:hint="eastAsia" w:cs="Times New Roman"/>
                      <w:b/>
                      <w:bCs/>
                      <w:color w:val="auto"/>
                      <w:kern w:val="0"/>
                      <w:sz w:val="21"/>
                      <w:szCs w:val="21"/>
                      <w:lang w:val="en-US" w:eastAsia="zh-CN"/>
                    </w:rPr>
                    <w:t>27</w:t>
                  </w:r>
                  <w:r>
                    <w:rPr>
                      <w:rFonts w:hint="default" w:ascii="Times New Roman" w:hAnsi="Times New Roman" w:cs="Times New Roman"/>
                      <w:b/>
                      <w:bCs/>
                      <w:color w:val="auto"/>
                      <w:kern w:val="0"/>
                      <w:sz w:val="21"/>
                      <w:szCs w:val="21"/>
                    </w:rPr>
                    <w:t>日（</w:t>
                  </w:r>
                  <w:r>
                    <w:rPr>
                      <w:rFonts w:hint="eastAsia" w:ascii="Times New Roman" w:hAnsi="Times New Roman" w:cs="Times New Roman"/>
                      <w:b/>
                      <w:bCs/>
                      <w:color w:val="auto"/>
                      <w:kern w:val="0"/>
                      <w:sz w:val="21"/>
                      <w:szCs w:val="21"/>
                      <w:lang w:val="en-US" w:eastAsia="zh-CN"/>
                    </w:rPr>
                    <w:t>夜</w:t>
                  </w:r>
                  <w:r>
                    <w:rPr>
                      <w:rFonts w:hint="default" w:ascii="Times New Roman" w:hAnsi="Times New Roman" w:cs="Times New Roman"/>
                      <w:b/>
                      <w:bCs/>
                      <w:color w:val="auto"/>
                      <w:kern w:val="0"/>
                      <w:sz w:val="21"/>
                      <w:szCs w:val="21"/>
                    </w:rPr>
                    <w:t>间）</w:t>
                  </w:r>
                </w:p>
              </w:tc>
              <w:tc>
                <w:tcPr>
                  <w:tcW w:w="782" w:type="pct"/>
                  <w:tcBorders>
                    <w:tl2br w:val="nil"/>
                    <w:tr2bl w:val="nil"/>
                  </w:tcBorders>
                  <w:shd w:val="clear" w:color="auto" w:fill="auto"/>
                  <w:noWrap w:val="0"/>
                  <w:vAlign w:val="center"/>
                </w:tcPr>
                <w:p w14:paraId="3ACBCA88">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b/>
                      <w:bCs/>
                      <w:color w:val="auto"/>
                      <w:kern w:val="0"/>
                      <w:sz w:val="21"/>
                      <w:szCs w:val="21"/>
                      <w:lang w:val="en-US" w:eastAsia="zh-CN" w:bidi="ar"/>
                    </w:rPr>
                  </w:pPr>
                  <w:r>
                    <w:rPr>
                      <w:rFonts w:hint="default" w:ascii="Times New Roman" w:hAnsi="Times New Roman" w:cs="Times New Roman"/>
                      <w:b/>
                      <w:bCs/>
                      <w:color w:val="auto"/>
                      <w:kern w:val="0"/>
                      <w:sz w:val="21"/>
                      <w:szCs w:val="21"/>
                    </w:rPr>
                    <w:t>20</w:t>
                  </w:r>
                  <w:r>
                    <w:rPr>
                      <w:rFonts w:hint="eastAsia" w:cs="Times New Roman"/>
                      <w:b/>
                      <w:bCs/>
                      <w:color w:val="auto"/>
                      <w:kern w:val="0"/>
                      <w:sz w:val="21"/>
                      <w:szCs w:val="21"/>
                      <w:lang w:val="en-US" w:eastAsia="zh-CN"/>
                    </w:rPr>
                    <w:t>19</w:t>
                  </w:r>
                  <w:r>
                    <w:rPr>
                      <w:rFonts w:hint="default" w:ascii="Times New Roman" w:hAnsi="Times New Roman" w:cs="Times New Roman"/>
                      <w:b/>
                      <w:bCs/>
                      <w:color w:val="auto"/>
                      <w:kern w:val="0"/>
                      <w:sz w:val="21"/>
                      <w:szCs w:val="21"/>
                    </w:rPr>
                    <w:t>年</w:t>
                  </w:r>
                  <w:r>
                    <w:rPr>
                      <w:rFonts w:hint="eastAsia" w:cs="Times New Roman"/>
                      <w:b/>
                      <w:bCs/>
                      <w:color w:val="auto"/>
                      <w:kern w:val="0"/>
                      <w:sz w:val="21"/>
                      <w:szCs w:val="21"/>
                      <w:lang w:val="en-US" w:eastAsia="zh-CN"/>
                    </w:rPr>
                    <w:t>10</w:t>
                  </w:r>
                  <w:r>
                    <w:rPr>
                      <w:rFonts w:hint="default" w:ascii="Times New Roman" w:hAnsi="Times New Roman" w:cs="Times New Roman"/>
                      <w:b/>
                      <w:bCs/>
                      <w:color w:val="auto"/>
                      <w:kern w:val="0"/>
                      <w:sz w:val="21"/>
                      <w:szCs w:val="21"/>
                    </w:rPr>
                    <w:t>月</w:t>
                  </w:r>
                  <w:r>
                    <w:rPr>
                      <w:rFonts w:hint="eastAsia" w:cs="Times New Roman"/>
                      <w:b/>
                      <w:bCs/>
                      <w:color w:val="auto"/>
                      <w:kern w:val="0"/>
                      <w:sz w:val="21"/>
                      <w:szCs w:val="21"/>
                      <w:lang w:val="en-US" w:eastAsia="zh-CN"/>
                    </w:rPr>
                    <w:t>28</w:t>
                  </w:r>
                  <w:r>
                    <w:rPr>
                      <w:rFonts w:hint="default" w:ascii="Times New Roman" w:hAnsi="Times New Roman" w:cs="Times New Roman"/>
                      <w:b/>
                      <w:bCs/>
                      <w:color w:val="auto"/>
                      <w:kern w:val="0"/>
                      <w:sz w:val="21"/>
                      <w:szCs w:val="21"/>
                    </w:rPr>
                    <w:t>日（昼间）</w:t>
                  </w:r>
                </w:p>
              </w:tc>
              <w:tc>
                <w:tcPr>
                  <w:tcW w:w="784" w:type="pct"/>
                  <w:tcBorders>
                    <w:tl2br w:val="nil"/>
                    <w:tr2bl w:val="nil"/>
                  </w:tcBorders>
                  <w:shd w:val="clear" w:color="auto" w:fill="auto"/>
                  <w:noWrap w:val="0"/>
                  <w:vAlign w:val="center"/>
                </w:tcPr>
                <w:p w14:paraId="0C24A331">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b/>
                      <w:bCs/>
                      <w:color w:val="auto"/>
                      <w:kern w:val="0"/>
                      <w:sz w:val="21"/>
                      <w:szCs w:val="21"/>
                      <w:lang w:val="en-US" w:eastAsia="zh-CN" w:bidi="ar"/>
                    </w:rPr>
                  </w:pPr>
                  <w:r>
                    <w:rPr>
                      <w:rFonts w:hint="default" w:ascii="Times New Roman" w:hAnsi="Times New Roman" w:cs="Times New Roman"/>
                      <w:b/>
                      <w:bCs/>
                      <w:color w:val="auto"/>
                      <w:kern w:val="0"/>
                      <w:sz w:val="21"/>
                      <w:szCs w:val="21"/>
                    </w:rPr>
                    <w:t>20</w:t>
                  </w:r>
                  <w:r>
                    <w:rPr>
                      <w:rFonts w:hint="eastAsia" w:cs="Times New Roman"/>
                      <w:b/>
                      <w:bCs/>
                      <w:color w:val="auto"/>
                      <w:kern w:val="0"/>
                      <w:sz w:val="21"/>
                      <w:szCs w:val="21"/>
                      <w:lang w:val="en-US" w:eastAsia="zh-CN"/>
                    </w:rPr>
                    <w:t>19</w:t>
                  </w:r>
                  <w:r>
                    <w:rPr>
                      <w:rFonts w:hint="default" w:ascii="Times New Roman" w:hAnsi="Times New Roman" w:cs="Times New Roman"/>
                      <w:b/>
                      <w:bCs/>
                      <w:color w:val="auto"/>
                      <w:kern w:val="0"/>
                      <w:sz w:val="21"/>
                      <w:szCs w:val="21"/>
                    </w:rPr>
                    <w:t>年</w:t>
                  </w:r>
                  <w:r>
                    <w:rPr>
                      <w:rFonts w:hint="eastAsia" w:cs="Times New Roman"/>
                      <w:b/>
                      <w:bCs/>
                      <w:color w:val="auto"/>
                      <w:kern w:val="0"/>
                      <w:sz w:val="21"/>
                      <w:szCs w:val="21"/>
                      <w:lang w:val="en-US" w:eastAsia="zh-CN"/>
                    </w:rPr>
                    <w:t>10</w:t>
                  </w:r>
                  <w:r>
                    <w:rPr>
                      <w:rFonts w:hint="default" w:ascii="Times New Roman" w:hAnsi="Times New Roman" w:cs="Times New Roman"/>
                      <w:b/>
                      <w:bCs/>
                      <w:color w:val="auto"/>
                      <w:kern w:val="0"/>
                      <w:sz w:val="21"/>
                      <w:szCs w:val="21"/>
                    </w:rPr>
                    <w:t>月</w:t>
                  </w:r>
                  <w:r>
                    <w:rPr>
                      <w:rFonts w:hint="eastAsia" w:cs="Times New Roman"/>
                      <w:b/>
                      <w:bCs/>
                      <w:color w:val="auto"/>
                      <w:kern w:val="0"/>
                      <w:sz w:val="21"/>
                      <w:szCs w:val="21"/>
                      <w:lang w:val="en-US" w:eastAsia="zh-CN"/>
                    </w:rPr>
                    <w:t>28</w:t>
                  </w:r>
                  <w:r>
                    <w:rPr>
                      <w:rFonts w:hint="default" w:ascii="Times New Roman" w:hAnsi="Times New Roman" w:cs="Times New Roman"/>
                      <w:b/>
                      <w:bCs/>
                      <w:color w:val="auto"/>
                      <w:kern w:val="0"/>
                      <w:sz w:val="21"/>
                      <w:szCs w:val="21"/>
                    </w:rPr>
                    <w:t>日（</w:t>
                  </w:r>
                  <w:r>
                    <w:rPr>
                      <w:rFonts w:hint="eastAsia" w:ascii="Times New Roman" w:hAnsi="Times New Roman" w:cs="Times New Roman"/>
                      <w:b/>
                      <w:bCs/>
                      <w:color w:val="auto"/>
                      <w:kern w:val="0"/>
                      <w:sz w:val="21"/>
                      <w:szCs w:val="21"/>
                      <w:lang w:val="en-US" w:eastAsia="zh-CN"/>
                    </w:rPr>
                    <w:t>夜</w:t>
                  </w:r>
                  <w:r>
                    <w:rPr>
                      <w:rFonts w:hint="default" w:ascii="Times New Roman" w:hAnsi="Times New Roman" w:cs="Times New Roman"/>
                      <w:b/>
                      <w:bCs/>
                      <w:color w:val="auto"/>
                      <w:kern w:val="0"/>
                      <w:sz w:val="21"/>
                      <w:szCs w:val="21"/>
                    </w:rPr>
                    <w:t>间）</w:t>
                  </w:r>
                </w:p>
              </w:tc>
              <w:tc>
                <w:tcPr>
                  <w:tcW w:w="426" w:type="pct"/>
                  <w:tcBorders>
                    <w:tl2br w:val="nil"/>
                    <w:tr2bl w:val="nil"/>
                  </w:tcBorders>
                  <w:noWrap w:val="0"/>
                  <w:vAlign w:val="center"/>
                </w:tcPr>
                <w:p w14:paraId="4D9B618F">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default" w:ascii="Times New Roman" w:hAnsi="Times New Roman" w:cs="Times New Roman"/>
                      <w:b/>
                      <w:bCs/>
                      <w:color w:val="auto"/>
                      <w:kern w:val="0"/>
                      <w:sz w:val="21"/>
                      <w:szCs w:val="21"/>
                      <w:lang w:bidi="ar"/>
                    </w:rPr>
                    <w:t>昼间</w:t>
                  </w:r>
                </w:p>
              </w:tc>
              <w:tc>
                <w:tcPr>
                  <w:tcW w:w="426" w:type="pct"/>
                  <w:tcBorders>
                    <w:tl2br w:val="nil"/>
                    <w:tr2bl w:val="nil"/>
                  </w:tcBorders>
                  <w:noWrap w:val="0"/>
                  <w:vAlign w:val="center"/>
                </w:tcPr>
                <w:p w14:paraId="3AA86C7A">
                  <w:pPr>
                    <w:keepNext w:val="0"/>
                    <w:keepLines w:val="0"/>
                    <w:suppressLineNumbers w:val="0"/>
                    <w:spacing w:before="0" w:beforeAutospacing="0" w:after="0" w:afterAutospacing="0"/>
                    <w:ind w:left="0" w:right="0"/>
                    <w:jc w:val="center"/>
                    <w:rPr>
                      <w:rFonts w:hint="eastAsia" w:ascii="Times New Roman" w:hAnsi="Times New Roman" w:eastAsia="宋体" w:cs="Times New Roman"/>
                      <w:b/>
                      <w:bCs/>
                      <w:color w:val="auto"/>
                      <w:kern w:val="0"/>
                      <w:sz w:val="21"/>
                      <w:szCs w:val="21"/>
                      <w:lang w:val="en-US" w:eastAsia="zh-CN" w:bidi="ar"/>
                    </w:rPr>
                  </w:pPr>
                  <w:r>
                    <w:rPr>
                      <w:rFonts w:hint="eastAsia" w:cs="Times New Roman"/>
                      <w:b/>
                      <w:bCs/>
                      <w:color w:val="auto"/>
                      <w:kern w:val="0"/>
                      <w:sz w:val="21"/>
                      <w:szCs w:val="21"/>
                      <w:lang w:val="en-US" w:eastAsia="zh-CN" w:bidi="ar"/>
                    </w:rPr>
                    <w:t>夜间</w:t>
                  </w:r>
                </w:p>
              </w:tc>
            </w:tr>
            <w:tr w14:paraId="00277A76">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23" w:hRule="atLeast"/>
                <w:jc w:val="center"/>
              </w:trPr>
              <w:tc>
                <w:tcPr>
                  <w:tcW w:w="1015" w:type="pct"/>
                  <w:tcBorders>
                    <w:tl2br w:val="nil"/>
                    <w:tr2bl w:val="nil"/>
                  </w:tcBorders>
                  <w:noWrap w:val="0"/>
                  <w:vAlign w:val="center"/>
                </w:tcPr>
                <w:p w14:paraId="6501414E">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kern w:val="0"/>
                      <w:sz w:val="21"/>
                      <w:szCs w:val="21"/>
                    </w:rPr>
                  </w:pPr>
                  <w:r>
                    <w:rPr>
                      <w:rFonts w:hint="eastAsia" w:cs="Times New Roman"/>
                      <w:color w:val="auto"/>
                      <w:kern w:val="0"/>
                      <w:sz w:val="21"/>
                      <w:szCs w:val="21"/>
                      <w:lang w:val="en-US" w:eastAsia="zh-CN" w:bidi="ar"/>
                    </w:rPr>
                    <w:t>N1东</w:t>
                  </w:r>
                  <w:r>
                    <w:rPr>
                      <w:rFonts w:hint="default" w:ascii="Times New Roman" w:hAnsi="Times New Roman" w:cs="Times New Roman"/>
                      <w:color w:val="auto"/>
                      <w:kern w:val="0"/>
                      <w:sz w:val="21"/>
                      <w:szCs w:val="21"/>
                      <w:lang w:bidi="ar"/>
                    </w:rPr>
                    <w:t>厂界外1m</w:t>
                  </w:r>
                </w:p>
              </w:tc>
              <w:tc>
                <w:tcPr>
                  <w:tcW w:w="782" w:type="pct"/>
                  <w:tcBorders>
                    <w:tl2br w:val="nil"/>
                    <w:tr2bl w:val="nil"/>
                  </w:tcBorders>
                  <w:noWrap w:val="0"/>
                  <w:vAlign w:val="center"/>
                </w:tcPr>
                <w:p w14:paraId="4016E6E0">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0"/>
                      <w:sz w:val="21"/>
                      <w:szCs w:val="21"/>
                      <w:lang w:val="en-US" w:eastAsia="zh-CN"/>
                    </w:rPr>
                  </w:pPr>
                  <w:r>
                    <w:rPr>
                      <w:rFonts w:hint="eastAsia" w:cs="Times New Roman"/>
                      <w:color w:val="auto"/>
                      <w:kern w:val="0"/>
                      <w:sz w:val="21"/>
                      <w:szCs w:val="21"/>
                      <w:lang w:val="en-US" w:eastAsia="zh-CN"/>
                    </w:rPr>
                    <w:t>53.3</w:t>
                  </w:r>
                </w:p>
              </w:tc>
              <w:tc>
                <w:tcPr>
                  <w:tcW w:w="782" w:type="pct"/>
                  <w:tcBorders>
                    <w:tl2br w:val="nil"/>
                    <w:tr2bl w:val="nil"/>
                  </w:tcBorders>
                  <w:noWrap w:val="0"/>
                  <w:vAlign w:val="center"/>
                </w:tcPr>
                <w:p w14:paraId="4CA72CCE">
                  <w:pPr>
                    <w:keepNext w:val="0"/>
                    <w:keepLines w:val="0"/>
                    <w:widowControl/>
                    <w:suppressLineNumbers w:val="0"/>
                    <w:adjustRightInd w:val="0"/>
                    <w:snapToGrid w:val="0"/>
                    <w:spacing w:before="0" w:beforeAutospacing="0" w:after="0" w:afterAutospacing="0"/>
                    <w:ind w:left="0" w:right="0"/>
                    <w:jc w:val="center"/>
                    <w:rPr>
                      <w:rFonts w:hint="default" w:eastAsia="宋体" w:cs="Times New Roman"/>
                      <w:color w:val="auto"/>
                      <w:kern w:val="0"/>
                      <w:sz w:val="21"/>
                      <w:szCs w:val="21"/>
                      <w:lang w:val="en-US" w:eastAsia="zh-CN"/>
                    </w:rPr>
                  </w:pPr>
                  <w:r>
                    <w:rPr>
                      <w:rFonts w:hint="eastAsia" w:cs="Times New Roman"/>
                      <w:color w:val="auto"/>
                      <w:kern w:val="0"/>
                      <w:sz w:val="21"/>
                      <w:szCs w:val="21"/>
                      <w:lang w:val="en-US" w:eastAsia="zh-CN"/>
                    </w:rPr>
                    <w:t>48.4</w:t>
                  </w:r>
                </w:p>
              </w:tc>
              <w:tc>
                <w:tcPr>
                  <w:tcW w:w="782" w:type="pct"/>
                  <w:tcBorders>
                    <w:tl2br w:val="nil"/>
                    <w:tr2bl w:val="nil"/>
                  </w:tcBorders>
                  <w:noWrap w:val="0"/>
                  <w:vAlign w:val="center"/>
                </w:tcPr>
                <w:p w14:paraId="1D35B627">
                  <w:pPr>
                    <w:keepNext w:val="0"/>
                    <w:keepLines w:val="0"/>
                    <w:widowControl/>
                    <w:suppressLineNumbers w:val="0"/>
                    <w:adjustRightInd w:val="0"/>
                    <w:snapToGrid w:val="0"/>
                    <w:spacing w:before="0" w:beforeAutospacing="0" w:after="0" w:afterAutospacing="0"/>
                    <w:ind w:left="0" w:right="0"/>
                    <w:jc w:val="center"/>
                    <w:rPr>
                      <w:rFonts w:hint="default" w:eastAsia="宋体" w:cs="Times New Roman"/>
                      <w:color w:val="auto"/>
                      <w:kern w:val="0"/>
                      <w:sz w:val="21"/>
                      <w:szCs w:val="21"/>
                      <w:lang w:val="en-US" w:eastAsia="zh-CN"/>
                    </w:rPr>
                  </w:pPr>
                  <w:r>
                    <w:rPr>
                      <w:rFonts w:hint="eastAsia" w:cs="Times New Roman"/>
                      <w:color w:val="auto"/>
                      <w:kern w:val="0"/>
                      <w:sz w:val="21"/>
                      <w:szCs w:val="21"/>
                      <w:lang w:val="en-US" w:eastAsia="zh-CN"/>
                    </w:rPr>
                    <w:t>53.9</w:t>
                  </w:r>
                </w:p>
              </w:tc>
              <w:tc>
                <w:tcPr>
                  <w:tcW w:w="784" w:type="pct"/>
                  <w:tcBorders>
                    <w:tl2br w:val="nil"/>
                    <w:tr2bl w:val="nil"/>
                  </w:tcBorders>
                  <w:noWrap w:val="0"/>
                  <w:vAlign w:val="center"/>
                </w:tcPr>
                <w:p w14:paraId="032ADE64">
                  <w:pPr>
                    <w:keepNext w:val="0"/>
                    <w:keepLines w:val="0"/>
                    <w:widowControl/>
                    <w:suppressLineNumbers w:val="0"/>
                    <w:adjustRightInd w:val="0"/>
                    <w:snapToGrid w:val="0"/>
                    <w:spacing w:before="0" w:beforeAutospacing="0" w:after="0" w:afterAutospacing="0"/>
                    <w:ind w:left="0" w:right="0"/>
                    <w:jc w:val="center"/>
                    <w:rPr>
                      <w:rFonts w:hint="default" w:eastAsia="宋体" w:cs="Times New Roman"/>
                      <w:color w:val="auto"/>
                      <w:kern w:val="0"/>
                      <w:sz w:val="21"/>
                      <w:szCs w:val="21"/>
                      <w:lang w:val="en-US" w:eastAsia="zh-CN"/>
                    </w:rPr>
                  </w:pPr>
                  <w:r>
                    <w:rPr>
                      <w:rFonts w:hint="eastAsia" w:cs="Times New Roman"/>
                      <w:color w:val="auto"/>
                      <w:kern w:val="0"/>
                      <w:sz w:val="21"/>
                      <w:szCs w:val="21"/>
                      <w:lang w:val="en-US" w:eastAsia="zh-CN"/>
                    </w:rPr>
                    <w:t>47.4</w:t>
                  </w:r>
                </w:p>
              </w:tc>
              <w:tc>
                <w:tcPr>
                  <w:tcW w:w="426" w:type="pct"/>
                  <w:tcBorders>
                    <w:tl2br w:val="nil"/>
                    <w:tr2bl w:val="nil"/>
                  </w:tcBorders>
                  <w:shd w:val="clear" w:color="auto" w:fill="auto"/>
                  <w:noWrap w:val="0"/>
                  <w:vAlign w:val="center"/>
                </w:tcPr>
                <w:p w14:paraId="3881B530">
                  <w:pPr>
                    <w:pStyle w:val="108"/>
                    <w:keepNext w:val="0"/>
                    <w:keepLines w:val="0"/>
                    <w:pageBreakBefore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仿宋" w:cs="Times New Roman"/>
                      <w:color w:val="auto"/>
                      <w:kern w:val="18"/>
                      <w:sz w:val="21"/>
                      <w:szCs w:val="21"/>
                      <w:vertAlign w:val="baseline"/>
                      <w:lang w:val="en-US" w:eastAsia="zh-CN" w:bidi="ar"/>
                    </w:rPr>
                  </w:pPr>
                  <w:r>
                    <w:rPr>
                      <w:rFonts w:hint="eastAsia" w:ascii="Times New Roman" w:hAnsi="Times New Roman" w:eastAsia="仿宋" w:cs="Times New Roman"/>
                      <w:color w:val="auto"/>
                      <w:sz w:val="21"/>
                      <w:szCs w:val="21"/>
                      <w:vertAlign w:val="baseline"/>
                      <w:lang w:val="en-US" w:eastAsia="zh-CN"/>
                    </w:rPr>
                    <w:t>65</w:t>
                  </w:r>
                </w:p>
              </w:tc>
              <w:tc>
                <w:tcPr>
                  <w:tcW w:w="426" w:type="pct"/>
                  <w:tcBorders>
                    <w:tl2br w:val="nil"/>
                    <w:tr2bl w:val="nil"/>
                  </w:tcBorders>
                  <w:shd w:val="clear" w:color="auto" w:fill="auto"/>
                  <w:noWrap w:val="0"/>
                  <w:vAlign w:val="center"/>
                </w:tcPr>
                <w:p w14:paraId="6180CFB2">
                  <w:pPr>
                    <w:pStyle w:val="108"/>
                    <w:keepNext w:val="0"/>
                    <w:keepLines w:val="0"/>
                    <w:pageBreakBefore w:val="0"/>
                    <w:kinsoku/>
                    <w:wordWrap/>
                    <w:overflowPunct/>
                    <w:topLinePunct w:val="0"/>
                    <w:autoSpaceDE/>
                    <w:autoSpaceDN/>
                    <w:bidi w:val="0"/>
                    <w:spacing w:line="240" w:lineRule="auto"/>
                    <w:ind w:firstLine="0" w:firstLineChars="0"/>
                    <w:jc w:val="center"/>
                    <w:textAlignment w:val="auto"/>
                    <w:rPr>
                      <w:rFonts w:hint="eastAsia" w:ascii="Times New Roman" w:hAnsi="Times New Roman" w:eastAsia="仿宋" w:cs="Times New Roman"/>
                      <w:color w:val="auto"/>
                      <w:kern w:val="18"/>
                      <w:sz w:val="21"/>
                      <w:szCs w:val="21"/>
                      <w:vertAlign w:val="baseline"/>
                      <w:lang w:val="en-US" w:eastAsia="zh-CN" w:bidi="ar"/>
                    </w:rPr>
                  </w:pPr>
                  <w:r>
                    <w:rPr>
                      <w:rFonts w:hint="eastAsia" w:ascii="Times New Roman" w:hAnsi="Times New Roman" w:eastAsia="仿宋" w:cs="Times New Roman"/>
                      <w:color w:val="auto"/>
                      <w:sz w:val="21"/>
                      <w:szCs w:val="21"/>
                      <w:vertAlign w:val="baseline"/>
                      <w:lang w:val="en-US" w:eastAsia="zh-CN"/>
                    </w:rPr>
                    <w:t>55</w:t>
                  </w:r>
                </w:p>
              </w:tc>
            </w:tr>
            <w:tr w14:paraId="039B98F0">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23" w:hRule="atLeast"/>
                <w:jc w:val="center"/>
              </w:trPr>
              <w:tc>
                <w:tcPr>
                  <w:tcW w:w="1015" w:type="pct"/>
                  <w:tcBorders>
                    <w:tl2br w:val="nil"/>
                    <w:tr2bl w:val="nil"/>
                  </w:tcBorders>
                  <w:noWrap w:val="0"/>
                  <w:vAlign w:val="center"/>
                </w:tcPr>
                <w:p w14:paraId="017EE424">
                  <w:pPr>
                    <w:keepNext w:val="0"/>
                    <w:keepLines w:val="0"/>
                    <w:suppressLineNumbers w:val="0"/>
                    <w:adjustRightInd w:val="0"/>
                    <w:snapToGrid w:val="0"/>
                    <w:spacing w:before="0" w:beforeAutospacing="0" w:after="0" w:afterAutospacing="0"/>
                    <w:ind w:left="0" w:right="0"/>
                    <w:jc w:val="center"/>
                    <w:rPr>
                      <w:rFonts w:hint="eastAsia" w:ascii="Times New Roman" w:hAnsi="Times New Roman" w:cs="Times New Roman"/>
                      <w:color w:val="auto"/>
                      <w:kern w:val="0"/>
                      <w:sz w:val="21"/>
                      <w:szCs w:val="21"/>
                      <w:lang w:bidi="ar"/>
                    </w:rPr>
                  </w:pPr>
                  <w:r>
                    <w:rPr>
                      <w:rFonts w:hint="eastAsia" w:cs="Times New Roman"/>
                      <w:color w:val="auto"/>
                      <w:kern w:val="0"/>
                      <w:sz w:val="21"/>
                      <w:szCs w:val="21"/>
                      <w:lang w:val="en-US" w:eastAsia="zh-CN" w:bidi="ar"/>
                    </w:rPr>
                    <w:t>N2南</w:t>
                  </w:r>
                  <w:r>
                    <w:rPr>
                      <w:rFonts w:hint="default" w:ascii="Times New Roman" w:hAnsi="Times New Roman" w:cs="Times New Roman"/>
                      <w:color w:val="auto"/>
                      <w:kern w:val="0"/>
                      <w:sz w:val="21"/>
                      <w:szCs w:val="21"/>
                      <w:lang w:bidi="ar"/>
                    </w:rPr>
                    <w:t>厂界外1m</w:t>
                  </w:r>
                </w:p>
              </w:tc>
              <w:tc>
                <w:tcPr>
                  <w:tcW w:w="782" w:type="pct"/>
                  <w:tcBorders>
                    <w:tl2br w:val="nil"/>
                    <w:tr2bl w:val="nil"/>
                  </w:tcBorders>
                  <w:noWrap w:val="0"/>
                  <w:vAlign w:val="center"/>
                </w:tcPr>
                <w:p w14:paraId="3693DACA">
                  <w:pPr>
                    <w:keepNext w:val="0"/>
                    <w:keepLines w:val="0"/>
                    <w:widowControl/>
                    <w:suppressLineNumbers w:val="0"/>
                    <w:adjustRightInd w:val="0"/>
                    <w:snapToGrid w:val="0"/>
                    <w:spacing w:before="0" w:beforeAutospacing="0" w:after="0" w:afterAutospacing="0"/>
                    <w:ind w:left="0" w:right="0"/>
                    <w:jc w:val="center"/>
                    <w:rPr>
                      <w:rFonts w:hint="default" w:eastAsia="宋体" w:cs="Times New Roman"/>
                      <w:color w:val="auto"/>
                      <w:kern w:val="0"/>
                      <w:sz w:val="21"/>
                      <w:szCs w:val="21"/>
                      <w:lang w:val="en-US" w:eastAsia="zh-CN"/>
                    </w:rPr>
                  </w:pPr>
                  <w:r>
                    <w:rPr>
                      <w:rFonts w:hint="eastAsia" w:cs="Times New Roman"/>
                      <w:color w:val="auto"/>
                      <w:kern w:val="0"/>
                      <w:sz w:val="21"/>
                      <w:szCs w:val="21"/>
                      <w:lang w:val="en-US" w:eastAsia="zh-CN"/>
                    </w:rPr>
                    <w:t>53.4</w:t>
                  </w:r>
                </w:p>
              </w:tc>
              <w:tc>
                <w:tcPr>
                  <w:tcW w:w="782" w:type="pct"/>
                  <w:tcBorders>
                    <w:tl2br w:val="nil"/>
                    <w:tr2bl w:val="nil"/>
                  </w:tcBorders>
                  <w:noWrap w:val="0"/>
                  <w:vAlign w:val="center"/>
                </w:tcPr>
                <w:p w14:paraId="7B384C1A">
                  <w:pPr>
                    <w:keepNext w:val="0"/>
                    <w:keepLines w:val="0"/>
                    <w:widowControl/>
                    <w:suppressLineNumbers w:val="0"/>
                    <w:adjustRightInd w:val="0"/>
                    <w:snapToGrid w:val="0"/>
                    <w:spacing w:before="0" w:beforeAutospacing="0" w:after="0" w:afterAutospacing="0"/>
                    <w:ind w:left="0" w:right="0"/>
                    <w:jc w:val="center"/>
                    <w:rPr>
                      <w:rFonts w:hint="default" w:eastAsia="宋体" w:cs="Times New Roman"/>
                      <w:color w:val="auto"/>
                      <w:kern w:val="0"/>
                      <w:sz w:val="21"/>
                      <w:szCs w:val="21"/>
                      <w:lang w:val="en-US" w:eastAsia="zh-CN"/>
                    </w:rPr>
                  </w:pPr>
                  <w:r>
                    <w:rPr>
                      <w:rFonts w:hint="eastAsia" w:cs="Times New Roman"/>
                      <w:color w:val="auto"/>
                      <w:kern w:val="0"/>
                      <w:sz w:val="21"/>
                      <w:szCs w:val="21"/>
                      <w:lang w:val="en-US" w:eastAsia="zh-CN"/>
                    </w:rPr>
                    <w:t>49.8</w:t>
                  </w:r>
                </w:p>
              </w:tc>
              <w:tc>
                <w:tcPr>
                  <w:tcW w:w="782" w:type="pct"/>
                  <w:tcBorders>
                    <w:tl2br w:val="nil"/>
                    <w:tr2bl w:val="nil"/>
                  </w:tcBorders>
                  <w:noWrap w:val="0"/>
                  <w:vAlign w:val="center"/>
                </w:tcPr>
                <w:p w14:paraId="16898502">
                  <w:pPr>
                    <w:keepNext w:val="0"/>
                    <w:keepLines w:val="0"/>
                    <w:widowControl/>
                    <w:suppressLineNumbers w:val="0"/>
                    <w:adjustRightInd w:val="0"/>
                    <w:snapToGrid w:val="0"/>
                    <w:spacing w:before="0" w:beforeAutospacing="0" w:after="0" w:afterAutospacing="0"/>
                    <w:ind w:left="0" w:right="0"/>
                    <w:jc w:val="center"/>
                    <w:rPr>
                      <w:rFonts w:hint="default" w:eastAsia="宋体" w:cs="Times New Roman"/>
                      <w:color w:val="auto"/>
                      <w:kern w:val="0"/>
                      <w:sz w:val="21"/>
                      <w:szCs w:val="21"/>
                      <w:lang w:val="en-US" w:eastAsia="zh-CN"/>
                    </w:rPr>
                  </w:pPr>
                  <w:r>
                    <w:rPr>
                      <w:rFonts w:hint="eastAsia" w:cs="Times New Roman"/>
                      <w:color w:val="auto"/>
                      <w:kern w:val="0"/>
                      <w:sz w:val="21"/>
                      <w:szCs w:val="21"/>
                      <w:lang w:val="en-US" w:eastAsia="zh-CN"/>
                    </w:rPr>
                    <w:t>53.8</w:t>
                  </w:r>
                </w:p>
              </w:tc>
              <w:tc>
                <w:tcPr>
                  <w:tcW w:w="784" w:type="pct"/>
                  <w:tcBorders>
                    <w:tl2br w:val="nil"/>
                    <w:tr2bl w:val="nil"/>
                  </w:tcBorders>
                  <w:noWrap w:val="0"/>
                  <w:vAlign w:val="center"/>
                </w:tcPr>
                <w:p w14:paraId="58675A8E">
                  <w:pPr>
                    <w:keepNext w:val="0"/>
                    <w:keepLines w:val="0"/>
                    <w:widowControl/>
                    <w:suppressLineNumbers w:val="0"/>
                    <w:adjustRightInd w:val="0"/>
                    <w:snapToGrid w:val="0"/>
                    <w:spacing w:before="0" w:beforeAutospacing="0" w:after="0" w:afterAutospacing="0"/>
                    <w:ind w:left="0" w:right="0"/>
                    <w:jc w:val="center"/>
                    <w:rPr>
                      <w:rFonts w:hint="default" w:eastAsia="宋体" w:cs="Times New Roman"/>
                      <w:color w:val="auto"/>
                      <w:kern w:val="0"/>
                      <w:sz w:val="21"/>
                      <w:szCs w:val="21"/>
                      <w:lang w:val="en-US" w:eastAsia="zh-CN"/>
                    </w:rPr>
                  </w:pPr>
                  <w:r>
                    <w:rPr>
                      <w:rFonts w:hint="eastAsia" w:cs="Times New Roman"/>
                      <w:color w:val="auto"/>
                      <w:kern w:val="0"/>
                      <w:sz w:val="21"/>
                      <w:szCs w:val="21"/>
                      <w:lang w:val="en-US" w:eastAsia="zh-CN"/>
                    </w:rPr>
                    <w:t>48.2</w:t>
                  </w:r>
                </w:p>
              </w:tc>
              <w:tc>
                <w:tcPr>
                  <w:tcW w:w="715" w:type="dxa"/>
                  <w:tcBorders>
                    <w:tl2br w:val="nil"/>
                    <w:tr2bl w:val="nil"/>
                  </w:tcBorders>
                  <w:noWrap w:val="0"/>
                  <w:vAlign w:val="center"/>
                </w:tcPr>
                <w:p w14:paraId="2A736DAC">
                  <w:pPr>
                    <w:pStyle w:val="108"/>
                    <w:keepNext w:val="0"/>
                    <w:keepLines w:val="0"/>
                    <w:pageBreakBefore w:val="0"/>
                    <w:kinsoku/>
                    <w:wordWrap/>
                    <w:overflowPunct/>
                    <w:topLinePunct w:val="0"/>
                    <w:autoSpaceDE/>
                    <w:autoSpaceDN/>
                    <w:bidi w:val="0"/>
                    <w:spacing w:line="240" w:lineRule="auto"/>
                    <w:ind w:firstLine="0" w:firstLineChars="0"/>
                    <w:jc w:val="center"/>
                    <w:textAlignment w:val="auto"/>
                    <w:rPr>
                      <w:rFonts w:hint="eastAsia" w:ascii="Times New Roman" w:hAnsi="Times New Roman" w:cs="Times New Roman"/>
                      <w:color w:val="auto"/>
                      <w:kern w:val="0"/>
                      <w:sz w:val="21"/>
                      <w:szCs w:val="21"/>
                      <w:lang w:bidi="ar"/>
                    </w:rPr>
                  </w:pPr>
                  <w:r>
                    <w:rPr>
                      <w:rFonts w:hint="eastAsia" w:ascii="Times New Roman" w:hAnsi="Times New Roman" w:eastAsia="仿宋" w:cs="Times New Roman"/>
                      <w:color w:val="auto"/>
                      <w:sz w:val="21"/>
                      <w:szCs w:val="21"/>
                      <w:vertAlign w:val="baseline"/>
                      <w:lang w:val="en-US" w:eastAsia="zh-CN"/>
                    </w:rPr>
                    <w:t>65</w:t>
                  </w:r>
                </w:p>
              </w:tc>
              <w:tc>
                <w:tcPr>
                  <w:tcW w:w="715" w:type="dxa"/>
                  <w:tcBorders>
                    <w:tl2br w:val="nil"/>
                    <w:tr2bl w:val="nil"/>
                  </w:tcBorders>
                  <w:noWrap w:val="0"/>
                  <w:vAlign w:val="center"/>
                </w:tcPr>
                <w:p w14:paraId="0D74C91A">
                  <w:pPr>
                    <w:pStyle w:val="108"/>
                    <w:keepNext w:val="0"/>
                    <w:keepLines w:val="0"/>
                    <w:pageBreakBefore w:val="0"/>
                    <w:kinsoku/>
                    <w:wordWrap/>
                    <w:overflowPunct/>
                    <w:topLinePunct w:val="0"/>
                    <w:autoSpaceDE/>
                    <w:autoSpaceDN/>
                    <w:bidi w:val="0"/>
                    <w:spacing w:line="240" w:lineRule="auto"/>
                    <w:ind w:firstLine="0" w:firstLineChars="0"/>
                    <w:jc w:val="center"/>
                    <w:textAlignment w:val="auto"/>
                    <w:rPr>
                      <w:rFonts w:hint="eastAsia" w:ascii="Times New Roman" w:hAnsi="Times New Roman" w:cs="Times New Roman"/>
                      <w:color w:val="auto"/>
                      <w:kern w:val="0"/>
                      <w:sz w:val="21"/>
                      <w:szCs w:val="21"/>
                      <w:lang w:bidi="ar"/>
                    </w:rPr>
                  </w:pPr>
                  <w:r>
                    <w:rPr>
                      <w:rFonts w:hint="eastAsia" w:ascii="Times New Roman" w:hAnsi="Times New Roman" w:eastAsia="仿宋" w:cs="Times New Roman"/>
                      <w:color w:val="auto"/>
                      <w:sz w:val="21"/>
                      <w:szCs w:val="21"/>
                      <w:vertAlign w:val="baseline"/>
                      <w:lang w:val="en-US" w:eastAsia="zh-CN"/>
                    </w:rPr>
                    <w:t>55</w:t>
                  </w:r>
                </w:p>
              </w:tc>
            </w:tr>
            <w:tr w14:paraId="6CAAAAFC">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23" w:hRule="atLeast"/>
                <w:jc w:val="center"/>
              </w:trPr>
              <w:tc>
                <w:tcPr>
                  <w:tcW w:w="1015" w:type="pct"/>
                  <w:tcBorders>
                    <w:tl2br w:val="nil"/>
                    <w:tr2bl w:val="nil"/>
                  </w:tcBorders>
                  <w:noWrap w:val="0"/>
                  <w:vAlign w:val="center"/>
                </w:tcPr>
                <w:p w14:paraId="61A0B0EB">
                  <w:pPr>
                    <w:keepNext w:val="0"/>
                    <w:keepLines w:val="0"/>
                    <w:suppressLineNumbers w:val="0"/>
                    <w:adjustRightInd w:val="0"/>
                    <w:snapToGrid w:val="0"/>
                    <w:spacing w:before="0" w:beforeAutospacing="0" w:after="0" w:afterAutospacing="0"/>
                    <w:ind w:left="0" w:right="0"/>
                    <w:jc w:val="center"/>
                    <w:rPr>
                      <w:rFonts w:hint="eastAsia" w:ascii="Times New Roman" w:hAnsi="Times New Roman" w:cs="Times New Roman"/>
                      <w:color w:val="auto"/>
                      <w:kern w:val="0"/>
                      <w:sz w:val="21"/>
                      <w:szCs w:val="21"/>
                      <w:lang w:bidi="ar"/>
                    </w:rPr>
                  </w:pPr>
                  <w:r>
                    <w:rPr>
                      <w:rFonts w:hint="eastAsia" w:cs="Times New Roman"/>
                      <w:color w:val="auto"/>
                      <w:kern w:val="0"/>
                      <w:sz w:val="21"/>
                      <w:szCs w:val="21"/>
                      <w:lang w:val="en-US" w:eastAsia="zh-CN" w:bidi="ar"/>
                    </w:rPr>
                    <w:t>N3西</w:t>
                  </w:r>
                  <w:r>
                    <w:rPr>
                      <w:rFonts w:hint="default" w:ascii="Times New Roman" w:hAnsi="Times New Roman" w:cs="Times New Roman"/>
                      <w:color w:val="auto"/>
                      <w:kern w:val="0"/>
                      <w:sz w:val="21"/>
                      <w:szCs w:val="21"/>
                      <w:lang w:bidi="ar"/>
                    </w:rPr>
                    <w:t>厂界外1m</w:t>
                  </w:r>
                </w:p>
              </w:tc>
              <w:tc>
                <w:tcPr>
                  <w:tcW w:w="782" w:type="pct"/>
                  <w:tcBorders>
                    <w:tl2br w:val="nil"/>
                    <w:tr2bl w:val="nil"/>
                  </w:tcBorders>
                  <w:noWrap w:val="0"/>
                  <w:vAlign w:val="center"/>
                </w:tcPr>
                <w:p w14:paraId="1428B11E">
                  <w:pPr>
                    <w:keepNext w:val="0"/>
                    <w:keepLines w:val="0"/>
                    <w:widowControl/>
                    <w:suppressLineNumbers w:val="0"/>
                    <w:adjustRightInd w:val="0"/>
                    <w:snapToGrid w:val="0"/>
                    <w:spacing w:before="0" w:beforeAutospacing="0" w:after="0" w:afterAutospacing="0"/>
                    <w:ind w:left="0" w:right="0"/>
                    <w:jc w:val="center"/>
                    <w:rPr>
                      <w:rFonts w:hint="default" w:eastAsia="宋体" w:cs="Times New Roman"/>
                      <w:color w:val="auto"/>
                      <w:kern w:val="0"/>
                      <w:sz w:val="21"/>
                      <w:szCs w:val="21"/>
                      <w:lang w:val="en-US" w:eastAsia="zh-CN"/>
                    </w:rPr>
                  </w:pPr>
                  <w:r>
                    <w:rPr>
                      <w:rFonts w:hint="eastAsia" w:cs="Times New Roman"/>
                      <w:color w:val="auto"/>
                      <w:kern w:val="0"/>
                      <w:sz w:val="21"/>
                      <w:szCs w:val="21"/>
                      <w:lang w:val="en-US" w:eastAsia="zh-CN"/>
                    </w:rPr>
                    <w:t>53.8</w:t>
                  </w:r>
                </w:p>
              </w:tc>
              <w:tc>
                <w:tcPr>
                  <w:tcW w:w="782" w:type="pct"/>
                  <w:tcBorders>
                    <w:tl2br w:val="nil"/>
                    <w:tr2bl w:val="nil"/>
                  </w:tcBorders>
                  <w:noWrap w:val="0"/>
                  <w:vAlign w:val="center"/>
                </w:tcPr>
                <w:p w14:paraId="1F6E0A20">
                  <w:pPr>
                    <w:keepNext w:val="0"/>
                    <w:keepLines w:val="0"/>
                    <w:widowControl/>
                    <w:suppressLineNumbers w:val="0"/>
                    <w:adjustRightInd w:val="0"/>
                    <w:snapToGrid w:val="0"/>
                    <w:spacing w:before="0" w:beforeAutospacing="0" w:after="0" w:afterAutospacing="0"/>
                    <w:ind w:left="0" w:right="0"/>
                    <w:jc w:val="center"/>
                    <w:rPr>
                      <w:rFonts w:hint="default" w:eastAsia="宋体" w:cs="Times New Roman"/>
                      <w:color w:val="auto"/>
                      <w:kern w:val="0"/>
                      <w:sz w:val="21"/>
                      <w:szCs w:val="21"/>
                      <w:lang w:val="en-US" w:eastAsia="zh-CN"/>
                    </w:rPr>
                  </w:pPr>
                  <w:r>
                    <w:rPr>
                      <w:rFonts w:hint="eastAsia" w:cs="Times New Roman"/>
                      <w:color w:val="auto"/>
                      <w:kern w:val="0"/>
                      <w:sz w:val="21"/>
                      <w:szCs w:val="21"/>
                      <w:lang w:val="en-US" w:eastAsia="zh-CN"/>
                    </w:rPr>
                    <w:t>46.9</w:t>
                  </w:r>
                </w:p>
              </w:tc>
              <w:tc>
                <w:tcPr>
                  <w:tcW w:w="782" w:type="pct"/>
                  <w:tcBorders>
                    <w:tl2br w:val="nil"/>
                    <w:tr2bl w:val="nil"/>
                  </w:tcBorders>
                  <w:noWrap w:val="0"/>
                  <w:vAlign w:val="center"/>
                </w:tcPr>
                <w:p w14:paraId="1683C2BC">
                  <w:pPr>
                    <w:keepNext w:val="0"/>
                    <w:keepLines w:val="0"/>
                    <w:widowControl/>
                    <w:suppressLineNumbers w:val="0"/>
                    <w:adjustRightInd w:val="0"/>
                    <w:snapToGrid w:val="0"/>
                    <w:spacing w:before="0" w:beforeAutospacing="0" w:after="0" w:afterAutospacing="0"/>
                    <w:ind w:left="0" w:right="0"/>
                    <w:jc w:val="center"/>
                    <w:rPr>
                      <w:rFonts w:hint="default" w:eastAsia="宋体" w:cs="Times New Roman"/>
                      <w:color w:val="auto"/>
                      <w:kern w:val="0"/>
                      <w:sz w:val="21"/>
                      <w:szCs w:val="21"/>
                      <w:lang w:val="en-US" w:eastAsia="zh-CN"/>
                    </w:rPr>
                  </w:pPr>
                  <w:r>
                    <w:rPr>
                      <w:rFonts w:hint="eastAsia" w:cs="Times New Roman"/>
                      <w:color w:val="auto"/>
                      <w:kern w:val="0"/>
                      <w:sz w:val="21"/>
                      <w:szCs w:val="21"/>
                      <w:lang w:val="en-US" w:eastAsia="zh-CN"/>
                    </w:rPr>
                    <w:t>54.6</w:t>
                  </w:r>
                </w:p>
              </w:tc>
              <w:tc>
                <w:tcPr>
                  <w:tcW w:w="784" w:type="pct"/>
                  <w:tcBorders>
                    <w:tl2br w:val="nil"/>
                    <w:tr2bl w:val="nil"/>
                  </w:tcBorders>
                  <w:noWrap w:val="0"/>
                  <w:vAlign w:val="center"/>
                </w:tcPr>
                <w:p w14:paraId="629D6805">
                  <w:pPr>
                    <w:keepNext w:val="0"/>
                    <w:keepLines w:val="0"/>
                    <w:widowControl/>
                    <w:suppressLineNumbers w:val="0"/>
                    <w:adjustRightInd w:val="0"/>
                    <w:snapToGrid w:val="0"/>
                    <w:spacing w:before="0" w:beforeAutospacing="0" w:after="0" w:afterAutospacing="0"/>
                    <w:ind w:left="0" w:right="0"/>
                    <w:jc w:val="center"/>
                    <w:rPr>
                      <w:rFonts w:hint="default" w:eastAsia="宋体" w:cs="Times New Roman"/>
                      <w:color w:val="auto"/>
                      <w:kern w:val="0"/>
                      <w:sz w:val="21"/>
                      <w:szCs w:val="21"/>
                      <w:lang w:val="en-US" w:eastAsia="zh-CN"/>
                    </w:rPr>
                  </w:pPr>
                  <w:r>
                    <w:rPr>
                      <w:rFonts w:hint="eastAsia" w:cs="Times New Roman"/>
                      <w:color w:val="auto"/>
                      <w:kern w:val="0"/>
                      <w:sz w:val="21"/>
                      <w:szCs w:val="21"/>
                      <w:lang w:val="en-US" w:eastAsia="zh-CN"/>
                    </w:rPr>
                    <w:t>49.0</w:t>
                  </w:r>
                </w:p>
              </w:tc>
              <w:tc>
                <w:tcPr>
                  <w:tcW w:w="715" w:type="dxa"/>
                  <w:tcBorders>
                    <w:tl2br w:val="nil"/>
                    <w:tr2bl w:val="nil"/>
                  </w:tcBorders>
                  <w:noWrap w:val="0"/>
                  <w:vAlign w:val="center"/>
                </w:tcPr>
                <w:p w14:paraId="4E424D79">
                  <w:pPr>
                    <w:pStyle w:val="108"/>
                    <w:keepNext w:val="0"/>
                    <w:keepLines w:val="0"/>
                    <w:pageBreakBefore w:val="0"/>
                    <w:kinsoku/>
                    <w:wordWrap/>
                    <w:overflowPunct/>
                    <w:topLinePunct w:val="0"/>
                    <w:autoSpaceDE/>
                    <w:autoSpaceDN/>
                    <w:bidi w:val="0"/>
                    <w:spacing w:line="240" w:lineRule="auto"/>
                    <w:ind w:firstLine="0" w:firstLineChars="0"/>
                    <w:jc w:val="center"/>
                    <w:textAlignment w:val="auto"/>
                    <w:rPr>
                      <w:rFonts w:hint="default" w:ascii="Times New Roman" w:hAnsi="Times New Roman" w:cs="Times New Roman"/>
                      <w:color w:val="auto"/>
                      <w:kern w:val="0"/>
                      <w:sz w:val="21"/>
                      <w:szCs w:val="21"/>
                      <w:lang w:val="en-US" w:bidi="ar"/>
                    </w:rPr>
                  </w:pPr>
                  <w:r>
                    <w:rPr>
                      <w:rFonts w:hint="eastAsia" w:ascii="Times New Roman" w:hAnsi="Times New Roman" w:eastAsia="仿宋" w:cs="Times New Roman"/>
                      <w:color w:val="auto"/>
                      <w:sz w:val="21"/>
                      <w:szCs w:val="21"/>
                      <w:vertAlign w:val="baseline"/>
                      <w:lang w:val="en-US" w:eastAsia="zh-CN"/>
                    </w:rPr>
                    <w:t>70</w:t>
                  </w:r>
                </w:p>
              </w:tc>
              <w:tc>
                <w:tcPr>
                  <w:tcW w:w="715" w:type="dxa"/>
                  <w:tcBorders>
                    <w:tl2br w:val="nil"/>
                    <w:tr2bl w:val="nil"/>
                  </w:tcBorders>
                  <w:noWrap w:val="0"/>
                  <w:vAlign w:val="center"/>
                </w:tcPr>
                <w:p w14:paraId="5B578959">
                  <w:pPr>
                    <w:pStyle w:val="108"/>
                    <w:keepNext w:val="0"/>
                    <w:keepLines w:val="0"/>
                    <w:pageBreakBefore w:val="0"/>
                    <w:kinsoku/>
                    <w:wordWrap/>
                    <w:overflowPunct/>
                    <w:topLinePunct w:val="0"/>
                    <w:autoSpaceDE/>
                    <w:autoSpaceDN/>
                    <w:bidi w:val="0"/>
                    <w:spacing w:line="240" w:lineRule="auto"/>
                    <w:ind w:firstLine="0" w:firstLineChars="0"/>
                    <w:jc w:val="center"/>
                    <w:textAlignment w:val="auto"/>
                    <w:rPr>
                      <w:rFonts w:hint="eastAsia" w:ascii="Times New Roman" w:hAnsi="Times New Roman" w:cs="Times New Roman"/>
                      <w:color w:val="auto"/>
                      <w:kern w:val="0"/>
                      <w:sz w:val="21"/>
                      <w:szCs w:val="21"/>
                      <w:lang w:bidi="ar"/>
                    </w:rPr>
                  </w:pPr>
                  <w:r>
                    <w:rPr>
                      <w:rFonts w:hint="eastAsia" w:ascii="Times New Roman" w:hAnsi="Times New Roman" w:eastAsia="仿宋" w:cs="Times New Roman"/>
                      <w:color w:val="auto"/>
                      <w:sz w:val="21"/>
                      <w:szCs w:val="21"/>
                      <w:vertAlign w:val="baseline"/>
                      <w:lang w:val="en-US" w:eastAsia="zh-CN"/>
                    </w:rPr>
                    <w:t>55</w:t>
                  </w:r>
                </w:p>
              </w:tc>
            </w:tr>
            <w:tr w14:paraId="14F757C0">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23" w:hRule="atLeast"/>
                <w:jc w:val="center"/>
              </w:trPr>
              <w:tc>
                <w:tcPr>
                  <w:tcW w:w="1015" w:type="pct"/>
                  <w:tcBorders>
                    <w:tl2br w:val="nil"/>
                    <w:tr2bl w:val="nil"/>
                  </w:tcBorders>
                  <w:noWrap w:val="0"/>
                  <w:vAlign w:val="center"/>
                </w:tcPr>
                <w:p w14:paraId="4EB9C3BD">
                  <w:pPr>
                    <w:keepNext w:val="0"/>
                    <w:keepLines w:val="0"/>
                    <w:suppressLineNumbers w:val="0"/>
                    <w:adjustRightInd w:val="0"/>
                    <w:snapToGrid w:val="0"/>
                    <w:spacing w:before="0" w:beforeAutospacing="0" w:after="0" w:afterAutospacing="0"/>
                    <w:ind w:left="0" w:right="0"/>
                    <w:jc w:val="center"/>
                    <w:rPr>
                      <w:rFonts w:hint="eastAsia" w:ascii="Times New Roman" w:hAnsi="Times New Roman" w:cs="Times New Roman"/>
                      <w:color w:val="auto"/>
                      <w:kern w:val="0"/>
                      <w:sz w:val="21"/>
                      <w:szCs w:val="21"/>
                      <w:lang w:bidi="ar"/>
                    </w:rPr>
                  </w:pPr>
                  <w:r>
                    <w:rPr>
                      <w:rFonts w:hint="eastAsia" w:cs="Times New Roman"/>
                      <w:color w:val="auto"/>
                      <w:kern w:val="0"/>
                      <w:sz w:val="21"/>
                      <w:szCs w:val="21"/>
                      <w:lang w:val="en-US" w:eastAsia="zh-CN" w:bidi="ar"/>
                    </w:rPr>
                    <w:t>N4北</w:t>
                  </w:r>
                  <w:r>
                    <w:rPr>
                      <w:rFonts w:hint="default" w:ascii="Times New Roman" w:hAnsi="Times New Roman" w:cs="Times New Roman"/>
                      <w:color w:val="auto"/>
                      <w:kern w:val="0"/>
                      <w:sz w:val="21"/>
                      <w:szCs w:val="21"/>
                      <w:lang w:bidi="ar"/>
                    </w:rPr>
                    <w:t>厂界外1m</w:t>
                  </w:r>
                </w:p>
              </w:tc>
              <w:tc>
                <w:tcPr>
                  <w:tcW w:w="782" w:type="pct"/>
                  <w:tcBorders>
                    <w:tl2br w:val="nil"/>
                    <w:tr2bl w:val="nil"/>
                  </w:tcBorders>
                  <w:noWrap w:val="0"/>
                  <w:vAlign w:val="center"/>
                </w:tcPr>
                <w:p w14:paraId="344438F0">
                  <w:pPr>
                    <w:keepNext w:val="0"/>
                    <w:keepLines w:val="0"/>
                    <w:widowControl/>
                    <w:suppressLineNumbers w:val="0"/>
                    <w:adjustRightInd w:val="0"/>
                    <w:snapToGrid w:val="0"/>
                    <w:spacing w:before="0" w:beforeAutospacing="0" w:after="0" w:afterAutospacing="0"/>
                    <w:ind w:left="0" w:right="0"/>
                    <w:jc w:val="center"/>
                    <w:rPr>
                      <w:rFonts w:hint="default" w:eastAsia="宋体" w:cs="Times New Roman"/>
                      <w:color w:val="auto"/>
                      <w:kern w:val="0"/>
                      <w:sz w:val="21"/>
                      <w:szCs w:val="21"/>
                      <w:lang w:val="en-US" w:eastAsia="zh-CN"/>
                    </w:rPr>
                  </w:pPr>
                  <w:r>
                    <w:rPr>
                      <w:rFonts w:hint="eastAsia" w:cs="Times New Roman"/>
                      <w:color w:val="auto"/>
                      <w:kern w:val="0"/>
                      <w:sz w:val="21"/>
                      <w:szCs w:val="21"/>
                      <w:lang w:val="en-US" w:eastAsia="zh-CN"/>
                    </w:rPr>
                    <w:t>51.8</w:t>
                  </w:r>
                </w:p>
              </w:tc>
              <w:tc>
                <w:tcPr>
                  <w:tcW w:w="782" w:type="pct"/>
                  <w:tcBorders>
                    <w:tl2br w:val="nil"/>
                    <w:tr2bl w:val="nil"/>
                  </w:tcBorders>
                  <w:noWrap w:val="0"/>
                  <w:vAlign w:val="center"/>
                </w:tcPr>
                <w:p w14:paraId="313EE1A7">
                  <w:pPr>
                    <w:keepNext w:val="0"/>
                    <w:keepLines w:val="0"/>
                    <w:widowControl/>
                    <w:suppressLineNumbers w:val="0"/>
                    <w:adjustRightInd w:val="0"/>
                    <w:snapToGrid w:val="0"/>
                    <w:spacing w:before="0" w:beforeAutospacing="0" w:after="0" w:afterAutospacing="0"/>
                    <w:ind w:left="0" w:right="0"/>
                    <w:jc w:val="center"/>
                    <w:rPr>
                      <w:rFonts w:hint="default" w:eastAsia="宋体" w:cs="Times New Roman"/>
                      <w:color w:val="auto"/>
                      <w:kern w:val="0"/>
                      <w:sz w:val="21"/>
                      <w:szCs w:val="21"/>
                      <w:lang w:val="en-US" w:eastAsia="zh-CN"/>
                    </w:rPr>
                  </w:pPr>
                  <w:r>
                    <w:rPr>
                      <w:rFonts w:hint="eastAsia" w:cs="Times New Roman"/>
                      <w:color w:val="auto"/>
                      <w:kern w:val="0"/>
                      <w:sz w:val="21"/>
                      <w:szCs w:val="21"/>
                      <w:lang w:val="en-US" w:eastAsia="zh-CN"/>
                    </w:rPr>
                    <w:t>47.2</w:t>
                  </w:r>
                </w:p>
              </w:tc>
              <w:tc>
                <w:tcPr>
                  <w:tcW w:w="782" w:type="pct"/>
                  <w:tcBorders>
                    <w:tl2br w:val="nil"/>
                    <w:tr2bl w:val="nil"/>
                  </w:tcBorders>
                  <w:noWrap w:val="0"/>
                  <w:vAlign w:val="center"/>
                </w:tcPr>
                <w:p w14:paraId="0CEE9D03">
                  <w:pPr>
                    <w:keepNext w:val="0"/>
                    <w:keepLines w:val="0"/>
                    <w:widowControl/>
                    <w:suppressLineNumbers w:val="0"/>
                    <w:adjustRightInd w:val="0"/>
                    <w:snapToGrid w:val="0"/>
                    <w:spacing w:before="0" w:beforeAutospacing="0" w:after="0" w:afterAutospacing="0"/>
                    <w:ind w:left="0" w:right="0"/>
                    <w:jc w:val="center"/>
                    <w:rPr>
                      <w:rFonts w:hint="default" w:eastAsia="宋体" w:cs="Times New Roman"/>
                      <w:color w:val="auto"/>
                      <w:kern w:val="0"/>
                      <w:sz w:val="21"/>
                      <w:szCs w:val="21"/>
                      <w:lang w:val="en-US" w:eastAsia="zh-CN"/>
                    </w:rPr>
                  </w:pPr>
                  <w:r>
                    <w:rPr>
                      <w:rFonts w:hint="eastAsia" w:cs="Times New Roman"/>
                      <w:color w:val="auto"/>
                      <w:kern w:val="0"/>
                      <w:sz w:val="21"/>
                      <w:szCs w:val="21"/>
                      <w:lang w:val="en-US" w:eastAsia="zh-CN"/>
                    </w:rPr>
                    <w:t>52.7</w:t>
                  </w:r>
                </w:p>
              </w:tc>
              <w:tc>
                <w:tcPr>
                  <w:tcW w:w="784" w:type="pct"/>
                  <w:tcBorders>
                    <w:tl2br w:val="nil"/>
                    <w:tr2bl w:val="nil"/>
                  </w:tcBorders>
                  <w:noWrap w:val="0"/>
                  <w:vAlign w:val="center"/>
                </w:tcPr>
                <w:p w14:paraId="51F42463">
                  <w:pPr>
                    <w:keepNext w:val="0"/>
                    <w:keepLines w:val="0"/>
                    <w:widowControl/>
                    <w:suppressLineNumbers w:val="0"/>
                    <w:adjustRightInd w:val="0"/>
                    <w:snapToGrid w:val="0"/>
                    <w:spacing w:before="0" w:beforeAutospacing="0" w:after="0" w:afterAutospacing="0"/>
                    <w:ind w:left="0" w:right="0"/>
                    <w:jc w:val="center"/>
                    <w:rPr>
                      <w:rFonts w:hint="default" w:eastAsia="宋体" w:cs="Times New Roman"/>
                      <w:color w:val="auto"/>
                      <w:kern w:val="0"/>
                      <w:sz w:val="21"/>
                      <w:szCs w:val="21"/>
                      <w:lang w:val="en-US" w:eastAsia="zh-CN"/>
                    </w:rPr>
                  </w:pPr>
                  <w:r>
                    <w:rPr>
                      <w:rFonts w:hint="eastAsia" w:cs="Times New Roman"/>
                      <w:color w:val="auto"/>
                      <w:kern w:val="0"/>
                      <w:sz w:val="21"/>
                      <w:szCs w:val="21"/>
                      <w:lang w:val="en-US" w:eastAsia="zh-CN"/>
                    </w:rPr>
                    <w:t>46.9</w:t>
                  </w:r>
                </w:p>
              </w:tc>
              <w:tc>
                <w:tcPr>
                  <w:tcW w:w="715" w:type="dxa"/>
                  <w:tcBorders>
                    <w:tl2br w:val="nil"/>
                    <w:tr2bl w:val="nil"/>
                  </w:tcBorders>
                  <w:noWrap w:val="0"/>
                  <w:vAlign w:val="center"/>
                </w:tcPr>
                <w:p w14:paraId="7D819DF1">
                  <w:pPr>
                    <w:pStyle w:val="108"/>
                    <w:keepNext w:val="0"/>
                    <w:keepLines w:val="0"/>
                    <w:pageBreakBefore w:val="0"/>
                    <w:kinsoku/>
                    <w:wordWrap/>
                    <w:overflowPunct/>
                    <w:topLinePunct w:val="0"/>
                    <w:autoSpaceDE/>
                    <w:autoSpaceDN/>
                    <w:bidi w:val="0"/>
                    <w:spacing w:line="240" w:lineRule="auto"/>
                    <w:ind w:firstLine="0" w:firstLineChars="0"/>
                    <w:jc w:val="center"/>
                    <w:textAlignment w:val="auto"/>
                    <w:rPr>
                      <w:rFonts w:hint="eastAsia" w:ascii="Times New Roman" w:hAnsi="Times New Roman" w:cs="Times New Roman"/>
                      <w:color w:val="auto"/>
                      <w:kern w:val="0"/>
                      <w:sz w:val="21"/>
                      <w:szCs w:val="21"/>
                      <w:lang w:bidi="ar"/>
                    </w:rPr>
                  </w:pPr>
                  <w:r>
                    <w:rPr>
                      <w:rFonts w:hint="eastAsia" w:ascii="Times New Roman" w:hAnsi="Times New Roman" w:eastAsia="仿宋" w:cs="Times New Roman"/>
                      <w:color w:val="auto"/>
                      <w:sz w:val="21"/>
                      <w:szCs w:val="21"/>
                      <w:vertAlign w:val="baseline"/>
                      <w:lang w:val="en-US" w:eastAsia="zh-CN"/>
                    </w:rPr>
                    <w:t>65</w:t>
                  </w:r>
                </w:p>
              </w:tc>
              <w:tc>
                <w:tcPr>
                  <w:tcW w:w="715" w:type="dxa"/>
                  <w:tcBorders>
                    <w:tl2br w:val="nil"/>
                    <w:tr2bl w:val="nil"/>
                  </w:tcBorders>
                  <w:noWrap w:val="0"/>
                  <w:vAlign w:val="center"/>
                </w:tcPr>
                <w:p w14:paraId="7100FC6B">
                  <w:pPr>
                    <w:pStyle w:val="108"/>
                    <w:keepNext w:val="0"/>
                    <w:keepLines w:val="0"/>
                    <w:pageBreakBefore w:val="0"/>
                    <w:kinsoku/>
                    <w:wordWrap/>
                    <w:overflowPunct/>
                    <w:topLinePunct w:val="0"/>
                    <w:autoSpaceDE/>
                    <w:autoSpaceDN/>
                    <w:bidi w:val="0"/>
                    <w:spacing w:line="240" w:lineRule="auto"/>
                    <w:ind w:firstLine="0" w:firstLineChars="0"/>
                    <w:jc w:val="center"/>
                    <w:textAlignment w:val="auto"/>
                    <w:rPr>
                      <w:rFonts w:hint="eastAsia" w:ascii="Times New Roman" w:hAnsi="Times New Roman" w:cs="Times New Roman"/>
                      <w:color w:val="auto"/>
                      <w:kern w:val="0"/>
                      <w:sz w:val="21"/>
                      <w:szCs w:val="21"/>
                      <w:lang w:bidi="ar"/>
                    </w:rPr>
                  </w:pPr>
                  <w:r>
                    <w:rPr>
                      <w:rFonts w:hint="eastAsia" w:ascii="Times New Roman" w:hAnsi="Times New Roman" w:eastAsia="仿宋" w:cs="Times New Roman"/>
                      <w:color w:val="auto"/>
                      <w:sz w:val="21"/>
                      <w:szCs w:val="21"/>
                      <w:vertAlign w:val="baseline"/>
                      <w:lang w:val="en-US" w:eastAsia="zh-CN"/>
                    </w:rPr>
                    <w:t>55</w:t>
                  </w:r>
                </w:p>
              </w:tc>
            </w:tr>
          </w:tbl>
          <w:p w14:paraId="20051B5D">
            <w:pPr>
              <w:pStyle w:val="10"/>
              <w:keepNext w:val="0"/>
              <w:keepLines w:val="0"/>
              <w:pageBreakBefore w:val="0"/>
              <w:widowControl/>
              <w:kinsoku/>
              <w:wordWrap/>
              <w:overflowPunct/>
              <w:topLinePunct w:val="0"/>
              <w:autoSpaceDE/>
              <w:autoSpaceDN/>
              <w:bidi w:val="0"/>
              <w:adjustRightInd/>
              <w:snapToGrid w:val="0"/>
              <w:spacing w:before="0" w:after="0" w:line="360" w:lineRule="auto"/>
              <w:ind w:left="0" w:leftChars="0" w:right="0" w:firstLine="480" w:firstLineChars="200"/>
              <w:jc w:val="both"/>
              <w:textAlignment w:val="auto"/>
              <w:outlineLvl w:val="9"/>
              <w:rPr>
                <w:rFonts w:hint="default"/>
                <w:b w:val="0"/>
                <w:bCs/>
                <w:color w:val="auto"/>
                <w:sz w:val="24"/>
                <w:szCs w:val="24"/>
                <w:lang w:val="en-US" w:eastAsia="zh-CN"/>
              </w:rPr>
            </w:pPr>
            <w:r>
              <w:rPr>
                <w:rFonts w:hint="eastAsia"/>
                <w:b w:val="0"/>
                <w:bCs/>
                <w:color w:val="auto"/>
                <w:sz w:val="24"/>
                <w:szCs w:val="24"/>
                <w:lang w:val="en-US" w:eastAsia="zh-CN"/>
              </w:rPr>
              <w:t>根据现有项目环评，按照《以噪声污染为主的工业企业卫生防护距离标准》以生产车间设置100m的卫生防护距离，根据噪声环境影响分析章节，主要噪声源为空压机，企业已优化平面布局，将空压机设置在远离敏感目标的一侧，相对敏感目标距离远大于100m，同时根据敏感目标处的声环境现状监测结果（后文表3-4），满足《声环境质量标准》（GB3096-2008）2类标准要求。</w:t>
            </w:r>
          </w:p>
          <w:p w14:paraId="4C5BF997">
            <w:pPr>
              <w:pStyle w:val="10"/>
              <w:spacing w:before="0" w:after="0" w:line="360" w:lineRule="auto"/>
              <w:ind w:left="420" w:leftChars="200" w:right="0"/>
              <w:jc w:val="left"/>
              <w:outlineLvl w:val="1"/>
              <w:rPr>
                <w:b/>
                <w:color w:val="auto"/>
                <w:sz w:val="24"/>
                <w:szCs w:val="24"/>
              </w:rPr>
            </w:pPr>
            <w:r>
              <w:rPr>
                <w:rFonts w:hint="eastAsia"/>
                <w:b/>
                <w:color w:val="auto"/>
                <w:sz w:val="24"/>
                <w:szCs w:val="24"/>
                <w:lang w:eastAsia="zh-CN"/>
              </w:rPr>
              <w:t>（</w:t>
            </w:r>
            <w:r>
              <w:rPr>
                <w:rFonts w:hint="eastAsia"/>
                <w:b/>
                <w:color w:val="auto"/>
                <w:sz w:val="24"/>
                <w:szCs w:val="24"/>
                <w:lang w:val="en-US" w:eastAsia="zh-CN"/>
              </w:rPr>
              <w:t>4</w:t>
            </w:r>
            <w:r>
              <w:rPr>
                <w:rFonts w:hint="eastAsia"/>
                <w:b/>
                <w:color w:val="auto"/>
                <w:sz w:val="24"/>
                <w:szCs w:val="24"/>
                <w:lang w:eastAsia="zh-CN"/>
              </w:rPr>
              <w:t>）</w:t>
            </w:r>
            <w:r>
              <w:rPr>
                <w:b/>
                <w:color w:val="auto"/>
                <w:sz w:val="24"/>
                <w:szCs w:val="24"/>
              </w:rPr>
              <w:t>原有项目污染物排放情况汇总</w:t>
            </w:r>
            <w:bookmarkEnd w:id="14"/>
          </w:p>
          <w:p w14:paraId="7DD50DA8">
            <w:pPr>
              <w:pStyle w:val="10"/>
              <w:spacing w:before="0" w:after="0" w:line="360" w:lineRule="auto"/>
              <w:ind w:left="420" w:leftChars="200" w:right="0"/>
              <w:jc w:val="left"/>
              <w:rPr>
                <w:bCs/>
                <w:color w:val="auto"/>
                <w:sz w:val="24"/>
                <w:szCs w:val="24"/>
              </w:rPr>
            </w:pPr>
            <w:r>
              <w:rPr>
                <w:bCs/>
                <w:color w:val="auto"/>
                <w:sz w:val="24"/>
                <w:szCs w:val="24"/>
              </w:rPr>
              <w:t>原有项目污染物总量核算见下表：</w:t>
            </w:r>
          </w:p>
          <w:p w14:paraId="107760DE">
            <w:pPr>
              <w:jc w:val="center"/>
              <w:rPr>
                <w:b/>
                <w:bCs/>
                <w:color w:val="auto"/>
                <w:sz w:val="24"/>
                <w:szCs w:val="24"/>
              </w:rPr>
            </w:pPr>
            <w:r>
              <w:rPr>
                <w:b/>
                <w:bCs/>
                <w:color w:val="auto"/>
                <w:sz w:val="24"/>
                <w:szCs w:val="24"/>
              </w:rPr>
              <w:t>表</w:t>
            </w:r>
            <w:r>
              <w:rPr>
                <w:rFonts w:hint="eastAsia"/>
                <w:b/>
                <w:bCs/>
                <w:color w:val="auto"/>
                <w:sz w:val="24"/>
                <w:szCs w:val="24"/>
                <w:lang w:val="en-US" w:eastAsia="zh-CN"/>
              </w:rPr>
              <w:t>2</w:t>
            </w:r>
            <w:r>
              <w:rPr>
                <w:b/>
                <w:bCs/>
                <w:color w:val="auto"/>
                <w:sz w:val="24"/>
                <w:szCs w:val="24"/>
              </w:rPr>
              <w:t>-</w:t>
            </w:r>
            <w:r>
              <w:rPr>
                <w:rFonts w:hint="eastAsia"/>
                <w:b/>
                <w:bCs/>
                <w:color w:val="auto"/>
                <w:sz w:val="24"/>
                <w:szCs w:val="24"/>
                <w:lang w:val="en-US" w:eastAsia="zh-CN"/>
              </w:rPr>
              <w:t>12</w:t>
            </w:r>
            <w:r>
              <w:rPr>
                <w:b/>
                <w:bCs/>
                <w:color w:val="auto"/>
                <w:sz w:val="24"/>
                <w:szCs w:val="24"/>
              </w:rPr>
              <w:t xml:space="preserve"> 原有项目污染物汇总情况   单位：t/a</w:t>
            </w:r>
          </w:p>
          <w:tbl>
            <w:tblPr>
              <w:tblStyle w:val="26"/>
              <w:tblW w:w="4998"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
            <w:tblGrid>
              <w:gridCol w:w="1597"/>
              <w:gridCol w:w="1844"/>
              <w:gridCol w:w="2574"/>
              <w:gridCol w:w="2374"/>
            </w:tblGrid>
            <w:tr w14:paraId="6468695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951" w:type="pct"/>
                  <w:tcBorders>
                    <w:tl2br w:val="nil"/>
                    <w:tr2bl w:val="nil"/>
                  </w:tcBorders>
                  <w:noWrap/>
                  <w:vAlign w:val="center"/>
                </w:tcPr>
                <w:p w14:paraId="4AF555EF">
                  <w:pPr>
                    <w:pStyle w:val="34"/>
                    <w:spacing w:before="24" w:after="24" w:line="240" w:lineRule="auto"/>
                    <w:jc w:val="center"/>
                    <w:rPr>
                      <w:rFonts w:ascii="Times New Roman" w:eastAsia="宋体"/>
                      <w:b/>
                      <w:bCs/>
                      <w:color w:val="auto"/>
                      <w:szCs w:val="21"/>
                    </w:rPr>
                  </w:pPr>
                  <w:r>
                    <w:rPr>
                      <w:rFonts w:hint="eastAsia" w:ascii="Times New Roman" w:eastAsia="宋体"/>
                      <w:b/>
                      <w:bCs/>
                      <w:color w:val="auto"/>
                      <w:szCs w:val="21"/>
                    </w:rPr>
                    <w:t>类别</w:t>
                  </w:r>
                </w:p>
              </w:tc>
              <w:tc>
                <w:tcPr>
                  <w:tcW w:w="1099" w:type="pct"/>
                  <w:tcBorders>
                    <w:tl2br w:val="nil"/>
                    <w:tr2bl w:val="nil"/>
                  </w:tcBorders>
                  <w:noWrap/>
                  <w:vAlign w:val="center"/>
                </w:tcPr>
                <w:p w14:paraId="5C695246">
                  <w:pPr>
                    <w:pStyle w:val="34"/>
                    <w:spacing w:before="24" w:after="24" w:line="240" w:lineRule="auto"/>
                    <w:jc w:val="center"/>
                    <w:rPr>
                      <w:rFonts w:ascii="Times New Roman" w:eastAsia="宋体"/>
                      <w:b/>
                      <w:bCs/>
                      <w:color w:val="auto"/>
                      <w:szCs w:val="21"/>
                    </w:rPr>
                  </w:pPr>
                  <w:r>
                    <w:rPr>
                      <w:rFonts w:hint="eastAsia" w:ascii="Times New Roman" w:eastAsia="宋体"/>
                      <w:b/>
                      <w:bCs/>
                      <w:color w:val="auto"/>
                      <w:szCs w:val="21"/>
                    </w:rPr>
                    <w:t>污染物</w:t>
                  </w:r>
                </w:p>
              </w:tc>
              <w:tc>
                <w:tcPr>
                  <w:tcW w:w="1534" w:type="pct"/>
                  <w:tcBorders>
                    <w:tl2br w:val="nil"/>
                    <w:tr2bl w:val="nil"/>
                  </w:tcBorders>
                  <w:vAlign w:val="center"/>
                </w:tcPr>
                <w:p w14:paraId="61128BB2">
                  <w:pPr>
                    <w:pStyle w:val="34"/>
                    <w:spacing w:before="24" w:after="24" w:line="240" w:lineRule="auto"/>
                    <w:jc w:val="center"/>
                    <w:rPr>
                      <w:rFonts w:ascii="Times New Roman" w:eastAsia="宋体"/>
                      <w:b/>
                      <w:bCs/>
                      <w:color w:val="auto"/>
                      <w:szCs w:val="21"/>
                    </w:rPr>
                  </w:pPr>
                  <w:r>
                    <w:rPr>
                      <w:rFonts w:hint="eastAsia" w:ascii="Times New Roman" w:eastAsia="宋体"/>
                      <w:b/>
                      <w:bCs/>
                      <w:color w:val="auto"/>
                      <w:szCs w:val="21"/>
                    </w:rPr>
                    <w:t>接管</w:t>
                  </w:r>
                  <w:r>
                    <w:rPr>
                      <w:rFonts w:hint="eastAsia" w:ascii="Times New Roman" w:eastAsia="宋体"/>
                      <w:b/>
                      <w:bCs/>
                      <w:color w:val="auto"/>
                      <w:szCs w:val="21"/>
                      <w:lang w:val="en-US" w:eastAsia="zh-CN"/>
                    </w:rPr>
                    <w:t>/</w:t>
                  </w:r>
                  <w:r>
                    <w:rPr>
                      <w:rFonts w:hint="eastAsia" w:ascii="Times New Roman" w:eastAsia="宋体"/>
                      <w:b/>
                      <w:bCs/>
                      <w:color w:val="auto"/>
                      <w:szCs w:val="21"/>
                    </w:rPr>
                    <w:t>排放</w:t>
                  </w:r>
                  <w:r>
                    <w:rPr>
                      <w:rFonts w:hint="eastAsia" w:ascii="Times New Roman" w:eastAsia="宋体"/>
                      <w:b/>
                      <w:bCs/>
                      <w:color w:val="auto"/>
                      <w:szCs w:val="21"/>
                      <w:lang w:val="en-US" w:eastAsia="zh-CN"/>
                    </w:rPr>
                    <w:t>核定</w:t>
                  </w:r>
                  <w:r>
                    <w:rPr>
                      <w:rFonts w:hint="eastAsia" w:ascii="Times New Roman" w:eastAsia="宋体"/>
                      <w:b/>
                      <w:bCs/>
                      <w:color w:val="auto"/>
                      <w:szCs w:val="21"/>
                    </w:rPr>
                    <w:t>量</w:t>
                  </w:r>
                </w:p>
              </w:tc>
              <w:tc>
                <w:tcPr>
                  <w:tcW w:w="1414" w:type="pct"/>
                  <w:tcBorders>
                    <w:tl2br w:val="nil"/>
                    <w:tr2bl w:val="nil"/>
                  </w:tcBorders>
                  <w:vAlign w:val="center"/>
                </w:tcPr>
                <w:p w14:paraId="36253279">
                  <w:pPr>
                    <w:pStyle w:val="34"/>
                    <w:tabs>
                      <w:tab w:val="left" w:pos="516"/>
                      <w:tab w:val="center" w:pos="1139"/>
                    </w:tabs>
                    <w:spacing w:before="24" w:after="24" w:line="240" w:lineRule="auto"/>
                    <w:jc w:val="left"/>
                    <w:rPr>
                      <w:rFonts w:ascii="Times New Roman" w:eastAsia="宋体"/>
                      <w:b/>
                      <w:bCs/>
                      <w:color w:val="auto"/>
                      <w:szCs w:val="21"/>
                    </w:rPr>
                  </w:pPr>
                  <w:r>
                    <w:rPr>
                      <w:rFonts w:hint="eastAsia" w:ascii="Times New Roman" w:eastAsia="宋体"/>
                      <w:b/>
                      <w:bCs/>
                      <w:color w:val="auto"/>
                      <w:szCs w:val="21"/>
                      <w:lang w:eastAsia="zh-CN"/>
                    </w:rPr>
                    <w:tab/>
                  </w:r>
                  <w:r>
                    <w:rPr>
                      <w:rFonts w:hint="eastAsia" w:ascii="Times New Roman" w:eastAsia="宋体"/>
                      <w:b/>
                      <w:bCs/>
                      <w:color w:val="auto"/>
                      <w:szCs w:val="21"/>
                      <w:lang w:eastAsia="zh-CN"/>
                    </w:rPr>
                    <w:tab/>
                  </w:r>
                  <w:r>
                    <w:rPr>
                      <w:rFonts w:hint="eastAsia" w:ascii="Times New Roman" w:eastAsia="宋体"/>
                      <w:b/>
                      <w:bCs/>
                      <w:color w:val="auto"/>
                      <w:szCs w:val="21"/>
                    </w:rPr>
                    <w:t>实际排放量</w:t>
                  </w:r>
                </w:p>
              </w:tc>
            </w:tr>
            <w:tr w14:paraId="3032645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951" w:type="pct"/>
                  <w:vMerge w:val="restart"/>
                  <w:tcBorders>
                    <w:tl2br w:val="nil"/>
                    <w:tr2bl w:val="nil"/>
                  </w:tcBorders>
                  <w:noWrap/>
                  <w:vAlign w:val="center"/>
                </w:tcPr>
                <w:p w14:paraId="2E14BB45">
                  <w:pPr>
                    <w:pStyle w:val="34"/>
                    <w:spacing w:before="24" w:after="24" w:line="240" w:lineRule="auto"/>
                    <w:jc w:val="center"/>
                    <w:rPr>
                      <w:rFonts w:ascii="Times New Roman" w:eastAsia="宋体"/>
                      <w:color w:val="auto"/>
                      <w:szCs w:val="21"/>
                    </w:rPr>
                  </w:pPr>
                  <w:r>
                    <w:rPr>
                      <w:rFonts w:hint="eastAsia" w:ascii="Times New Roman" w:eastAsia="宋体"/>
                      <w:color w:val="auto"/>
                      <w:szCs w:val="21"/>
                    </w:rPr>
                    <w:t>废水</w:t>
                  </w:r>
                </w:p>
              </w:tc>
              <w:tc>
                <w:tcPr>
                  <w:tcW w:w="1099" w:type="pct"/>
                  <w:tcBorders>
                    <w:tl2br w:val="nil"/>
                    <w:tr2bl w:val="nil"/>
                  </w:tcBorders>
                  <w:noWrap/>
                  <w:vAlign w:val="center"/>
                </w:tcPr>
                <w:p w14:paraId="5A200D5A">
                  <w:pPr>
                    <w:pStyle w:val="34"/>
                    <w:spacing w:before="24" w:after="24" w:line="240" w:lineRule="auto"/>
                    <w:jc w:val="center"/>
                    <w:rPr>
                      <w:rFonts w:ascii="Times New Roman" w:eastAsia="宋体"/>
                      <w:color w:val="auto"/>
                      <w:szCs w:val="21"/>
                    </w:rPr>
                  </w:pPr>
                  <w:r>
                    <w:rPr>
                      <w:rFonts w:hint="eastAsia" w:ascii="Times New Roman" w:eastAsia="宋体"/>
                      <w:color w:val="auto"/>
                      <w:szCs w:val="21"/>
                    </w:rPr>
                    <w:t>废水量</w:t>
                  </w:r>
                </w:p>
              </w:tc>
              <w:tc>
                <w:tcPr>
                  <w:tcW w:w="1534" w:type="pct"/>
                  <w:tcBorders>
                    <w:tl2br w:val="nil"/>
                    <w:tr2bl w:val="nil"/>
                  </w:tcBorders>
                  <w:noWrap/>
                  <w:vAlign w:val="center"/>
                </w:tcPr>
                <w:p w14:paraId="3BBE1012">
                  <w:pPr>
                    <w:pStyle w:val="34"/>
                    <w:spacing w:before="24" w:after="24" w:line="240" w:lineRule="auto"/>
                    <w:jc w:val="center"/>
                    <w:rPr>
                      <w:rFonts w:hint="default" w:ascii="Times New Roman" w:eastAsia="宋体"/>
                      <w:color w:val="auto"/>
                      <w:szCs w:val="21"/>
                      <w:lang w:val="en-US" w:eastAsia="zh-CN"/>
                    </w:rPr>
                  </w:pPr>
                  <w:r>
                    <w:rPr>
                      <w:rFonts w:hint="eastAsia" w:ascii="Times New Roman" w:eastAsia="宋体"/>
                      <w:color w:val="auto"/>
                      <w:szCs w:val="21"/>
                      <w:lang w:val="en-US" w:eastAsia="zh-CN"/>
                    </w:rPr>
                    <w:t>1600</w:t>
                  </w:r>
                </w:p>
              </w:tc>
              <w:tc>
                <w:tcPr>
                  <w:tcW w:w="1414" w:type="pct"/>
                  <w:tcBorders>
                    <w:tl2br w:val="nil"/>
                    <w:tr2bl w:val="nil"/>
                  </w:tcBorders>
                  <w:shd w:val="clear" w:color="auto" w:fill="auto"/>
                  <w:noWrap/>
                  <w:vAlign w:val="center"/>
                </w:tcPr>
                <w:p w14:paraId="256CE50B">
                  <w:pPr>
                    <w:pStyle w:val="34"/>
                    <w:spacing w:before="24" w:after="24" w:line="240" w:lineRule="auto"/>
                    <w:ind w:firstLine="0" w:firstLineChars="0"/>
                    <w:jc w:val="center"/>
                    <w:rPr>
                      <w:rFonts w:hint="default" w:ascii="Times New Roman" w:hAnsi="宋体" w:eastAsia="宋体" w:cs="Times New Roman"/>
                      <w:color w:val="auto"/>
                      <w:spacing w:val="-10"/>
                      <w:kern w:val="0"/>
                      <w:sz w:val="21"/>
                      <w:szCs w:val="21"/>
                      <w:lang w:val="en-US" w:eastAsia="zh-CN" w:bidi="ar"/>
                    </w:rPr>
                  </w:pPr>
                  <w:r>
                    <w:rPr>
                      <w:rFonts w:hint="eastAsia" w:ascii="Times New Roman" w:eastAsia="宋体"/>
                      <w:color w:val="auto"/>
                      <w:szCs w:val="21"/>
                      <w:lang w:val="en-US" w:eastAsia="zh-CN"/>
                    </w:rPr>
                    <w:t>1600</w:t>
                  </w:r>
                </w:p>
              </w:tc>
            </w:tr>
            <w:tr w14:paraId="38D9B31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2" w:hRule="atLeast"/>
                <w:jc w:val="center"/>
              </w:trPr>
              <w:tc>
                <w:tcPr>
                  <w:tcW w:w="951" w:type="pct"/>
                  <w:vMerge w:val="continue"/>
                  <w:tcBorders>
                    <w:tl2br w:val="nil"/>
                    <w:tr2bl w:val="nil"/>
                  </w:tcBorders>
                  <w:noWrap/>
                  <w:vAlign w:val="center"/>
                </w:tcPr>
                <w:p w14:paraId="67EE9BF3">
                  <w:pPr>
                    <w:pStyle w:val="34"/>
                    <w:spacing w:before="24" w:after="24" w:line="240" w:lineRule="auto"/>
                    <w:jc w:val="center"/>
                    <w:rPr>
                      <w:rFonts w:ascii="Times New Roman" w:eastAsia="宋体"/>
                      <w:color w:val="auto"/>
                      <w:szCs w:val="21"/>
                    </w:rPr>
                  </w:pPr>
                </w:p>
              </w:tc>
              <w:tc>
                <w:tcPr>
                  <w:tcW w:w="1099" w:type="pct"/>
                  <w:tcBorders>
                    <w:tl2br w:val="nil"/>
                    <w:tr2bl w:val="nil"/>
                  </w:tcBorders>
                  <w:noWrap/>
                  <w:vAlign w:val="center"/>
                </w:tcPr>
                <w:p w14:paraId="26BA402C">
                  <w:pPr>
                    <w:pStyle w:val="34"/>
                    <w:spacing w:before="24" w:after="24" w:line="240" w:lineRule="auto"/>
                    <w:jc w:val="center"/>
                    <w:rPr>
                      <w:rFonts w:ascii="Times New Roman" w:hAnsi="宋体" w:eastAsia="宋体"/>
                      <w:color w:val="auto"/>
                      <w:szCs w:val="21"/>
                    </w:rPr>
                  </w:pPr>
                  <w:r>
                    <w:rPr>
                      <w:rFonts w:ascii="Times New Roman" w:eastAsia="宋体"/>
                      <w:color w:val="auto"/>
                      <w:szCs w:val="21"/>
                    </w:rPr>
                    <w:t>COD</w:t>
                  </w:r>
                </w:p>
              </w:tc>
              <w:tc>
                <w:tcPr>
                  <w:tcW w:w="2574" w:type="dxa"/>
                  <w:tcBorders>
                    <w:tl2br w:val="nil"/>
                    <w:tr2bl w:val="nil"/>
                  </w:tcBorders>
                  <w:noWrap/>
                  <w:vAlign w:val="center"/>
                </w:tcPr>
                <w:p w14:paraId="79CD250E">
                  <w:pPr>
                    <w:keepNext w:val="0"/>
                    <w:keepLines w:val="0"/>
                    <w:widowControl/>
                    <w:suppressLineNumbers w:val="0"/>
                    <w:jc w:val="center"/>
                    <w:textAlignment w:val="center"/>
                    <w:rPr>
                      <w:rFonts w:hint="default" w:ascii="Times New Roman" w:hAnsi="宋体" w:eastAsia="宋体"/>
                      <w:color w:val="auto"/>
                      <w:szCs w:val="21"/>
                      <w:lang w:val="en-US" w:eastAsia="zh-CN"/>
                    </w:rPr>
                  </w:pPr>
                  <w:r>
                    <w:rPr>
                      <w:rFonts w:hint="eastAsia" w:cs="Times New Roman"/>
                      <w:i w:val="0"/>
                      <w:iCs w:val="0"/>
                      <w:color w:val="auto"/>
                      <w:kern w:val="0"/>
                      <w:sz w:val="21"/>
                      <w:szCs w:val="21"/>
                      <w:u w:val="none"/>
                      <w:lang w:val="en-US" w:eastAsia="zh-CN" w:bidi="ar"/>
                    </w:rPr>
                    <w:t>0.56</w:t>
                  </w:r>
                </w:p>
              </w:tc>
              <w:tc>
                <w:tcPr>
                  <w:tcW w:w="1414" w:type="pct"/>
                  <w:tcBorders>
                    <w:tl2br w:val="nil"/>
                    <w:tr2bl w:val="nil"/>
                  </w:tcBorders>
                  <w:shd w:val="clear" w:color="auto" w:fill="auto"/>
                  <w:noWrap/>
                  <w:vAlign w:val="center"/>
                </w:tcPr>
                <w:p w14:paraId="7377439D">
                  <w:pPr>
                    <w:pStyle w:val="34"/>
                    <w:spacing w:before="24" w:after="24" w:line="240" w:lineRule="auto"/>
                    <w:ind w:firstLine="0" w:firstLineChars="0"/>
                    <w:jc w:val="center"/>
                    <w:rPr>
                      <w:rFonts w:hint="default" w:ascii="Times New Roman" w:hAnsi="宋体" w:eastAsia="宋体" w:cs="Times New Roman"/>
                      <w:color w:val="auto"/>
                      <w:spacing w:val="-10"/>
                      <w:kern w:val="0"/>
                      <w:sz w:val="21"/>
                      <w:szCs w:val="21"/>
                      <w:lang w:val="en-US" w:eastAsia="zh-CN" w:bidi="ar"/>
                    </w:rPr>
                  </w:pPr>
                  <w:r>
                    <w:rPr>
                      <w:rFonts w:hint="eastAsia" w:ascii="Times New Roman" w:eastAsia="宋体"/>
                      <w:color w:val="auto"/>
                      <w:szCs w:val="21"/>
                      <w:lang w:val="en-US" w:eastAsia="zh-CN"/>
                    </w:rPr>
                    <w:t>0.16</w:t>
                  </w:r>
                </w:p>
              </w:tc>
            </w:tr>
            <w:tr w14:paraId="4AA5142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951" w:type="pct"/>
                  <w:vMerge w:val="continue"/>
                  <w:tcBorders>
                    <w:tl2br w:val="nil"/>
                    <w:tr2bl w:val="nil"/>
                  </w:tcBorders>
                  <w:noWrap/>
                  <w:vAlign w:val="center"/>
                </w:tcPr>
                <w:p w14:paraId="1D22D84B">
                  <w:pPr>
                    <w:pStyle w:val="34"/>
                    <w:spacing w:before="24" w:after="24" w:line="240" w:lineRule="auto"/>
                    <w:jc w:val="center"/>
                    <w:rPr>
                      <w:rFonts w:ascii="Times New Roman" w:eastAsia="宋体"/>
                      <w:color w:val="auto"/>
                      <w:szCs w:val="21"/>
                    </w:rPr>
                  </w:pPr>
                </w:p>
              </w:tc>
              <w:tc>
                <w:tcPr>
                  <w:tcW w:w="1099" w:type="pct"/>
                  <w:tcBorders>
                    <w:tl2br w:val="nil"/>
                    <w:tr2bl w:val="nil"/>
                  </w:tcBorders>
                  <w:noWrap/>
                  <w:vAlign w:val="center"/>
                </w:tcPr>
                <w:p w14:paraId="3A128E46">
                  <w:pPr>
                    <w:pStyle w:val="34"/>
                    <w:spacing w:before="24" w:after="24" w:line="240" w:lineRule="auto"/>
                    <w:jc w:val="center"/>
                    <w:rPr>
                      <w:rFonts w:ascii="Times New Roman" w:eastAsia="宋体"/>
                      <w:color w:val="auto"/>
                      <w:szCs w:val="21"/>
                    </w:rPr>
                  </w:pPr>
                  <w:r>
                    <w:rPr>
                      <w:rFonts w:ascii="Times New Roman" w:eastAsia="宋体"/>
                      <w:color w:val="auto"/>
                      <w:szCs w:val="21"/>
                    </w:rPr>
                    <w:t>SS</w:t>
                  </w:r>
                </w:p>
              </w:tc>
              <w:tc>
                <w:tcPr>
                  <w:tcW w:w="2574" w:type="dxa"/>
                  <w:tcBorders>
                    <w:tl2br w:val="nil"/>
                    <w:tr2bl w:val="nil"/>
                  </w:tcBorders>
                  <w:noWrap/>
                  <w:vAlign w:val="center"/>
                </w:tcPr>
                <w:p w14:paraId="55110C11">
                  <w:pPr>
                    <w:keepNext w:val="0"/>
                    <w:keepLines w:val="0"/>
                    <w:widowControl/>
                    <w:suppressLineNumbers w:val="0"/>
                    <w:jc w:val="center"/>
                    <w:textAlignment w:val="center"/>
                    <w:rPr>
                      <w:rFonts w:hint="default" w:ascii="Times New Roman" w:eastAsia="宋体"/>
                      <w:color w:val="auto"/>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0.</w:t>
                  </w:r>
                  <w:r>
                    <w:rPr>
                      <w:rFonts w:hint="eastAsia" w:cs="Times New Roman"/>
                      <w:i w:val="0"/>
                      <w:iCs w:val="0"/>
                      <w:color w:val="auto"/>
                      <w:kern w:val="0"/>
                      <w:sz w:val="21"/>
                      <w:szCs w:val="21"/>
                      <w:u w:val="none"/>
                      <w:lang w:val="en-US" w:eastAsia="zh-CN" w:bidi="ar"/>
                    </w:rPr>
                    <w:t>4</w:t>
                  </w:r>
                </w:p>
              </w:tc>
              <w:tc>
                <w:tcPr>
                  <w:tcW w:w="1414" w:type="pct"/>
                  <w:tcBorders>
                    <w:tl2br w:val="nil"/>
                    <w:tr2bl w:val="nil"/>
                  </w:tcBorders>
                  <w:shd w:val="clear" w:color="auto" w:fill="auto"/>
                  <w:noWrap/>
                  <w:vAlign w:val="center"/>
                </w:tcPr>
                <w:p w14:paraId="44A09C48">
                  <w:pPr>
                    <w:pStyle w:val="34"/>
                    <w:spacing w:before="24" w:after="24" w:line="240" w:lineRule="auto"/>
                    <w:ind w:firstLine="0" w:firstLineChars="0"/>
                    <w:jc w:val="center"/>
                    <w:rPr>
                      <w:rFonts w:hint="default" w:ascii="Times New Roman" w:hAnsi="宋体" w:eastAsia="宋体" w:cs="Times New Roman"/>
                      <w:color w:val="auto"/>
                      <w:spacing w:val="-10"/>
                      <w:kern w:val="0"/>
                      <w:sz w:val="21"/>
                      <w:szCs w:val="21"/>
                      <w:lang w:val="en-US" w:eastAsia="zh-CN" w:bidi="ar"/>
                    </w:rPr>
                  </w:pPr>
                  <w:r>
                    <w:rPr>
                      <w:rFonts w:hint="eastAsia" w:ascii="Times New Roman" w:eastAsia="宋体"/>
                      <w:color w:val="auto"/>
                      <w:szCs w:val="21"/>
                      <w:lang w:val="en-US" w:eastAsia="zh-CN"/>
                    </w:rPr>
                    <w:t>0.05</w:t>
                  </w:r>
                </w:p>
              </w:tc>
            </w:tr>
            <w:tr w14:paraId="3320545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951" w:type="pct"/>
                  <w:vMerge w:val="continue"/>
                  <w:tcBorders>
                    <w:tl2br w:val="nil"/>
                    <w:tr2bl w:val="nil"/>
                  </w:tcBorders>
                  <w:noWrap/>
                  <w:vAlign w:val="center"/>
                </w:tcPr>
                <w:p w14:paraId="7E1B993E">
                  <w:pPr>
                    <w:pStyle w:val="34"/>
                    <w:spacing w:before="24" w:after="24" w:line="240" w:lineRule="auto"/>
                    <w:jc w:val="center"/>
                    <w:rPr>
                      <w:rFonts w:ascii="Times New Roman" w:eastAsia="宋体"/>
                      <w:color w:val="auto"/>
                      <w:szCs w:val="21"/>
                    </w:rPr>
                  </w:pPr>
                </w:p>
              </w:tc>
              <w:tc>
                <w:tcPr>
                  <w:tcW w:w="1099" w:type="pct"/>
                  <w:tcBorders>
                    <w:tl2br w:val="nil"/>
                    <w:tr2bl w:val="nil"/>
                  </w:tcBorders>
                  <w:noWrap/>
                  <w:vAlign w:val="center"/>
                </w:tcPr>
                <w:p w14:paraId="7C66A2A7">
                  <w:pPr>
                    <w:pStyle w:val="34"/>
                    <w:spacing w:before="24" w:after="24" w:line="240" w:lineRule="auto"/>
                    <w:jc w:val="center"/>
                    <w:rPr>
                      <w:rFonts w:ascii="Times New Roman" w:eastAsia="宋体"/>
                      <w:color w:val="auto"/>
                      <w:szCs w:val="21"/>
                    </w:rPr>
                  </w:pPr>
                  <w:r>
                    <w:rPr>
                      <w:rFonts w:ascii="Times New Roman" w:eastAsia="宋体"/>
                      <w:color w:val="auto"/>
                      <w:szCs w:val="21"/>
                    </w:rPr>
                    <w:t>NH</w:t>
                  </w:r>
                  <w:r>
                    <w:rPr>
                      <w:rFonts w:hint="eastAsia" w:ascii="Times New Roman" w:eastAsia="宋体"/>
                      <w:color w:val="auto"/>
                      <w:szCs w:val="21"/>
                      <w:vertAlign w:val="subscript"/>
                    </w:rPr>
                    <w:t>3</w:t>
                  </w:r>
                  <w:r>
                    <w:rPr>
                      <w:rFonts w:ascii="Times New Roman" w:eastAsia="宋体"/>
                      <w:color w:val="auto"/>
                      <w:szCs w:val="21"/>
                    </w:rPr>
                    <w:t>-N</w:t>
                  </w:r>
                </w:p>
              </w:tc>
              <w:tc>
                <w:tcPr>
                  <w:tcW w:w="2574" w:type="dxa"/>
                  <w:tcBorders>
                    <w:tl2br w:val="nil"/>
                    <w:tr2bl w:val="nil"/>
                  </w:tcBorders>
                  <w:noWrap/>
                  <w:vAlign w:val="center"/>
                </w:tcPr>
                <w:p w14:paraId="0F0E15CE">
                  <w:pPr>
                    <w:keepNext w:val="0"/>
                    <w:keepLines w:val="0"/>
                    <w:widowControl/>
                    <w:suppressLineNumbers w:val="0"/>
                    <w:jc w:val="center"/>
                    <w:textAlignment w:val="center"/>
                    <w:rPr>
                      <w:rFonts w:hint="default" w:ascii="Times New Roman" w:hAnsi="Times New Roman" w:eastAsia="宋体" w:cs="Times New Roman"/>
                      <w:color w:val="auto"/>
                      <w:sz w:val="21"/>
                      <w:szCs w:val="21"/>
                      <w:lang w:val="en-US" w:eastAsia="zh-CN"/>
                    </w:rPr>
                  </w:pPr>
                  <w:r>
                    <w:rPr>
                      <w:rFonts w:hint="eastAsia"/>
                      <w:color w:val="auto"/>
                      <w:lang w:val="en-US" w:eastAsia="zh-CN"/>
                    </w:rPr>
                    <w:t>0.04</w:t>
                  </w:r>
                </w:p>
              </w:tc>
              <w:tc>
                <w:tcPr>
                  <w:tcW w:w="1414" w:type="pct"/>
                  <w:tcBorders>
                    <w:tl2br w:val="nil"/>
                    <w:tr2bl w:val="nil"/>
                  </w:tcBorders>
                  <w:shd w:val="clear" w:color="auto" w:fill="auto"/>
                  <w:noWrap/>
                  <w:vAlign w:val="center"/>
                </w:tcPr>
                <w:p w14:paraId="2852C3F6">
                  <w:pPr>
                    <w:pStyle w:val="34"/>
                    <w:spacing w:before="24" w:after="24" w:line="240" w:lineRule="auto"/>
                    <w:ind w:firstLine="0" w:firstLineChars="0"/>
                    <w:jc w:val="center"/>
                    <w:rPr>
                      <w:rFonts w:hint="eastAsia" w:ascii="Times New Roman" w:hAnsi="宋体" w:eastAsia="宋体" w:cs="Times New Roman"/>
                      <w:color w:val="auto"/>
                      <w:spacing w:val="-10"/>
                      <w:kern w:val="0"/>
                      <w:sz w:val="21"/>
                      <w:szCs w:val="21"/>
                      <w:lang w:val="en-US" w:eastAsia="zh-CN" w:bidi="ar"/>
                    </w:rPr>
                  </w:pPr>
                  <w:r>
                    <w:rPr>
                      <w:rFonts w:hint="eastAsia" w:ascii="Times New Roman" w:eastAsia="宋体"/>
                      <w:color w:val="auto"/>
                      <w:szCs w:val="21"/>
                      <w:lang w:val="en-US" w:eastAsia="zh-CN"/>
                    </w:rPr>
                    <w:t>0.015</w:t>
                  </w:r>
                </w:p>
              </w:tc>
            </w:tr>
            <w:tr w14:paraId="136CCE2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951" w:type="pct"/>
                  <w:vMerge w:val="continue"/>
                  <w:tcBorders>
                    <w:tl2br w:val="nil"/>
                    <w:tr2bl w:val="nil"/>
                  </w:tcBorders>
                  <w:noWrap/>
                  <w:vAlign w:val="center"/>
                </w:tcPr>
                <w:p w14:paraId="72ED5E2A">
                  <w:pPr>
                    <w:pStyle w:val="34"/>
                    <w:spacing w:before="24" w:after="24" w:line="240" w:lineRule="auto"/>
                    <w:jc w:val="center"/>
                    <w:rPr>
                      <w:rFonts w:ascii="Times New Roman" w:eastAsia="宋体"/>
                      <w:color w:val="auto"/>
                      <w:szCs w:val="21"/>
                    </w:rPr>
                  </w:pPr>
                </w:p>
              </w:tc>
              <w:tc>
                <w:tcPr>
                  <w:tcW w:w="1099" w:type="pct"/>
                  <w:tcBorders>
                    <w:tl2br w:val="nil"/>
                    <w:tr2bl w:val="nil"/>
                  </w:tcBorders>
                  <w:noWrap/>
                  <w:vAlign w:val="center"/>
                </w:tcPr>
                <w:p w14:paraId="59AA8CD6">
                  <w:pPr>
                    <w:pStyle w:val="34"/>
                    <w:spacing w:before="24" w:after="24" w:line="240" w:lineRule="auto"/>
                    <w:jc w:val="center"/>
                    <w:rPr>
                      <w:rFonts w:hint="default" w:ascii="Times New Roman" w:eastAsia="宋体"/>
                      <w:color w:val="auto"/>
                      <w:szCs w:val="21"/>
                      <w:lang w:val="en-US" w:eastAsia="zh-CN"/>
                    </w:rPr>
                  </w:pPr>
                  <w:r>
                    <w:rPr>
                      <w:rFonts w:ascii="Times New Roman" w:eastAsia="宋体"/>
                      <w:color w:val="auto"/>
                      <w:szCs w:val="21"/>
                    </w:rPr>
                    <w:t>TP</w:t>
                  </w:r>
                </w:p>
              </w:tc>
              <w:tc>
                <w:tcPr>
                  <w:tcW w:w="2574" w:type="dxa"/>
                  <w:tcBorders>
                    <w:tl2br w:val="nil"/>
                    <w:tr2bl w:val="nil"/>
                  </w:tcBorders>
                  <w:shd w:val="clear" w:color="auto" w:fill="auto"/>
                  <w:noWrap/>
                  <w:vAlign w:val="center"/>
                </w:tcPr>
                <w:p w14:paraId="681DB86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0.0048</w:t>
                  </w:r>
                </w:p>
              </w:tc>
              <w:tc>
                <w:tcPr>
                  <w:tcW w:w="1414" w:type="pct"/>
                  <w:tcBorders>
                    <w:tl2br w:val="nil"/>
                    <w:tr2bl w:val="nil"/>
                  </w:tcBorders>
                  <w:shd w:val="clear" w:color="auto" w:fill="auto"/>
                  <w:noWrap/>
                  <w:vAlign w:val="center"/>
                </w:tcPr>
                <w:p w14:paraId="718688AE">
                  <w:pPr>
                    <w:pStyle w:val="34"/>
                    <w:spacing w:before="24" w:after="24" w:line="240" w:lineRule="auto"/>
                    <w:ind w:firstLine="0" w:firstLineChars="0"/>
                    <w:jc w:val="center"/>
                    <w:rPr>
                      <w:rFonts w:hint="default" w:ascii="Times New Roman" w:hAnsi="宋体" w:eastAsia="宋体" w:cs="Times New Roman"/>
                      <w:color w:val="auto"/>
                      <w:spacing w:val="-10"/>
                      <w:kern w:val="0"/>
                      <w:sz w:val="21"/>
                      <w:szCs w:val="21"/>
                      <w:lang w:val="en-US" w:eastAsia="zh-CN" w:bidi="ar"/>
                    </w:rPr>
                  </w:pPr>
                  <w:r>
                    <w:rPr>
                      <w:rFonts w:hint="eastAsia" w:ascii="Times New Roman" w:eastAsia="宋体"/>
                      <w:color w:val="auto"/>
                      <w:szCs w:val="21"/>
                      <w:lang w:val="en-US" w:eastAsia="zh-CN"/>
                    </w:rPr>
                    <w:t>0.0009</w:t>
                  </w:r>
                </w:p>
              </w:tc>
            </w:tr>
            <w:tr w14:paraId="30AE4CE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951" w:type="pct"/>
                  <w:vMerge w:val="continue"/>
                  <w:tcBorders>
                    <w:tl2br w:val="nil"/>
                    <w:tr2bl w:val="nil"/>
                  </w:tcBorders>
                  <w:noWrap/>
                  <w:vAlign w:val="center"/>
                </w:tcPr>
                <w:p w14:paraId="01A57E29">
                  <w:pPr>
                    <w:pStyle w:val="34"/>
                    <w:spacing w:before="24" w:after="24" w:line="240" w:lineRule="auto"/>
                    <w:jc w:val="center"/>
                    <w:rPr>
                      <w:rFonts w:ascii="Times New Roman" w:eastAsia="宋体"/>
                      <w:color w:val="auto"/>
                      <w:szCs w:val="21"/>
                    </w:rPr>
                  </w:pPr>
                </w:p>
              </w:tc>
              <w:tc>
                <w:tcPr>
                  <w:tcW w:w="1099" w:type="pct"/>
                  <w:tcBorders>
                    <w:tl2br w:val="nil"/>
                    <w:tr2bl w:val="nil"/>
                  </w:tcBorders>
                  <w:noWrap/>
                  <w:vAlign w:val="center"/>
                </w:tcPr>
                <w:p w14:paraId="6C2215C6">
                  <w:pPr>
                    <w:pStyle w:val="34"/>
                    <w:spacing w:before="24" w:after="24" w:line="240" w:lineRule="auto"/>
                    <w:jc w:val="center"/>
                    <w:rPr>
                      <w:rFonts w:ascii="Times New Roman" w:eastAsia="宋体"/>
                      <w:color w:val="auto"/>
                      <w:szCs w:val="21"/>
                    </w:rPr>
                  </w:pPr>
                  <w:r>
                    <w:rPr>
                      <w:rFonts w:hint="eastAsia" w:ascii="Times New Roman" w:eastAsia="宋体"/>
                      <w:color w:val="auto"/>
                      <w:szCs w:val="21"/>
                      <w:lang w:val="en-US" w:eastAsia="zh-CN"/>
                    </w:rPr>
                    <w:t>TN</w:t>
                  </w:r>
                </w:p>
              </w:tc>
              <w:tc>
                <w:tcPr>
                  <w:tcW w:w="2574" w:type="dxa"/>
                  <w:tcBorders>
                    <w:tl2br w:val="nil"/>
                    <w:tr2bl w:val="nil"/>
                  </w:tcBorders>
                  <w:noWrap/>
                  <w:vAlign w:val="center"/>
                </w:tcPr>
                <w:p w14:paraId="31B05BE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0.056</w:t>
                  </w:r>
                </w:p>
              </w:tc>
              <w:tc>
                <w:tcPr>
                  <w:tcW w:w="1414" w:type="pct"/>
                  <w:tcBorders>
                    <w:tl2br w:val="nil"/>
                    <w:tr2bl w:val="nil"/>
                  </w:tcBorders>
                  <w:shd w:val="clear" w:color="auto" w:fill="auto"/>
                  <w:noWrap/>
                  <w:vAlign w:val="center"/>
                </w:tcPr>
                <w:p w14:paraId="39E08184">
                  <w:pPr>
                    <w:pStyle w:val="34"/>
                    <w:spacing w:before="24" w:after="24" w:line="240" w:lineRule="auto"/>
                    <w:ind w:firstLine="0" w:firstLineChars="0"/>
                    <w:jc w:val="center"/>
                    <w:rPr>
                      <w:rFonts w:hint="default" w:ascii="Times New Roman" w:hAnsi="宋体" w:eastAsia="宋体" w:cs="Times New Roman"/>
                      <w:color w:val="auto"/>
                      <w:spacing w:val="-10"/>
                      <w:kern w:val="0"/>
                      <w:sz w:val="21"/>
                      <w:szCs w:val="21"/>
                      <w:lang w:val="en-US" w:eastAsia="zh-CN" w:bidi="ar"/>
                    </w:rPr>
                  </w:pPr>
                  <w:r>
                    <w:rPr>
                      <w:rFonts w:hint="eastAsia" w:ascii="Times New Roman" w:eastAsia="宋体" w:cs="Times New Roman"/>
                      <w:color w:val="auto"/>
                      <w:spacing w:val="-10"/>
                      <w:kern w:val="0"/>
                      <w:sz w:val="21"/>
                      <w:szCs w:val="21"/>
                      <w:lang w:val="en-US" w:eastAsia="zh-CN" w:bidi="ar"/>
                    </w:rPr>
                    <w:t>/</w:t>
                  </w:r>
                </w:p>
              </w:tc>
            </w:tr>
            <w:tr w14:paraId="51A8E80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951" w:type="pct"/>
                  <w:tcBorders>
                    <w:tl2br w:val="nil"/>
                    <w:tr2bl w:val="nil"/>
                  </w:tcBorders>
                  <w:noWrap/>
                  <w:vAlign w:val="center"/>
                </w:tcPr>
                <w:p w14:paraId="73FC9E97">
                  <w:pPr>
                    <w:pStyle w:val="34"/>
                    <w:spacing w:before="24" w:after="24" w:line="240" w:lineRule="auto"/>
                    <w:jc w:val="center"/>
                    <w:rPr>
                      <w:rFonts w:ascii="Times New Roman" w:eastAsia="宋体"/>
                      <w:color w:val="auto"/>
                      <w:szCs w:val="21"/>
                    </w:rPr>
                  </w:pPr>
                  <w:r>
                    <w:rPr>
                      <w:rFonts w:hint="eastAsia" w:ascii="Times New Roman" w:eastAsia="宋体"/>
                      <w:color w:val="auto"/>
                      <w:szCs w:val="21"/>
                    </w:rPr>
                    <w:t>废气</w:t>
                  </w:r>
                </w:p>
              </w:tc>
              <w:tc>
                <w:tcPr>
                  <w:tcW w:w="1099" w:type="pct"/>
                  <w:tcBorders>
                    <w:tl2br w:val="nil"/>
                    <w:tr2bl w:val="nil"/>
                  </w:tcBorders>
                  <w:noWrap/>
                  <w:vAlign w:val="center"/>
                </w:tcPr>
                <w:p w14:paraId="1DA102BC">
                  <w:pPr>
                    <w:pStyle w:val="34"/>
                    <w:spacing w:before="24" w:after="24" w:line="240" w:lineRule="auto"/>
                    <w:jc w:val="center"/>
                    <w:rPr>
                      <w:rFonts w:ascii="Times New Roman" w:eastAsia="宋体"/>
                      <w:color w:val="auto"/>
                      <w:szCs w:val="21"/>
                    </w:rPr>
                  </w:pPr>
                  <w:r>
                    <w:rPr>
                      <w:rFonts w:hint="eastAsia" w:ascii="Times New Roman" w:eastAsia="宋体"/>
                      <w:color w:val="auto"/>
                      <w:szCs w:val="21"/>
                    </w:rPr>
                    <w:t>非甲烷总烃</w:t>
                  </w:r>
                </w:p>
              </w:tc>
              <w:tc>
                <w:tcPr>
                  <w:tcW w:w="1534" w:type="pct"/>
                  <w:tcBorders>
                    <w:tl2br w:val="nil"/>
                    <w:tr2bl w:val="nil"/>
                  </w:tcBorders>
                  <w:noWrap/>
                  <w:vAlign w:val="center"/>
                </w:tcPr>
                <w:p w14:paraId="27088E59">
                  <w:pPr>
                    <w:pStyle w:val="34"/>
                    <w:spacing w:before="24" w:after="24" w:line="240" w:lineRule="auto"/>
                    <w:jc w:val="center"/>
                    <w:rPr>
                      <w:rFonts w:hint="default" w:ascii="Times New Roman" w:eastAsia="宋体"/>
                      <w:color w:val="auto"/>
                      <w:szCs w:val="21"/>
                      <w:lang w:val="en-US" w:eastAsia="zh-CN"/>
                    </w:rPr>
                  </w:pPr>
                  <w:r>
                    <w:rPr>
                      <w:rFonts w:hint="default" w:ascii="Times New Roman" w:eastAsia="宋体"/>
                      <w:color w:val="auto"/>
                      <w:szCs w:val="21"/>
                      <w:lang w:val="en-US" w:eastAsia="zh-CN"/>
                    </w:rPr>
                    <w:t>0.0049</w:t>
                  </w:r>
                </w:p>
              </w:tc>
              <w:tc>
                <w:tcPr>
                  <w:tcW w:w="1414" w:type="pct"/>
                  <w:tcBorders>
                    <w:tl2br w:val="nil"/>
                    <w:tr2bl w:val="nil"/>
                  </w:tcBorders>
                  <w:noWrap/>
                  <w:vAlign w:val="center"/>
                </w:tcPr>
                <w:p w14:paraId="23930B80">
                  <w:pPr>
                    <w:pStyle w:val="34"/>
                    <w:spacing w:before="24" w:after="24" w:line="240" w:lineRule="auto"/>
                    <w:jc w:val="center"/>
                    <w:rPr>
                      <w:rFonts w:hint="eastAsia" w:ascii="Times New Roman" w:eastAsia="宋体"/>
                      <w:color w:val="auto"/>
                      <w:szCs w:val="21"/>
                      <w:lang w:val="en-US" w:eastAsia="zh-CN"/>
                    </w:rPr>
                  </w:pPr>
                  <w:r>
                    <w:rPr>
                      <w:rFonts w:hint="eastAsia" w:ascii="Times New Roman" w:eastAsia="宋体"/>
                      <w:color w:val="auto"/>
                      <w:szCs w:val="21"/>
                      <w:lang w:val="en-US" w:eastAsia="zh-CN"/>
                    </w:rPr>
                    <w:t>0.0049</w:t>
                  </w:r>
                </w:p>
              </w:tc>
            </w:tr>
            <w:tr w14:paraId="523EB80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951" w:type="pct"/>
                  <w:vMerge w:val="restart"/>
                  <w:tcBorders>
                    <w:tl2br w:val="nil"/>
                    <w:tr2bl w:val="nil"/>
                  </w:tcBorders>
                  <w:noWrap/>
                  <w:vAlign w:val="center"/>
                </w:tcPr>
                <w:p w14:paraId="67584E11">
                  <w:pPr>
                    <w:pStyle w:val="34"/>
                    <w:spacing w:before="24" w:after="24" w:line="240" w:lineRule="auto"/>
                    <w:jc w:val="center"/>
                    <w:rPr>
                      <w:rFonts w:ascii="Times New Roman" w:eastAsia="宋体"/>
                      <w:color w:val="auto"/>
                      <w:szCs w:val="21"/>
                    </w:rPr>
                  </w:pPr>
                  <w:r>
                    <w:rPr>
                      <w:rFonts w:hint="eastAsia" w:ascii="Times New Roman" w:eastAsia="宋体"/>
                      <w:color w:val="auto"/>
                      <w:szCs w:val="21"/>
                    </w:rPr>
                    <w:t>固体废物</w:t>
                  </w:r>
                </w:p>
              </w:tc>
              <w:tc>
                <w:tcPr>
                  <w:tcW w:w="1099" w:type="pct"/>
                  <w:tcBorders>
                    <w:tl2br w:val="nil"/>
                    <w:tr2bl w:val="nil"/>
                  </w:tcBorders>
                  <w:noWrap/>
                  <w:vAlign w:val="center"/>
                </w:tcPr>
                <w:p w14:paraId="5A8B5169">
                  <w:pPr>
                    <w:pStyle w:val="34"/>
                    <w:spacing w:before="24" w:after="24" w:line="240" w:lineRule="auto"/>
                    <w:jc w:val="center"/>
                    <w:rPr>
                      <w:rFonts w:ascii="Times New Roman" w:eastAsia="宋体"/>
                      <w:color w:val="auto"/>
                      <w:szCs w:val="21"/>
                    </w:rPr>
                  </w:pPr>
                  <w:r>
                    <w:rPr>
                      <w:rFonts w:hint="eastAsia" w:ascii="Times New Roman" w:eastAsia="宋体"/>
                      <w:color w:val="auto"/>
                      <w:szCs w:val="21"/>
                    </w:rPr>
                    <w:t>生活垃圾</w:t>
                  </w:r>
                </w:p>
              </w:tc>
              <w:tc>
                <w:tcPr>
                  <w:tcW w:w="1534" w:type="pct"/>
                  <w:tcBorders>
                    <w:tl2br w:val="nil"/>
                    <w:tr2bl w:val="nil"/>
                  </w:tcBorders>
                  <w:noWrap/>
                  <w:vAlign w:val="center"/>
                </w:tcPr>
                <w:p w14:paraId="5F737003">
                  <w:pPr>
                    <w:pStyle w:val="34"/>
                    <w:spacing w:before="24" w:after="24" w:line="240" w:lineRule="auto"/>
                    <w:jc w:val="center"/>
                    <w:rPr>
                      <w:rFonts w:ascii="Times New Roman" w:eastAsia="宋体"/>
                      <w:color w:val="auto"/>
                      <w:szCs w:val="21"/>
                    </w:rPr>
                  </w:pPr>
                  <w:r>
                    <w:rPr>
                      <w:rFonts w:hint="eastAsia" w:ascii="Times New Roman" w:eastAsia="宋体"/>
                      <w:color w:val="auto"/>
                      <w:szCs w:val="21"/>
                    </w:rPr>
                    <w:t>0</w:t>
                  </w:r>
                </w:p>
              </w:tc>
              <w:tc>
                <w:tcPr>
                  <w:tcW w:w="1414" w:type="pct"/>
                  <w:tcBorders>
                    <w:tl2br w:val="nil"/>
                    <w:tr2bl w:val="nil"/>
                  </w:tcBorders>
                  <w:noWrap/>
                  <w:vAlign w:val="center"/>
                </w:tcPr>
                <w:p w14:paraId="48D8EAA5">
                  <w:pPr>
                    <w:pStyle w:val="34"/>
                    <w:spacing w:before="24" w:after="24" w:line="240" w:lineRule="auto"/>
                    <w:jc w:val="center"/>
                    <w:rPr>
                      <w:rFonts w:ascii="Times New Roman" w:eastAsia="宋体"/>
                      <w:color w:val="auto"/>
                      <w:szCs w:val="21"/>
                    </w:rPr>
                  </w:pPr>
                  <w:r>
                    <w:rPr>
                      <w:rFonts w:ascii="Times New Roman" w:eastAsia="宋体"/>
                      <w:color w:val="auto"/>
                      <w:szCs w:val="21"/>
                    </w:rPr>
                    <w:t>0</w:t>
                  </w:r>
                </w:p>
              </w:tc>
            </w:tr>
            <w:tr w14:paraId="3A219D8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951" w:type="pct"/>
                  <w:vMerge w:val="continue"/>
                  <w:tcBorders>
                    <w:tl2br w:val="nil"/>
                    <w:tr2bl w:val="nil"/>
                  </w:tcBorders>
                  <w:noWrap/>
                  <w:vAlign w:val="center"/>
                </w:tcPr>
                <w:p w14:paraId="2525071B">
                  <w:pPr>
                    <w:pStyle w:val="34"/>
                    <w:spacing w:before="24" w:after="24" w:line="240" w:lineRule="auto"/>
                    <w:jc w:val="center"/>
                    <w:rPr>
                      <w:rFonts w:ascii="Times New Roman" w:eastAsia="宋体"/>
                      <w:color w:val="auto"/>
                      <w:szCs w:val="21"/>
                    </w:rPr>
                  </w:pPr>
                </w:p>
              </w:tc>
              <w:tc>
                <w:tcPr>
                  <w:tcW w:w="1099" w:type="pct"/>
                  <w:tcBorders>
                    <w:tl2br w:val="nil"/>
                    <w:tr2bl w:val="nil"/>
                  </w:tcBorders>
                  <w:noWrap/>
                  <w:vAlign w:val="center"/>
                </w:tcPr>
                <w:p w14:paraId="54AFC8EA">
                  <w:pPr>
                    <w:pStyle w:val="34"/>
                    <w:spacing w:before="24" w:after="24" w:line="240" w:lineRule="auto"/>
                    <w:jc w:val="center"/>
                    <w:rPr>
                      <w:rFonts w:ascii="Times New Roman" w:eastAsia="宋体"/>
                      <w:color w:val="auto"/>
                      <w:szCs w:val="21"/>
                    </w:rPr>
                  </w:pPr>
                  <w:r>
                    <w:rPr>
                      <w:rFonts w:hint="eastAsia" w:ascii="Times New Roman" w:eastAsia="宋体"/>
                      <w:color w:val="auto"/>
                      <w:szCs w:val="21"/>
                    </w:rPr>
                    <w:t>一般固废</w:t>
                  </w:r>
                </w:p>
              </w:tc>
              <w:tc>
                <w:tcPr>
                  <w:tcW w:w="1534" w:type="pct"/>
                  <w:tcBorders>
                    <w:tl2br w:val="nil"/>
                    <w:tr2bl w:val="nil"/>
                  </w:tcBorders>
                  <w:noWrap/>
                  <w:vAlign w:val="center"/>
                </w:tcPr>
                <w:p w14:paraId="4390F122">
                  <w:pPr>
                    <w:pStyle w:val="34"/>
                    <w:spacing w:before="24" w:after="24" w:line="240" w:lineRule="auto"/>
                    <w:jc w:val="center"/>
                    <w:rPr>
                      <w:rFonts w:ascii="Times New Roman" w:eastAsia="宋体"/>
                      <w:color w:val="auto"/>
                      <w:szCs w:val="21"/>
                    </w:rPr>
                  </w:pPr>
                  <w:r>
                    <w:rPr>
                      <w:rFonts w:hint="eastAsia" w:ascii="Times New Roman" w:eastAsia="宋体"/>
                      <w:color w:val="auto"/>
                      <w:szCs w:val="21"/>
                    </w:rPr>
                    <w:t>0</w:t>
                  </w:r>
                </w:p>
              </w:tc>
              <w:tc>
                <w:tcPr>
                  <w:tcW w:w="1414" w:type="pct"/>
                  <w:tcBorders>
                    <w:tl2br w:val="nil"/>
                    <w:tr2bl w:val="nil"/>
                  </w:tcBorders>
                  <w:noWrap/>
                  <w:vAlign w:val="center"/>
                </w:tcPr>
                <w:p w14:paraId="2CD43E3B">
                  <w:pPr>
                    <w:pStyle w:val="34"/>
                    <w:spacing w:before="24" w:after="24" w:line="240" w:lineRule="auto"/>
                    <w:jc w:val="center"/>
                    <w:rPr>
                      <w:rFonts w:ascii="Times New Roman" w:eastAsia="宋体"/>
                      <w:color w:val="auto"/>
                      <w:szCs w:val="21"/>
                    </w:rPr>
                  </w:pPr>
                  <w:r>
                    <w:rPr>
                      <w:rFonts w:ascii="Times New Roman" w:eastAsia="宋体"/>
                      <w:color w:val="auto"/>
                      <w:szCs w:val="21"/>
                    </w:rPr>
                    <w:t>0</w:t>
                  </w:r>
                </w:p>
              </w:tc>
            </w:tr>
            <w:tr w14:paraId="7D4BC74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51" w:type="pct"/>
                  <w:vMerge w:val="continue"/>
                  <w:tcBorders>
                    <w:tl2br w:val="nil"/>
                    <w:tr2bl w:val="nil"/>
                  </w:tcBorders>
                  <w:noWrap/>
                  <w:vAlign w:val="center"/>
                </w:tcPr>
                <w:p w14:paraId="6C91A147">
                  <w:pPr>
                    <w:pStyle w:val="34"/>
                    <w:spacing w:before="24" w:after="24" w:line="240" w:lineRule="auto"/>
                    <w:jc w:val="center"/>
                    <w:rPr>
                      <w:rFonts w:ascii="Times New Roman" w:eastAsia="宋体"/>
                      <w:color w:val="auto"/>
                      <w:szCs w:val="21"/>
                    </w:rPr>
                  </w:pPr>
                </w:p>
              </w:tc>
              <w:tc>
                <w:tcPr>
                  <w:tcW w:w="1099" w:type="pct"/>
                  <w:tcBorders>
                    <w:tl2br w:val="nil"/>
                    <w:tr2bl w:val="nil"/>
                  </w:tcBorders>
                  <w:noWrap/>
                  <w:vAlign w:val="center"/>
                </w:tcPr>
                <w:p w14:paraId="610740EC">
                  <w:pPr>
                    <w:pStyle w:val="34"/>
                    <w:spacing w:before="24" w:after="24" w:line="240" w:lineRule="auto"/>
                    <w:jc w:val="center"/>
                    <w:rPr>
                      <w:rFonts w:ascii="Times New Roman" w:eastAsia="宋体"/>
                      <w:color w:val="auto"/>
                      <w:szCs w:val="21"/>
                    </w:rPr>
                  </w:pPr>
                  <w:r>
                    <w:rPr>
                      <w:rFonts w:hint="eastAsia" w:ascii="Times New Roman" w:eastAsia="宋体"/>
                      <w:color w:val="auto"/>
                      <w:szCs w:val="21"/>
                    </w:rPr>
                    <w:t>危险废物</w:t>
                  </w:r>
                </w:p>
              </w:tc>
              <w:tc>
                <w:tcPr>
                  <w:tcW w:w="1534" w:type="pct"/>
                  <w:tcBorders>
                    <w:tl2br w:val="nil"/>
                    <w:tr2bl w:val="nil"/>
                  </w:tcBorders>
                  <w:noWrap/>
                  <w:vAlign w:val="center"/>
                </w:tcPr>
                <w:p w14:paraId="35CD0DC5">
                  <w:pPr>
                    <w:pStyle w:val="34"/>
                    <w:spacing w:before="24" w:after="24" w:line="240" w:lineRule="auto"/>
                    <w:jc w:val="center"/>
                    <w:rPr>
                      <w:rFonts w:ascii="Times New Roman" w:eastAsia="宋体"/>
                      <w:color w:val="auto"/>
                      <w:szCs w:val="21"/>
                    </w:rPr>
                  </w:pPr>
                  <w:r>
                    <w:rPr>
                      <w:rFonts w:hint="eastAsia" w:ascii="Times New Roman" w:eastAsia="宋体"/>
                      <w:color w:val="auto"/>
                      <w:szCs w:val="21"/>
                    </w:rPr>
                    <w:t>0</w:t>
                  </w:r>
                </w:p>
              </w:tc>
              <w:tc>
                <w:tcPr>
                  <w:tcW w:w="1414" w:type="pct"/>
                  <w:tcBorders>
                    <w:tl2br w:val="nil"/>
                    <w:tr2bl w:val="nil"/>
                  </w:tcBorders>
                  <w:noWrap/>
                  <w:vAlign w:val="center"/>
                </w:tcPr>
                <w:p w14:paraId="38A94780">
                  <w:pPr>
                    <w:pStyle w:val="34"/>
                    <w:spacing w:before="24" w:after="24" w:line="240" w:lineRule="auto"/>
                    <w:jc w:val="center"/>
                    <w:rPr>
                      <w:rFonts w:ascii="Times New Roman" w:eastAsia="宋体"/>
                      <w:color w:val="auto"/>
                      <w:szCs w:val="21"/>
                    </w:rPr>
                  </w:pPr>
                  <w:r>
                    <w:rPr>
                      <w:rFonts w:ascii="Times New Roman" w:eastAsia="宋体"/>
                      <w:color w:val="auto"/>
                      <w:szCs w:val="21"/>
                    </w:rPr>
                    <w:t>0</w:t>
                  </w:r>
                </w:p>
              </w:tc>
            </w:tr>
          </w:tbl>
          <w:p w14:paraId="12BB7568">
            <w:pPr>
              <w:pStyle w:val="10"/>
              <w:spacing w:before="0" w:after="0" w:line="360" w:lineRule="auto"/>
              <w:ind w:left="420" w:leftChars="200" w:right="0"/>
              <w:jc w:val="left"/>
              <w:outlineLvl w:val="1"/>
              <w:rPr>
                <w:rFonts w:hint="default"/>
                <w:b/>
                <w:color w:val="auto"/>
                <w:sz w:val="24"/>
                <w:szCs w:val="24"/>
                <w:lang w:val="en-US" w:eastAsia="zh-CN"/>
              </w:rPr>
            </w:pPr>
            <w:bookmarkStart w:id="15" w:name="_Toc30334"/>
            <w:r>
              <w:rPr>
                <w:rFonts w:hint="eastAsia"/>
                <w:b/>
                <w:color w:val="auto"/>
                <w:sz w:val="24"/>
                <w:szCs w:val="24"/>
                <w:lang w:val="en-US" w:eastAsia="zh-CN"/>
              </w:rPr>
              <w:t>注：</w:t>
            </w:r>
            <w:r>
              <w:rPr>
                <w:rFonts w:hint="eastAsia"/>
                <w:b/>
                <w:bCs w:val="0"/>
                <w:color w:val="auto"/>
                <w:sz w:val="21"/>
                <w:szCs w:val="21"/>
                <w:lang w:val="en-US" w:eastAsia="zh-CN"/>
              </w:rPr>
              <w:t>现有项目环评未对</w:t>
            </w:r>
            <w:r>
              <w:rPr>
                <w:rFonts w:ascii="Times New Roman" w:eastAsia="宋体"/>
                <w:b/>
                <w:bCs w:val="0"/>
                <w:color w:val="auto"/>
                <w:sz w:val="21"/>
                <w:szCs w:val="21"/>
              </w:rPr>
              <w:t>NH</w:t>
            </w:r>
            <w:r>
              <w:rPr>
                <w:rFonts w:hint="eastAsia" w:ascii="Times New Roman" w:eastAsia="宋体"/>
                <w:b/>
                <w:bCs w:val="0"/>
                <w:color w:val="auto"/>
                <w:sz w:val="21"/>
                <w:szCs w:val="21"/>
                <w:vertAlign w:val="subscript"/>
              </w:rPr>
              <w:t>3</w:t>
            </w:r>
            <w:r>
              <w:rPr>
                <w:rFonts w:ascii="Times New Roman" w:eastAsia="宋体"/>
                <w:b/>
                <w:bCs w:val="0"/>
                <w:color w:val="auto"/>
                <w:sz w:val="21"/>
                <w:szCs w:val="21"/>
              </w:rPr>
              <w:t>-N</w:t>
            </w:r>
            <w:r>
              <w:rPr>
                <w:rFonts w:hint="eastAsia" w:ascii="Times New Roman"/>
                <w:b/>
                <w:bCs w:val="0"/>
                <w:color w:val="auto"/>
                <w:sz w:val="21"/>
                <w:szCs w:val="21"/>
                <w:lang w:eastAsia="zh-CN"/>
              </w:rPr>
              <w:t>、</w:t>
            </w:r>
            <w:r>
              <w:rPr>
                <w:rFonts w:ascii="Times New Roman" w:eastAsia="宋体"/>
                <w:b/>
                <w:bCs w:val="0"/>
                <w:color w:val="auto"/>
                <w:sz w:val="21"/>
                <w:szCs w:val="21"/>
              </w:rPr>
              <w:t>TP</w:t>
            </w:r>
            <w:r>
              <w:rPr>
                <w:rFonts w:hint="eastAsia" w:ascii="Times New Roman"/>
                <w:b/>
                <w:bCs w:val="0"/>
                <w:color w:val="auto"/>
                <w:sz w:val="21"/>
                <w:szCs w:val="21"/>
                <w:lang w:eastAsia="zh-CN"/>
              </w:rPr>
              <w:t>、</w:t>
            </w:r>
            <w:r>
              <w:rPr>
                <w:rFonts w:hint="eastAsia" w:ascii="Times New Roman"/>
                <w:b/>
                <w:bCs w:val="0"/>
                <w:color w:val="auto"/>
                <w:sz w:val="21"/>
                <w:szCs w:val="21"/>
                <w:lang w:val="en-US" w:eastAsia="zh-CN"/>
              </w:rPr>
              <w:t>TN</w:t>
            </w:r>
            <w:r>
              <w:rPr>
                <w:rFonts w:hint="eastAsia"/>
                <w:b/>
                <w:bCs w:val="0"/>
                <w:color w:val="auto"/>
                <w:sz w:val="21"/>
                <w:szCs w:val="21"/>
                <w:lang w:val="en-US" w:eastAsia="zh-CN"/>
              </w:rPr>
              <w:t>、非甲烷总烃</w:t>
            </w:r>
            <w:r>
              <w:rPr>
                <w:rFonts w:hint="eastAsia" w:ascii="Times New Roman"/>
                <w:b/>
                <w:bCs w:val="0"/>
                <w:color w:val="auto"/>
                <w:sz w:val="21"/>
                <w:szCs w:val="21"/>
                <w:lang w:val="en-US" w:eastAsia="zh-CN"/>
              </w:rPr>
              <w:t>进行核算，本次补充核算。</w:t>
            </w:r>
          </w:p>
          <w:p w14:paraId="5665AE4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firstLine="482" w:firstLineChars="200"/>
              <w:jc w:val="both"/>
              <w:textAlignment w:val="auto"/>
              <w:rPr>
                <w:rFonts w:hint="default" w:ascii="Times New Roman" w:hAnsi="Times New Roman" w:eastAsia="宋体" w:cs="Times New Roman"/>
                <w:b/>
                <w:bCs/>
                <w:color w:val="auto"/>
                <w:kern w:val="2"/>
                <w:sz w:val="24"/>
                <w:szCs w:val="24"/>
                <w:highlight w:val="none"/>
                <w:lang w:val="en-US" w:eastAsia="zh-CN" w:bidi="ar-SA"/>
              </w:rPr>
            </w:pPr>
            <w:r>
              <w:rPr>
                <w:rFonts w:hint="eastAsia" w:ascii="Times New Roman" w:hAnsi="Times New Roman" w:eastAsia="宋体" w:cs="Times New Roman"/>
                <w:b/>
                <w:bCs/>
                <w:color w:val="auto"/>
                <w:kern w:val="2"/>
                <w:sz w:val="24"/>
                <w:szCs w:val="24"/>
                <w:highlight w:val="none"/>
                <w:lang w:val="en-US" w:eastAsia="zh-CN" w:bidi="ar-SA"/>
              </w:rPr>
              <w:t>（5）</w:t>
            </w:r>
            <w:r>
              <w:rPr>
                <w:rFonts w:hint="eastAsia" w:ascii="Times New Roman" w:hAnsi="Times New Roman" w:eastAsia="宋体" w:cs="Times New Roman"/>
                <w:b/>
                <w:bCs/>
                <w:color w:val="auto"/>
                <w:kern w:val="2"/>
                <w:sz w:val="24"/>
                <w:szCs w:val="24"/>
                <w:lang w:val="en-US" w:eastAsia="zh-CN" w:bidi="ar-SA"/>
              </w:rPr>
              <w:t>原有项目环境管理情况</w:t>
            </w:r>
          </w:p>
          <w:p w14:paraId="48CF5739">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sz w:val="24"/>
                <w:szCs w:val="24"/>
                <w:lang w:bidi="ar-SA"/>
              </w:rPr>
            </w:pPr>
            <w:r>
              <w:rPr>
                <w:rFonts w:hint="eastAsia" w:ascii="宋体" w:hAnsi="宋体" w:cs="宋体"/>
                <w:b/>
                <w:bCs/>
                <w:color w:val="auto"/>
                <w:sz w:val="24"/>
                <w:szCs w:val="24"/>
                <w:lang w:bidi="ar"/>
              </w:rPr>
              <w:t>表</w:t>
            </w:r>
            <w:r>
              <w:rPr>
                <w:rFonts w:hint="default" w:ascii="Times New Roman" w:hAnsi="Times New Roman" w:cs="Times New Roman"/>
                <w:b/>
                <w:bCs/>
                <w:color w:val="auto"/>
                <w:sz w:val="24"/>
                <w:szCs w:val="24"/>
                <w:lang w:bidi="ar"/>
              </w:rPr>
              <w:t>2-</w:t>
            </w:r>
            <w:r>
              <w:rPr>
                <w:rFonts w:hint="eastAsia" w:ascii="Times New Roman" w:hAnsi="Times New Roman" w:cs="Times New Roman"/>
                <w:b/>
                <w:bCs/>
                <w:color w:val="auto"/>
                <w:sz w:val="24"/>
                <w:szCs w:val="24"/>
                <w:lang w:val="en-US" w:eastAsia="zh-CN" w:bidi="ar"/>
              </w:rPr>
              <w:t>13</w:t>
            </w:r>
            <w:r>
              <w:rPr>
                <w:rFonts w:hint="eastAsia" w:ascii="宋体" w:hAnsi="宋体" w:cs="宋体"/>
                <w:b/>
                <w:bCs/>
                <w:color w:val="auto"/>
                <w:sz w:val="24"/>
                <w:szCs w:val="24"/>
                <w:lang w:bidi="ar"/>
              </w:rPr>
              <w:t xml:space="preserve"> </w:t>
            </w:r>
            <w:r>
              <w:rPr>
                <w:rFonts w:hint="eastAsia" w:ascii="宋体" w:hAnsi="宋体" w:cs="宋体"/>
                <w:b/>
                <w:bCs/>
                <w:color w:val="auto"/>
                <w:sz w:val="24"/>
                <w:szCs w:val="24"/>
                <w:lang w:val="en-US" w:eastAsia="zh-CN" w:bidi="ar"/>
              </w:rPr>
              <w:t>原</w:t>
            </w:r>
            <w:r>
              <w:rPr>
                <w:rFonts w:hint="eastAsia" w:ascii="宋体" w:hAnsi="宋体" w:cs="宋体"/>
                <w:b/>
                <w:bCs/>
                <w:color w:val="auto"/>
                <w:sz w:val="24"/>
                <w:szCs w:val="24"/>
                <w:lang w:bidi="ar"/>
              </w:rPr>
              <w:t>有环境风险回顾</w:t>
            </w:r>
          </w:p>
          <w:tbl>
            <w:tblPr>
              <w:tblStyle w:val="26"/>
              <w:tblW w:w="4998"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507"/>
              <w:gridCol w:w="1441"/>
              <w:gridCol w:w="3171"/>
              <w:gridCol w:w="3270"/>
            </w:tblGrid>
            <w:tr w14:paraId="08AE21E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61" w:type="pct"/>
                  <w:gridSpan w:val="2"/>
                  <w:vAlign w:val="center"/>
                </w:tcPr>
                <w:p w14:paraId="4F95B673">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b/>
                      <w:bCs/>
                      <w:color w:val="auto"/>
                      <w:sz w:val="21"/>
                      <w:szCs w:val="21"/>
                      <w:highlight w:val="none"/>
                      <w:lang w:bidi="ar-SA"/>
                    </w:rPr>
                  </w:pPr>
                  <w:r>
                    <w:rPr>
                      <w:rFonts w:hint="eastAsia" w:ascii="Times New Roman" w:hAnsi="Times New Roman" w:eastAsia="宋体" w:cs="Times New Roman"/>
                      <w:b/>
                      <w:bCs/>
                      <w:color w:val="auto"/>
                      <w:sz w:val="21"/>
                      <w:szCs w:val="21"/>
                      <w:highlight w:val="none"/>
                      <w:lang w:val="en-US" w:eastAsia="zh-CN" w:bidi="ar-SA"/>
                    </w:rPr>
                    <w:t>环保管理</w:t>
                  </w:r>
                </w:p>
              </w:tc>
              <w:tc>
                <w:tcPr>
                  <w:tcW w:w="1889" w:type="pct"/>
                  <w:vAlign w:val="center"/>
                </w:tcPr>
                <w:p w14:paraId="4D19BEFF">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b/>
                      <w:bCs/>
                      <w:color w:val="auto"/>
                      <w:sz w:val="21"/>
                      <w:szCs w:val="21"/>
                      <w:highlight w:val="none"/>
                      <w:lang w:val="en-US" w:eastAsia="zh-CN" w:bidi="ar-SA"/>
                    </w:rPr>
                  </w:pPr>
                  <w:r>
                    <w:rPr>
                      <w:rFonts w:hint="eastAsia" w:ascii="Times New Roman" w:hAnsi="Times New Roman" w:eastAsia="宋体" w:cs="Times New Roman"/>
                      <w:b/>
                      <w:bCs/>
                      <w:color w:val="auto"/>
                      <w:sz w:val="21"/>
                      <w:szCs w:val="21"/>
                      <w:highlight w:val="none"/>
                      <w:lang w:val="en-US" w:eastAsia="zh-CN" w:bidi="ar-SA"/>
                    </w:rPr>
                    <w:t>审批情况</w:t>
                  </w:r>
                </w:p>
              </w:tc>
              <w:tc>
                <w:tcPr>
                  <w:tcW w:w="1948" w:type="pct"/>
                  <w:vAlign w:val="center"/>
                </w:tcPr>
                <w:p w14:paraId="320D1D22">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b/>
                      <w:bCs/>
                      <w:color w:val="auto"/>
                      <w:sz w:val="21"/>
                      <w:szCs w:val="21"/>
                      <w:highlight w:val="none"/>
                      <w:lang w:bidi="ar-SA"/>
                    </w:rPr>
                  </w:pPr>
                  <w:r>
                    <w:rPr>
                      <w:rFonts w:hint="eastAsia" w:ascii="Times New Roman" w:hAnsi="Times New Roman" w:eastAsia="宋体" w:cs="Times New Roman"/>
                      <w:b/>
                      <w:bCs/>
                      <w:color w:val="auto"/>
                      <w:sz w:val="21"/>
                      <w:szCs w:val="21"/>
                      <w:highlight w:val="none"/>
                      <w:lang w:val="en-US" w:eastAsia="zh-CN" w:bidi="ar-SA"/>
                    </w:rPr>
                    <w:t>实际</w:t>
                  </w:r>
                  <w:r>
                    <w:rPr>
                      <w:rFonts w:hint="default" w:ascii="Times New Roman" w:hAnsi="Times New Roman" w:eastAsia="宋体" w:cs="Times New Roman"/>
                      <w:b/>
                      <w:bCs/>
                      <w:color w:val="auto"/>
                      <w:sz w:val="21"/>
                      <w:szCs w:val="21"/>
                      <w:highlight w:val="none"/>
                      <w:lang w:bidi="ar-SA"/>
                    </w:rPr>
                    <w:t>情况</w:t>
                  </w:r>
                </w:p>
              </w:tc>
            </w:tr>
            <w:tr w14:paraId="74387CC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61" w:type="pct"/>
                  <w:gridSpan w:val="2"/>
                  <w:vAlign w:val="center"/>
                </w:tcPr>
                <w:p w14:paraId="2E43A299">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b/>
                      <w:bCs/>
                      <w:color w:val="auto"/>
                      <w:sz w:val="21"/>
                      <w:szCs w:val="21"/>
                      <w:highlight w:val="none"/>
                      <w:lang w:val="en-US" w:eastAsia="zh-CN" w:bidi="ar-SA"/>
                    </w:rPr>
                  </w:pPr>
                  <w:r>
                    <w:rPr>
                      <w:rFonts w:hint="eastAsia" w:ascii="Times New Roman" w:hAnsi="Times New Roman" w:eastAsia="宋体" w:cs="Times New Roman"/>
                      <w:b/>
                      <w:bCs/>
                      <w:color w:val="auto"/>
                      <w:sz w:val="21"/>
                      <w:szCs w:val="21"/>
                      <w:highlight w:val="none"/>
                      <w:lang w:val="en-US" w:eastAsia="zh-CN" w:bidi="ar-SA"/>
                    </w:rPr>
                    <w:t>排污许可</w:t>
                  </w:r>
                </w:p>
              </w:tc>
              <w:tc>
                <w:tcPr>
                  <w:tcW w:w="1889" w:type="pct"/>
                  <w:vAlign w:val="center"/>
                </w:tcPr>
                <w:p w14:paraId="79EF6E52">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sz w:val="21"/>
                      <w:szCs w:val="21"/>
                      <w:lang w:val="en-US" w:eastAsia="zh-CN" w:bidi="ar"/>
                    </w:rPr>
                  </w:pPr>
                  <w:r>
                    <w:rPr>
                      <w:rFonts w:hint="eastAsia" w:ascii="Times New Roman" w:hAnsi="Times New Roman" w:eastAsia="宋体" w:cs="Times New Roman"/>
                      <w:color w:val="auto"/>
                      <w:kern w:val="0"/>
                      <w:sz w:val="21"/>
                      <w:szCs w:val="21"/>
                      <w:lang w:val="en-US" w:eastAsia="zh-CN" w:bidi="ar"/>
                    </w:rPr>
                    <w:t>原有项目已于2025年9月15日重新申领排污许可证（证书编号：91320621697919753L001Y）。</w:t>
                  </w:r>
                </w:p>
              </w:tc>
              <w:tc>
                <w:tcPr>
                  <w:tcW w:w="1948" w:type="pct"/>
                  <w:vAlign w:val="center"/>
                </w:tcPr>
                <w:p w14:paraId="295B84FD">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sz w:val="21"/>
                      <w:szCs w:val="21"/>
                      <w:lang w:val="en-US" w:eastAsia="zh-CN" w:bidi="ar"/>
                    </w:rPr>
                  </w:pPr>
                  <w:r>
                    <w:rPr>
                      <w:rFonts w:hint="eastAsia" w:ascii="Times New Roman" w:hAnsi="Times New Roman" w:eastAsia="宋体" w:cs="Times New Roman"/>
                      <w:color w:val="auto"/>
                      <w:sz w:val="21"/>
                      <w:szCs w:val="21"/>
                      <w:highlight w:val="none"/>
                      <w:lang w:val="en-US" w:eastAsia="zh-CN" w:bidi="ar-SA"/>
                    </w:rPr>
                    <w:t>企业实际建设情况</w:t>
                  </w:r>
                  <w:r>
                    <w:rPr>
                      <w:rFonts w:hint="eastAsia" w:ascii="Times New Roman" w:hAnsi="Times New Roman" w:eastAsia="宋体" w:cs="Times New Roman"/>
                      <w:color w:val="auto"/>
                      <w:kern w:val="0"/>
                      <w:sz w:val="21"/>
                      <w:szCs w:val="21"/>
                      <w:lang w:val="en-US" w:eastAsia="zh-CN" w:bidi="ar"/>
                    </w:rPr>
                    <w:t>按照排污许可证要求进行。</w:t>
                  </w:r>
                </w:p>
              </w:tc>
            </w:tr>
            <w:tr w14:paraId="0BA6368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61" w:type="pct"/>
                  <w:gridSpan w:val="2"/>
                  <w:vAlign w:val="center"/>
                </w:tcPr>
                <w:p w14:paraId="665B0CAB">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b/>
                      <w:bCs/>
                      <w:color w:val="auto"/>
                      <w:sz w:val="21"/>
                      <w:szCs w:val="21"/>
                      <w:highlight w:val="none"/>
                      <w:lang w:val="en-US" w:eastAsia="zh-CN" w:bidi="ar-SA"/>
                    </w:rPr>
                  </w:pPr>
                  <w:r>
                    <w:rPr>
                      <w:rFonts w:hint="eastAsia" w:ascii="Times New Roman" w:hAnsi="Times New Roman" w:eastAsia="宋体" w:cs="Times New Roman"/>
                      <w:b/>
                      <w:bCs/>
                      <w:color w:val="auto"/>
                      <w:sz w:val="21"/>
                      <w:szCs w:val="21"/>
                      <w:highlight w:val="none"/>
                      <w:lang w:val="en-US" w:eastAsia="zh-CN" w:bidi="ar-SA"/>
                    </w:rPr>
                    <w:t>应急预案</w:t>
                  </w:r>
                </w:p>
              </w:tc>
              <w:tc>
                <w:tcPr>
                  <w:tcW w:w="1889" w:type="pct"/>
                  <w:vAlign w:val="center"/>
                </w:tcPr>
                <w:p w14:paraId="06CD1B59">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bidi="ar-SA"/>
                    </w:rPr>
                    <w:t>企业已编制完成突发环境事件应急预案并于2023年10月19日报海安生态环境局备案（备案编号：320685-2023-314L）</w:t>
                  </w:r>
                </w:p>
              </w:tc>
              <w:tc>
                <w:tcPr>
                  <w:tcW w:w="1948" w:type="pct"/>
                  <w:vAlign w:val="center"/>
                </w:tcPr>
                <w:p w14:paraId="2182FD87">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bidi="ar-SA"/>
                    </w:rPr>
                    <w:t>企业实际建设情况按照应急预案要求进行。</w:t>
                  </w:r>
                </w:p>
              </w:tc>
            </w:tr>
            <w:tr w14:paraId="0785834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302" w:type="pct"/>
                  <w:vMerge w:val="restart"/>
                  <w:vAlign w:val="center"/>
                </w:tcPr>
                <w:p w14:paraId="6F6FCA90">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b/>
                      <w:bCs/>
                      <w:color w:val="auto"/>
                      <w:sz w:val="21"/>
                      <w:szCs w:val="21"/>
                      <w:highlight w:val="none"/>
                      <w:lang w:val="en-US" w:eastAsia="zh-CN" w:bidi="ar-SA"/>
                    </w:rPr>
                  </w:pPr>
                  <w:r>
                    <w:rPr>
                      <w:rFonts w:hint="eastAsia" w:ascii="Times New Roman" w:hAnsi="Times New Roman" w:eastAsia="宋体" w:cs="Times New Roman"/>
                      <w:b/>
                      <w:bCs/>
                      <w:color w:val="auto"/>
                      <w:sz w:val="21"/>
                      <w:szCs w:val="21"/>
                      <w:highlight w:val="none"/>
                      <w:lang w:val="en-US" w:eastAsia="zh-CN" w:bidi="ar-SA"/>
                    </w:rPr>
                    <w:t>环境风险应急防控</w:t>
                  </w:r>
                </w:p>
              </w:tc>
              <w:tc>
                <w:tcPr>
                  <w:tcW w:w="858" w:type="pct"/>
                  <w:vMerge w:val="restart"/>
                  <w:vAlign w:val="center"/>
                </w:tcPr>
                <w:p w14:paraId="0B9979D8">
                  <w:pPr>
                    <w:keepNext w:val="0"/>
                    <w:keepLines w:val="0"/>
                    <w:widowControl/>
                    <w:suppressLineNumbers w:val="0"/>
                    <w:spacing w:before="0" w:beforeAutospacing="0" w:after="0" w:afterAutospacing="0"/>
                    <w:ind w:left="0" w:right="0"/>
                    <w:jc w:val="center"/>
                    <w:rPr>
                      <w:rFonts w:hint="eastAsia" w:ascii="Times New Roman" w:hAnsi="Times New Roman" w:eastAsia="宋体" w:cs="Times New Roman"/>
                      <w:color w:val="auto"/>
                      <w:kern w:val="0"/>
                      <w:sz w:val="21"/>
                      <w:szCs w:val="21"/>
                      <w:lang w:val="en-US" w:eastAsia="zh-CN" w:bidi="ar"/>
                    </w:rPr>
                  </w:pPr>
                  <w:r>
                    <w:rPr>
                      <w:rFonts w:hint="eastAsia" w:ascii="Times New Roman" w:hAnsi="Times New Roman" w:eastAsia="宋体" w:cs="Times New Roman"/>
                      <w:color w:val="auto"/>
                      <w:kern w:val="0"/>
                      <w:sz w:val="21"/>
                      <w:szCs w:val="21"/>
                      <w:lang w:val="en-US" w:eastAsia="zh-CN" w:bidi="ar"/>
                    </w:rPr>
                    <w:t>水环境风险防控措施</w:t>
                  </w:r>
                </w:p>
              </w:tc>
              <w:tc>
                <w:tcPr>
                  <w:tcW w:w="1889" w:type="pct"/>
                  <w:vAlign w:val="center"/>
                </w:tcPr>
                <w:p w14:paraId="7A414E0D">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sz w:val="21"/>
                      <w:szCs w:val="21"/>
                      <w:lang w:val="en-US" w:eastAsia="zh-CN" w:bidi="ar"/>
                    </w:rPr>
                  </w:pPr>
                  <w:r>
                    <w:rPr>
                      <w:rFonts w:hint="eastAsia" w:ascii="Times New Roman" w:hAnsi="Times New Roman" w:eastAsia="宋体" w:cs="Times New Roman"/>
                      <w:color w:val="auto"/>
                      <w:kern w:val="0"/>
                      <w:sz w:val="21"/>
                      <w:szCs w:val="21"/>
                      <w:lang w:val="en-US" w:eastAsia="zh-CN" w:bidi="ar"/>
                    </w:rPr>
                    <w:t>截流措施</w:t>
                  </w:r>
                </w:p>
              </w:tc>
              <w:tc>
                <w:tcPr>
                  <w:tcW w:w="1948" w:type="pct"/>
                  <w:vMerge w:val="restart"/>
                  <w:vAlign w:val="center"/>
                </w:tcPr>
                <w:p w14:paraId="244121EE">
                  <w:pPr>
                    <w:keepNext w:val="0"/>
                    <w:keepLines w:val="0"/>
                    <w:widowControl/>
                    <w:suppressLineNumbers w:val="0"/>
                    <w:spacing w:before="0" w:beforeAutospacing="0" w:after="0" w:afterAutospacing="0"/>
                    <w:ind w:left="0" w:right="0"/>
                    <w:jc w:val="center"/>
                    <w:rPr>
                      <w:rFonts w:hint="eastAsia" w:ascii="Times New Roman" w:hAnsi="Times New Roman" w:eastAsia="宋体" w:cs="Times New Roman"/>
                      <w:color w:val="auto"/>
                      <w:kern w:val="0"/>
                      <w:sz w:val="21"/>
                      <w:szCs w:val="21"/>
                      <w:lang w:val="en-US" w:eastAsia="zh-CN" w:bidi="ar"/>
                    </w:rPr>
                  </w:pPr>
                  <w:r>
                    <w:rPr>
                      <w:rFonts w:hint="eastAsia" w:ascii="Times New Roman" w:hAnsi="Times New Roman" w:eastAsia="宋体" w:cs="Times New Roman"/>
                      <w:color w:val="auto"/>
                      <w:kern w:val="0"/>
                      <w:sz w:val="21"/>
                      <w:szCs w:val="21"/>
                      <w:lang w:val="en-US" w:eastAsia="zh-CN" w:bidi="ar"/>
                    </w:rPr>
                    <w:t>（1）生产车间设置了防渗地面；</w:t>
                  </w:r>
                </w:p>
                <w:p w14:paraId="112D3AB3">
                  <w:pPr>
                    <w:keepNext w:val="0"/>
                    <w:keepLines w:val="0"/>
                    <w:widowControl/>
                    <w:suppressLineNumbers w:val="0"/>
                    <w:spacing w:before="0" w:beforeAutospacing="0" w:after="0" w:afterAutospacing="0"/>
                    <w:ind w:left="0" w:right="0"/>
                    <w:jc w:val="center"/>
                    <w:rPr>
                      <w:rFonts w:hint="eastAsia" w:ascii="Times New Roman" w:hAnsi="Times New Roman" w:eastAsia="宋体" w:cs="Times New Roman"/>
                      <w:color w:val="auto"/>
                      <w:kern w:val="0"/>
                      <w:sz w:val="21"/>
                      <w:szCs w:val="21"/>
                      <w:lang w:val="en-US" w:eastAsia="zh-CN" w:bidi="ar"/>
                    </w:rPr>
                  </w:pPr>
                  <w:r>
                    <w:rPr>
                      <w:rFonts w:hint="eastAsia" w:ascii="Times New Roman" w:hAnsi="Times New Roman" w:eastAsia="宋体" w:cs="Times New Roman"/>
                      <w:color w:val="auto"/>
                      <w:kern w:val="0"/>
                      <w:sz w:val="21"/>
                      <w:szCs w:val="21"/>
                      <w:lang w:val="en-US" w:eastAsia="zh-CN" w:bidi="ar"/>
                    </w:rPr>
                    <w:t>（2）雨水管道排口设置切断阀；</w:t>
                  </w:r>
                </w:p>
                <w:p w14:paraId="5895149D">
                  <w:pPr>
                    <w:keepNext w:val="0"/>
                    <w:keepLines w:val="0"/>
                    <w:widowControl/>
                    <w:suppressLineNumbers w:val="0"/>
                    <w:spacing w:before="0" w:beforeAutospacing="0" w:after="0" w:afterAutospacing="0"/>
                    <w:ind w:left="0" w:right="0"/>
                    <w:jc w:val="center"/>
                    <w:rPr>
                      <w:rFonts w:hint="eastAsia" w:ascii="Times New Roman" w:hAnsi="Times New Roman" w:eastAsia="宋体" w:cs="Times New Roman"/>
                      <w:color w:val="auto"/>
                      <w:kern w:val="0"/>
                      <w:sz w:val="21"/>
                      <w:szCs w:val="21"/>
                      <w:lang w:val="en-US" w:eastAsia="zh-CN" w:bidi="ar"/>
                    </w:rPr>
                  </w:pPr>
                  <w:r>
                    <w:rPr>
                      <w:rFonts w:hint="eastAsia" w:ascii="Times New Roman" w:hAnsi="Times New Roman" w:eastAsia="宋体" w:cs="Times New Roman"/>
                      <w:color w:val="auto"/>
                      <w:kern w:val="0"/>
                      <w:sz w:val="21"/>
                      <w:szCs w:val="21"/>
                      <w:lang w:val="en-US" w:eastAsia="zh-CN" w:bidi="ar"/>
                    </w:rPr>
                    <w:t>（3）一般工业固废仓库设置了防渗地面；</w:t>
                  </w:r>
                </w:p>
                <w:p w14:paraId="4BA6F331">
                  <w:pPr>
                    <w:keepNext w:val="0"/>
                    <w:keepLines w:val="0"/>
                    <w:widowControl/>
                    <w:suppressLineNumbers w:val="0"/>
                    <w:spacing w:before="0" w:beforeAutospacing="0" w:after="0" w:afterAutospacing="0"/>
                    <w:ind w:left="0" w:right="0"/>
                    <w:jc w:val="center"/>
                    <w:rPr>
                      <w:rFonts w:hint="eastAsia" w:ascii="Times New Roman" w:hAnsi="Times New Roman" w:eastAsia="宋体" w:cs="Times New Roman"/>
                      <w:color w:val="auto"/>
                      <w:kern w:val="0"/>
                      <w:sz w:val="21"/>
                      <w:szCs w:val="21"/>
                      <w:lang w:val="en-US" w:eastAsia="zh-CN" w:bidi="ar"/>
                    </w:rPr>
                  </w:pPr>
                  <w:r>
                    <w:rPr>
                      <w:rFonts w:hint="eastAsia" w:ascii="Times New Roman" w:hAnsi="Times New Roman" w:eastAsia="宋体" w:cs="Times New Roman"/>
                      <w:color w:val="auto"/>
                      <w:kern w:val="0"/>
                      <w:sz w:val="21"/>
                      <w:szCs w:val="21"/>
                      <w:lang w:val="en-US" w:eastAsia="zh-CN" w:bidi="ar"/>
                    </w:rPr>
                    <w:t>（4）危废仓库设置了防渗地面、导流沟。</w:t>
                  </w:r>
                </w:p>
                <w:p w14:paraId="50BEF9F6">
                  <w:pPr>
                    <w:keepNext w:val="0"/>
                    <w:keepLines w:val="0"/>
                    <w:widowControl/>
                    <w:suppressLineNumbers w:val="0"/>
                    <w:spacing w:before="0" w:beforeAutospacing="0" w:after="0" w:afterAutospacing="0"/>
                    <w:ind w:left="0" w:right="0"/>
                    <w:jc w:val="center"/>
                    <w:rPr>
                      <w:rFonts w:hint="eastAsia" w:ascii="Times New Roman" w:hAnsi="Times New Roman" w:eastAsia="宋体" w:cs="Times New Roman"/>
                      <w:color w:val="auto"/>
                      <w:kern w:val="0"/>
                      <w:sz w:val="21"/>
                      <w:szCs w:val="21"/>
                      <w:lang w:val="en-US" w:eastAsia="zh-CN" w:bidi="ar"/>
                    </w:rPr>
                  </w:pPr>
                  <w:r>
                    <w:rPr>
                      <w:rFonts w:hint="eastAsia" w:ascii="Times New Roman" w:hAnsi="Times New Roman" w:eastAsia="宋体" w:cs="Times New Roman"/>
                      <w:color w:val="auto"/>
                      <w:kern w:val="0"/>
                      <w:sz w:val="21"/>
                      <w:szCs w:val="21"/>
                      <w:lang w:val="en-US" w:eastAsia="zh-CN" w:bidi="ar"/>
                    </w:rPr>
                    <w:t>（5）设置了收集事故废水的事故应急池，并设置切断阀；</w:t>
                  </w:r>
                </w:p>
              </w:tc>
            </w:tr>
            <w:tr w14:paraId="74D4F67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302" w:type="pct"/>
                  <w:vMerge w:val="continue"/>
                  <w:vAlign w:val="center"/>
                </w:tcPr>
                <w:p w14:paraId="062F0E43">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sz w:val="21"/>
                      <w:szCs w:val="21"/>
                      <w:lang w:bidi="ar-SA"/>
                    </w:rPr>
                  </w:pPr>
                </w:p>
              </w:tc>
              <w:tc>
                <w:tcPr>
                  <w:tcW w:w="858" w:type="pct"/>
                  <w:vMerge w:val="continue"/>
                  <w:vAlign w:val="center"/>
                </w:tcPr>
                <w:p w14:paraId="4C60A21E">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sz w:val="21"/>
                      <w:szCs w:val="21"/>
                      <w:lang w:bidi="ar-SA"/>
                    </w:rPr>
                  </w:pPr>
                </w:p>
              </w:tc>
              <w:tc>
                <w:tcPr>
                  <w:tcW w:w="1889" w:type="pct"/>
                  <w:vAlign w:val="center"/>
                </w:tcPr>
                <w:p w14:paraId="013BBA7B">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sz w:val="21"/>
                      <w:szCs w:val="21"/>
                      <w:lang w:val="en-US" w:eastAsia="zh-CN" w:bidi="ar"/>
                    </w:rPr>
                  </w:pPr>
                  <w:r>
                    <w:rPr>
                      <w:rFonts w:hint="eastAsia" w:ascii="Times New Roman" w:hAnsi="Times New Roman" w:eastAsia="宋体" w:cs="Times New Roman"/>
                      <w:color w:val="auto"/>
                      <w:kern w:val="0"/>
                      <w:sz w:val="21"/>
                      <w:szCs w:val="21"/>
                      <w:lang w:val="en-US" w:eastAsia="zh-CN" w:bidi="ar"/>
                    </w:rPr>
                    <w:t>事故排水收集措施</w:t>
                  </w:r>
                </w:p>
              </w:tc>
              <w:tc>
                <w:tcPr>
                  <w:tcW w:w="1948" w:type="pct"/>
                  <w:vMerge w:val="continue"/>
                  <w:vAlign w:val="center"/>
                </w:tcPr>
                <w:p w14:paraId="77893C48">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sz w:val="21"/>
                      <w:szCs w:val="21"/>
                      <w:lang w:val="en-US" w:eastAsia="zh-CN" w:bidi="ar"/>
                    </w:rPr>
                  </w:pPr>
                </w:p>
              </w:tc>
            </w:tr>
            <w:tr w14:paraId="4B0856A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302" w:type="pct"/>
                  <w:vMerge w:val="continue"/>
                  <w:vAlign w:val="center"/>
                </w:tcPr>
                <w:p w14:paraId="0811031B">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sz w:val="21"/>
                      <w:szCs w:val="21"/>
                      <w:lang w:val="en-US" w:eastAsia="zh-CN" w:bidi="ar"/>
                    </w:rPr>
                  </w:pPr>
                </w:p>
              </w:tc>
              <w:tc>
                <w:tcPr>
                  <w:tcW w:w="858" w:type="pct"/>
                  <w:vMerge w:val="continue"/>
                  <w:vAlign w:val="center"/>
                </w:tcPr>
                <w:p w14:paraId="1C421520">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sz w:val="21"/>
                      <w:szCs w:val="21"/>
                      <w:lang w:val="en-US" w:eastAsia="zh-CN" w:bidi="ar"/>
                    </w:rPr>
                  </w:pPr>
                </w:p>
              </w:tc>
              <w:tc>
                <w:tcPr>
                  <w:tcW w:w="1889" w:type="pct"/>
                  <w:vAlign w:val="center"/>
                </w:tcPr>
                <w:p w14:paraId="6A31F374">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sz w:val="21"/>
                      <w:szCs w:val="21"/>
                      <w:lang w:val="en-US" w:eastAsia="zh-CN" w:bidi="ar"/>
                    </w:rPr>
                  </w:pPr>
                  <w:r>
                    <w:rPr>
                      <w:rFonts w:hint="eastAsia" w:ascii="Times New Roman" w:hAnsi="Times New Roman" w:eastAsia="宋体" w:cs="Times New Roman"/>
                      <w:color w:val="auto"/>
                      <w:kern w:val="0"/>
                      <w:sz w:val="21"/>
                      <w:szCs w:val="21"/>
                      <w:lang w:val="en-US" w:eastAsia="zh-CN" w:bidi="ar"/>
                    </w:rPr>
                    <w:t>排水系统防控措施</w:t>
                  </w:r>
                </w:p>
              </w:tc>
              <w:tc>
                <w:tcPr>
                  <w:tcW w:w="1948" w:type="pct"/>
                  <w:vMerge w:val="continue"/>
                  <w:vAlign w:val="center"/>
                </w:tcPr>
                <w:p w14:paraId="35A7B75C">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sz w:val="21"/>
                      <w:szCs w:val="21"/>
                      <w:lang w:val="en-US" w:eastAsia="zh-CN" w:bidi="ar"/>
                    </w:rPr>
                  </w:pPr>
                </w:p>
              </w:tc>
            </w:tr>
            <w:tr w14:paraId="40AB2C2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52" w:hRule="atLeast"/>
              </w:trPr>
              <w:tc>
                <w:tcPr>
                  <w:tcW w:w="302" w:type="pct"/>
                  <w:vMerge w:val="continue"/>
                  <w:vAlign w:val="center"/>
                </w:tcPr>
                <w:p w14:paraId="15069CB6">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lang w:bidi="ar-SA"/>
                    </w:rPr>
                  </w:pPr>
                </w:p>
              </w:tc>
              <w:tc>
                <w:tcPr>
                  <w:tcW w:w="858" w:type="pct"/>
                  <w:vAlign w:val="center"/>
                </w:tcPr>
                <w:p w14:paraId="5DEB6E6B">
                  <w:pPr>
                    <w:keepNext w:val="0"/>
                    <w:keepLines w:val="0"/>
                    <w:widowControl/>
                    <w:suppressLineNumbers w:val="0"/>
                    <w:spacing w:before="0" w:beforeAutospacing="0" w:after="0" w:afterAutospacing="0"/>
                    <w:ind w:left="0" w:right="0"/>
                    <w:jc w:val="center"/>
                    <w:rPr>
                      <w:rFonts w:hint="eastAsia" w:ascii="Times New Roman" w:hAnsi="Times New Roman" w:eastAsia="宋体" w:cs="Times New Roman"/>
                      <w:color w:val="auto"/>
                      <w:kern w:val="0"/>
                      <w:sz w:val="21"/>
                      <w:szCs w:val="21"/>
                      <w:lang w:val="en-US" w:eastAsia="zh-CN" w:bidi="ar"/>
                    </w:rPr>
                  </w:pPr>
                  <w:r>
                    <w:rPr>
                      <w:rFonts w:hint="eastAsia" w:ascii="Times New Roman" w:hAnsi="Times New Roman" w:eastAsia="宋体" w:cs="Times New Roman"/>
                      <w:color w:val="auto"/>
                      <w:kern w:val="0"/>
                      <w:sz w:val="21"/>
                      <w:szCs w:val="21"/>
                      <w:lang w:val="en-US" w:eastAsia="zh-CN" w:bidi="ar"/>
                    </w:rPr>
                    <w:t>大气环境风险防控措施</w:t>
                  </w:r>
                </w:p>
              </w:tc>
              <w:tc>
                <w:tcPr>
                  <w:tcW w:w="1889" w:type="pct"/>
                  <w:vAlign w:val="center"/>
                </w:tcPr>
                <w:p w14:paraId="4947983A">
                  <w:pPr>
                    <w:keepNext w:val="0"/>
                    <w:keepLines w:val="0"/>
                    <w:widowControl/>
                    <w:suppressLineNumbers w:val="0"/>
                    <w:spacing w:before="0" w:beforeAutospacing="0" w:after="0" w:afterAutospacing="0"/>
                    <w:ind w:left="0" w:right="0"/>
                    <w:jc w:val="center"/>
                    <w:rPr>
                      <w:rFonts w:hint="eastAsia" w:ascii="Times New Roman" w:hAnsi="Times New Roman" w:eastAsia="宋体" w:cs="Times New Roman"/>
                      <w:color w:val="auto"/>
                      <w:kern w:val="0"/>
                      <w:sz w:val="21"/>
                      <w:szCs w:val="21"/>
                      <w:lang w:val="en-US" w:eastAsia="zh-CN" w:bidi="ar"/>
                    </w:rPr>
                  </w:pPr>
                  <w:r>
                    <w:rPr>
                      <w:rFonts w:hint="eastAsia" w:ascii="Times New Roman" w:hAnsi="Times New Roman" w:eastAsia="宋体" w:cs="Times New Roman"/>
                      <w:color w:val="auto"/>
                      <w:kern w:val="0"/>
                      <w:sz w:val="21"/>
                      <w:szCs w:val="21"/>
                      <w:lang w:val="en-US" w:eastAsia="zh-CN" w:bidi="ar"/>
                    </w:rPr>
                    <w:t>生产废气处理系统防控措施</w:t>
                  </w:r>
                </w:p>
              </w:tc>
              <w:tc>
                <w:tcPr>
                  <w:tcW w:w="1948" w:type="pct"/>
                  <w:vAlign w:val="center"/>
                </w:tcPr>
                <w:p w14:paraId="6ABBF705">
                  <w:pPr>
                    <w:keepNext w:val="0"/>
                    <w:keepLines w:val="0"/>
                    <w:widowControl/>
                    <w:suppressLineNumbers w:val="0"/>
                    <w:spacing w:before="0" w:beforeAutospacing="0" w:after="0" w:afterAutospacing="0"/>
                    <w:ind w:left="0" w:right="0"/>
                    <w:jc w:val="center"/>
                    <w:rPr>
                      <w:rFonts w:hint="eastAsia" w:ascii="Times New Roman" w:hAnsi="Times New Roman" w:eastAsia="宋体" w:cs="Times New Roman"/>
                      <w:color w:val="auto"/>
                      <w:kern w:val="0"/>
                      <w:sz w:val="21"/>
                      <w:szCs w:val="21"/>
                      <w:lang w:val="en-US" w:eastAsia="zh-CN" w:bidi="ar"/>
                    </w:rPr>
                  </w:pPr>
                  <w:r>
                    <w:rPr>
                      <w:rFonts w:hint="eastAsia" w:ascii="Times New Roman" w:hAnsi="Times New Roman" w:eastAsia="宋体" w:cs="Times New Roman"/>
                      <w:color w:val="auto"/>
                      <w:kern w:val="0"/>
                      <w:sz w:val="21"/>
                      <w:szCs w:val="21"/>
                      <w:lang w:val="en-US" w:eastAsia="zh-CN" w:bidi="ar"/>
                    </w:rPr>
                    <w:t>定期对废气处理设施进行检修。</w:t>
                  </w:r>
                </w:p>
              </w:tc>
            </w:tr>
            <w:tr w14:paraId="3BF4354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52" w:hRule="atLeast"/>
              </w:trPr>
              <w:tc>
                <w:tcPr>
                  <w:tcW w:w="302" w:type="pct"/>
                  <w:vMerge w:val="continue"/>
                  <w:vAlign w:val="center"/>
                </w:tcPr>
                <w:p w14:paraId="748D0FBD">
                  <w:pPr>
                    <w:keepNext w:val="0"/>
                    <w:keepLines w:val="0"/>
                    <w:widowControl w:val="0"/>
                    <w:suppressLineNumbers w:val="0"/>
                    <w:spacing w:before="0" w:beforeAutospacing="0" w:after="0" w:afterAutospacing="0"/>
                    <w:ind w:left="0" w:right="0"/>
                    <w:jc w:val="center"/>
                    <w:rPr>
                      <w:rFonts w:hint="eastAsia" w:ascii="Times New Roman" w:hAnsi="Times New Roman" w:eastAsia="宋体" w:cs="Times New Roman"/>
                      <w:b/>
                      <w:bCs/>
                      <w:color w:val="auto"/>
                      <w:sz w:val="21"/>
                      <w:szCs w:val="21"/>
                      <w:highlight w:val="none"/>
                      <w:lang w:val="en-US" w:eastAsia="zh-CN" w:bidi="ar-SA"/>
                    </w:rPr>
                  </w:pPr>
                </w:p>
              </w:tc>
              <w:tc>
                <w:tcPr>
                  <w:tcW w:w="858" w:type="pct"/>
                  <w:vAlign w:val="center"/>
                </w:tcPr>
                <w:p w14:paraId="7A13E7AE">
                  <w:pPr>
                    <w:keepNext w:val="0"/>
                    <w:keepLines w:val="0"/>
                    <w:widowControl/>
                    <w:suppressLineNumbers w:val="0"/>
                    <w:spacing w:before="0" w:beforeAutospacing="0" w:after="0" w:afterAutospacing="0"/>
                    <w:ind w:left="0" w:right="0"/>
                    <w:jc w:val="center"/>
                    <w:rPr>
                      <w:rFonts w:hint="eastAsia" w:ascii="Times New Roman" w:hAnsi="Times New Roman" w:eastAsia="宋体" w:cs="Times New Roman"/>
                      <w:color w:val="auto"/>
                      <w:kern w:val="0"/>
                      <w:sz w:val="21"/>
                      <w:szCs w:val="21"/>
                      <w:lang w:val="en-US" w:eastAsia="zh-CN" w:bidi="ar"/>
                    </w:rPr>
                  </w:pPr>
                  <w:r>
                    <w:rPr>
                      <w:rFonts w:hint="eastAsia" w:ascii="Times New Roman" w:hAnsi="Times New Roman" w:eastAsia="宋体" w:cs="Times New Roman"/>
                      <w:color w:val="auto"/>
                      <w:kern w:val="0"/>
                      <w:sz w:val="21"/>
                      <w:szCs w:val="21"/>
                      <w:lang w:val="en-US" w:eastAsia="zh-CN" w:bidi="ar"/>
                    </w:rPr>
                    <w:t>环评及批复的其他风险防控措施</w:t>
                  </w:r>
                </w:p>
              </w:tc>
              <w:tc>
                <w:tcPr>
                  <w:tcW w:w="1889" w:type="pct"/>
                  <w:vAlign w:val="center"/>
                </w:tcPr>
                <w:p w14:paraId="65AA9C50">
                  <w:pPr>
                    <w:keepNext w:val="0"/>
                    <w:keepLines w:val="0"/>
                    <w:widowControl/>
                    <w:suppressLineNumbers w:val="0"/>
                    <w:spacing w:before="0" w:beforeAutospacing="0" w:after="0" w:afterAutospacing="0"/>
                    <w:ind w:left="0" w:right="0"/>
                    <w:jc w:val="center"/>
                    <w:rPr>
                      <w:rFonts w:hint="eastAsia" w:ascii="Times New Roman" w:hAnsi="Times New Roman" w:eastAsia="宋体" w:cs="Times New Roman"/>
                      <w:color w:val="auto"/>
                      <w:kern w:val="0"/>
                      <w:sz w:val="21"/>
                      <w:szCs w:val="21"/>
                      <w:lang w:val="en-US" w:eastAsia="zh-CN" w:bidi="ar"/>
                    </w:rPr>
                  </w:pPr>
                  <w:r>
                    <w:rPr>
                      <w:rFonts w:hint="eastAsia" w:ascii="Times New Roman" w:hAnsi="Times New Roman" w:eastAsia="宋体" w:cs="Times New Roman"/>
                      <w:color w:val="auto"/>
                      <w:kern w:val="0"/>
                      <w:sz w:val="21"/>
                      <w:szCs w:val="21"/>
                      <w:lang w:val="en-US" w:eastAsia="zh-CN" w:bidi="ar"/>
                    </w:rPr>
                    <w:t>规范设置排污口和标志牌</w:t>
                  </w:r>
                </w:p>
              </w:tc>
              <w:tc>
                <w:tcPr>
                  <w:tcW w:w="1948" w:type="pct"/>
                  <w:vAlign w:val="center"/>
                </w:tcPr>
                <w:p w14:paraId="25134B6B">
                  <w:pPr>
                    <w:keepNext w:val="0"/>
                    <w:keepLines w:val="0"/>
                    <w:widowControl/>
                    <w:suppressLineNumbers w:val="0"/>
                    <w:spacing w:before="0" w:beforeAutospacing="0" w:after="0" w:afterAutospacing="0"/>
                    <w:ind w:left="0" w:right="0"/>
                    <w:jc w:val="center"/>
                    <w:rPr>
                      <w:rFonts w:hint="eastAsia" w:ascii="Times New Roman" w:hAnsi="Times New Roman" w:eastAsia="宋体" w:cs="Times New Roman"/>
                      <w:color w:val="auto"/>
                      <w:kern w:val="0"/>
                      <w:sz w:val="21"/>
                      <w:szCs w:val="21"/>
                      <w:lang w:val="en-US" w:eastAsia="zh-CN" w:bidi="ar"/>
                    </w:rPr>
                  </w:pPr>
                  <w:r>
                    <w:rPr>
                      <w:rFonts w:hint="eastAsia" w:ascii="Times New Roman" w:hAnsi="Times New Roman" w:eastAsia="宋体" w:cs="Times New Roman"/>
                      <w:color w:val="auto"/>
                      <w:kern w:val="0"/>
                      <w:sz w:val="21"/>
                      <w:szCs w:val="21"/>
                      <w:lang w:val="en-US" w:eastAsia="zh-CN" w:bidi="ar"/>
                    </w:rPr>
                    <w:t>按规范设置了排污口和各类标志牌。</w:t>
                  </w:r>
                </w:p>
              </w:tc>
            </w:tr>
            <w:tr w14:paraId="632D6D1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61" w:type="pct"/>
                  <w:gridSpan w:val="2"/>
                  <w:vAlign w:val="center"/>
                </w:tcPr>
                <w:p w14:paraId="34400853">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b/>
                      <w:bCs/>
                      <w:color w:val="auto"/>
                      <w:sz w:val="21"/>
                      <w:szCs w:val="21"/>
                      <w:highlight w:val="none"/>
                      <w:lang w:val="en-US" w:eastAsia="zh-CN" w:bidi="ar-SA"/>
                    </w:rPr>
                  </w:pPr>
                  <w:r>
                    <w:rPr>
                      <w:rFonts w:hint="eastAsia" w:ascii="Times New Roman" w:hAnsi="Times New Roman" w:eastAsia="宋体" w:cs="Times New Roman"/>
                      <w:b/>
                      <w:bCs/>
                      <w:color w:val="auto"/>
                      <w:sz w:val="21"/>
                      <w:szCs w:val="21"/>
                      <w:highlight w:val="none"/>
                      <w:lang w:val="en-US" w:eastAsia="zh-CN" w:bidi="ar-SA"/>
                    </w:rPr>
                    <w:t>应急物资</w:t>
                  </w:r>
                </w:p>
              </w:tc>
              <w:tc>
                <w:tcPr>
                  <w:tcW w:w="1889" w:type="pct"/>
                  <w:vAlign w:val="center"/>
                </w:tcPr>
                <w:p w14:paraId="162A8B49">
                  <w:pPr>
                    <w:keepNext w:val="0"/>
                    <w:keepLines w:val="0"/>
                    <w:widowControl w:val="0"/>
                    <w:suppressLineNumbers w:val="0"/>
                    <w:spacing w:before="0" w:beforeAutospacing="0" w:after="0" w:afterAutospacing="0"/>
                    <w:ind w:left="0" w:right="0"/>
                    <w:jc w:val="center"/>
                    <w:rPr>
                      <w:rFonts w:hint="eastAsia" w:ascii="Times New Roman" w:hAnsi="Times New Roman" w:eastAsia="宋体" w:cs="Times New Roman"/>
                      <w:color w:val="auto"/>
                      <w:sz w:val="21"/>
                      <w:szCs w:val="21"/>
                      <w:highlight w:val="none"/>
                      <w:lang w:eastAsia="zh-CN" w:bidi="ar-SA"/>
                    </w:rPr>
                  </w:pPr>
                  <w:r>
                    <w:rPr>
                      <w:rFonts w:hint="default" w:ascii="Times New Roman" w:hAnsi="Times New Roman" w:eastAsia="宋体" w:cs="Times New Roman"/>
                      <w:color w:val="auto"/>
                      <w:sz w:val="21"/>
                      <w:szCs w:val="21"/>
                      <w:highlight w:val="none"/>
                      <w:lang w:bidi="ar-SA"/>
                    </w:rPr>
                    <w:t>灭火器</w:t>
                  </w:r>
                  <w:r>
                    <w:rPr>
                      <w:rFonts w:hint="eastAsia" w:ascii="Times New Roman" w:hAnsi="Times New Roman" w:eastAsia="宋体" w:cs="Times New Roman"/>
                      <w:color w:val="auto"/>
                      <w:sz w:val="21"/>
                      <w:szCs w:val="21"/>
                      <w:highlight w:val="none"/>
                      <w:lang w:eastAsia="zh-CN" w:bidi="ar-SA"/>
                    </w:rPr>
                    <w:t>、</w:t>
                  </w:r>
                  <w:r>
                    <w:rPr>
                      <w:rFonts w:hint="default" w:ascii="Times New Roman" w:hAnsi="Times New Roman" w:eastAsia="宋体" w:cs="Times New Roman"/>
                      <w:color w:val="auto"/>
                      <w:sz w:val="21"/>
                      <w:szCs w:val="21"/>
                      <w:highlight w:val="none"/>
                      <w:lang w:bidi="ar-SA"/>
                    </w:rPr>
                    <w:t>消防水带</w:t>
                  </w:r>
                  <w:r>
                    <w:rPr>
                      <w:rFonts w:hint="eastAsia" w:ascii="Times New Roman" w:hAnsi="Times New Roman" w:eastAsia="宋体" w:cs="Times New Roman"/>
                      <w:color w:val="auto"/>
                      <w:sz w:val="21"/>
                      <w:szCs w:val="21"/>
                      <w:highlight w:val="none"/>
                      <w:lang w:eastAsia="zh-CN" w:bidi="ar-SA"/>
                    </w:rPr>
                    <w:t>、</w:t>
                  </w:r>
                  <w:r>
                    <w:rPr>
                      <w:rFonts w:hint="default" w:ascii="Times New Roman" w:hAnsi="Times New Roman" w:eastAsia="宋体" w:cs="Times New Roman"/>
                      <w:color w:val="auto"/>
                      <w:sz w:val="21"/>
                      <w:szCs w:val="21"/>
                      <w:highlight w:val="none"/>
                      <w:lang w:bidi="ar-SA"/>
                    </w:rPr>
                    <w:t>应急照明、出口灯</w:t>
                  </w:r>
                  <w:r>
                    <w:rPr>
                      <w:rFonts w:hint="eastAsia" w:ascii="Times New Roman" w:hAnsi="Times New Roman" w:eastAsia="宋体" w:cs="Times New Roman"/>
                      <w:color w:val="auto"/>
                      <w:sz w:val="21"/>
                      <w:szCs w:val="21"/>
                      <w:highlight w:val="none"/>
                      <w:lang w:eastAsia="zh-CN" w:bidi="ar-SA"/>
                    </w:rPr>
                    <w:t>、</w:t>
                  </w:r>
                  <w:r>
                    <w:rPr>
                      <w:rFonts w:hint="default" w:ascii="Times New Roman" w:hAnsi="Times New Roman" w:eastAsia="宋体" w:cs="Times New Roman"/>
                      <w:color w:val="auto"/>
                      <w:sz w:val="21"/>
                      <w:szCs w:val="21"/>
                      <w:highlight w:val="none"/>
                      <w:lang w:bidi="ar-SA"/>
                    </w:rPr>
                    <w:t>铁铲</w:t>
                  </w:r>
                  <w:r>
                    <w:rPr>
                      <w:rFonts w:hint="eastAsia" w:ascii="Times New Roman" w:hAnsi="Times New Roman" w:eastAsia="宋体" w:cs="Times New Roman"/>
                      <w:color w:val="auto"/>
                      <w:sz w:val="21"/>
                      <w:szCs w:val="21"/>
                      <w:highlight w:val="none"/>
                      <w:lang w:eastAsia="zh-CN" w:bidi="ar-SA"/>
                    </w:rPr>
                    <w:t>、</w:t>
                  </w:r>
                  <w:r>
                    <w:rPr>
                      <w:rFonts w:hint="default" w:ascii="Times New Roman" w:hAnsi="Times New Roman" w:eastAsia="宋体" w:cs="Times New Roman"/>
                      <w:color w:val="auto"/>
                      <w:sz w:val="21"/>
                      <w:szCs w:val="21"/>
                      <w:highlight w:val="none"/>
                      <w:lang w:bidi="ar-SA"/>
                    </w:rPr>
                    <w:t>防毒面具</w:t>
                  </w:r>
                  <w:r>
                    <w:rPr>
                      <w:rFonts w:hint="eastAsia" w:ascii="Times New Roman" w:hAnsi="Times New Roman" w:eastAsia="宋体" w:cs="Times New Roman"/>
                      <w:color w:val="auto"/>
                      <w:sz w:val="21"/>
                      <w:szCs w:val="21"/>
                      <w:highlight w:val="none"/>
                      <w:lang w:eastAsia="zh-CN" w:bidi="ar-SA"/>
                    </w:rPr>
                    <w:t>、</w:t>
                  </w:r>
                  <w:r>
                    <w:rPr>
                      <w:rFonts w:hint="default" w:ascii="Times New Roman" w:hAnsi="Times New Roman" w:eastAsia="宋体" w:cs="Times New Roman"/>
                      <w:color w:val="auto"/>
                      <w:sz w:val="21"/>
                      <w:szCs w:val="21"/>
                      <w:highlight w:val="none"/>
                      <w:lang w:bidi="ar-SA"/>
                    </w:rPr>
                    <w:t>急救药箱</w:t>
                  </w:r>
                  <w:r>
                    <w:rPr>
                      <w:rFonts w:hint="eastAsia" w:ascii="Times New Roman" w:hAnsi="Times New Roman" w:eastAsia="宋体" w:cs="Times New Roman"/>
                      <w:color w:val="auto"/>
                      <w:sz w:val="21"/>
                      <w:szCs w:val="21"/>
                      <w:highlight w:val="none"/>
                      <w:lang w:eastAsia="zh-CN" w:bidi="ar-SA"/>
                    </w:rPr>
                    <w:t>、</w:t>
                  </w:r>
                  <w:r>
                    <w:rPr>
                      <w:rFonts w:hint="default" w:ascii="Times New Roman" w:hAnsi="Times New Roman" w:eastAsia="宋体" w:cs="Times New Roman"/>
                      <w:color w:val="auto"/>
                      <w:sz w:val="21"/>
                      <w:szCs w:val="21"/>
                      <w:highlight w:val="none"/>
                      <w:lang w:bidi="ar-SA"/>
                    </w:rPr>
                    <w:t>纱布</w:t>
                  </w:r>
                  <w:r>
                    <w:rPr>
                      <w:rFonts w:hint="eastAsia" w:ascii="Times New Roman" w:hAnsi="Times New Roman" w:eastAsia="宋体" w:cs="Times New Roman"/>
                      <w:color w:val="auto"/>
                      <w:sz w:val="21"/>
                      <w:szCs w:val="21"/>
                      <w:highlight w:val="none"/>
                      <w:lang w:eastAsia="zh-CN" w:bidi="ar-SA"/>
                    </w:rPr>
                    <w:t>、</w:t>
                  </w:r>
                  <w:r>
                    <w:rPr>
                      <w:rFonts w:hint="default" w:ascii="Times New Roman" w:hAnsi="Times New Roman" w:eastAsia="宋体" w:cs="Times New Roman"/>
                      <w:color w:val="auto"/>
                      <w:sz w:val="21"/>
                      <w:szCs w:val="21"/>
                      <w:highlight w:val="none"/>
                      <w:lang w:bidi="ar-SA"/>
                    </w:rPr>
                    <w:t>创口贴</w:t>
                  </w:r>
                  <w:r>
                    <w:rPr>
                      <w:rFonts w:hint="eastAsia" w:ascii="Times New Roman" w:hAnsi="Times New Roman" w:eastAsia="宋体" w:cs="Times New Roman"/>
                      <w:color w:val="auto"/>
                      <w:sz w:val="21"/>
                      <w:szCs w:val="21"/>
                      <w:highlight w:val="none"/>
                      <w:lang w:eastAsia="zh-CN" w:bidi="ar-SA"/>
                    </w:rPr>
                    <w:t>、</w:t>
                  </w:r>
                  <w:r>
                    <w:rPr>
                      <w:rFonts w:hint="default" w:ascii="Times New Roman" w:hAnsi="Times New Roman" w:eastAsia="宋体" w:cs="Times New Roman"/>
                      <w:color w:val="auto"/>
                      <w:sz w:val="21"/>
                      <w:szCs w:val="21"/>
                      <w:highlight w:val="none"/>
                      <w:lang w:bidi="ar-SA"/>
                    </w:rPr>
                    <w:t>藿香正气水</w:t>
                  </w:r>
                  <w:r>
                    <w:rPr>
                      <w:rFonts w:hint="eastAsia" w:ascii="Times New Roman" w:hAnsi="Times New Roman" w:eastAsia="宋体" w:cs="Times New Roman"/>
                      <w:color w:val="auto"/>
                      <w:sz w:val="21"/>
                      <w:szCs w:val="21"/>
                      <w:highlight w:val="none"/>
                      <w:lang w:eastAsia="zh-CN" w:bidi="ar-SA"/>
                    </w:rPr>
                    <w:t>、</w:t>
                  </w:r>
                  <w:r>
                    <w:rPr>
                      <w:rFonts w:hint="default" w:ascii="Times New Roman" w:hAnsi="Times New Roman" w:eastAsia="宋体" w:cs="Times New Roman"/>
                      <w:color w:val="auto"/>
                      <w:sz w:val="21"/>
                      <w:szCs w:val="21"/>
                      <w:highlight w:val="none"/>
                      <w:lang w:bidi="ar-SA"/>
                    </w:rPr>
                    <w:t>酒精</w:t>
                  </w:r>
                  <w:r>
                    <w:rPr>
                      <w:rFonts w:hint="eastAsia" w:ascii="Times New Roman" w:hAnsi="Times New Roman" w:eastAsia="宋体" w:cs="Times New Roman"/>
                      <w:color w:val="auto"/>
                      <w:sz w:val="21"/>
                      <w:szCs w:val="21"/>
                      <w:highlight w:val="none"/>
                      <w:lang w:val="en-US" w:eastAsia="zh-CN" w:bidi="ar-SA"/>
                    </w:rPr>
                    <w:t>等</w:t>
                  </w:r>
                </w:p>
              </w:tc>
              <w:tc>
                <w:tcPr>
                  <w:tcW w:w="1948" w:type="pct"/>
                  <w:vAlign w:val="center"/>
                </w:tcPr>
                <w:p w14:paraId="30CC2000">
                  <w:pPr>
                    <w:keepNext w:val="0"/>
                    <w:keepLines w:val="0"/>
                    <w:widowControl w:val="0"/>
                    <w:suppressLineNumbers w:val="0"/>
                    <w:spacing w:before="0" w:beforeAutospacing="0" w:after="0" w:afterAutospacing="0"/>
                    <w:ind w:left="0" w:right="0"/>
                    <w:jc w:val="center"/>
                    <w:rPr>
                      <w:rFonts w:hint="eastAsia" w:ascii="Times New Roman" w:hAnsi="Times New Roman" w:eastAsia="宋体" w:cs="Times New Roman"/>
                      <w:color w:val="auto"/>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bidi="ar-SA"/>
                    </w:rPr>
                    <w:t>企业实际应急物资与应急预案中应急物资情况相同。</w:t>
                  </w:r>
                </w:p>
              </w:tc>
            </w:tr>
          </w:tbl>
          <w:p w14:paraId="30D45681">
            <w:pPr>
              <w:pStyle w:val="10"/>
              <w:spacing w:before="0" w:after="0" w:line="360" w:lineRule="auto"/>
              <w:ind w:left="420" w:leftChars="200" w:right="0"/>
              <w:jc w:val="left"/>
              <w:outlineLvl w:val="1"/>
              <w:rPr>
                <w:b/>
                <w:color w:val="auto"/>
                <w:sz w:val="24"/>
                <w:szCs w:val="24"/>
              </w:rPr>
            </w:pPr>
            <w:r>
              <w:rPr>
                <w:rFonts w:hint="eastAsia"/>
                <w:b/>
                <w:color w:val="auto"/>
                <w:sz w:val="24"/>
                <w:szCs w:val="24"/>
                <w:lang w:eastAsia="zh-CN"/>
              </w:rPr>
              <w:t>（</w:t>
            </w:r>
            <w:r>
              <w:rPr>
                <w:rFonts w:hint="eastAsia"/>
                <w:b/>
                <w:color w:val="auto"/>
                <w:sz w:val="24"/>
                <w:szCs w:val="24"/>
                <w:lang w:val="en-US" w:eastAsia="zh-CN"/>
              </w:rPr>
              <w:t>6</w:t>
            </w:r>
            <w:r>
              <w:rPr>
                <w:rFonts w:hint="eastAsia"/>
                <w:b/>
                <w:color w:val="auto"/>
                <w:sz w:val="24"/>
                <w:szCs w:val="24"/>
                <w:lang w:eastAsia="zh-CN"/>
              </w:rPr>
              <w:t>）现有</w:t>
            </w:r>
            <w:r>
              <w:rPr>
                <w:b/>
                <w:color w:val="auto"/>
                <w:sz w:val="24"/>
                <w:szCs w:val="24"/>
              </w:rPr>
              <w:t>项目存在的主要问题及以新带老整改措施</w:t>
            </w:r>
            <w:bookmarkEnd w:id="15"/>
          </w:p>
          <w:p w14:paraId="24BD6BAD">
            <w:pPr>
              <w:pStyle w:val="10"/>
              <w:keepNext w:val="0"/>
              <w:keepLines w:val="0"/>
              <w:pageBreakBefore w:val="0"/>
              <w:widowControl/>
              <w:numPr>
                <w:ilvl w:val="0"/>
                <w:numId w:val="0"/>
              </w:numPr>
              <w:kinsoku/>
              <w:wordWrap/>
              <w:overflowPunct/>
              <w:topLinePunct w:val="0"/>
              <w:autoSpaceDE/>
              <w:autoSpaceDN/>
              <w:bidi w:val="0"/>
              <w:adjustRightInd/>
              <w:snapToGrid w:val="0"/>
              <w:spacing w:before="0" w:after="0" w:line="360" w:lineRule="auto"/>
              <w:ind w:right="0" w:rightChars="0" w:firstLine="480" w:firstLineChars="200"/>
              <w:jc w:val="left"/>
              <w:textAlignment w:val="auto"/>
              <w:rPr>
                <w:rFonts w:hint="default"/>
                <w:bCs/>
                <w:color w:val="auto"/>
                <w:sz w:val="24"/>
                <w:szCs w:val="24"/>
                <w:lang w:val="en-US" w:eastAsia="zh-CN"/>
              </w:rPr>
            </w:pPr>
            <w:r>
              <w:rPr>
                <w:rFonts w:hint="default"/>
                <w:bCs/>
                <w:color w:val="auto"/>
                <w:sz w:val="24"/>
                <w:szCs w:val="24"/>
                <w:lang w:val="en-US" w:eastAsia="zh-CN"/>
              </w:rPr>
              <w:t>企业现有项目</w:t>
            </w:r>
            <w:r>
              <w:rPr>
                <w:rFonts w:hint="eastAsia"/>
                <w:bCs/>
                <w:color w:val="auto"/>
                <w:sz w:val="24"/>
                <w:szCs w:val="24"/>
                <w:lang w:val="en-US" w:eastAsia="zh-CN"/>
              </w:rPr>
              <w:t>环保</w:t>
            </w:r>
            <w:r>
              <w:rPr>
                <w:rFonts w:hint="default"/>
                <w:bCs/>
                <w:color w:val="auto"/>
                <w:sz w:val="24"/>
                <w:szCs w:val="24"/>
                <w:lang w:val="en-US" w:eastAsia="zh-CN"/>
              </w:rPr>
              <w:t>手续齐全，污染防治措施均按环评批复执行，通过了项目竣工环境保护验收，</w:t>
            </w:r>
            <w:r>
              <w:rPr>
                <w:rFonts w:hint="eastAsia"/>
                <w:bCs/>
                <w:color w:val="auto"/>
                <w:sz w:val="24"/>
                <w:szCs w:val="24"/>
                <w:lang w:val="en-US" w:eastAsia="zh-CN"/>
              </w:rPr>
              <w:t>编制了突发环境事件应急预案并于2023年10月19日报海安生态环境局备案（备案编号：320685-2023-314L），</w:t>
            </w:r>
            <w:r>
              <w:rPr>
                <w:rFonts w:hint="default"/>
                <w:bCs/>
                <w:color w:val="auto"/>
                <w:sz w:val="24"/>
                <w:szCs w:val="24"/>
                <w:lang w:val="en-US" w:eastAsia="zh-CN"/>
              </w:rPr>
              <w:t>运行至今未发生环境污染事故，与周边居民及企业无环保纠纷，无异味投诉。在今后的生产过程中，随着国家和地方相关环保政策的发布和更新，企业应及时调整以满足新的环保要求。</w:t>
            </w:r>
          </w:p>
          <w:p w14:paraId="7B3417DA">
            <w:pPr>
              <w:pStyle w:val="10"/>
              <w:keepNext w:val="0"/>
              <w:keepLines w:val="0"/>
              <w:pageBreakBefore w:val="0"/>
              <w:widowControl/>
              <w:numPr>
                <w:ilvl w:val="0"/>
                <w:numId w:val="0"/>
              </w:numPr>
              <w:kinsoku/>
              <w:wordWrap/>
              <w:overflowPunct/>
              <w:topLinePunct w:val="0"/>
              <w:autoSpaceDE/>
              <w:autoSpaceDN/>
              <w:bidi w:val="0"/>
              <w:adjustRightInd/>
              <w:snapToGrid w:val="0"/>
              <w:spacing w:before="0" w:after="0" w:line="360" w:lineRule="auto"/>
              <w:ind w:right="0" w:rightChars="0" w:firstLine="482" w:firstLineChars="200"/>
              <w:jc w:val="both"/>
              <w:textAlignment w:val="auto"/>
              <w:rPr>
                <w:rFonts w:hint="eastAsia" w:ascii="Times New Roman" w:hAnsi="Times New Roman" w:eastAsia="宋体" w:cs="Times New Roman"/>
                <w:b/>
                <w:bCs/>
                <w:color w:val="auto"/>
                <w:kern w:val="2"/>
                <w:sz w:val="24"/>
                <w:szCs w:val="24"/>
                <w:lang w:val="en-US" w:eastAsia="zh-CN" w:bidi="ar"/>
              </w:rPr>
            </w:pPr>
            <w:r>
              <w:rPr>
                <w:rFonts w:hint="eastAsia" w:ascii="Times New Roman" w:hAnsi="Times New Roman" w:eastAsia="宋体" w:cs="Times New Roman"/>
                <w:b/>
                <w:bCs/>
                <w:color w:val="auto"/>
                <w:kern w:val="2"/>
                <w:sz w:val="24"/>
                <w:szCs w:val="24"/>
                <w:lang w:val="en-US" w:eastAsia="zh-CN" w:bidi="ar"/>
              </w:rPr>
              <w:t>主要问题：</w:t>
            </w:r>
          </w:p>
          <w:p w14:paraId="7908F8EA">
            <w:pPr>
              <w:pStyle w:val="10"/>
              <w:keepNext w:val="0"/>
              <w:keepLines w:val="0"/>
              <w:pageBreakBefore w:val="0"/>
              <w:widowControl/>
              <w:numPr>
                <w:ilvl w:val="0"/>
                <w:numId w:val="0"/>
              </w:numPr>
              <w:kinsoku/>
              <w:wordWrap/>
              <w:overflowPunct/>
              <w:topLinePunct w:val="0"/>
              <w:autoSpaceDE/>
              <w:autoSpaceDN/>
              <w:bidi w:val="0"/>
              <w:adjustRightInd/>
              <w:snapToGrid w:val="0"/>
              <w:spacing w:before="0" w:after="0" w:line="360" w:lineRule="auto"/>
              <w:ind w:right="0" w:rightChars="0" w:firstLine="480" w:firstLineChars="200"/>
              <w:jc w:val="both"/>
              <w:textAlignment w:val="auto"/>
              <w:rPr>
                <w:rFonts w:hint="eastAsia" w:ascii="Times New Roman" w:hAnsi="Times New Roman" w:eastAsia="宋体" w:cs="Times New Roman"/>
                <w:b w:val="0"/>
                <w:bCs w:val="0"/>
                <w:color w:val="auto"/>
                <w:kern w:val="2"/>
                <w:sz w:val="24"/>
                <w:szCs w:val="24"/>
                <w:lang w:val="en-US" w:eastAsia="zh-CN" w:bidi="ar"/>
              </w:rPr>
            </w:pPr>
            <w:r>
              <w:rPr>
                <w:rFonts w:hint="eastAsia" w:cs="Times New Roman"/>
                <w:b w:val="0"/>
                <w:bCs w:val="0"/>
                <w:color w:val="auto"/>
                <w:kern w:val="2"/>
                <w:sz w:val="24"/>
                <w:szCs w:val="24"/>
                <w:lang w:val="en-US" w:eastAsia="zh-CN" w:bidi="ar"/>
              </w:rPr>
              <w:t>①</w:t>
            </w:r>
            <w:r>
              <w:rPr>
                <w:rFonts w:hint="eastAsia" w:ascii="Times New Roman" w:hAnsi="Times New Roman" w:eastAsia="宋体" w:cs="Times New Roman"/>
                <w:b w:val="0"/>
                <w:bCs w:val="0"/>
                <w:color w:val="auto"/>
                <w:kern w:val="2"/>
                <w:sz w:val="24"/>
                <w:szCs w:val="24"/>
                <w:lang w:val="en-US" w:eastAsia="zh-CN" w:bidi="ar"/>
              </w:rPr>
              <w:t>现有项目切削液挥发废气未进行</w:t>
            </w:r>
            <w:r>
              <w:rPr>
                <w:rFonts w:hint="eastAsia" w:cs="Times New Roman"/>
                <w:b w:val="0"/>
                <w:bCs w:val="0"/>
                <w:color w:val="auto"/>
                <w:kern w:val="2"/>
                <w:sz w:val="24"/>
                <w:szCs w:val="24"/>
                <w:lang w:val="en-US" w:eastAsia="zh-CN" w:bidi="ar"/>
              </w:rPr>
              <w:t>定量</w:t>
            </w:r>
            <w:r>
              <w:rPr>
                <w:rFonts w:hint="eastAsia" w:ascii="Times New Roman" w:hAnsi="Times New Roman" w:eastAsia="宋体" w:cs="Times New Roman"/>
                <w:b w:val="0"/>
                <w:bCs w:val="0"/>
                <w:color w:val="auto"/>
                <w:kern w:val="2"/>
                <w:sz w:val="24"/>
                <w:szCs w:val="24"/>
                <w:lang w:val="en-US" w:eastAsia="zh-CN" w:bidi="ar"/>
              </w:rPr>
              <w:t>分析。</w:t>
            </w:r>
          </w:p>
          <w:p w14:paraId="0DE1D429">
            <w:pPr>
              <w:pStyle w:val="10"/>
              <w:keepNext w:val="0"/>
              <w:keepLines w:val="0"/>
              <w:pageBreakBefore w:val="0"/>
              <w:widowControl/>
              <w:numPr>
                <w:ilvl w:val="0"/>
                <w:numId w:val="0"/>
              </w:numPr>
              <w:kinsoku/>
              <w:wordWrap/>
              <w:overflowPunct/>
              <w:topLinePunct w:val="0"/>
              <w:autoSpaceDE/>
              <w:autoSpaceDN/>
              <w:bidi w:val="0"/>
              <w:adjustRightInd/>
              <w:snapToGrid w:val="0"/>
              <w:spacing w:before="0" w:after="0" w:line="360" w:lineRule="auto"/>
              <w:ind w:right="0" w:rightChars="0" w:firstLine="480" w:firstLineChars="200"/>
              <w:jc w:val="both"/>
              <w:textAlignment w:val="auto"/>
              <w:rPr>
                <w:rFonts w:hint="default" w:ascii="Times New Roman" w:hAnsi="Times New Roman" w:eastAsia="宋体" w:cs="Times New Roman"/>
                <w:b w:val="0"/>
                <w:bCs w:val="0"/>
                <w:color w:val="auto"/>
                <w:kern w:val="2"/>
                <w:sz w:val="24"/>
                <w:szCs w:val="24"/>
                <w:lang w:val="en-US" w:eastAsia="zh-CN" w:bidi="ar"/>
              </w:rPr>
            </w:pPr>
            <w:r>
              <w:rPr>
                <w:rFonts w:hint="eastAsia" w:cs="Times New Roman"/>
                <w:b w:val="0"/>
                <w:bCs w:val="0"/>
                <w:color w:val="auto"/>
                <w:kern w:val="2"/>
                <w:sz w:val="24"/>
                <w:szCs w:val="24"/>
                <w:lang w:val="en-US" w:eastAsia="zh-CN" w:bidi="ar"/>
              </w:rPr>
              <w:t>②原有项目虽已进行例行检测，但遗漏项较多，未进行废水、噪声等的例行检测。</w:t>
            </w:r>
          </w:p>
          <w:p w14:paraId="38DEC4EB">
            <w:pPr>
              <w:pStyle w:val="10"/>
              <w:keepNext w:val="0"/>
              <w:keepLines w:val="0"/>
              <w:pageBreakBefore w:val="0"/>
              <w:widowControl/>
              <w:numPr>
                <w:ilvl w:val="0"/>
                <w:numId w:val="0"/>
              </w:numPr>
              <w:kinsoku/>
              <w:wordWrap/>
              <w:overflowPunct/>
              <w:topLinePunct w:val="0"/>
              <w:autoSpaceDE/>
              <w:autoSpaceDN/>
              <w:bidi w:val="0"/>
              <w:adjustRightInd/>
              <w:snapToGrid w:val="0"/>
              <w:spacing w:before="0" w:after="0" w:line="360" w:lineRule="auto"/>
              <w:ind w:right="0" w:rightChars="0" w:firstLine="482" w:firstLineChars="200"/>
              <w:jc w:val="left"/>
              <w:textAlignment w:val="auto"/>
              <w:rPr>
                <w:rFonts w:hint="eastAsia" w:ascii="Times New Roman" w:hAnsi="Times New Roman" w:eastAsia="宋体" w:cs="Times New Roman"/>
                <w:b/>
                <w:bCs/>
                <w:color w:val="auto"/>
                <w:kern w:val="2"/>
                <w:sz w:val="24"/>
                <w:szCs w:val="24"/>
                <w:lang w:val="en-US" w:eastAsia="zh-CN" w:bidi="ar"/>
              </w:rPr>
            </w:pPr>
            <w:r>
              <w:rPr>
                <w:rFonts w:hint="eastAsia" w:ascii="Times New Roman" w:hAnsi="Times New Roman" w:eastAsia="宋体" w:cs="Times New Roman"/>
                <w:b/>
                <w:bCs/>
                <w:color w:val="auto"/>
                <w:kern w:val="2"/>
                <w:sz w:val="24"/>
                <w:szCs w:val="24"/>
                <w:lang w:val="en-US" w:eastAsia="zh-CN" w:bidi="ar"/>
              </w:rPr>
              <w:t>整改措施：</w:t>
            </w:r>
          </w:p>
          <w:p w14:paraId="22D84EA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Times New Roman"/>
                <w:b w:val="0"/>
                <w:bCs w:val="0"/>
                <w:color w:val="auto"/>
                <w:kern w:val="2"/>
                <w:sz w:val="24"/>
                <w:szCs w:val="24"/>
                <w:lang w:val="en-US" w:eastAsia="zh-CN" w:bidi="ar"/>
              </w:rPr>
            </w:pPr>
            <w:r>
              <w:rPr>
                <w:rFonts w:hint="eastAsia" w:cs="Times New Roman"/>
                <w:b w:val="0"/>
                <w:bCs w:val="0"/>
                <w:color w:val="auto"/>
                <w:kern w:val="2"/>
                <w:sz w:val="24"/>
                <w:szCs w:val="24"/>
                <w:lang w:val="en-US" w:eastAsia="zh-CN" w:bidi="ar"/>
              </w:rPr>
              <w:t>①本次对切削液废气进行补充核算。</w:t>
            </w:r>
          </w:p>
          <w:p w14:paraId="47A33464">
            <w:pPr>
              <w:pStyle w:val="10"/>
              <w:keepNext w:val="0"/>
              <w:keepLines w:val="0"/>
              <w:pageBreakBefore w:val="0"/>
              <w:widowControl/>
              <w:numPr>
                <w:ilvl w:val="0"/>
                <w:numId w:val="0"/>
              </w:numPr>
              <w:kinsoku/>
              <w:wordWrap/>
              <w:overflowPunct/>
              <w:topLinePunct w:val="0"/>
              <w:autoSpaceDE/>
              <w:autoSpaceDN/>
              <w:bidi w:val="0"/>
              <w:adjustRightInd/>
              <w:snapToGrid w:val="0"/>
              <w:spacing w:before="0" w:after="0" w:line="360" w:lineRule="auto"/>
              <w:ind w:right="0" w:rightChars="0" w:firstLine="480" w:firstLineChars="200"/>
              <w:jc w:val="both"/>
              <w:textAlignment w:val="auto"/>
              <w:rPr>
                <w:rFonts w:hint="eastAsia" w:ascii="Times New Roman" w:hAnsi="Times New Roman" w:eastAsia="宋体" w:cs="Times New Roman"/>
                <w:b w:val="0"/>
                <w:bCs w:val="0"/>
                <w:color w:val="auto"/>
                <w:kern w:val="2"/>
                <w:sz w:val="24"/>
                <w:szCs w:val="24"/>
                <w:lang w:val="en-US" w:eastAsia="zh-CN" w:bidi="ar"/>
              </w:rPr>
            </w:pPr>
            <w:r>
              <w:rPr>
                <w:rFonts w:hint="eastAsia" w:ascii="Times New Roman" w:hAnsi="Times New Roman" w:eastAsia="宋体" w:cs="Times New Roman"/>
                <w:b w:val="0"/>
                <w:bCs w:val="0"/>
                <w:color w:val="auto"/>
                <w:kern w:val="2"/>
                <w:sz w:val="24"/>
                <w:szCs w:val="24"/>
                <w:lang w:val="en-US" w:eastAsia="zh-CN" w:bidi="ar"/>
              </w:rPr>
              <w:t>参照《排放源统计调查产排污核算方法和系数手册》（2021年版）机械行业系数手册中“07 机械加工”，使用切削液加工非甲烷总烃产污系数5.64kg/t-原料。现有项目切削液使用量为0.86t/a，则切削液废气的产生量为0.0049t/a，产生量极小且不易收集，故无组织排放在车间内。</w:t>
            </w:r>
          </w:p>
          <w:p w14:paraId="1CC5E1C8">
            <w:pPr>
              <w:pStyle w:val="10"/>
              <w:keepNext w:val="0"/>
              <w:keepLines w:val="0"/>
              <w:pageBreakBefore w:val="0"/>
              <w:widowControl/>
              <w:numPr>
                <w:ilvl w:val="0"/>
                <w:numId w:val="0"/>
              </w:numPr>
              <w:kinsoku/>
              <w:wordWrap/>
              <w:overflowPunct/>
              <w:topLinePunct w:val="0"/>
              <w:autoSpaceDE/>
              <w:autoSpaceDN/>
              <w:bidi w:val="0"/>
              <w:adjustRightInd/>
              <w:snapToGrid w:val="0"/>
              <w:spacing w:before="0" w:after="0" w:line="360" w:lineRule="auto"/>
              <w:ind w:right="0" w:rightChars="0" w:firstLine="480" w:firstLineChars="200"/>
              <w:jc w:val="both"/>
              <w:textAlignment w:val="auto"/>
              <w:rPr>
                <w:rFonts w:hint="default" w:cs="Times New Roman"/>
                <w:b w:val="0"/>
                <w:bCs w:val="0"/>
                <w:color w:val="auto"/>
                <w:kern w:val="2"/>
                <w:sz w:val="24"/>
                <w:szCs w:val="24"/>
                <w:lang w:val="en-US" w:eastAsia="zh-CN" w:bidi="ar"/>
              </w:rPr>
            </w:pPr>
            <w:r>
              <w:rPr>
                <w:rFonts w:hint="eastAsia" w:cs="Times New Roman"/>
                <w:b w:val="0"/>
                <w:bCs w:val="0"/>
                <w:color w:val="auto"/>
                <w:kern w:val="2"/>
                <w:sz w:val="24"/>
                <w:szCs w:val="24"/>
                <w:lang w:val="en-US" w:eastAsia="zh-CN" w:bidi="ar"/>
              </w:rPr>
              <w:t>②本项目建设后要求企业按照《排污单位自行监测技术指南 总则》（HJ 819-2017）及排污许可证等规定和标准要求定期进行例行检测。</w:t>
            </w:r>
          </w:p>
          <w:p w14:paraId="138F880C">
            <w:pPr>
              <w:pStyle w:val="10"/>
              <w:keepNext w:val="0"/>
              <w:keepLines w:val="0"/>
              <w:pageBreakBefore w:val="0"/>
              <w:widowControl/>
              <w:numPr>
                <w:ilvl w:val="0"/>
                <w:numId w:val="0"/>
              </w:numPr>
              <w:kinsoku/>
              <w:wordWrap/>
              <w:overflowPunct/>
              <w:topLinePunct w:val="0"/>
              <w:autoSpaceDE/>
              <w:autoSpaceDN/>
              <w:bidi w:val="0"/>
              <w:adjustRightInd/>
              <w:snapToGrid w:val="0"/>
              <w:spacing w:before="0" w:after="0" w:line="360" w:lineRule="auto"/>
              <w:ind w:right="0" w:rightChars="0" w:firstLine="482" w:firstLineChars="200"/>
              <w:jc w:val="both"/>
              <w:textAlignment w:val="auto"/>
              <w:rPr>
                <w:rFonts w:hint="default" w:cs="Times New Roman"/>
                <w:b/>
                <w:bCs/>
                <w:color w:val="auto"/>
                <w:kern w:val="2"/>
                <w:sz w:val="24"/>
                <w:szCs w:val="24"/>
                <w:lang w:val="en-US" w:eastAsia="zh-CN" w:bidi="ar"/>
              </w:rPr>
            </w:pPr>
            <w:r>
              <w:rPr>
                <w:rFonts w:hint="eastAsia" w:cs="Times New Roman"/>
                <w:b/>
                <w:bCs/>
                <w:color w:val="auto"/>
                <w:kern w:val="2"/>
                <w:sz w:val="24"/>
                <w:szCs w:val="24"/>
                <w:lang w:val="en-US" w:eastAsia="zh-CN" w:bidi="ar"/>
              </w:rPr>
              <w:t>以新带老：</w:t>
            </w:r>
          </w:p>
          <w:p w14:paraId="5871B36D">
            <w:pPr>
              <w:pStyle w:val="10"/>
              <w:keepNext w:val="0"/>
              <w:keepLines w:val="0"/>
              <w:pageBreakBefore w:val="0"/>
              <w:widowControl/>
              <w:numPr>
                <w:ilvl w:val="0"/>
                <w:numId w:val="0"/>
              </w:numPr>
              <w:kinsoku/>
              <w:wordWrap/>
              <w:overflowPunct/>
              <w:topLinePunct w:val="0"/>
              <w:autoSpaceDE/>
              <w:autoSpaceDN/>
              <w:bidi w:val="0"/>
              <w:adjustRightInd/>
              <w:snapToGrid w:val="0"/>
              <w:spacing w:before="0" w:after="0" w:line="360" w:lineRule="auto"/>
              <w:ind w:right="0" w:rightChars="0" w:firstLine="480" w:firstLineChars="200"/>
              <w:jc w:val="both"/>
              <w:textAlignment w:val="auto"/>
              <w:rPr>
                <w:rFonts w:hint="default" w:ascii="Times New Roman" w:hAnsi="Times New Roman" w:eastAsia="宋体" w:cs="Times New Roman"/>
                <w:b w:val="0"/>
                <w:bCs w:val="0"/>
                <w:color w:val="auto"/>
                <w:kern w:val="2"/>
                <w:sz w:val="24"/>
                <w:szCs w:val="24"/>
                <w:lang w:val="en-US" w:eastAsia="zh-CN" w:bidi="ar"/>
              </w:rPr>
            </w:pPr>
            <w:r>
              <w:rPr>
                <w:rFonts w:hint="eastAsia" w:cs="Times New Roman"/>
                <w:b w:val="0"/>
                <w:bCs w:val="0"/>
                <w:color w:val="auto"/>
                <w:kern w:val="2"/>
                <w:sz w:val="24"/>
                <w:szCs w:val="24"/>
                <w:lang w:val="en-US" w:eastAsia="zh-CN" w:bidi="ar"/>
              </w:rPr>
              <w:t>现有项目含油废屑产生量大，本次扩建新增压块机，现有项目含油废屑依托压块机压滤后分为废油、金属屑，废油按照危险废物进行处置；金属屑应根据《危险废物鉴别技术规范》(HJ/T 298-2019)、《危险废物鉴别标准 通则》(GB5085.7-2019)等文件进行危险特性鉴别，鉴别若为一般固废则委外处置（作为生产原料用于金属冶炼），若为危险固废则委托有资质单位进行处置，厂内按照危险固废进行管理，暂存于危废仓库。具体分析见第四章固废章节。</w:t>
            </w:r>
          </w:p>
        </w:tc>
      </w:tr>
    </w:tbl>
    <w:p w14:paraId="47CCD4AC">
      <w:pPr>
        <w:pStyle w:val="22"/>
        <w:jc w:val="both"/>
        <w:rPr>
          <w:rFonts w:ascii="黑体" w:hAnsi="黑体" w:eastAsia="黑体"/>
          <w:snapToGrid w:val="0"/>
          <w:color w:val="auto"/>
          <w:sz w:val="36"/>
          <w:szCs w:val="36"/>
        </w:rPr>
        <w:sectPr>
          <w:footerReference r:id="rId6" w:type="default"/>
          <w:pgSz w:w="11906" w:h="16838"/>
          <w:pgMar w:top="1701" w:right="1531" w:bottom="1701" w:left="1531" w:header="851" w:footer="851" w:gutter="0"/>
          <w:pgBorders>
            <w:top w:val="none" w:sz="0" w:space="0"/>
            <w:left w:val="none" w:sz="0" w:space="0"/>
            <w:bottom w:val="none" w:sz="0" w:space="0"/>
            <w:right w:val="none" w:sz="0" w:space="0"/>
          </w:pgBorders>
          <w:cols w:space="720" w:num="1"/>
          <w:docGrid w:linePitch="312" w:charSpace="0"/>
        </w:sectPr>
      </w:pPr>
      <w:bookmarkStart w:id="16" w:name="PageNo100350034"/>
    </w:p>
    <w:bookmarkEnd w:id="16"/>
    <w:p w14:paraId="4E90859C">
      <w:pPr>
        <w:pStyle w:val="22"/>
        <w:adjustRightInd w:val="0"/>
        <w:snapToGrid w:val="0"/>
        <w:spacing w:before="0" w:beforeAutospacing="0" w:after="0" w:afterAutospacing="0" w:line="14" w:lineRule="auto"/>
        <w:jc w:val="center"/>
        <w:rPr>
          <w:rFonts w:ascii="黑体" w:hAnsi="黑体" w:eastAsia="黑体"/>
          <w:snapToGrid w:val="0"/>
          <w:color w:val="auto"/>
          <w:sz w:val="30"/>
          <w:szCs w:val="30"/>
        </w:rPr>
      </w:pPr>
      <w:bookmarkStart w:id="17" w:name="PageNo100360035"/>
    </w:p>
    <w:bookmarkEnd w:id="17"/>
    <w:p w14:paraId="613C1237">
      <w:pPr>
        <w:pStyle w:val="22"/>
        <w:jc w:val="center"/>
        <w:outlineLvl w:val="0"/>
        <w:rPr>
          <w:rFonts w:ascii="黑体" w:hAnsi="黑体" w:eastAsia="黑体"/>
          <w:snapToGrid w:val="0"/>
          <w:color w:val="auto"/>
          <w:sz w:val="30"/>
          <w:szCs w:val="30"/>
        </w:rPr>
      </w:pPr>
      <w:bookmarkStart w:id="18" w:name="PageNo100430042"/>
      <w:r>
        <w:rPr>
          <w:rFonts w:hint="eastAsia" w:ascii="黑体" w:hAnsi="黑体" w:eastAsia="黑体"/>
          <w:snapToGrid w:val="0"/>
          <w:color w:val="auto"/>
          <w:sz w:val="30"/>
          <w:szCs w:val="30"/>
        </w:rPr>
        <w:t>三、区域环境质量现状、环境保护目标及评价标准</w:t>
      </w:r>
    </w:p>
    <w:tbl>
      <w:tblPr>
        <w:tblStyle w:val="26"/>
        <w:tblW w:w="906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34"/>
        <w:gridCol w:w="8427"/>
      </w:tblGrid>
      <w:tr w14:paraId="179B13E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24" w:hRule="atLeast"/>
          <w:jc w:val="center"/>
        </w:trPr>
        <w:tc>
          <w:tcPr>
            <w:tcW w:w="634" w:type="dxa"/>
            <w:vAlign w:val="center"/>
          </w:tcPr>
          <w:p w14:paraId="5E9A3041">
            <w:pPr>
              <w:adjustRightInd w:val="0"/>
              <w:snapToGrid w:val="0"/>
              <w:jc w:val="center"/>
              <w:rPr>
                <w:rFonts w:ascii="宋体" w:hAnsi="宋体" w:cs="宋体"/>
                <w:color w:val="auto"/>
                <w:kern w:val="0"/>
                <w:sz w:val="24"/>
                <w:szCs w:val="24"/>
              </w:rPr>
            </w:pPr>
            <w:r>
              <w:rPr>
                <w:rFonts w:hint="eastAsia" w:ascii="宋体" w:hAnsi="宋体" w:cs="宋体"/>
                <w:color w:val="auto"/>
                <w:kern w:val="0"/>
                <w:sz w:val="24"/>
                <w:szCs w:val="24"/>
              </w:rPr>
              <w:t>区域</w:t>
            </w:r>
          </w:p>
          <w:p w14:paraId="30AA8AEF">
            <w:pPr>
              <w:adjustRightInd w:val="0"/>
              <w:snapToGrid w:val="0"/>
              <w:jc w:val="center"/>
              <w:rPr>
                <w:rFonts w:ascii="宋体" w:hAnsi="宋体" w:cs="宋体"/>
                <w:color w:val="auto"/>
                <w:kern w:val="0"/>
                <w:sz w:val="24"/>
                <w:szCs w:val="24"/>
              </w:rPr>
            </w:pPr>
            <w:r>
              <w:rPr>
                <w:rFonts w:hint="eastAsia" w:ascii="宋体" w:hAnsi="宋体" w:cs="宋体"/>
                <w:color w:val="auto"/>
                <w:kern w:val="0"/>
                <w:sz w:val="24"/>
                <w:szCs w:val="24"/>
              </w:rPr>
              <w:t>环境</w:t>
            </w:r>
          </w:p>
          <w:p w14:paraId="5B4BAE9F">
            <w:pPr>
              <w:adjustRightInd w:val="0"/>
              <w:snapToGrid w:val="0"/>
              <w:jc w:val="center"/>
              <w:rPr>
                <w:rFonts w:ascii="宋体" w:hAnsi="宋体" w:cs="宋体"/>
                <w:color w:val="auto"/>
                <w:kern w:val="0"/>
                <w:sz w:val="24"/>
                <w:szCs w:val="24"/>
              </w:rPr>
            </w:pPr>
            <w:r>
              <w:rPr>
                <w:rFonts w:hint="eastAsia" w:ascii="宋体" w:hAnsi="宋体" w:cs="宋体"/>
                <w:color w:val="auto"/>
                <w:kern w:val="0"/>
                <w:sz w:val="24"/>
                <w:szCs w:val="24"/>
              </w:rPr>
              <w:t>质量</w:t>
            </w:r>
          </w:p>
          <w:p w14:paraId="4E4A8CF7">
            <w:pPr>
              <w:adjustRightInd w:val="0"/>
              <w:snapToGrid w:val="0"/>
              <w:jc w:val="center"/>
              <w:rPr>
                <w:rFonts w:ascii="宋体" w:hAnsi="宋体" w:cs="宋体"/>
                <w:color w:val="auto"/>
                <w:kern w:val="0"/>
                <w:sz w:val="24"/>
                <w:szCs w:val="24"/>
              </w:rPr>
            </w:pPr>
            <w:r>
              <w:rPr>
                <w:rFonts w:hint="eastAsia" w:ascii="宋体" w:hAnsi="宋体" w:cs="宋体"/>
                <w:color w:val="auto"/>
                <w:kern w:val="0"/>
                <w:sz w:val="24"/>
                <w:szCs w:val="24"/>
              </w:rPr>
              <w:t>现状</w:t>
            </w:r>
          </w:p>
        </w:tc>
        <w:tc>
          <w:tcPr>
            <w:tcW w:w="8427" w:type="dxa"/>
            <w:vAlign w:val="center"/>
          </w:tcPr>
          <w:p w14:paraId="4CFD7B82">
            <w:pPr>
              <w:spacing w:before="120" w:beforeLines="50" w:line="360" w:lineRule="auto"/>
              <w:ind w:firstLine="482" w:firstLineChars="200"/>
              <w:jc w:val="left"/>
              <w:rPr>
                <w:b/>
                <w:bCs/>
                <w:color w:val="auto"/>
                <w:sz w:val="24"/>
                <w:szCs w:val="24"/>
              </w:rPr>
            </w:pPr>
            <w:r>
              <w:rPr>
                <w:b/>
                <w:bCs/>
                <w:color w:val="auto"/>
                <w:sz w:val="24"/>
                <w:szCs w:val="24"/>
              </w:rPr>
              <w:t>1、</w:t>
            </w:r>
            <w:r>
              <w:rPr>
                <w:rFonts w:hint="eastAsia"/>
                <w:b/>
                <w:bCs/>
                <w:color w:val="auto"/>
                <w:sz w:val="24"/>
                <w:szCs w:val="24"/>
              </w:rPr>
              <w:t>大气</w:t>
            </w:r>
            <w:r>
              <w:rPr>
                <w:b/>
                <w:bCs/>
                <w:color w:val="auto"/>
                <w:sz w:val="24"/>
                <w:szCs w:val="24"/>
              </w:rPr>
              <w:t>环境</w:t>
            </w:r>
          </w:p>
          <w:p w14:paraId="00864D29">
            <w:pPr>
              <w:spacing w:line="360" w:lineRule="auto"/>
              <w:ind w:firstLine="480" w:firstLineChars="200"/>
              <w:rPr>
                <w:color w:val="auto"/>
                <w:sz w:val="24"/>
                <w:szCs w:val="24"/>
              </w:rPr>
            </w:pPr>
            <w:r>
              <w:rPr>
                <w:rFonts w:hint="eastAsia"/>
                <w:color w:val="auto"/>
                <w:sz w:val="24"/>
                <w:szCs w:val="24"/>
              </w:rPr>
              <w:t>①项目所在区域达标情况判断</w:t>
            </w:r>
          </w:p>
          <w:p w14:paraId="49E3C6E6">
            <w:pPr>
              <w:spacing w:line="360" w:lineRule="auto"/>
              <w:ind w:firstLine="480"/>
              <w:rPr>
                <w:color w:val="auto"/>
                <w:sz w:val="24"/>
                <w:szCs w:val="24"/>
              </w:rPr>
            </w:pPr>
            <w:r>
              <w:rPr>
                <w:rFonts w:hint="default" w:ascii="Times New Roman" w:hAnsi="Times New Roman" w:eastAsia="宋体" w:cs="Times New Roman"/>
                <w:color w:val="auto"/>
                <w:sz w:val="24"/>
                <w:szCs w:val="24"/>
                <w:highlight w:val="none"/>
              </w:rPr>
              <w:t>根据《南通市生态环境状况公报》（2025年），2025年海安市主要空气污染物指标监测结果见表3-1。</w:t>
            </w:r>
          </w:p>
          <w:p w14:paraId="28BBF725">
            <w:pPr>
              <w:jc w:val="center"/>
              <w:rPr>
                <w:rFonts w:ascii="Times New Roman" w:hAnsi="Times New Roman" w:eastAsia="宋体" w:cs="Times New Roman"/>
                <w:color w:val="auto"/>
                <w:sz w:val="24"/>
                <w:szCs w:val="24"/>
              </w:rPr>
            </w:pPr>
            <w:r>
              <w:rPr>
                <w:rFonts w:ascii="Times New Roman" w:hAnsi="Times New Roman" w:eastAsia="宋体" w:cs="Times New Roman"/>
                <w:b/>
                <w:bCs/>
                <w:color w:val="auto"/>
                <w:sz w:val="24"/>
                <w:szCs w:val="24"/>
              </w:rPr>
              <w:t>表3-1</w:t>
            </w:r>
            <w:r>
              <w:rPr>
                <w:rFonts w:hint="eastAsia" w:ascii="Times New Roman" w:hAnsi="Times New Roman" w:eastAsia="宋体" w:cs="Times New Roman"/>
                <w:b/>
                <w:bCs/>
                <w:color w:val="auto"/>
                <w:sz w:val="24"/>
                <w:szCs w:val="24"/>
              </w:rPr>
              <w:t xml:space="preserve"> </w:t>
            </w:r>
            <w:r>
              <w:rPr>
                <w:rFonts w:ascii="Times New Roman" w:hAnsi="Times New Roman" w:eastAsia="宋体" w:cs="Times New Roman"/>
                <w:b/>
                <w:bCs/>
                <w:color w:val="auto"/>
                <w:sz w:val="24"/>
                <w:szCs w:val="24"/>
              </w:rPr>
              <w:t>20</w:t>
            </w:r>
            <w:r>
              <w:rPr>
                <w:rFonts w:hint="eastAsia" w:ascii="Times New Roman" w:hAnsi="Times New Roman" w:eastAsia="宋体" w:cs="Times New Roman"/>
                <w:b/>
                <w:bCs/>
                <w:color w:val="auto"/>
                <w:sz w:val="24"/>
                <w:szCs w:val="24"/>
              </w:rPr>
              <w:t>2</w:t>
            </w:r>
            <w:r>
              <w:rPr>
                <w:rFonts w:hint="eastAsia" w:ascii="Times New Roman" w:hAnsi="Times New Roman" w:eastAsia="宋体" w:cs="Times New Roman"/>
                <w:b/>
                <w:bCs/>
                <w:color w:val="auto"/>
                <w:sz w:val="24"/>
                <w:szCs w:val="24"/>
                <w:lang w:val="en-US" w:eastAsia="zh-CN"/>
              </w:rPr>
              <w:t>5</w:t>
            </w:r>
            <w:r>
              <w:rPr>
                <w:rFonts w:ascii="Times New Roman" w:hAnsi="Times New Roman" w:eastAsia="宋体" w:cs="Times New Roman"/>
                <w:b/>
                <w:bCs/>
                <w:color w:val="auto"/>
                <w:sz w:val="24"/>
                <w:szCs w:val="24"/>
              </w:rPr>
              <w:t>年海安市主要空气污染物指标监测结果</w:t>
            </w:r>
          </w:p>
          <w:tbl>
            <w:tblPr>
              <w:tblStyle w:val="26"/>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119"/>
              <w:gridCol w:w="1739"/>
              <w:gridCol w:w="1464"/>
              <w:gridCol w:w="1328"/>
              <w:gridCol w:w="1193"/>
              <w:gridCol w:w="1368"/>
            </w:tblGrid>
            <w:tr w14:paraId="337CDD2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81" w:type="pct"/>
                  <w:tcBorders>
                    <w:tl2br w:val="nil"/>
                    <w:tr2bl w:val="nil"/>
                  </w:tcBorders>
                  <w:vAlign w:val="center"/>
                </w:tcPr>
                <w:p w14:paraId="22251673">
                  <w:pPr>
                    <w:snapToGrid w:val="0"/>
                    <w:jc w:val="center"/>
                    <w:rPr>
                      <w:rFonts w:ascii="Times New Roman" w:hAnsi="Times New Roman" w:eastAsia="宋体" w:cs="Times New Roman"/>
                      <w:b/>
                      <w:bCs/>
                      <w:color w:val="auto"/>
                      <w:sz w:val="21"/>
                      <w:szCs w:val="21"/>
                    </w:rPr>
                  </w:pPr>
                  <w:r>
                    <w:rPr>
                      <w:rFonts w:ascii="Times New Roman" w:hAnsi="Times New Roman" w:eastAsia="宋体" w:cs="Times New Roman"/>
                      <w:b/>
                      <w:bCs/>
                      <w:color w:val="auto"/>
                      <w:sz w:val="21"/>
                      <w:szCs w:val="21"/>
                    </w:rPr>
                    <w:t>污染物</w:t>
                  </w:r>
                </w:p>
              </w:tc>
              <w:tc>
                <w:tcPr>
                  <w:tcW w:w="1058" w:type="pct"/>
                  <w:tcBorders>
                    <w:tl2br w:val="nil"/>
                    <w:tr2bl w:val="nil"/>
                  </w:tcBorders>
                  <w:vAlign w:val="center"/>
                </w:tcPr>
                <w:p w14:paraId="4DAF8DA6">
                  <w:pPr>
                    <w:snapToGrid w:val="0"/>
                    <w:jc w:val="center"/>
                    <w:rPr>
                      <w:rFonts w:ascii="Times New Roman" w:hAnsi="Times New Roman" w:eastAsia="宋体" w:cs="Times New Roman"/>
                      <w:b/>
                      <w:bCs/>
                      <w:color w:val="auto"/>
                      <w:sz w:val="21"/>
                      <w:szCs w:val="21"/>
                    </w:rPr>
                  </w:pPr>
                  <w:r>
                    <w:rPr>
                      <w:rFonts w:ascii="Times New Roman" w:hAnsi="Times New Roman" w:eastAsia="宋体" w:cs="Times New Roman"/>
                      <w:b/>
                      <w:bCs/>
                      <w:color w:val="auto"/>
                      <w:sz w:val="21"/>
                      <w:szCs w:val="21"/>
                    </w:rPr>
                    <w:t>年评价指标</w:t>
                  </w:r>
                </w:p>
              </w:tc>
              <w:tc>
                <w:tcPr>
                  <w:tcW w:w="891" w:type="pct"/>
                  <w:tcBorders>
                    <w:tl2br w:val="nil"/>
                    <w:tr2bl w:val="nil"/>
                  </w:tcBorders>
                  <w:vAlign w:val="center"/>
                </w:tcPr>
                <w:p w14:paraId="483EAC50">
                  <w:pPr>
                    <w:snapToGrid w:val="0"/>
                    <w:jc w:val="center"/>
                    <w:rPr>
                      <w:rFonts w:ascii="Times New Roman" w:hAnsi="Times New Roman" w:eastAsia="宋体" w:cs="Times New Roman"/>
                      <w:b/>
                      <w:bCs/>
                      <w:color w:val="auto"/>
                      <w:sz w:val="21"/>
                      <w:szCs w:val="21"/>
                    </w:rPr>
                  </w:pPr>
                  <w:r>
                    <w:rPr>
                      <w:rFonts w:ascii="Times New Roman" w:hAnsi="Times New Roman" w:eastAsia="宋体" w:cs="Times New Roman"/>
                      <w:b/>
                      <w:bCs/>
                      <w:color w:val="auto"/>
                      <w:sz w:val="21"/>
                      <w:szCs w:val="21"/>
                    </w:rPr>
                    <w:t>现状浓度</w:t>
                  </w:r>
                </w:p>
                <w:p w14:paraId="53F27D51">
                  <w:pPr>
                    <w:snapToGrid w:val="0"/>
                    <w:jc w:val="center"/>
                    <w:rPr>
                      <w:rFonts w:ascii="Times New Roman" w:hAnsi="Times New Roman" w:eastAsia="宋体" w:cs="Times New Roman"/>
                      <w:b/>
                      <w:bCs/>
                      <w:color w:val="auto"/>
                      <w:sz w:val="21"/>
                      <w:szCs w:val="21"/>
                    </w:rPr>
                  </w:pPr>
                  <w:r>
                    <w:rPr>
                      <w:rFonts w:ascii="Times New Roman" w:hAnsi="Times New Roman" w:eastAsia="宋体" w:cs="Times New Roman"/>
                      <w:b/>
                      <w:bCs/>
                      <w:color w:val="auto"/>
                      <w:sz w:val="21"/>
                      <w:szCs w:val="21"/>
                    </w:rPr>
                    <w:t>（μg/m</w:t>
                  </w:r>
                  <w:r>
                    <w:rPr>
                      <w:rFonts w:ascii="Times New Roman" w:hAnsi="Times New Roman" w:eastAsia="宋体" w:cs="Times New Roman"/>
                      <w:b/>
                      <w:bCs/>
                      <w:color w:val="auto"/>
                      <w:sz w:val="21"/>
                      <w:szCs w:val="21"/>
                      <w:vertAlign w:val="superscript"/>
                    </w:rPr>
                    <w:t>3</w:t>
                  </w:r>
                  <w:r>
                    <w:rPr>
                      <w:rFonts w:ascii="Times New Roman" w:hAnsi="Times New Roman" w:eastAsia="宋体" w:cs="Times New Roman"/>
                      <w:b/>
                      <w:bCs/>
                      <w:color w:val="auto"/>
                      <w:sz w:val="21"/>
                      <w:szCs w:val="21"/>
                    </w:rPr>
                    <w:t>）</w:t>
                  </w:r>
                </w:p>
              </w:tc>
              <w:tc>
                <w:tcPr>
                  <w:tcW w:w="808" w:type="pct"/>
                  <w:tcBorders>
                    <w:tl2br w:val="nil"/>
                    <w:tr2bl w:val="nil"/>
                  </w:tcBorders>
                  <w:vAlign w:val="center"/>
                </w:tcPr>
                <w:p w14:paraId="187407C1">
                  <w:pPr>
                    <w:snapToGrid w:val="0"/>
                    <w:jc w:val="center"/>
                    <w:rPr>
                      <w:rFonts w:hint="default" w:ascii="Times New Roman" w:hAnsi="Times New Roman" w:eastAsia="宋体" w:cs="Times New Roman"/>
                      <w:b/>
                      <w:bCs/>
                      <w:color w:val="auto"/>
                      <w:sz w:val="21"/>
                      <w:szCs w:val="21"/>
                      <w:lang w:val="en-US" w:eastAsia="zh-CN"/>
                    </w:rPr>
                  </w:pPr>
                  <w:r>
                    <w:rPr>
                      <w:rFonts w:ascii="Times New Roman" w:hAnsi="Times New Roman" w:eastAsia="宋体" w:cs="Times New Roman"/>
                      <w:b/>
                      <w:bCs/>
                      <w:color w:val="auto"/>
                      <w:sz w:val="21"/>
                      <w:szCs w:val="21"/>
                    </w:rPr>
                    <w:t>标准值（μg/m</w:t>
                  </w:r>
                  <w:r>
                    <w:rPr>
                      <w:rFonts w:ascii="Times New Roman" w:hAnsi="Times New Roman" w:eastAsia="宋体" w:cs="Times New Roman"/>
                      <w:b/>
                      <w:bCs/>
                      <w:color w:val="auto"/>
                      <w:sz w:val="21"/>
                      <w:szCs w:val="21"/>
                      <w:vertAlign w:val="superscript"/>
                    </w:rPr>
                    <w:t>3</w:t>
                  </w:r>
                  <w:r>
                    <w:rPr>
                      <w:rFonts w:ascii="Times New Roman" w:hAnsi="Times New Roman" w:eastAsia="宋体" w:cs="Times New Roman"/>
                      <w:b/>
                      <w:bCs/>
                      <w:color w:val="auto"/>
                      <w:sz w:val="21"/>
                      <w:szCs w:val="21"/>
                    </w:rPr>
                    <w:t>）</w:t>
                  </w:r>
                </w:p>
              </w:tc>
              <w:tc>
                <w:tcPr>
                  <w:tcW w:w="726" w:type="pct"/>
                  <w:tcBorders>
                    <w:tl2br w:val="nil"/>
                    <w:tr2bl w:val="nil"/>
                  </w:tcBorders>
                  <w:vAlign w:val="center"/>
                </w:tcPr>
                <w:p w14:paraId="5455B432">
                  <w:pPr>
                    <w:snapToGrid w:val="0"/>
                    <w:jc w:val="center"/>
                    <w:rPr>
                      <w:rFonts w:ascii="Times New Roman" w:hAnsi="Times New Roman" w:eastAsia="宋体" w:cs="Times New Roman"/>
                      <w:b/>
                      <w:bCs/>
                      <w:color w:val="auto"/>
                      <w:sz w:val="21"/>
                      <w:szCs w:val="21"/>
                    </w:rPr>
                  </w:pPr>
                  <w:r>
                    <w:rPr>
                      <w:rFonts w:ascii="Times New Roman" w:hAnsi="Times New Roman" w:eastAsia="宋体" w:cs="Times New Roman"/>
                      <w:b/>
                      <w:bCs/>
                      <w:color w:val="auto"/>
                      <w:sz w:val="21"/>
                      <w:szCs w:val="21"/>
                    </w:rPr>
                    <w:t>占标率%</w:t>
                  </w:r>
                </w:p>
              </w:tc>
              <w:tc>
                <w:tcPr>
                  <w:tcW w:w="833" w:type="pct"/>
                  <w:tcBorders>
                    <w:tl2br w:val="nil"/>
                    <w:tr2bl w:val="nil"/>
                  </w:tcBorders>
                  <w:vAlign w:val="center"/>
                </w:tcPr>
                <w:p w14:paraId="3A528872">
                  <w:pPr>
                    <w:snapToGrid w:val="0"/>
                    <w:jc w:val="center"/>
                    <w:rPr>
                      <w:rFonts w:ascii="Times New Roman" w:hAnsi="Times New Roman" w:eastAsia="宋体" w:cs="Times New Roman"/>
                      <w:b/>
                      <w:bCs/>
                      <w:color w:val="auto"/>
                      <w:sz w:val="21"/>
                      <w:szCs w:val="21"/>
                    </w:rPr>
                  </w:pPr>
                  <w:r>
                    <w:rPr>
                      <w:rFonts w:ascii="Times New Roman" w:hAnsi="Times New Roman" w:eastAsia="宋体" w:cs="Times New Roman"/>
                      <w:b/>
                      <w:bCs/>
                      <w:color w:val="auto"/>
                      <w:sz w:val="21"/>
                      <w:szCs w:val="21"/>
                    </w:rPr>
                    <w:t>达标情况</w:t>
                  </w:r>
                </w:p>
              </w:tc>
            </w:tr>
            <w:tr w14:paraId="5D6A5E3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81" w:type="pct"/>
                  <w:tcBorders>
                    <w:tl2br w:val="nil"/>
                    <w:tr2bl w:val="nil"/>
                  </w:tcBorders>
                  <w:vAlign w:val="center"/>
                </w:tcPr>
                <w:p w14:paraId="677FEAC7">
                  <w:pPr>
                    <w:autoSpaceDE w:val="0"/>
                    <w:autoSpaceDN w:val="0"/>
                    <w:adjustRightInd w:val="0"/>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SO</w:t>
                  </w:r>
                  <w:r>
                    <w:rPr>
                      <w:rFonts w:ascii="Times New Roman" w:hAnsi="Times New Roman" w:eastAsia="宋体" w:cs="Times New Roman"/>
                      <w:color w:val="auto"/>
                      <w:sz w:val="21"/>
                      <w:szCs w:val="21"/>
                      <w:vertAlign w:val="subscript"/>
                    </w:rPr>
                    <w:t>2</w:t>
                  </w:r>
                </w:p>
              </w:tc>
              <w:tc>
                <w:tcPr>
                  <w:tcW w:w="1058" w:type="pct"/>
                  <w:vMerge w:val="restart"/>
                  <w:tcBorders>
                    <w:tl2br w:val="nil"/>
                    <w:tr2bl w:val="nil"/>
                  </w:tcBorders>
                  <w:vAlign w:val="center"/>
                </w:tcPr>
                <w:p w14:paraId="164BCA4F">
                  <w:pPr>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年平均质量浓度</w:t>
                  </w:r>
                </w:p>
              </w:tc>
              <w:tc>
                <w:tcPr>
                  <w:tcW w:w="1464" w:type="dxa"/>
                  <w:tcBorders>
                    <w:tl2br w:val="nil"/>
                    <w:tr2bl w:val="nil"/>
                  </w:tcBorders>
                  <w:shd w:val="clear" w:color="auto" w:fill="auto"/>
                  <w:vAlign w:val="center"/>
                </w:tcPr>
                <w:p w14:paraId="3805ED6B">
                  <w:pPr>
                    <w:adjustRightInd w:val="0"/>
                    <w:snapToGrid w:val="0"/>
                    <w:jc w:val="center"/>
                    <w:rPr>
                      <w:rFonts w:hint="default" w:ascii="Times New Roman" w:hAnsi="Times New Roman" w:eastAsia="方正仿宋_GBK" w:cs="Times New Roman"/>
                      <w:color w:val="auto"/>
                      <w:kern w:val="2"/>
                      <w:sz w:val="21"/>
                      <w:szCs w:val="21"/>
                      <w:lang w:val="en-US" w:eastAsia="zh-CN" w:bidi="ar-SA"/>
                    </w:rPr>
                  </w:pPr>
                  <w:r>
                    <w:rPr>
                      <w:rFonts w:hint="eastAsia" w:ascii="Times New Roman" w:hAnsi="Times New Roman" w:eastAsia="方正仿宋_GBK" w:cs="Times New Roman"/>
                      <w:color w:val="auto"/>
                      <w:sz w:val="21"/>
                      <w:szCs w:val="21"/>
                    </w:rPr>
                    <w:t>8</w:t>
                  </w:r>
                </w:p>
              </w:tc>
              <w:tc>
                <w:tcPr>
                  <w:tcW w:w="1328" w:type="dxa"/>
                  <w:tcBorders>
                    <w:tl2br w:val="nil"/>
                    <w:tr2bl w:val="nil"/>
                  </w:tcBorders>
                  <w:shd w:val="clear" w:color="auto" w:fill="auto"/>
                  <w:vAlign w:val="center"/>
                </w:tcPr>
                <w:p w14:paraId="121CE17D">
                  <w:pPr>
                    <w:widowControl/>
                    <w:adjustRightInd w:val="0"/>
                    <w:snapToGrid w:val="0"/>
                    <w:jc w:val="center"/>
                    <w:textAlignment w:val="baseline"/>
                    <w:rPr>
                      <w:rFonts w:hint="default" w:ascii="Times New Roman" w:hAnsi="Times New Roman" w:eastAsia="宋体" w:cs="Times New Roman"/>
                      <w:color w:val="auto"/>
                      <w:spacing w:val="6"/>
                      <w:kern w:val="2"/>
                      <w:sz w:val="21"/>
                      <w:szCs w:val="21"/>
                      <w:lang w:val="en-US" w:eastAsia="zh-CN" w:bidi="ar"/>
                    </w:rPr>
                  </w:pPr>
                  <w:r>
                    <w:rPr>
                      <w:rFonts w:ascii="Times New Roman" w:hAnsi="Times New Roman" w:eastAsia="宋体" w:cs="Times New Roman"/>
                      <w:color w:val="auto"/>
                      <w:spacing w:val="6"/>
                      <w:sz w:val="21"/>
                      <w:szCs w:val="21"/>
                    </w:rPr>
                    <w:t>60</w:t>
                  </w:r>
                </w:p>
              </w:tc>
              <w:tc>
                <w:tcPr>
                  <w:tcW w:w="1193" w:type="dxa"/>
                  <w:tcBorders>
                    <w:tl2br w:val="nil"/>
                    <w:tr2bl w:val="nil"/>
                  </w:tcBorders>
                  <w:shd w:val="clear" w:color="auto" w:fill="auto"/>
                  <w:vAlign w:val="center"/>
                </w:tcPr>
                <w:p w14:paraId="7CF68B03">
                  <w:pPr>
                    <w:widowControl/>
                    <w:jc w:val="center"/>
                    <w:textAlignment w:val="center"/>
                    <w:rPr>
                      <w:rFonts w:hint="default" w:ascii="Times New Roman" w:hAnsi="Times New Roman" w:eastAsia="宋体" w:cs="Times New Roman"/>
                      <w:color w:val="auto"/>
                      <w:spacing w:val="6"/>
                      <w:kern w:val="2"/>
                      <w:sz w:val="21"/>
                      <w:szCs w:val="21"/>
                      <w:lang w:val="en-US" w:eastAsia="zh-CN" w:bidi="ar"/>
                    </w:rPr>
                  </w:pPr>
                  <w:r>
                    <w:rPr>
                      <w:rFonts w:ascii="Times New Roman" w:hAnsi="Times New Roman" w:eastAsia="宋体" w:cs="Times New Roman"/>
                      <w:color w:val="auto"/>
                      <w:kern w:val="0"/>
                      <w:sz w:val="21"/>
                      <w:szCs w:val="21"/>
                      <w:lang w:bidi="ar"/>
                    </w:rPr>
                    <w:t>13.33</w:t>
                  </w:r>
                </w:p>
              </w:tc>
              <w:tc>
                <w:tcPr>
                  <w:tcW w:w="1368" w:type="dxa"/>
                  <w:tcBorders>
                    <w:tl2br w:val="nil"/>
                    <w:tr2bl w:val="nil"/>
                  </w:tcBorders>
                  <w:shd w:val="clear" w:color="auto" w:fill="auto"/>
                  <w:vAlign w:val="center"/>
                </w:tcPr>
                <w:p w14:paraId="375C7061">
                  <w:pPr>
                    <w:widowControl/>
                    <w:adjustRightInd w:val="0"/>
                    <w:snapToGrid w:val="0"/>
                    <w:jc w:val="center"/>
                    <w:textAlignment w:val="baseline"/>
                    <w:rPr>
                      <w:rFonts w:hint="default" w:ascii="Times New Roman" w:hAnsi="Times New Roman" w:eastAsia="宋体" w:cs="Times New Roman"/>
                      <w:color w:val="auto"/>
                      <w:spacing w:val="6"/>
                      <w:kern w:val="2"/>
                      <w:sz w:val="21"/>
                      <w:szCs w:val="21"/>
                      <w:lang w:val="en-US" w:eastAsia="zh-CN" w:bidi="ar"/>
                    </w:rPr>
                  </w:pPr>
                  <w:r>
                    <w:rPr>
                      <w:rFonts w:ascii="Times New Roman" w:hAnsi="Times New Roman" w:eastAsia="宋体" w:cs="Times New Roman"/>
                      <w:color w:val="auto"/>
                      <w:spacing w:val="6"/>
                      <w:sz w:val="21"/>
                      <w:szCs w:val="21"/>
                    </w:rPr>
                    <w:t>达标</w:t>
                  </w:r>
                </w:p>
              </w:tc>
            </w:tr>
            <w:tr w14:paraId="34C043F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81" w:type="pct"/>
                  <w:tcBorders>
                    <w:tl2br w:val="nil"/>
                    <w:tr2bl w:val="nil"/>
                  </w:tcBorders>
                  <w:vAlign w:val="center"/>
                </w:tcPr>
                <w:p w14:paraId="492CE4FD">
                  <w:pPr>
                    <w:autoSpaceDE w:val="0"/>
                    <w:autoSpaceDN w:val="0"/>
                    <w:adjustRightInd w:val="0"/>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NO</w:t>
                  </w:r>
                  <w:r>
                    <w:rPr>
                      <w:rFonts w:ascii="Times New Roman" w:hAnsi="Times New Roman" w:eastAsia="宋体" w:cs="Times New Roman"/>
                      <w:color w:val="auto"/>
                      <w:sz w:val="21"/>
                      <w:szCs w:val="21"/>
                      <w:vertAlign w:val="subscript"/>
                    </w:rPr>
                    <w:t>2</w:t>
                  </w:r>
                </w:p>
              </w:tc>
              <w:tc>
                <w:tcPr>
                  <w:tcW w:w="1058" w:type="pct"/>
                  <w:vMerge w:val="continue"/>
                  <w:tcBorders>
                    <w:tl2br w:val="nil"/>
                    <w:tr2bl w:val="nil"/>
                  </w:tcBorders>
                  <w:vAlign w:val="center"/>
                </w:tcPr>
                <w:p w14:paraId="13655170">
                  <w:pPr>
                    <w:snapToGrid w:val="0"/>
                    <w:jc w:val="center"/>
                    <w:rPr>
                      <w:rFonts w:ascii="Times New Roman" w:hAnsi="Times New Roman" w:eastAsia="宋体" w:cs="Times New Roman"/>
                      <w:color w:val="auto"/>
                      <w:sz w:val="21"/>
                      <w:szCs w:val="21"/>
                    </w:rPr>
                  </w:pPr>
                </w:p>
              </w:tc>
              <w:tc>
                <w:tcPr>
                  <w:tcW w:w="1464" w:type="dxa"/>
                  <w:tcBorders>
                    <w:tl2br w:val="nil"/>
                    <w:tr2bl w:val="nil"/>
                  </w:tcBorders>
                  <w:shd w:val="clear" w:color="auto" w:fill="auto"/>
                  <w:vAlign w:val="center"/>
                </w:tcPr>
                <w:p w14:paraId="253C5FAE">
                  <w:pPr>
                    <w:adjustRightInd w:val="0"/>
                    <w:snapToGrid w:val="0"/>
                    <w:jc w:val="center"/>
                    <w:rPr>
                      <w:rFonts w:hint="default" w:ascii="Times New Roman" w:hAnsi="Times New Roman" w:eastAsia="方正仿宋_GBK" w:cs="Times New Roman"/>
                      <w:color w:val="auto"/>
                      <w:kern w:val="2"/>
                      <w:sz w:val="21"/>
                      <w:szCs w:val="21"/>
                      <w:lang w:val="en-US" w:eastAsia="zh-CN" w:bidi="ar-SA"/>
                    </w:rPr>
                  </w:pPr>
                  <w:r>
                    <w:rPr>
                      <w:rFonts w:hint="eastAsia" w:ascii="Times New Roman" w:hAnsi="Times New Roman" w:eastAsia="方正仿宋_GBK" w:cs="Times New Roman"/>
                      <w:color w:val="auto"/>
                      <w:sz w:val="21"/>
                      <w:szCs w:val="21"/>
                    </w:rPr>
                    <w:t>19</w:t>
                  </w:r>
                </w:p>
              </w:tc>
              <w:tc>
                <w:tcPr>
                  <w:tcW w:w="1328" w:type="dxa"/>
                  <w:tcBorders>
                    <w:tl2br w:val="nil"/>
                    <w:tr2bl w:val="nil"/>
                  </w:tcBorders>
                  <w:shd w:val="clear" w:color="auto" w:fill="auto"/>
                  <w:vAlign w:val="center"/>
                </w:tcPr>
                <w:p w14:paraId="1650B037">
                  <w:pPr>
                    <w:widowControl/>
                    <w:adjustRightInd w:val="0"/>
                    <w:snapToGrid w:val="0"/>
                    <w:jc w:val="center"/>
                    <w:textAlignment w:val="baseline"/>
                    <w:rPr>
                      <w:rFonts w:hint="default" w:ascii="Times New Roman" w:hAnsi="Times New Roman" w:eastAsia="宋体" w:cs="Times New Roman"/>
                      <w:color w:val="auto"/>
                      <w:spacing w:val="6"/>
                      <w:kern w:val="2"/>
                      <w:sz w:val="21"/>
                      <w:szCs w:val="21"/>
                      <w:lang w:val="en-US" w:eastAsia="zh-CN" w:bidi="ar"/>
                    </w:rPr>
                  </w:pPr>
                  <w:r>
                    <w:rPr>
                      <w:rFonts w:ascii="Times New Roman" w:hAnsi="Times New Roman" w:eastAsia="宋体" w:cs="Times New Roman"/>
                      <w:color w:val="auto"/>
                      <w:spacing w:val="6"/>
                      <w:sz w:val="21"/>
                      <w:szCs w:val="21"/>
                    </w:rPr>
                    <w:t>40</w:t>
                  </w:r>
                </w:p>
              </w:tc>
              <w:tc>
                <w:tcPr>
                  <w:tcW w:w="1193" w:type="dxa"/>
                  <w:tcBorders>
                    <w:tl2br w:val="nil"/>
                    <w:tr2bl w:val="nil"/>
                  </w:tcBorders>
                  <w:shd w:val="clear" w:color="auto" w:fill="auto"/>
                  <w:vAlign w:val="center"/>
                </w:tcPr>
                <w:p w14:paraId="11E985C7">
                  <w:pPr>
                    <w:widowControl/>
                    <w:jc w:val="center"/>
                    <w:textAlignment w:val="center"/>
                    <w:rPr>
                      <w:rFonts w:hint="default" w:ascii="Times New Roman" w:hAnsi="Times New Roman" w:eastAsia="宋体" w:cs="Times New Roman"/>
                      <w:color w:val="auto"/>
                      <w:spacing w:val="6"/>
                      <w:kern w:val="2"/>
                      <w:sz w:val="21"/>
                      <w:szCs w:val="21"/>
                      <w:lang w:val="en-US" w:eastAsia="zh-CN" w:bidi="ar"/>
                    </w:rPr>
                  </w:pPr>
                  <w:r>
                    <w:rPr>
                      <w:rFonts w:ascii="Times New Roman" w:hAnsi="Times New Roman" w:eastAsia="宋体" w:cs="Times New Roman"/>
                      <w:color w:val="auto"/>
                      <w:kern w:val="0"/>
                      <w:sz w:val="21"/>
                      <w:szCs w:val="21"/>
                      <w:lang w:bidi="ar"/>
                    </w:rPr>
                    <w:t>47.50</w:t>
                  </w:r>
                </w:p>
              </w:tc>
              <w:tc>
                <w:tcPr>
                  <w:tcW w:w="1368" w:type="dxa"/>
                  <w:tcBorders>
                    <w:tl2br w:val="nil"/>
                    <w:tr2bl w:val="nil"/>
                  </w:tcBorders>
                  <w:shd w:val="clear" w:color="auto" w:fill="auto"/>
                  <w:vAlign w:val="center"/>
                </w:tcPr>
                <w:p w14:paraId="30DCCE7E">
                  <w:pPr>
                    <w:widowControl/>
                    <w:adjustRightInd w:val="0"/>
                    <w:snapToGrid w:val="0"/>
                    <w:jc w:val="center"/>
                    <w:textAlignment w:val="baseline"/>
                    <w:rPr>
                      <w:rFonts w:hint="default" w:ascii="Times New Roman" w:hAnsi="Times New Roman" w:eastAsia="宋体" w:cs="Times New Roman"/>
                      <w:color w:val="auto"/>
                      <w:spacing w:val="6"/>
                      <w:kern w:val="2"/>
                      <w:sz w:val="21"/>
                      <w:szCs w:val="21"/>
                      <w:lang w:val="en-US" w:eastAsia="zh-CN" w:bidi="ar"/>
                    </w:rPr>
                  </w:pPr>
                  <w:r>
                    <w:rPr>
                      <w:rFonts w:ascii="Times New Roman" w:hAnsi="Times New Roman" w:eastAsia="宋体" w:cs="Times New Roman"/>
                      <w:color w:val="auto"/>
                      <w:spacing w:val="6"/>
                      <w:sz w:val="21"/>
                      <w:szCs w:val="21"/>
                    </w:rPr>
                    <w:t>达标</w:t>
                  </w:r>
                </w:p>
              </w:tc>
            </w:tr>
            <w:tr w14:paraId="7B93C29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81" w:type="pct"/>
                  <w:tcBorders>
                    <w:tl2br w:val="nil"/>
                    <w:tr2bl w:val="nil"/>
                  </w:tcBorders>
                  <w:vAlign w:val="center"/>
                </w:tcPr>
                <w:p w14:paraId="0EA5BD4C">
                  <w:pPr>
                    <w:autoSpaceDE w:val="0"/>
                    <w:autoSpaceDN w:val="0"/>
                    <w:adjustRightInd w:val="0"/>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PM</w:t>
                  </w:r>
                  <w:r>
                    <w:rPr>
                      <w:rFonts w:ascii="Times New Roman" w:hAnsi="Times New Roman" w:eastAsia="宋体" w:cs="Times New Roman"/>
                      <w:color w:val="auto"/>
                      <w:sz w:val="21"/>
                      <w:szCs w:val="21"/>
                      <w:vertAlign w:val="subscript"/>
                    </w:rPr>
                    <w:t>10</w:t>
                  </w:r>
                </w:p>
              </w:tc>
              <w:tc>
                <w:tcPr>
                  <w:tcW w:w="1058" w:type="pct"/>
                  <w:vMerge w:val="continue"/>
                  <w:tcBorders>
                    <w:tl2br w:val="nil"/>
                    <w:tr2bl w:val="nil"/>
                  </w:tcBorders>
                  <w:vAlign w:val="center"/>
                </w:tcPr>
                <w:p w14:paraId="3DAAA76F">
                  <w:pPr>
                    <w:snapToGrid w:val="0"/>
                    <w:jc w:val="center"/>
                    <w:rPr>
                      <w:rFonts w:ascii="Times New Roman" w:hAnsi="Times New Roman" w:eastAsia="宋体" w:cs="Times New Roman"/>
                      <w:color w:val="auto"/>
                      <w:sz w:val="21"/>
                      <w:szCs w:val="21"/>
                    </w:rPr>
                  </w:pPr>
                </w:p>
              </w:tc>
              <w:tc>
                <w:tcPr>
                  <w:tcW w:w="1464" w:type="dxa"/>
                  <w:tcBorders>
                    <w:tl2br w:val="nil"/>
                    <w:tr2bl w:val="nil"/>
                  </w:tcBorders>
                  <w:shd w:val="clear" w:color="auto" w:fill="auto"/>
                  <w:vAlign w:val="center"/>
                </w:tcPr>
                <w:p w14:paraId="51EA8A2C">
                  <w:pPr>
                    <w:adjustRightInd w:val="0"/>
                    <w:snapToGrid w:val="0"/>
                    <w:jc w:val="center"/>
                    <w:rPr>
                      <w:rFonts w:hint="default" w:ascii="Times New Roman" w:hAnsi="Times New Roman" w:eastAsia="方正仿宋_GBK" w:cs="Times New Roman"/>
                      <w:color w:val="auto"/>
                      <w:kern w:val="2"/>
                      <w:sz w:val="21"/>
                      <w:szCs w:val="21"/>
                      <w:lang w:val="en-US" w:eastAsia="zh-CN" w:bidi="ar-SA"/>
                    </w:rPr>
                  </w:pPr>
                  <w:r>
                    <w:rPr>
                      <w:rFonts w:hint="eastAsia" w:ascii="Times New Roman" w:hAnsi="Times New Roman" w:eastAsia="方正仿宋_GBK" w:cs="Times New Roman"/>
                      <w:color w:val="auto"/>
                      <w:sz w:val="21"/>
                      <w:szCs w:val="21"/>
                      <w:lang w:val="en-US" w:eastAsia="zh-CN"/>
                    </w:rPr>
                    <w:t>52</w:t>
                  </w:r>
                </w:p>
              </w:tc>
              <w:tc>
                <w:tcPr>
                  <w:tcW w:w="1328" w:type="dxa"/>
                  <w:tcBorders>
                    <w:tl2br w:val="nil"/>
                    <w:tr2bl w:val="nil"/>
                  </w:tcBorders>
                  <w:shd w:val="clear" w:color="auto" w:fill="auto"/>
                  <w:vAlign w:val="center"/>
                </w:tcPr>
                <w:p w14:paraId="150BA4EF">
                  <w:pPr>
                    <w:keepNext w:val="0"/>
                    <w:keepLines w:val="0"/>
                    <w:widowControl/>
                    <w:suppressLineNumbers w:val="0"/>
                    <w:adjustRightInd w:val="0"/>
                    <w:snapToGrid w:val="0"/>
                    <w:spacing w:before="0" w:beforeAutospacing="0" w:after="0" w:afterAutospacing="0"/>
                    <w:ind w:left="0" w:leftChars="0" w:right="0" w:rightChars="0"/>
                    <w:jc w:val="center"/>
                    <w:textAlignment w:val="baseline"/>
                    <w:rPr>
                      <w:rFonts w:hint="default" w:ascii="Times New Roman" w:hAnsi="Times New Roman" w:eastAsia="宋体" w:cs="Times New Roman"/>
                      <w:color w:val="auto"/>
                      <w:spacing w:val="6"/>
                      <w:kern w:val="2"/>
                      <w:sz w:val="21"/>
                      <w:szCs w:val="21"/>
                      <w:lang w:val="en-US" w:eastAsia="zh-CN" w:bidi="ar"/>
                    </w:rPr>
                  </w:pPr>
                  <w:r>
                    <w:rPr>
                      <w:rFonts w:hint="eastAsia" w:ascii="Times New Roman" w:hAnsi="Times New Roman" w:eastAsia="宋体" w:cs="Times New Roman"/>
                      <w:color w:val="auto"/>
                      <w:spacing w:val="6"/>
                      <w:kern w:val="2"/>
                      <w:sz w:val="21"/>
                      <w:szCs w:val="21"/>
                      <w:lang w:val="en-US" w:eastAsia="zh-CN" w:bidi="ar"/>
                    </w:rPr>
                    <w:t>60</w:t>
                  </w:r>
                </w:p>
              </w:tc>
              <w:tc>
                <w:tcPr>
                  <w:tcW w:w="1193" w:type="dxa"/>
                  <w:tcBorders>
                    <w:tl2br w:val="nil"/>
                    <w:tr2bl w:val="nil"/>
                  </w:tcBorders>
                  <w:shd w:val="clear" w:color="auto" w:fill="auto"/>
                  <w:vAlign w:val="center"/>
                </w:tcPr>
                <w:p w14:paraId="5AD1574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spacing w:val="6"/>
                      <w:kern w:val="2"/>
                      <w:sz w:val="21"/>
                      <w:szCs w:val="21"/>
                      <w:lang w:val="en-US" w:eastAsia="zh-CN" w:bidi="ar"/>
                    </w:rPr>
                  </w:pPr>
                  <w:r>
                    <w:rPr>
                      <w:rFonts w:hint="eastAsia" w:ascii="Times New Roman" w:hAnsi="Times New Roman" w:eastAsia="宋体" w:cs="Times New Roman"/>
                      <w:color w:val="auto"/>
                      <w:spacing w:val="6"/>
                      <w:sz w:val="21"/>
                      <w:szCs w:val="21"/>
                      <w:lang w:val="en-US" w:eastAsia="zh-CN"/>
                    </w:rPr>
                    <w:t>86.67</w:t>
                  </w:r>
                </w:p>
              </w:tc>
              <w:tc>
                <w:tcPr>
                  <w:tcW w:w="1368" w:type="dxa"/>
                  <w:tcBorders>
                    <w:tl2br w:val="nil"/>
                    <w:tr2bl w:val="nil"/>
                  </w:tcBorders>
                  <w:shd w:val="clear" w:color="auto" w:fill="auto"/>
                  <w:vAlign w:val="center"/>
                </w:tcPr>
                <w:p w14:paraId="7AF1531E">
                  <w:pPr>
                    <w:keepNext w:val="0"/>
                    <w:keepLines w:val="0"/>
                    <w:widowControl/>
                    <w:suppressLineNumbers w:val="0"/>
                    <w:adjustRightInd w:val="0"/>
                    <w:snapToGrid w:val="0"/>
                    <w:spacing w:before="0" w:beforeAutospacing="0" w:after="0" w:afterAutospacing="0"/>
                    <w:ind w:left="0" w:leftChars="0" w:right="0" w:rightChars="0"/>
                    <w:jc w:val="center"/>
                    <w:textAlignment w:val="baseline"/>
                    <w:rPr>
                      <w:rFonts w:hint="default" w:ascii="Times New Roman" w:hAnsi="Times New Roman" w:eastAsia="宋体" w:cs="Times New Roman"/>
                      <w:color w:val="auto"/>
                      <w:spacing w:val="6"/>
                      <w:kern w:val="2"/>
                      <w:sz w:val="21"/>
                      <w:szCs w:val="21"/>
                      <w:lang w:val="en-US" w:eastAsia="zh-CN" w:bidi="ar"/>
                    </w:rPr>
                  </w:pPr>
                  <w:r>
                    <w:rPr>
                      <w:rFonts w:hint="default" w:ascii="Times New Roman" w:hAnsi="Times New Roman" w:eastAsia="宋体" w:cs="Times New Roman"/>
                      <w:color w:val="auto"/>
                      <w:spacing w:val="6"/>
                      <w:sz w:val="21"/>
                      <w:szCs w:val="21"/>
                    </w:rPr>
                    <w:t>达标</w:t>
                  </w:r>
                </w:p>
              </w:tc>
            </w:tr>
            <w:tr w14:paraId="4C27DAE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81" w:type="pct"/>
                  <w:tcBorders>
                    <w:tl2br w:val="nil"/>
                    <w:tr2bl w:val="nil"/>
                  </w:tcBorders>
                  <w:vAlign w:val="center"/>
                </w:tcPr>
                <w:p w14:paraId="4E40784F">
                  <w:pPr>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PM</w:t>
                  </w:r>
                  <w:r>
                    <w:rPr>
                      <w:rFonts w:ascii="Times New Roman" w:hAnsi="Times New Roman" w:eastAsia="宋体" w:cs="Times New Roman"/>
                      <w:color w:val="auto"/>
                      <w:sz w:val="21"/>
                      <w:szCs w:val="21"/>
                      <w:vertAlign w:val="subscript"/>
                    </w:rPr>
                    <w:t>2.5</w:t>
                  </w:r>
                </w:p>
              </w:tc>
              <w:tc>
                <w:tcPr>
                  <w:tcW w:w="1058" w:type="pct"/>
                  <w:vMerge w:val="continue"/>
                  <w:tcBorders>
                    <w:tl2br w:val="nil"/>
                    <w:tr2bl w:val="nil"/>
                  </w:tcBorders>
                  <w:vAlign w:val="center"/>
                </w:tcPr>
                <w:p w14:paraId="5B3F029B">
                  <w:pPr>
                    <w:snapToGrid w:val="0"/>
                    <w:jc w:val="center"/>
                    <w:rPr>
                      <w:rFonts w:ascii="Times New Roman" w:hAnsi="Times New Roman" w:eastAsia="宋体" w:cs="Times New Roman"/>
                      <w:color w:val="auto"/>
                      <w:sz w:val="21"/>
                      <w:szCs w:val="21"/>
                    </w:rPr>
                  </w:pPr>
                </w:p>
              </w:tc>
              <w:tc>
                <w:tcPr>
                  <w:tcW w:w="1464" w:type="dxa"/>
                  <w:tcBorders>
                    <w:tl2br w:val="nil"/>
                    <w:tr2bl w:val="nil"/>
                  </w:tcBorders>
                  <w:shd w:val="clear" w:color="auto" w:fill="auto"/>
                  <w:vAlign w:val="center"/>
                </w:tcPr>
                <w:p w14:paraId="40BC4CBF">
                  <w:pPr>
                    <w:adjustRightInd w:val="0"/>
                    <w:snapToGrid w:val="0"/>
                    <w:jc w:val="center"/>
                    <w:rPr>
                      <w:rFonts w:hint="default" w:ascii="Times New Roman" w:hAnsi="Times New Roman" w:eastAsia="方正仿宋_GBK" w:cs="Times New Roman"/>
                      <w:color w:val="auto"/>
                      <w:kern w:val="2"/>
                      <w:sz w:val="21"/>
                      <w:szCs w:val="21"/>
                      <w:lang w:val="en-US" w:eastAsia="zh-CN" w:bidi="ar-SA"/>
                    </w:rPr>
                  </w:pPr>
                  <w:r>
                    <w:rPr>
                      <w:rFonts w:hint="eastAsia" w:ascii="Times New Roman" w:hAnsi="Times New Roman" w:eastAsia="方正仿宋_GBK" w:cs="Times New Roman"/>
                      <w:color w:val="auto"/>
                      <w:sz w:val="21"/>
                      <w:szCs w:val="21"/>
                    </w:rPr>
                    <w:t>32</w:t>
                  </w:r>
                </w:p>
              </w:tc>
              <w:tc>
                <w:tcPr>
                  <w:tcW w:w="1328" w:type="dxa"/>
                  <w:tcBorders>
                    <w:tl2br w:val="nil"/>
                    <w:tr2bl w:val="nil"/>
                  </w:tcBorders>
                  <w:shd w:val="clear" w:color="auto" w:fill="auto"/>
                  <w:vAlign w:val="center"/>
                </w:tcPr>
                <w:p w14:paraId="4C4892EC">
                  <w:pPr>
                    <w:keepNext w:val="0"/>
                    <w:keepLines w:val="0"/>
                    <w:widowControl/>
                    <w:suppressLineNumbers w:val="0"/>
                    <w:adjustRightInd w:val="0"/>
                    <w:snapToGrid w:val="0"/>
                    <w:spacing w:before="0" w:beforeAutospacing="0" w:after="0" w:afterAutospacing="0"/>
                    <w:ind w:left="0" w:leftChars="0" w:right="0" w:rightChars="0"/>
                    <w:jc w:val="center"/>
                    <w:textAlignment w:val="baseline"/>
                    <w:rPr>
                      <w:rFonts w:hint="default" w:ascii="Times New Roman" w:hAnsi="Times New Roman" w:eastAsia="宋体" w:cs="Times New Roman"/>
                      <w:color w:val="auto"/>
                      <w:spacing w:val="6"/>
                      <w:kern w:val="2"/>
                      <w:sz w:val="21"/>
                      <w:szCs w:val="21"/>
                      <w:lang w:val="en-US" w:eastAsia="zh-CN" w:bidi="ar"/>
                    </w:rPr>
                  </w:pPr>
                  <w:r>
                    <w:rPr>
                      <w:rFonts w:hint="eastAsia" w:ascii="Times New Roman" w:hAnsi="Times New Roman" w:eastAsia="宋体" w:cs="Times New Roman"/>
                      <w:color w:val="auto"/>
                      <w:spacing w:val="6"/>
                      <w:kern w:val="2"/>
                      <w:sz w:val="21"/>
                      <w:szCs w:val="21"/>
                      <w:lang w:val="en-US" w:eastAsia="zh-CN" w:bidi="ar"/>
                    </w:rPr>
                    <w:t>30</w:t>
                  </w:r>
                </w:p>
              </w:tc>
              <w:tc>
                <w:tcPr>
                  <w:tcW w:w="1193" w:type="dxa"/>
                  <w:tcBorders>
                    <w:tl2br w:val="nil"/>
                    <w:tr2bl w:val="nil"/>
                  </w:tcBorders>
                  <w:shd w:val="clear" w:color="auto" w:fill="auto"/>
                  <w:vAlign w:val="center"/>
                </w:tcPr>
                <w:p w14:paraId="3C07E52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spacing w:val="6"/>
                      <w:kern w:val="2"/>
                      <w:sz w:val="21"/>
                      <w:szCs w:val="21"/>
                      <w:lang w:val="en-US" w:eastAsia="zh-CN" w:bidi="ar"/>
                    </w:rPr>
                  </w:pPr>
                  <w:r>
                    <w:rPr>
                      <w:rFonts w:hint="eastAsia" w:ascii="Times New Roman" w:hAnsi="Times New Roman" w:eastAsia="宋体" w:cs="Times New Roman"/>
                      <w:color w:val="auto"/>
                      <w:spacing w:val="6"/>
                      <w:sz w:val="21"/>
                      <w:szCs w:val="21"/>
                      <w:lang w:val="en-US" w:eastAsia="zh-CN"/>
                    </w:rPr>
                    <w:t>106.67</w:t>
                  </w:r>
                </w:p>
              </w:tc>
              <w:tc>
                <w:tcPr>
                  <w:tcW w:w="1368" w:type="dxa"/>
                  <w:tcBorders>
                    <w:tl2br w:val="nil"/>
                    <w:tr2bl w:val="nil"/>
                  </w:tcBorders>
                  <w:shd w:val="clear" w:color="auto" w:fill="auto"/>
                  <w:vAlign w:val="center"/>
                </w:tcPr>
                <w:p w14:paraId="32B87AE3">
                  <w:pPr>
                    <w:keepNext w:val="0"/>
                    <w:keepLines w:val="0"/>
                    <w:widowControl/>
                    <w:suppressLineNumbers w:val="0"/>
                    <w:adjustRightInd w:val="0"/>
                    <w:snapToGrid w:val="0"/>
                    <w:spacing w:before="0" w:beforeAutospacing="0" w:after="0" w:afterAutospacing="0"/>
                    <w:ind w:left="0" w:leftChars="0" w:right="0" w:rightChars="0"/>
                    <w:jc w:val="center"/>
                    <w:textAlignment w:val="baseline"/>
                    <w:rPr>
                      <w:rFonts w:hint="default" w:ascii="Times New Roman" w:hAnsi="Times New Roman" w:eastAsia="宋体" w:cs="Times New Roman"/>
                      <w:color w:val="auto"/>
                      <w:spacing w:val="6"/>
                      <w:kern w:val="2"/>
                      <w:sz w:val="21"/>
                      <w:szCs w:val="21"/>
                      <w:lang w:val="en-US" w:eastAsia="zh-CN" w:bidi="ar"/>
                    </w:rPr>
                  </w:pPr>
                  <w:r>
                    <w:rPr>
                      <w:rFonts w:hint="eastAsia" w:ascii="Times New Roman" w:hAnsi="Times New Roman" w:eastAsia="宋体" w:cs="Times New Roman"/>
                      <w:color w:val="auto"/>
                      <w:spacing w:val="6"/>
                      <w:sz w:val="21"/>
                      <w:szCs w:val="21"/>
                      <w:lang w:val="en-US" w:eastAsia="zh-CN"/>
                    </w:rPr>
                    <w:t>不</w:t>
                  </w:r>
                  <w:r>
                    <w:rPr>
                      <w:rFonts w:hint="default" w:ascii="Times New Roman" w:hAnsi="Times New Roman" w:eastAsia="宋体" w:cs="Times New Roman"/>
                      <w:color w:val="auto"/>
                      <w:spacing w:val="6"/>
                      <w:sz w:val="21"/>
                      <w:szCs w:val="21"/>
                    </w:rPr>
                    <w:t>达标</w:t>
                  </w:r>
                </w:p>
              </w:tc>
            </w:tr>
            <w:tr w14:paraId="7B389DE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81" w:type="pct"/>
                  <w:tcBorders>
                    <w:tl2br w:val="nil"/>
                    <w:tr2bl w:val="nil"/>
                  </w:tcBorders>
                  <w:vAlign w:val="center"/>
                </w:tcPr>
                <w:p w14:paraId="48499387">
                  <w:pPr>
                    <w:widowControl/>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CO*</w:t>
                  </w:r>
                </w:p>
              </w:tc>
              <w:tc>
                <w:tcPr>
                  <w:tcW w:w="1058" w:type="pct"/>
                  <w:tcBorders>
                    <w:tl2br w:val="nil"/>
                    <w:tr2bl w:val="nil"/>
                  </w:tcBorders>
                  <w:vAlign w:val="center"/>
                </w:tcPr>
                <w:p w14:paraId="45F074D3">
                  <w:pPr>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第95百分位数</w:t>
                  </w:r>
                </w:p>
              </w:tc>
              <w:tc>
                <w:tcPr>
                  <w:tcW w:w="1464" w:type="dxa"/>
                  <w:tcBorders>
                    <w:tl2br w:val="nil"/>
                    <w:tr2bl w:val="nil"/>
                  </w:tcBorders>
                  <w:shd w:val="clear" w:color="auto" w:fill="auto"/>
                  <w:vAlign w:val="center"/>
                </w:tcPr>
                <w:p w14:paraId="72F88A00">
                  <w:pPr>
                    <w:adjustRightInd w:val="0"/>
                    <w:snapToGrid w:val="0"/>
                    <w:jc w:val="center"/>
                    <w:rPr>
                      <w:rFonts w:hint="default" w:ascii="Times New Roman" w:hAnsi="Times New Roman" w:eastAsia="等线" w:cs="Times New Roman"/>
                      <w:bCs/>
                      <w:color w:val="auto"/>
                      <w:kern w:val="2"/>
                      <w:sz w:val="21"/>
                      <w:szCs w:val="21"/>
                      <w:lang w:val="en-US" w:eastAsia="zh-CN" w:bidi="ar-SA"/>
                    </w:rPr>
                  </w:pPr>
                  <w:r>
                    <w:rPr>
                      <w:rFonts w:hint="eastAsia" w:ascii="Times New Roman" w:hAnsi="Times New Roman" w:eastAsia="等线" w:cs="Times New Roman"/>
                      <w:bCs/>
                      <w:color w:val="auto"/>
                      <w:sz w:val="21"/>
                      <w:szCs w:val="21"/>
                      <w:lang w:val="en-US" w:eastAsia="zh-CN"/>
                    </w:rPr>
                    <w:t>1.1</w:t>
                  </w:r>
                </w:p>
              </w:tc>
              <w:tc>
                <w:tcPr>
                  <w:tcW w:w="1328" w:type="dxa"/>
                  <w:tcBorders>
                    <w:tl2br w:val="nil"/>
                    <w:tr2bl w:val="nil"/>
                  </w:tcBorders>
                  <w:shd w:val="clear" w:color="auto" w:fill="auto"/>
                  <w:vAlign w:val="center"/>
                </w:tcPr>
                <w:p w14:paraId="713C9E50">
                  <w:pPr>
                    <w:widowControl/>
                    <w:adjustRightInd w:val="0"/>
                    <w:snapToGrid w:val="0"/>
                    <w:jc w:val="center"/>
                    <w:textAlignment w:val="baseline"/>
                    <w:rPr>
                      <w:rFonts w:hint="default" w:ascii="Times New Roman" w:hAnsi="Times New Roman" w:eastAsia="宋体" w:cs="Times New Roman"/>
                      <w:color w:val="auto"/>
                      <w:spacing w:val="6"/>
                      <w:kern w:val="2"/>
                      <w:sz w:val="21"/>
                      <w:szCs w:val="21"/>
                      <w:lang w:val="en-US" w:eastAsia="zh-CN" w:bidi="ar"/>
                    </w:rPr>
                  </w:pPr>
                  <w:r>
                    <w:rPr>
                      <w:rFonts w:ascii="Times New Roman" w:hAnsi="Times New Roman" w:eastAsia="宋体" w:cs="Times New Roman"/>
                      <w:color w:val="auto"/>
                      <w:spacing w:val="6"/>
                      <w:sz w:val="21"/>
                      <w:szCs w:val="21"/>
                    </w:rPr>
                    <w:t>4</w:t>
                  </w:r>
                </w:p>
              </w:tc>
              <w:tc>
                <w:tcPr>
                  <w:tcW w:w="1193" w:type="dxa"/>
                  <w:tcBorders>
                    <w:tl2br w:val="nil"/>
                    <w:tr2bl w:val="nil"/>
                  </w:tcBorders>
                  <w:shd w:val="clear" w:color="auto" w:fill="auto"/>
                  <w:vAlign w:val="center"/>
                </w:tcPr>
                <w:p w14:paraId="2F66C83D">
                  <w:pPr>
                    <w:widowControl/>
                    <w:jc w:val="center"/>
                    <w:textAlignment w:val="center"/>
                    <w:rPr>
                      <w:rFonts w:hint="default" w:ascii="Times New Roman" w:hAnsi="Times New Roman" w:eastAsia="宋体" w:cs="Times New Roman"/>
                      <w:color w:val="auto"/>
                      <w:kern w:val="2"/>
                      <w:sz w:val="21"/>
                      <w:szCs w:val="21"/>
                      <w:lang w:val="en-US" w:eastAsia="zh-CN" w:bidi="ar"/>
                    </w:rPr>
                  </w:pPr>
                  <w:r>
                    <w:rPr>
                      <w:rFonts w:hint="eastAsia" w:ascii="Times New Roman" w:hAnsi="Times New Roman" w:eastAsia="宋体" w:cs="Times New Roman"/>
                      <w:color w:val="auto"/>
                      <w:sz w:val="21"/>
                      <w:szCs w:val="21"/>
                      <w:lang w:val="en-US" w:eastAsia="zh-CN"/>
                    </w:rPr>
                    <w:t>27.5</w:t>
                  </w:r>
                </w:p>
              </w:tc>
              <w:tc>
                <w:tcPr>
                  <w:tcW w:w="1368" w:type="dxa"/>
                  <w:tcBorders>
                    <w:tl2br w:val="nil"/>
                    <w:tr2bl w:val="nil"/>
                  </w:tcBorders>
                  <w:shd w:val="clear" w:color="auto" w:fill="auto"/>
                  <w:vAlign w:val="center"/>
                </w:tcPr>
                <w:p w14:paraId="672AC196">
                  <w:pPr>
                    <w:widowControl/>
                    <w:adjustRightInd w:val="0"/>
                    <w:snapToGrid w:val="0"/>
                    <w:jc w:val="center"/>
                    <w:textAlignment w:val="baseline"/>
                    <w:rPr>
                      <w:rFonts w:hint="default" w:ascii="Times New Roman" w:hAnsi="Times New Roman" w:eastAsia="宋体" w:cs="Times New Roman"/>
                      <w:color w:val="auto"/>
                      <w:spacing w:val="6"/>
                      <w:kern w:val="2"/>
                      <w:sz w:val="21"/>
                      <w:szCs w:val="21"/>
                      <w:lang w:val="en-US" w:eastAsia="zh-CN" w:bidi="ar"/>
                    </w:rPr>
                  </w:pPr>
                  <w:r>
                    <w:rPr>
                      <w:rFonts w:ascii="Times New Roman" w:hAnsi="Times New Roman" w:eastAsia="宋体" w:cs="Times New Roman"/>
                      <w:color w:val="auto"/>
                      <w:spacing w:val="6"/>
                      <w:sz w:val="21"/>
                      <w:szCs w:val="21"/>
                    </w:rPr>
                    <w:t>达标</w:t>
                  </w:r>
                </w:p>
              </w:tc>
            </w:tr>
            <w:tr w14:paraId="2A0014D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81" w:type="pct"/>
                  <w:tcBorders>
                    <w:tl2br w:val="nil"/>
                    <w:tr2bl w:val="nil"/>
                  </w:tcBorders>
                  <w:vAlign w:val="center"/>
                </w:tcPr>
                <w:p w14:paraId="47062E90">
                  <w:pPr>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O</w:t>
                  </w:r>
                  <w:r>
                    <w:rPr>
                      <w:rFonts w:ascii="Times New Roman" w:hAnsi="Times New Roman" w:eastAsia="宋体" w:cs="Times New Roman"/>
                      <w:color w:val="auto"/>
                      <w:sz w:val="21"/>
                      <w:szCs w:val="21"/>
                      <w:vertAlign w:val="subscript"/>
                    </w:rPr>
                    <w:t>3</w:t>
                  </w:r>
                </w:p>
              </w:tc>
              <w:tc>
                <w:tcPr>
                  <w:tcW w:w="1058" w:type="pct"/>
                  <w:tcBorders>
                    <w:tl2br w:val="nil"/>
                    <w:tr2bl w:val="nil"/>
                  </w:tcBorders>
                  <w:vAlign w:val="center"/>
                </w:tcPr>
                <w:p w14:paraId="41598DF9">
                  <w:pPr>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8小时滑动平均值第90百分位数</w:t>
                  </w:r>
                </w:p>
              </w:tc>
              <w:tc>
                <w:tcPr>
                  <w:tcW w:w="1464" w:type="dxa"/>
                  <w:tcBorders>
                    <w:tl2br w:val="nil"/>
                    <w:tr2bl w:val="nil"/>
                  </w:tcBorders>
                  <w:shd w:val="clear" w:color="auto" w:fill="auto"/>
                  <w:vAlign w:val="center"/>
                </w:tcPr>
                <w:p w14:paraId="6EFD61BD">
                  <w:pPr>
                    <w:adjustRightInd w:val="0"/>
                    <w:snapToGrid w:val="0"/>
                    <w:jc w:val="center"/>
                    <w:rPr>
                      <w:rFonts w:hint="default" w:ascii="Times New Roman" w:hAnsi="Times New Roman" w:eastAsia="等线" w:cs="Times New Roman"/>
                      <w:bCs/>
                      <w:color w:val="auto"/>
                      <w:kern w:val="2"/>
                      <w:sz w:val="21"/>
                      <w:szCs w:val="21"/>
                      <w:lang w:val="en-US" w:eastAsia="zh-CN" w:bidi="ar-SA"/>
                    </w:rPr>
                  </w:pPr>
                  <w:r>
                    <w:rPr>
                      <w:rFonts w:hint="eastAsia" w:ascii="Times New Roman" w:hAnsi="Times New Roman" w:eastAsia="等线" w:cs="Times New Roman"/>
                      <w:bCs/>
                      <w:color w:val="auto"/>
                      <w:sz w:val="21"/>
                      <w:szCs w:val="21"/>
                    </w:rPr>
                    <w:t>1</w:t>
                  </w:r>
                  <w:r>
                    <w:rPr>
                      <w:rFonts w:hint="eastAsia" w:ascii="Times New Roman" w:hAnsi="Times New Roman" w:eastAsia="等线" w:cs="Times New Roman"/>
                      <w:bCs/>
                      <w:color w:val="auto"/>
                      <w:sz w:val="21"/>
                      <w:szCs w:val="21"/>
                      <w:lang w:val="en-US" w:eastAsia="zh-CN"/>
                    </w:rPr>
                    <w:t>72</w:t>
                  </w:r>
                </w:p>
              </w:tc>
              <w:tc>
                <w:tcPr>
                  <w:tcW w:w="1328" w:type="dxa"/>
                  <w:tcBorders>
                    <w:tl2br w:val="nil"/>
                    <w:tr2bl w:val="nil"/>
                  </w:tcBorders>
                  <w:shd w:val="clear" w:color="auto" w:fill="auto"/>
                  <w:vAlign w:val="center"/>
                </w:tcPr>
                <w:p w14:paraId="61DF0A9B">
                  <w:pPr>
                    <w:widowControl/>
                    <w:adjustRightInd w:val="0"/>
                    <w:snapToGrid w:val="0"/>
                    <w:jc w:val="center"/>
                    <w:textAlignment w:val="baseline"/>
                    <w:rPr>
                      <w:rFonts w:hint="default" w:ascii="Times New Roman" w:hAnsi="Times New Roman" w:eastAsia="宋体" w:cs="Times New Roman"/>
                      <w:color w:val="auto"/>
                      <w:spacing w:val="6"/>
                      <w:kern w:val="2"/>
                      <w:sz w:val="21"/>
                      <w:szCs w:val="21"/>
                      <w:lang w:val="en-US" w:eastAsia="zh-CN" w:bidi="ar"/>
                    </w:rPr>
                  </w:pPr>
                  <w:r>
                    <w:rPr>
                      <w:rFonts w:ascii="Times New Roman" w:hAnsi="Times New Roman" w:eastAsia="宋体" w:cs="Times New Roman"/>
                      <w:color w:val="auto"/>
                      <w:spacing w:val="6"/>
                      <w:sz w:val="21"/>
                      <w:szCs w:val="21"/>
                    </w:rPr>
                    <w:t>160</w:t>
                  </w:r>
                </w:p>
              </w:tc>
              <w:tc>
                <w:tcPr>
                  <w:tcW w:w="1193" w:type="dxa"/>
                  <w:tcBorders>
                    <w:tl2br w:val="nil"/>
                    <w:tr2bl w:val="nil"/>
                  </w:tcBorders>
                  <w:shd w:val="clear" w:color="auto" w:fill="auto"/>
                  <w:vAlign w:val="center"/>
                </w:tcPr>
                <w:p w14:paraId="13D66B75">
                  <w:pPr>
                    <w:widowControl/>
                    <w:jc w:val="center"/>
                    <w:textAlignment w:val="center"/>
                    <w:rPr>
                      <w:rFonts w:hint="default" w:ascii="Times New Roman" w:hAnsi="Times New Roman" w:eastAsia="宋体" w:cs="Times New Roman"/>
                      <w:color w:val="auto"/>
                      <w:kern w:val="2"/>
                      <w:sz w:val="21"/>
                      <w:szCs w:val="21"/>
                      <w:lang w:val="en-US" w:eastAsia="zh-CN" w:bidi="ar"/>
                    </w:rPr>
                  </w:pPr>
                  <w:r>
                    <w:rPr>
                      <w:rFonts w:hint="eastAsia" w:ascii="Times New Roman" w:hAnsi="Times New Roman" w:eastAsia="宋体" w:cs="Times New Roman"/>
                      <w:color w:val="auto"/>
                      <w:sz w:val="21"/>
                      <w:szCs w:val="21"/>
                      <w:lang w:val="en-US" w:eastAsia="zh-CN"/>
                    </w:rPr>
                    <w:t>107.5</w:t>
                  </w:r>
                </w:p>
              </w:tc>
              <w:tc>
                <w:tcPr>
                  <w:tcW w:w="1368" w:type="dxa"/>
                  <w:tcBorders>
                    <w:tl2br w:val="nil"/>
                    <w:tr2bl w:val="nil"/>
                  </w:tcBorders>
                  <w:shd w:val="clear" w:color="auto" w:fill="auto"/>
                  <w:vAlign w:val="center"/>
                </w:tcPr>
                <w:p w14:paraId="54241F37">
                  <w:pPr>
                    <w:widowControl/>
                    <w:adjustRightInd w:val="0"/>
                    <w:snapToGrid w:val="0"/>
                    <w:jc w:val="center"/>
                    <w:textAlignment w:val="baseline"/>
                    <w:rPr>
                      <w:rFonts w:hint="default" w:ascii="Times New Roman" w:hAnsi="Times New Roman" w:eastAsia="宋体" w:cs="Times New Roman"/>
                      <w:color w:val="auto"/>
                      <w:spacing w:val="6"/>
                      <w:kern w:val="2"/>
                      <w:sz w:val="21"/>
                      <w:szCs w:val="21"/>
                      <w:lang w:val="en-US" w:eastAsia="zh-CN" w:bidi="ar"/>
                    </w:rPr>
                  </w:pPr>
                  <w:r>
                    <w:rPr>
                      <w:rFonts w:hint="eastAsia" w:ascii="Times New Roman" w:hAnsi="Times New Roman" w:eastAsia="宋体" w:cs="Times New Roman"/>
                      <w:color w:val="auto"/>
                      <w:spacing w:val="6"/>
                      <w:sz w:val="21"/>
                      <w:szCs w:val="21"/>
                      <w:lang w:val="en-US" w:eastAsia="zh-CN"/>
                    </w:rPr>
                    <w:t>不</w:t>
                  </w:r>
                  <w:r>
                    <w:rPr>
                      <w:rFonts w:ascii="Times New Roman" w:hAnsi="Times New Roman" w:eastAsia="宋体" w:cs="Times New Roman"/>
                      <w:color w:val="auto"/>
                      <w:spacing w:val="6"/>
                      <w:sz w:val="21"/>
                      <w:szCs w:val="21"/>
                    </w:rPr>
                    <w:t>达标</w:t>
                  </w:r>
                </w:p>
              </w:tc>
            </w:tr>
          </w:tbl>
          <w:p w14:paraId="38440AAA">
            <w:pPr>
              <w:rPr>
                <w:b/>
                <w:bCs/>
                <w:color w:val="auto"/>
                <w:sz w:val="21"/>
                <w:szCs w:val="21"/>
                <w:vertAlign w:val="superscript"/>
              </w:rPr>
            </w:pPr>
            <w:r>
              <w:rPr>
                <w:rFonts w:ascii="Times New Roman" w:hAnsi="Times New Roman" w:eastAsia="宋体" w:cs="Times New Roman"/>
                <w:b/>
                <w:bCs/>
                <w:color w:val="auto"/>
                <w:sz w:val="21"/>
                <w:szCs w:val="21"/>
              </w:rPr>
              <w:t>注：</w:t>
            </w:r>
            <w:r>
              <w:rPr>
                <w:rFonts w:hint="eastAsia" w:ascii="Times New Roman" w:hAnsi="Times New Roman" w:eastAsia="宋体" w:cs="Times New Roman"/>
                <w:b/>
                <w:bCs/>
                <w:color w:val="auto"/>
                <w:sz w:val="21"/>
                <w:szCs w:val="21"/>
              </w:rPr>
              <w:t>*</w:t>
            </w:r>
            <w:r>
              <w:rPr>
                <w:rFonts w:ascii="Times New Roman" w:hAnsi="Times New Roman" w:eastAsia="宋体" w:cs="Times New Roman"/>
                <w:b/>
                <w:bCs/>
                <w:color w:val="auto"/>
                <w:sz w:val="21"/>
                <w:szCs w:val="21"/>
              </w:rPr>
              <w:t>CO单位为mg/m</w:t>
            </w:r>
            <w:r>
              <w:rPr>
                <w:rFonts w:ascii="Times New Roman" w:hAnsi="Times New Roman" w:eastAsia="宋体" w:cs="Times New Roman"/>
                <w:b/>
                <w:bCs/>
                <w:color w:val="auto"/>
                <w:sz w:val="21"/>
                <w:szCs w:val="21"/>
                <w:vertAlign w:val="superscript"/>
              </w:rPr>
              <w:t>3</w:t>
            </w:r>
            <w:r>
              <w:rPr>
                <w:rFonts w:ascii="Times New Roman" w:hAnsi="Times New Roman" w:eastAsia="宋体" w:cs="Times New Roman"/>
                <w:b/>
                <w:bCs/>
                <w:color w:val="auto"/>
                <w:sz w:val="21"/>
                <w:szCs w:val="21"/>
              </w:rPr>
              <w:t>。</w:t>
            </w:r>
          </w:p>
          <w:p w14:paraId="20245792">
            <w:pPr>
              <w:adjustRightInd w:val="0"/>
              <w:snapToGrid w:val="0"/>
              <w:spacing w:line="360" w:lineRule="auto"/>
              <w:ind w:firstLine="480" w:firstLineChars="200"/>
              <w:rPr>
                <w:rFonts w:hint="default" w:ascii="Times New Roman" w:hAnsi="Times New Roman" w:eastAsia="宋体" w:cs="Times New Roman"/>
                <w:color w:val="auto"/>
                <w:sz w:val="24"/>
                <w:szCs w:val="24"/>
                <w:lang w:bidi="ar-SA"/>
              </w:rPr>
            </w:pPr>
            <w:r>
              <w:rPr>
                <w:rFonts w:hint="default" w:ascii="Times New Roman" w:hAnsi="Times New Roman" w:eastAsia="宋体" w:cs="Times New Roman"/>
                <w:color w:val="auto"/>
                <w:sz w:val="24"/>
                <w:szCs w:val="24"/>
                <w:lang w:bidi="ar-SA"/>
              </w:rPr>
              <w:t>根据监测结果，202</w:t>
            </w:r>
            <w:r>
              <w:rPr>
                <w:rFonts w:hint="eastAsia" w:ascii="Times New Roman" w:hAnsi="Times New Roman" w:eastAsia="宋体" w:cs="Times New Roman"/>
                <w:color w:val="auto"/>
                <w:sz w:val="24"/>
                <w:szCs w:val="24"/>
                <w:lang w:val="en-US" w:eastAsia="zh-CN" w:bidi="ar-SA"/>
              </w:rPr>
              <w:t>5</w:t>
            </w:r>
            <w:r>
              <w:rPr>
                <w:rFonts w:hint="default" w:ascii="Times New Roman" w:hAnsi="Times New Roman" w:eastAsia="宋体" w:cs="Times New Roman"/>
                <w:color w:val="auto"/>
                <w:sz w:val="24"/>
                <w:szCs w:val="24"/>
                <w:lang w:bidi="ar-SA"/>
              </w:rPr>
              <w:t>年海安SO</w:t>
            </w:r>
            <w:r>
              <w:rPr>
                <w:rFonts w:hint="default" w:ascii="Times New Roman" w:hAnsi="Times New Roman" w:eastAsia="宋体" w:cs="Times New Roman"/>
                <w:color w:val="auto"/>
                <w:sz w:val="24"/>
                <w:szCs w:val="24"/>
                <w:vertAlign w:val="subscript"/>
                <w:lang w:bidi="ar-SA"/>
              </w:rPr>
              <w:t>2</w:t>
            </w:r>
            <w:r>
              <w:rPr>
                <w:rFonts w:hint="default" w:ascii="Times New Roman" w:hAnsi="Times New Roman" w:eastAsia="宋体" w:cs="Times New Roman"/>
                <w:color w:val="auto"/>
                <w:sz w:val="24"/>
                <w:szCs w:val="24"/>
                <w:lang w:bidi="ar-SA"/>
              </w:rPr>
              <w:t>、NO</w:t>
            </w:r>
            <w:r>
              <w:rPr>
                <w:rFonts w:hint="default" w:ascii="Times New Roman" w:hAnsi="Times New Roman" w:eastAsia="宋体" w:cs="Times New Roman"/>
                <w:color w:val="auto"/>
                <w:sz w:val="24"/>
                <w:szCs w:val="24"/>
                <w:vertAlign w:val="subscript"/>
                <w:lang w:bidi="ar-SA"/>
              </w:rPr>
              <w:t>2</w:t>
            </w:r>
            <w:r>
              <w:rPr>
                <w:rFonts w:hint="default" w:ascii="Times New Roman" w:hAnsi="Times New Roman" w:eastAsia="宋体" w:cs="Times New Roman"/>
                <w:color w:val="auto"/>
                <w:sz w:val="24"/>
                <w:szCs w:val="24"/>
                <w:lang w:bidi="ar-SA"/>
              </w:rPr>
              <w:t>、PM</w:t>
            </w:r>
            <w:r>
              <w:rPr>
                <w:rFonts w:hint="default" w:ascii="Times New Roman" w:hAnsi="Times New Roman" w:eastAsia="宋体" w:cs="Times New Roman"/>
                <w:color w:val="auto"/>
                <w:sz w:val="24"/>
                <w:szCs w:val="24"/>
                <w:vertAlign w:val="subscript"/>
                <w:lang w:bidi="ar-SA"/>
              </w:rPr>
              <w:t>10</w:t>
            </w:r>
            <w:r>
              <w:rPr>
                <w:rFonts w:hint="default" w:ascii="Times New Roman" w:hAnsi="Times New Roman" w:eastAsia="宋体" w:cs="Times New Roman"/>
                <w:color w:val="auto"/>
                <w:sz w:val="24"/>
                <w:szCs w:val="24"/>
                <w:lang w:bidi="ar-SA"/>
              </w:rPr>
              <w:t>、CO第95百分位数均能满足《环境空气质量标准》（GB3095-2026）过</w:t>
            </w:r>
            <w:r>
              <w:rPr>
                <w:rFonts w:hint="eastAsia" w:ascii="Times New Roman" w:hAnsi="Times New Roman" w:eastAsia="宋体" w:cs="Times New Roman"/>
                <w:color w:val="auto"/>
                <w:sz w:val="24"/>
                <w:szCs w:val="24"/>
                <w:lang w:val="en-US" w:eastAsia="zh-CN" w:bidi="ar-SA"/>
              </w:rPr>
              <w:t>渡</w:t>
            </w:r>
            <w:r>
              <w:rPr>
                <w:rFonts w:hint="default" w:ascii="Times New Roman" w:hAnsi="Times New Roman" w:eastAsia="宋体" w:cs="Times New Roman"/>
                <w:color w:val="auto"/>
                <w:sz w:val="24"/>
                <w:szCs w:val="24"/>
                <w:lang w:bidi="ar-SA"/>
              </w:rPr>
              <w:t>阶段二级标准，PM</w:t>
            </w:r>
            <w:r>
              <w:rPr>
                <w:rFonts w:hint="default" w:ascii="Times New Roman" w:hAnsi="Times New Roman" w:eastAsia="宋体" w:cs="Times New Roman"/>
                <w:color w:val="auto"/>
                <w:sz w:val="24"/>
                <w:szCs w:val="24"/>
                <w:vertAlign w:val="subscript"/>
                <w:lang w:bidi="ar-SA"/>
              </w:rPr>
              <w:t>2.5</w:t>
            </w:r>
            <w:r>
              <w:rPr>
                <w:rFonts w:hint="default" w:ascii="Times New Roman" w:hAnsi="Times New Roman" w:eastAsia="宋体" w:cs="Times New Roman"/>
                <w:color w:val="auto"/>
                <w:sz w:val="24"/>
                <w:szCs w:val="24"/>
                <w:lang w:bidi="ar-SA"/>
              </w:rPr>
              <w:t>、O</w:t>
            </w:r>
            <w:r>
              <w:rPr>
                <w:rFonts w:hint="default" w:ascii="Times New Roman" w:hAnsi="Times New Roman" w:eastAsia="宋体" w:cs="Times New Roman"/>
                <w:color w:val="auto"/>
                <w:sz w:val="24"/>
                <w:szCs w:val="24"/>
                <w:vertAlign w:val="subscript"/>
                <w:lang w:bidi="ar-SA"/>
              </w:rPr>
              <w:t>3</w:t>
            </w:r>
            <w:r>
              <w:rPr>
                <w:rFonts w:hint="default" w:ascii="Times New Roman" w:hAnsi="Times New Roman" w:eastAsia="宋体" w:cs="Times New Roman"/>
                <w:color w:val="auto"/>
                <w:sz w:val="24"/>
                <w:szCs w:val="24"/>
                <w:lang w:bidi="ar-SA"/>
              </w:rPr>
              <w:t>日最大8小时滑动平均值第90百分位数不能满足《环境空气质量标准》（GB3095-2026）过</w:t>
            </w:r>
            <w:r>
              <w:rPr>
                <w:rFonts w:hint="eastAsia" w:ascii="Times New Roman" w:hAnsi="Times New Roman" w:eastAsia="宋体" w:cs="Times New Roman"/>
                <w:color w:val="auto"/>
                <w:sz w:val="24"/>
                <w:szCs w:val="24"/>
                <w:lang w:val="en-US" w:eastAsia="zh-CN" w:bidi="ar-SA"/>
              </w:rPr>
              <w:t>渡</w:t>
            </w:r>
            <w:r>
              <w:rPr>
                <w:rFonts w:hint="default" w:ascii="Times New Roman" w:hAnsi="Times New Roman" w:eastAsia="宋体" w:cs="Times New Roman"/>
                <w:color w:val="auto"/>
                <w:sz w:val="24"/>
                <w:szCs w:val="24"/>
                <w:lang w:bidi="ar-SA"/>
              </w:rPr>
              <w:t>阶段二级标准，因此区域属于不达标区。</w:t>
            </w:r>
          </w:p>
          <w:p w14:paraId="383E7042">
            <w:pPr>
              <w:snapToGrid w:val="0"/>
              <w:spacing w:line="360" w:lineRule="auto"/>
              <w:ind w:firstLine="482"/>
              <w:rPr>
                <w:rFonts w:hint="default" w:ascii="Times New Roman" w:hAnsi="Times New Roman" w:cs="Times New Roman"/>
                <w:color w:val="auto"/>
                <w:sz w:val="24"/>
                <w:szCs w:val="24"/>
              </w:rPr>
            </w:pPr>
            <w:r>
              <w:rPr>
                <w:rFonts w:hint="default" w:ascii="Times New Roman" w:hAnsi="Times New Roman" w:eastAsia="宋体" w:cs="Times New Roman"/>
                <w:color w:val="auto"/>
                <w:kern w:val="0"/>
                <w:sz w:val="24"/>
                <w:szCs w:val="24"/>
                <w:lang w:val="en-US" w:eastAsia="zh-CN" w:bidi="ar-SA"/>
              </w:rPr>
              <w:t>海安市根据2026年4月13日发布的《中共海安市委海安市人民政府2026年生态文明建设工作意见》（海委〔2026〕19号），聚焦大气污染管控，部署以下五大重点任务：（一）深化工业源废气污染防治。加强源头防控，落实产业结构调整指导目录，严控高排放项目盲目上马，鼓励印染、家具等行业转型升级；（二）推进移动源尾气综合治理。持续推进高排放车辆淘汰工作，实现国三及以下排放标准柴油货车应汰尽汰，鼓励国四排放标准柴油货车和国二排放标准非道路移动机械提前退出，基本消除非道路移动机械“冒黑烟”现象。实施“绿色车轮”计划，加快推进公共领域车辆电动化，鼓励出租车行业使用新能源汽车；（三）落实面源污染精细化管控。依法科学实施秸秆禁烧管控，高效运行秸秆收储体系，持续提升秸秆“五化”综合利用水平，确保秸秆综合利用率稳定保持在95%以上；（四）全面压降扬尘污染影响。优化城市保洁模式，推广“机械化为主、人工为辅”的组合作业方式，落实“一区域一方案”，分环节、分时段、定频次开展保洁，扩大机械化清扫范围，推动环境卫生质量标准全面统一化、制度化；（五）科学应对重污染天气应急管控。严格执行《海安市重污染天气应急预案》，健全污染过程应急响应机制，确保应急减排清单覆盖全市所有涉气企业。采取上述措施后，预计2026年PM</w:t>
            </w:r>
            <w:r>
              <w:rPr>
                <w:rFonts w:hint="default" w:ascii="Times New Roman" w:hAnsi="Times New Roman" w:eastAsia="宋体" w:cs="Times New Roman"/>
                <w:color w:val="auto"/>
                <w:kern w:val="0"/>
                <w:sz w:val="24"/>
                <w:szCs w:val="24"/>
                <w:vertAlign w:val="subscript"/>
                <w:lang w:val="en-US" w:eastAsia="zh-CN" w:bidi="ar-SA"/>
              </w:rPr>
              <w:t>2.5</w:t>
            </w:r>
            <w:r>
              <w:rPr>
                <w:rFonts w:hint="default" w:ascii="Times New Roman" w:hAnsi="Times New Roman" w:eastAsia="宋体" w:cs="Times New Roman"/>
                <w:color w:val="auto"/>
                <w:kern w:val="0"/>
                <w:sz w:val="24"/>
                <w:szCs w:val="24"/>
                <w:lang w:val="en-US" w:eastAsia="zh-CN" w:bidi="ar-SA"/>
              </w:rPr>
              <w:t>、O</w:t>
            </w:r>
            <w:r>
              <w:rPr>
                <w:rFonts w:hint="default" w:ascii="Times New Roman" w:hAnsi="Times New Roman" w:eastAsia="宋体" w:cs="Times New Roman"/>
                <w:color w:val="auto"/>
                <w:kern w:val="0"/>
                <w:sz w:val="24"/>
                <w:szCs w:val="24"/>
                <w:vertAlign w:val="subscript"/>
                <w:lang w:val="en-US" w:eastAsia="zh-CN" w:bidi="ar-SA"/>
              </w:rPr>
              <w:t>3</w:t>
            </w:r>
            <w:r>
              <w:rPr>
                <w:rFonts w:hint="default" w:ascii="Times New Roman" w:hAnsi="Times New Roman" w:eastAsia="宋体" w:cs="Times New Roman"/>
                <w:color w:val="auto"/>
                <w:kern w:val="0"/>
                <w:sz w:val="24"/>
                <w:szCs w:val="24"/>
                <w:lang w:val="en-US" w:eastAsia="zh-CN" w:bidi="ar-SA"/>
              </w:rPr>
              <w:t>超标情况将得到显著改善。</w:t>
            </w:r>
          </w:p>
          <w:p w14:paraId="48BB1998">
            <w:pPr>
              <w:snapToGrid w:val="0"/>
              <w:spacing w:line="360" w:lineRule="auto"/>
              <w:ind w:firstLine="482"/>
              <w:rPr>
                <w:b/>
                <w:color w:val="auto"/>
                <w:kern w:val="0"/>
                <w:sz w:val="24"/>
                <w:szCs w:val="24"/>
              </w:rPr>
            </w:pPr>
            <w:r>
              <w:rPr>
                <w:color w:val="auto"/>
                <w:sz w:val="24"/>
                <w:szCs w:val="24"/>
              </w:rPr>
              <w:t>②</w:t>
            </w:r>
            <w:r>
              <w:rPr>
                <w:rFonts w:hint="eastAsia"/>
                <w:color w:val="auto"/>
                <w:sz w:val="24"/>
                <w:szCs w:val="24"/>
              </w:rPr>
              <w:t>项目特征污染物环境质量现状评价</w:t>
            </w:r>
          </w:p>
          <w:p w14:paraId="19EEC2A1">
            <w:pPr>
              <w:snapToGrid w:val="0"/>
              <w:spacing w:line="360" w:lineRule="auto"/>
              <w:ind w:firstLine="480" w:firstLineChars="200"/>
              <w:rPr>
                <w:rFonts w:hint="eastAsia" w:ascii="Times New Roman" w:hAnsi="Times New Roman" w:cs="Times New Roman"/>
                <w:color w:val="auto"/>
                <w:sz w:val="24"/>
                <w:szCs w:val="24"/>
              </w:rPr>
            </w:pPr>
            <w:r>
              <w:rPr>
                <w:rFonts w:hint="eastAsia" w:ascii="Times New Roman" w:hAnsi="Times New Roman" w:cs="Times New Roman"/>
                <w:color w:val="auto"/>
                <w:sz w:val="24"/>
                <w:szCs w:val="24"/>
              </w:rPr>
              <w:t>根据生态环境部环境工程评估中心于2021年10月20日发布的《建设项目环境影响报告表》内容、格式及编制技术指南常见问题解答中明确：“技术指南中提到“排放国家、地方环境空气质量标准中有标准限值要求的特征污染物”，其中环境空气质量标准指《环境空气质量标准》（GB3095）和地方的环境空气质量标准，不包括《环境影响评价技术导则 大气环境》（HJ2.2-2018）附录D、《前苏联居住区标准》（CH245-71）、《环境影响评价技术导则 制药建设项目》（HJ611-2011）、《大气污染物综合排放标准详解》等导则或参考资料。排放的特征污染物需要在国家、地方环境空气质量标准中有限值要求才涉及现状监测，且优先引用现有监测数据。”本项目排放的非甲烷总烃</w:t>
            </w:r>
            <w:r>
              <w:rPr>
                <w:rFonts w:hint="eastAsia" w:cs="Times New Roman"/>
                <w:color w:val="auto"/>
                <w:sz w:val="24"/>
                <w:szCs w:val="24"/>
                <w:lang w:eastAsia="zh-CN"/>
              </w:rPr>
              <w:t>、</w:t>
            </w:r>
            <w:r>
              <w:rPr>
                <w:rFonts w:hint="eastAsia" w:cs="Times New Roman"/>
                <w:color w:val="auto"/>
                <w:sz w:val="24"/>
                <w:szCs w:val="24"/>
                <w:lang w:val="en-US" w:eastAsia="zh-CN"/>
              </w:rPr>
              <w:t>氨、硫化氢</w:t>
            </w:r>
            <w:r>
              <w:rPr>
                <w:rFonts w:hint="eastAsia" w:cs="Times New Roman"/>
                <w:color w:val="auto"/>
                <w:sz w:val="24"/>
                <w:szCs w:val="24"/>
                <w:lang w:eastAsia="zh-CN"/>
              </w:rPr>
              <w:t>、臭气浓度</w:t>
            </w:r>
            <w:r>
              <w:rPr>
                <w:rFonts w:hint="eastAsia" w:ascii="Times New Roman" w:hAnsi="Times New Roman" w:cs="Times New Roman"/>
                <w:color w:val="auto"/>
                <w:sz w:val="24"/>
                <w:szCs w:val="24"/>
              </w:rPr>
              <w:t>无相关《环境空气质量标准》（GB3095）和地方环境空气质量标准，故无需进行现状监测或引用现有监测数据。</w:t>
            </w:r>
          </w:p>
          <w:p w14:paraId="31FACCB4">
            <w:pPr>
              <w:snapToGrid w:val="0"/>
              <w:spacing w:line="360" w:lineRule="auto"/>
              <w:ind w:firstLine="480" w:firstLineChars="200"/>
              <w:rPr>
                <w:color w:val="auto"/>
                <w:sz w:val="24"/>
                <w:szCs w:val="24"/>
              </w:rPr>
            </w:pPr>
            <w:r>
              <w:rPr>
                <w:rFonts w:hint="eastAsia"/>
                <w:color w:val="auto"/>
                <w:sz w:val="24"/>
                <w:szCs w:val="24"/>
              </w:rPr>
              <w:t>本项目TSP引用《海安海太铸造有限公司大型海洋装备铸件生产项目环境影响报告表》中的监测数据，监测时间为2024年3月15日-17日，监测点位江苏弘盛新材料股份有限公司位于本项目西南侧约</w:t>
            </w:r>
            <w:r>
              <w:rPr>
                <w:rFonts w:hint="eastAsia"/>
                <w:color w:val="auto"/>
                <w:sz w:val="24"/>
                <w:szCs w:val="24"/>
                <w:lang w:val="en-US" w:eastAsia="zh-CN"/>
              </w:rPr>
              <w:t>750</w:t>
            </w:r>
            <w:r>
              <w:rPr>
                <w:rFonts w:hint="eastAsia"/>
                <w:color w:val="auto"/>
                <w:sz w:val="24"/>
                <w:szCs w:val="24"/>
              </w:rPr>
              <w:t>m，在本项目5km范围内，监测期后区域污染源变化不大，数据有效，在评价范围内，可引用。</w:t>
            </w:r>
            <w:r>
              <w:rPr>
                <w:color w:val="auto"/>
                <w:sz w:val="24"/>
                <w:szCs w:val="24"/>
              </w:rPr>
              <w:t>具体监测结果见</w:t>
            </w:r>
            <w:r>
              <w:rPr>
                <w:rFonts w:hint="eastAsia"/>
                <w:color w:val="auto"/>
                <w:sz w:val="24"/>
                <w:szCs w:val="24"/>
              </w:rPr>
              <w:t>下表</w:t>
            </w:r>
            <w:r>
              <w:rPr>
                <w:color w:val="auto"/>
                <w:sz w:val="24"/>
                <w:szCs w:val="24"/>
              </w:rPr>
              <w:t>。</w:t>
            </w:r>
          </w:p>
          <w:p w14:paraId="7284C25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sz w:val="24"/>
                <w:szCs w:val="24"/>
              </w:rPr>
            </w:pPr>
            <w:r>
              <w:rPr>
                <w:rFonts w:hint="eastAsia"/>
                <w:color w:val="auto"/>
                <w:sz w:val="24"/>
                <w:szCs w:val="24"/>
                <w:lang w:val="en-US" w:eastAsia="zh-CN"/>
              </w:rPr>
              <w:t>略</w:t>
            </w:r>
          </w:p>
          <w:p w14:paraId="2B0DB9A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rPr>
            </w:pPr>
            <w:r>
              <w:rPr>
                <w:color w:val="auto"/>
                <w:sz w:val="24"/>
                <w:szCs w:val="24"/>
              </w:rPr>
              <w:t>由上表监测结果可知，建设项目所在地TSP监测浓度满足相关标准要求。</w:t>
            </w:r>
          </w:p>
          <w:p w14:paraId="30477A86">
            <w:pPr>
              <w:snapToGrid w:val="0"/>
              <w:spacing w:line="360" w:lineRule="auto"/>
              <w:ind w:firstLine="482"/>
              <w:rPr>
                <w:b/>
                <w:color w:val="auto"/>
                <w:kern w:val="0"/>
                <w:sz w:val="24"/>
                <w:szCs w:val="24"/>
              </w:rPr>
            </w:pPr>
            <w:r>
              <w:rPr>
                <w:b/>
                <w:color w:val="auto"/>
                <w:kern w:val="0"/>
                <w:sz w:val="24"/>
                <w:szCs w:val="24"/>
              </w:rPr>
              <w:t>2、</w:t>
            </w:r>
            <w:r>
              <w:rPr>
                <w:rFonts w:hint="eastAsia"/>
                <w:b/>
                <w:color w:val="auto"/>
                <w:kern w:val="0"/>
                <w:sz w:val="24"/>
                <w:szCs w:val="24"/>
              </w:rPr>
              <w:t>地表</w:t>
            </w:r>
            <w:r>
              <w:rPr>
                <w:b/>
                <w:color w:val="auto"/>
                <w:kern w:val="0"/>
                <w:sz w:val="24"/>
                <w:szCs w:val="24"/>
              </w:rPr>
              <w:t>水环境</w:t>
            </w:r>
          </w:p>
          <w:p w14:paraId="5F4AD629">
            <w:pPr>
              <w:snapToGrid w:val="0"/>
              <w:spacing w:line="360" w:lineRule="auto"/>
              <w:ind w:firstLine="482"/>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本项目无生产废水排放，产生的生活污水经化粪池处理后，接管至鹰泰水务海安有限公司处理，处理后的达标尾水排入栟茶运河。根据《江苏省地表水（环境）功能区划》，栟茶运河环境功能为Ⅲ类水体，水质执行《地表水环境质量标准》（GB3838-2002）Ⅲ类标准。</w:t>
            </w:r>
          </w:p>
          <w:p w14:paraId="4C283CCB">
            <w:pPr>
              <w:snapToGrid w:val="0"/>
              <w:spacing w:line="360" w:lineRule="auto"/>
              <w:ind w:firstLine="482"/>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根据《南通市生态环境状况公报》（2025年），南通市共有16个国家考核断面，均达到省定考核要求，其中15个断面水质达到或优于《地表水环境质量标准》（GB3838-2002）Ⅲ类标准。55个省考以上断面中九圩港桥、聚南大桥、营船港闸、通吕二号桥等19个断面水质符合Ⅱ类标准，孙窑大桥、勇敢大桥、东方大道桥、永怡路桥等35个断面水质符合Ⅲ类标准；无V类和劣V类断面。南通市境内主要内河中，焦港河、通吕运河、如海运河、九圩港河、通启运河、新江海河、通扬运河、新通扬运河、栟茶运河、如泰运河、遥望港水质基本达到Ⅲ类标准。</w:t>
            </w:r>
          </w:p>
          <w:p w14:paraId="734B779C">
            <w:pPr>
              <w:pStyle w:val="21"/>
              <w:spacing w:before="24" w:after="24" w:line="360" w:lineRule="auto"/>
              <w:ind w:firstLine="482" w:firstLineChars="200"/>
              <w:rPr>
                <w:b/>
                <w:color w:val="auto"/>
                <w:sz w:val="24"/>
                <w:szCs w:val="24"/>
              </w:rPr>
            </w:pPr>
            <w:r>
              <w:rPr>
                <w:b/>
                <w:color w:val="auto"/>
                <w:sz w:val="24"/>
                <w:szCs w:val="24"/>
              </w:rPr>
              <w:t>3、声环境</w:t>
            </w:r>
          </w:p>
          <w:p w14:paraId="2FD9F5F4">
            <w:pPr>
              <w:snapToGrid w:val="0"/>
              <w:spacing w:line="360" w:lineRule="auto"/>
              <w:ind w:firstLine="482"/>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本项目所在地主要位于</w:t>
            </w:r>
            <w:r>
              <w:rPr>
                <w:rFonts w:hint="eastAsia" w:cs="Times New Roman"/>
                <w:color w:val="auto"/>
                <w:sz w:val="24"/>
                <w:szCs w:val="24"/>
                <w:lang w:val="en-US" w:eastAsia="zh-CN"/>
              </w:rPr>
              <w:t>3</w:t>
            </w:r>
            <w:r>
              <w:rPr>
                <w:rFonts w:hint="eastAsia" w:ascii="Times New Roman" w:hAnsi="Times New Roman" w:eastAsia="宋体" w:cs="Times New Roman"/>
                <w:color w:val="auto"/>
                <w:sz w:val="24"/>
                <w:szCs w:val="24"/>
              </w:rPr>
              <w:t>类声环境功能区内</w:t>
            </w:r>
            <w:r>
              <w:rPr>
                <w:rFonts w:hint="eastAsia" w:cs="Times New Roman"/>
                <w:color w:val="auto"/>
                <w:sz w:val="24"/>
                <w:szCs w:val="24"/>
                <w:lang w:eastAsia="zh-CN"/>
              </w:rPr>
              <w:t>，</w:t>
            </w:r>
            <w:r>
              <w:rPr>
                <w:rFonts w:hint="eastAsia" w:cs="Times New Roman"/>
                <w:color w:val="auto"/>
                <w:sz w:val="24"/>
                <w:szCs w:val="24"/>
                <w:lang w:val="en-US" w:eastAsia="zh-CN"/>
              </w:rPr>
              <w:t>西</w:t>
            </w:r>
            <w:r>
              <w:rPr>
                <w:rFonts w:hint="eastAsia" w:cs="Times New Roman"/>
                <w:color w:val="auto"/>
                <w:sz w:val="24"/>
                <w:szCs w:val="24"/>
                <w:lang w:eastAsia="zh-CN"/>
              </w:rPr>
              <w:t>侧厂界</w:t>
            </w:r>
            <w:r>
              <w:rPr>
                <w:rFonts w:hint="eastAsia" w:cs="Times New Roman"/>
                <w:color w:val="auto"/>
                <w:sz w:val="24"/>
                <w:szCs w:val="24"/>
                <w:lang w:val="en-US" w:eastAsia="zh-CN"/>
              </w:rPr>
              <w:t>位于4a类区。</w:t>
            </w:r>
            <w:r>
              <w:rPr>
                <w:rFonts w:hint="eastAsia" w:ascii="Times New Roman" w:hAnsi="Times New Roman" w:eastAsia="宋体" w:cs="Times New Roman"/>
                <w:color w:val="auto"/>
                <w:sz w:val="24"/>
                <w:szCs w:val="24"/>
                <w:lang w:val="en-US" w:eastAsia="zh-CN"/>
              </w:rPr>
              <w:t>根据《南通市生态环境状况公报》（2025年），海安市区域声环境昼间平均等效声级值为57.2dB(A)，处于三级水平；具体功能区噪声监测结果见下表</w:t>
            </w:r>
            <w:r>
              <w:rPr>
                <w:rFonts w:hint="eastAsia" w:ascii="Times New Roman" w:hAnsi="Times New Roman" w:eastAsia="宋体" w:cs="Times New Roman"/>
                <w:color w:val="auto"/>
                <w:sz w:val="24"/>
                <w:szCs w:val="24"/>
              </w:rPr>
              <w:t>。</w:t>
            </w:r>
          </w:p>
          <w:p w14:paraId="43F830F4">
            <w:pPr>
              <w:keepNext/>
              <w:overflowPunct w:val="0"/>
              <w:adjustRightInd w:val="0"/>
              <w:snapToGrid w:val="0"/>
              <w:jc w:val="center"/>
              <w:outlineLvl w:val="0"/>
              <w:rPr>
                <w:rFonts w:ascii="Times New Roman" w:hAnsi="Times New Roman" w:eastAsia="宋体" w:cs="Times New Roman"/>
                <w:b/>
                <w:bCs/>
                <w:color w:val="auto"/>
                <w:kern w:val="44"/>
                <w:sz w:val="24"/>
                <w:szCs w:val="24"/>
              </w:rPr>
            </w:pPr>
            <w:r>
              <w:rPr>
                <w:rFonts w:ascii="Times New Roman" w:hAnsi="Times New Roman" w:eastAsia="宋体" w:cs="Times New Roman"/>
                <w:b/>
                <w:bCs/>
                <w:color w:val="auto"/>
                <w:kern w:val="44"/>
                <w:sz w:val="24"/>
                <w:szCs w:val="24"/>
              </w:rPr>
              <w:t>表3-</w:t>
            </w:r>
            <w:r>
              <w:rPr>
                <w:rFonts w:hint="eastAsia" w:ascii="Times New Roman" w:hAnsi="Times New Roman" w:eastAsia="宋体" w:cs="Times New Roman"/>
                <w:b/>
                <w:bCs/>
                <w:color w:val="auto"/>
                <w:kern w:val="44"/>
                <w:sz w:val="24"/>
                <w:szCs w:val="24"/>
                <w:lang w:val="en-US" w:eastAsia="zh-CN"/>
              </w:rPr>
              <w:t>3</w:t>
            </w:r>
            <w:r>
              <w:rPr>
                <w:rFonts w:hint="eastAsia" w:ascii="Times New Roman" w:hAnsi="Times New Roman" w:eastAsia="宋体" w:cs="Times New Roman"/>
                <w:b/>
                <w:bCs/>
                <w:color w:val="auto"/>
                <w:kern w:val="44"/>
                <w:sz w:val="24"/>
                <w:szCs w:val="24"/>
              </w:rPr>
              <w:t xml:space="preserve"> 202</w:t>
            </w:r>
            <w:r>
              <w:rPr>
                <w:rFonts w:hint="eastAsia" w:ascii="Times New Roman" w:hAnsi="Times New Roman" w:eastAsia="宋体" w:cs="Times New Roman"/>
                <w:b/>
                <w:bCs/>
                <w:color w:val="auto"/>
                <w:kern w:val="44"/>
                <w:sz w:val="24"/>
                <w:szCs w:val="24"/>
                <w:lang w:val="en-US" w:eastAsia="zh-CN"/>
              </w:rPr>
              <w:t>5</w:t>
            </w:r>
            <w:r>
              <w:rPr>
                <w:rFonts w:hint="eastAsia" w:ascii="Times New Roman" w:hAnsi="Times New Roman" w:eastAsia="宋体" w:cs="Times New Roman"/>
                <w:b/>
                <w:bCs/>
                <w:color w:val="auto"/>
                <w:kern w:val="44"/>
                <w:sz w:val="24"/>
                <w:szCs w:val="24"/>
              </w:rPr>
              <w:t>年海安市功能区噪声监测结果表</w:t>
            </w:r>
            <w:r>
              <w:rPr>
                <w:rFonts w:ascii="Times New Roman" w:hAnsi="Times New Roman" w:eastAsia="宋体" w:cs="Times New Roman"/>
                <w:b/>
                <w:bCs/>
                <w:color w:val="auto"/>
                <w:kern w:val="44"/>
                <w:sz w:val="24"/>
                <w:szCs w:val="24"/>
              </w:rPr>
              <w:t>[单位：dB(A)]</w:t>
            </w:r>
          </w:p>
          <w:tbl>
            <w:tblPr>
              <w:tblStyle w:val="26"/>
              <w:tblW w:w="4991" w:type="pct"/>
              <w:tblInd w:w="0" w:type="dxa"/>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831"/>
              <w:gridCol w:w="920"/>
              <w:gridCol w:w="920"/>
              <w:gridCol w:w="1"/>
              <w:gridCol w:w="919"/>
              <w:gridCol w:w="920"/>
              <w:gridCol w:w="2"/>
              <w:gridCol w:w="918"/>
              <w:gridCol w:w="920"/>
              <w:gridCol w:w="3"/>
              <w:gridCol w:w="917"/>
              <w:gridCol w:w="926"/>
            </w:tblGrid>
            <w:tr w14:paraId="5E811858">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119" w:hRule="atLeast"/>
              </w:trPr>
              <w:tc>
                <w:tcPr>
                  <w:tcW w:w="831" w:type="dxa"/>
                  <w:vMerge w:val="restart"/>
                  <w:vAlign w:val="center"/>
                </w:tcPr>
                <w:p w14:paraId="08415B40">
                  <w:pPr>
                    <w:keepNext/>
                    <w:keepLines/>
                    <w:adjustRightInd w:val="0"/>
                    <w:snapToGrid w:val="0"/>
                    <w:jc w:val="center"/>
                    <w:rPr>
                      <w:rFonts w:hint="default" w:ascii="Times New Roman" w:hAnsi="Times New Roman" w:eastAsia="宋体" w:cs="Times New Roman"/>
                      <w:b/>
                      <w:bCs/>
                      <w:color w:val="auto"/>
                      <w:sz w:val="21"/>
                      <w:szCs w:val="21"/>
                      <w:lang w:val="en-US" w:eastAsia="zh-CN"/>
                    </w:rPr>
                  </w:pPr>
                  <w:r>
                    <w:rPr>
                      <w:rFonts w:hint="eastAsia" w:ascii="Times New Roman" w:hAnsi="Times New Roman" w:eastAsia="宋体" w:cs="Times New Roman"/>
                      <w:b/>
                      <w:bCs/>
                      <w:color w:val="auto"/>
                      <w:sz w:val="21"/>
                      <w:szCs w:val="21"/>
                      <w:lang w:val="en-US" w:eastAsia="zh-CN"/>
                    </w:rPr>
                    <w:t>区域</w:t>
                  </w:r>
                </w:p>
              </w:tc>
              <w:tc>
                <w:tcPr>
                  <w:tcW w:w="1841" w:type="dxa"/>
                  <w:gridSpan w:val="3"/>
                  <w:vAlign w:val="center"/>
                </w:tcPr>
                <w:p w14:paraId="3304C7A0">
                  <w:pPr>
                    <w:keepNext/>
                    <w:keepLines/>
                    <w:adjustRightInd w:val="0"/>
                    <w:snapToGrid w:val="0"/>
                    <w:jc w:val="center"/>
                    <w:rPr>
                      <w:rFonts w:ascii="Times New Roman" w:hAnsi="Times New Roman" w:eastAsia="宋体" w:cs="Times New Roman"/>
                      <w:b/>
                      <w:bCs/>
                      <w:color w:val="auto"/>
                      <w:sz w:val="21"/>
                      <w:szCs w:val="21"/>
                    </w:rPr>
                  </w:pPr>
                  <w:r>
                    <w:rPr>
                      <w:rFonts w:ascii="Times New Roman" w:hAnsi="Times New Roman" w:eastAsia="宋体" w:cs="Times New Roman"/>
                      <w:b/>
                      <w:bCs/>
                      <w:color w:val="auto"/>
                      <w:sz w:val="21"/>
                      <w:szCs w:val="21"/>
                    </w:rPr>
                    <w:t>1类区（居住、文教区）</w:t>
                  </w:r>
                </w:p>
              </w:tc>
              <w:tc>
                <w:tcPr>
                  <w:tcW w:w="1841" w:type="dxa"/>
                  <w:gridSpan w:val="3"/>
                  <w:vAlign w:val="center"/>
                </w:tcPr>
                <w:p w14:paraId="4E28ABAF">
                  <w:pPr>
                    <w:keepNext/>
                    <w:keepLines/>
                    <w:adjustRightInd w:val="0"/>
                    <w:snapToGrid w:val="0"/>
                    <w:jc w:val="center"/>
                    <w:rPr>
                      <w:rFonts w:ascii="Times New Roman" w:hAnsi="Times New Roman" w:eastAsia="宋体" w:cs="Times New Roman"/>
                      <w:b/>
                      <w:bCs/>
                      <w:color w:val="auto"/>
                      <w:sz w:val="21"/>
                      <w:szCs w:val="21"/>
                    </w:rPr>
                  </w:pPr>
                  <w:r>
                    <w:rPr>
                      <w:rFonts w:ascii="Times New Roman" w:hAnsi="Times New Roman" w:eastAsia="宋体" w:cs="Times New Roman"/>
                      <w:b/>
                      <w:bCs/>
                      <w:color w:val="auto"/>
                      <w:sz w:val="21"/>
                      <w:szCs w:val="21"/>
                    </w:rPr>
                    <w:t>2类区（混合区）</w:t>
                  </w:r>
                </w:p>
              </w:tc>
              <w:tc>
                <w:tcPr>
                  <w:tcW w:w="1841" w:type="dxa"/>
                  <w:gridSpan w:val="3"/>
                  <w:vAlign w:val="center"/>
                </w:tcPr>
                <w:p w14:paraId="6D8775B7">
                  <w:pPr>
                    <w:keepNext/>
                    <w:keepLines/>
                    <w:adjustRightInd w:val="0"/>
                    <w:snapToGrid w:val="0"/>
                    <w:jc w:val="center"/>
                    <w:rPr>
                      <w:rFonts w:ascii="Times New Roman" w:hAnsi="Times New Roman" w:eastAsia="宋体" w:cs="Times New Roman"/>
                      <w:b/>
                      <w:bCs/>
                      <w:color w:val="auto"/>
                      <w:sz w:val="21"/>
                      <w:szCs w:val="21"/>
                    </w:rPr>
                  </w:pPr>
                  <w:r>
                    <w:rPr>
                      <w:rFonts w:ascii="Times New Roman" w:hAnsi="Times New Roman" w:eastAsia="宋体" w:cs="Times New Roman"/>
                      <w:b/>
                      <w:bCs/>
                      <w:color w:val="auto"/>
                      <w:sz w:val="21"/>
                      <w:szCs w:val="21"/>
                    </w:rPr>
                    <w:t>3类区（工业区）</w:t>
                  </w:r>
                </w:p>
              </w:tc>
              <w:tc>
                <w:tcPr>
                  <w:tcW w:w="1843" w:type="dxa"/>
                  <w:gridSpan w:val="2"/>
                  <w:vAlign w:val="center"/>
                </w:tcPr>
                <w:p w14:paraId="22B91E2C">
                  <w:pPr>
                    <w:keepNext/>
                    <w:keepLines/>
                    <w:adjustRightInd w:val="0"/>
                    <w:snapToGrid w:val="0"/>
                    <w:ind w:left="-42" w:leftChars="-20" w:right="-42" w:rightChars="-20"/>
                    <w:jc w:val="center"/>
                    <w:rPr>
                      <w:rFonts w:ascii="Times New Roman" w:hAnsi="Times New Roman" w:eastAsia="宋体" w:cs="Times New Roman"/>
                      <w:b/>
                      <w:bCs/>
                      <w:color w:val="auto"/>
                      <w:sz w:val="21"/>
                      <w:szCs w:val="21"/>
                    </w:rPr>
                  </w:pPr>
                  <w:r>
                    <w:rPr>
                      <w:rFonts w:ascii="Times New Roman" w:hAnsi="Times New Roman" w:eastAsia="宋体" w:cs="Times New Roman"/>
                      <w:b/>
                      <w:bCs/>
                      <w:color w:val="auto"/>
                      <w:sz w:val="21"/>
                      <w:szCs w:val="21"/>
                    </w:rPr>
                    <w:t>4a类区（城市交通干线两侧区域）</w:t>
                  </w:r>
                </w:p>
              </w:tc>
            </w:tr>
            <w:tr w14:paraId="0C4816EF">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119" w:hRule="atLeast"/>
              </w:trPr>
              <w:tc>
                <w:tcPr>
                  <w:tcW w:w="831" w:type="dxa"/>
                  <w:vMerge w:val="continue"/>
                  <w:vAlign w:val="center"/>
                </w:tcPr>
                <w:p w14:paraId="55BE1C18">
                  <w:pPr>
                    <w:keepNext/>
                    <w:keepLines/>
                    <w:adjustRightInd w:val="0"/>
                    <w:snapToGrid w:val="0"/>
                    <w:jc w:val="center"/>
                    <w:rPr>
                      <w:rFonts w:ascii="Times New Roman" w:hAnsi="Times New Roman" w:eastAsia="宋体" w:cs="Times New Roman"/>
                      <w:b/>
                      <w:bCs/>
                      <w:color w:val="auto"/>
                      <w:sz w:val="21"/>
                      <w:szCs w:val="21"/>
                    </w:rPr>
                  </w:pPr>
                </w:p>
              </w:tc>
              <w:tc>
                <w:tcPr>
                  <w:tcW w:w="920" w:type="dxa"/>
                  <w:vAlign w:val="center"/>
                </w:tcPr>
                <w:p w14:paraId="712458B7">
                  <w:pPr>
                    <w:keepNext/>
                    <w:keepLines/>
                    <w:adjustRightInd w:val="0"/>
                    <w:snapToGrid w:val="0"/>
                    <w:jc w:val="center"/>
                    <w:rPr>
                      <w:rFonts w:ascii="Times New Roman" w:hAnsi="Times New Roman" w:eastAsia="宋体" w:cs="Times New Roman"/>
                      <w:b/>
                      <w:bCs/>
                      <w:color w:val="auto"/>
                      <w:sz w:val="21"/>
                      <w:szCs w:val="21"/>
                    </w:rPr>
                  </w:pPr>
                  <w:r>
                    <w:rPr>
                      <w:rFonts w:ascii="Times New Roman" w:hAnsi="Times New Roman" w:eastAsia="宋体" w:cs="Times New Roman"/>
                      <w:b/>
                      <w:bCs/>
                      <w:color w:val="auto"/>
                      <w:sz w:val="21"/>
                      <w:szCs w:val="21"/>
                    </w:rPr>
                    <w:t>昼间</w:t>
                  </w:r>
                </w:p>
              </w:tc>
              <w:tc>
                <w:tcPr>
                  <w:tcW w:w="920" w:type="dxa"/>
                  <w:vAlign w:val="center"/>
                </w:tcPr>
                <w:p w14:paraId="6782E84E">
                  <w:pPr>
                    <w:keepNext/>
                    <w:keepLines/>
                    <w:adjustRightInd w:val="0"/>
                    <w:snapToGrid w:val="0"/>
                    <w:jc w:val="center"/>
                    <w:rPr>
                      <w:rFonts w:ascii="Times New Roman" w:hAnsi="Times New Roman" w:eastAsia="宋体" w:cs="Times New Roman"/>
                      <w:b/>
                      <w:bCs/>
                      <w:color w:val="auto"/>
                      <w:sz w:val="21"/>
                      <w:szCs w:val="21"/>
                    </w:rPr>
                  </w:pPr>
                  <w:r>
                    <w:rPr>
                      <w:rFonts w:ascii="Times New Roman" w:hAnsi="Times New Roman" w:eastAsia="宋体" w:cs="Times New Roman"/>
                      <w:b/>
                      <w:bCs/>
                      <w:color w:val="auto"/>
                      <w:sz w:val="21"/>
                      <w:szCs w:val="21"/>
                    </w:rPr>
                    <w:t>夜间</w:t>
                  </w:r>
                </w:p>
              </w:tc>
              <w:tc>
                <w:tcPr>
                  <w:tcW w:w="920" w:type="dxa"/>
                  <w:gridSpan w:val="2"/>
                  <w:vAlign w:val="center"/>
                </w:tcPr>
                <w:p w14:paraId="3842FD1E">
                  <w:pPr>
                    <w:keepNext/>
                    <w:keepLines/>
                    <w:adjustRightInd w:val="0"/>
                    <w:snapToGrid w:val="0"/>
                    <w:jc w:val="center"/>
                    <w:rPr>
                      <w:rFonts w:ascii="Times New Roman" w:hAnsi="Times New Roman" w:eastAsia="宋体" w:cs="Times New Roman"/>
                      <w:b/>
                      <w:bCs/>
                      <w:color w:val="auto"/>
                      <w:sz w:val="21"/>
                      <w:szCs w:val="21"/>
                    </w:rPr>
                  </w:pPr>
                  <w:r>
                    <w:rPr>
                      <w:rFonts w:ascii="Times New Roman" w:hAnsi="Times New Roman" w:eastAsia="宋体" w:cs="Times New Roman"/>
                      <w:b/>
                      <w:bCs/>
                      <w:color w:val="auto"/>
                      <w:sz w:val="21"/>
                      <w:szCs w:val="21"/>
                    </w:rPr>
                    <w:t>昼间</w:t>
                  </w:r>
                </w:p>
              </w:tc>
              <w:tc>
                <w:tcPr>
                  <w:tcW w:w="920" w:type="dxa"/>
                  <w:vAlign w:val="center"/>
                </w:tcPr>
                <w:p w14:paraId="3FFA529C">
                  <w:pPr>
                    <w:keepNext/>
                    <w:keepLines/>
                    <w:adjustRightInd w:val="0"/>
                    <w:snapToGrid w:val="0"/>
                    <w:jc w:val="center"/>
                    <w:rPr>
                      <w:rFonts w:ascii="Times New Roman" w:hAnsi="Times New Roman" w:eastAsia="宋体" w:cs="Times New Roman"/>
                      <w:b/>
                      <w:bCs/>
                      <w:color w:val="auto"/>
                      <w:sz w:val="21"/>
                      <w:szCs w:val="21"/>
                    </w:rPr>
                  </w:pPr>
                  <w:r>
                    <w:rPr>
                      <w:rFonts w:ascii="Times New Roman" w:hAnsi="Times New Roman" w:eastAsia="宋体" w:cs="Times New Roman"/>
                      <w:b/>
                      <w:bCs/>
                      <w:color w:val="auto"/>
                      <w:sz w:val="21"/>
                      <w:szCs w:val="21"/>
                    </w:rPr>
                    <w:t>夜间</w:t>
                  </w:r>
                </w:p>
              </w:tc>
              <w:tc>
                <w:tcPr>
                  <w:tcW w:w="920" w:type="dxa"/>
                  <w:gridSpan w:val="2"/>
                  <w:vAlign w:val="center"/>
                </w:tcPr>
                <w:p w14:paraId="0CE7B435">
                  <w:pPr>
                    <w:keepNext/>
                    <w:keepLines/>
                    <w:adjustRightInd w:val="0"/>
                    <w:snapToGrid w:val="0"/>
                    <w:jc w:val="center"/>
                    <w:rPr>
                      <w:rFonts w:ascii="Times New Roman" w:hAnsi="Times New Roman" w:eastAsia="宋体" w:cs="Times New Roman"/>
                      <w:b/>
                      <w:bCs/>
                      <w:color w:val="auto"/>
                      <w:sz w:val="21"/>
                      <w:szCs w:val="21"/>
                    </w:rPr>
                  </w:pPr>
                  <w:r>
                    <w:rPr>
                      <w:rFonts w:ascii="Times New Roman" w:hAnsi="Times New Roman" w:eastAsia="宋体" w:cs="Times New Roman"/>
                      <w:b/>
                      <w:bCs/>
                      <w:color w:val="auto"/>
                      <w:sz w:val="21"/>
                      <w:szCs w:val="21"/>
                    </w:rPr>
                    <w:t>昼间</w:t>
                  </w:r>
                </w:p>
              </w:tc>
              <w:tc>
                <w:tcPr>
                  <w:tcW w:w="920" w:type="dxa"/>
                  <w:vAlign w:val="center"/>
                </w:tcPr>
                <w:p w14:paraId="4E06FB5F">
                  <w:pPr>
                    <w:keepNext/>
                    <w:keepLines/>
                    <w:adjustRightInd w:val="0"/>
                    <w:snapToGrid w:val="0"/>
                    <w:jc w:val="center"/>
                    <w:rPr>
                      <w:rFonts w:ascii="Times New Roman" w:hAnsi="Times New Roman" w:eastAsia="宋体" w:cs="Times New Roman"/>
                      <w:b/>
                      <w:bCs/>
                      <w:color w:val="auto"/>
                      <w:sz w:val="21"/>
                      <w:szCs w:val="21"/>
                    </w:rPr>
                  </w:pPr>
                  <w:r>
                    <w:rPr>
                      <w:rFonts w:ascii="Times New Roman" w:hAnsi="Times New Roman" w:eastAsia="宋体" w:cs="Times New Roman"/>
                      <w:b/>
                      <w:bCs/>
                      <w:color w:val="auto"/>
                      <w:sz w:val="21"/>
                      <w:szCs w:val="21"/>
                    </w:rPr>
                    <w:t>夜间</w:t>
                  </w:r>
                </w:p>
              </w:tc>
              <w:tc>
                <w:tcPr>
                  <w:tcW w:w="920" w:type="dxa"/>
                  <w:gridSpan w:val="2"/>
                  <w:vAlign w:val="center"/>
                </w:tcPr>
                <w:p w14:paraId="2BFD1992">
                  <w:pPr>
                    <w:keepNext/>
                    <w:keepLines/>
                    <w:adjustRightInd w:val="0"/>
                    <w:snapToGrid w:val="0"/>
                    <w:jc w:val="center"/>
                    <w:rPr>
                      <w:rFonts w:ascii="Times New Roman" w:hAnsi="Times New Roman" w:eastAsia="宋体" w:cs="Times New Roman"/>
                      <w:b/>
                      <w:bCs/>
                      <w:color w:val="auto"/>
                      <w:sz w:val="21"/>
                      <w:szCs w:val="21"/>
                    </w:rPr>
                  </w:pPr>
                  <w:r>
                    <w:rPr>
                      <w:rFonts w:ascii="Times New Roman" w:hAnsi="Times New Roman" w:eastAsia="宋体" w:cs="Times New Roman"/>
                      <w:b/>
                      <w:bCs/>
                      <w:color w:val="auto"/>
                      <w:sz w:val="21"/>
                      <w:szCs w:val="21"/>
                    </w:rPr>
                    <w:t>昼间</w:t>
                  </w:r>
                </w:p>
              </w:tc>
              <w:tc>
                <w:tcPr>
                  <w:tcW w:w="926" w:type="dxa"/>
                  <w:vAlign w:val="center"/>
                </w:tcPr>
                <w:p w14:paraId="7960E808">
                  <w:pPr>
                    <w:keepNext/>
                    <w:keepLines/>
                    <w:adjustRightInd w:val="0"/>
                    <w:snapToGrid w:val="0"/>
                    <w:jc w:val="center"/>
                    <w:rPr>
                      <w:rFonts w:ascii="Times New Roman" w:hAnsi="Times New Roman" w:eastAsia="宋体" w:cs="Times New Roman"/>
                      <w:b/>
                      <w:bCs/>
                      <w:color w:val="auto"/>
                      <w:sz w:val="21"/>
                      <w:szCs w:val="21"/>
                    </w:rPr>
                  </w:pPr>
                  <w:r>
                    <w:rPr>
                      <w:rFonts w:ascii="Times New Roman" w:hAnsi="Times New Roman" w:eastAsia="宋体" w:cs="Times New Roman"/>
                      <w:b/>
                      <w:bCs/>
                      <w:color w:val="auto"/>
                      <w:sz w:val="21"/>
                      <w:szCs w:val="21"/>
                    </w:rPr>
                    <w:t>夜间</w:t>
                  </w:r>
                </w:p>
              </w:tc>
            </w:tr>
            <w:tr w14:paraId="3E799AB4">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18" w:hRule="atLeast"/>
              </w:trPr>
              <w:tc>
                <w:tcPr>
                  <w:tcW w:w="831" w:type="dxa"/>
                  <w:vAlign w:val="center"/>
                </w:tcPr>
                <w:p w14:paraId="2D574E9E">
                  <w:pPr>
                    <w:keepNext/>
                    <w:keepLines/>
                    <w:adjustRightInd w:val="0"/>
                    <w:snapToGrid w:val="0"/>
                    <w:jc w:val="center"/>
                    <w:rPr>
                      <w:rFonts w:ascii="Times New Roman" w:hAnsi="Times New Roman" w:eastAsia="宋体" w:cs="Times New Roman"/>
                      <w:bCs/>
                      <w:color w:val="auto"/>
                      <w:sz w:val="21"/>
                      <w:szCs w:val="21"/>
                    </w:rPr>
                  </w:pPr>
                  <w:r>
                    <w:rPr>
                      <w:rFonts w:ascii="Times New Roman" w:hAnsi="Times New Roman" w:eastAsia="宋体" w:cs="Times New Roman"/>
                      <w:bCs/>
                      <w:color w:val="auto"/>
                      <w:sz w:val="21"/>
                      <w:szCs w:val="21"/>
                    </w:rPr>
                    <w:t>海安</w:t>
                  </w:r>
                </w:p>
              </w:tc>
              <w:tc>
                <w:tcPr>
                  <w:tcW w:w="920" w:type="dxa"/>
                  <w:shd w:val="clear" w:color="auto" w:fill="FFFFFF"/>
                  <w:vAlign w:val="center"/>
                </w:tcPr>
                <w:p w14:paraId="70AD75B9">
                  <w:pPr>
                    <w:widowControl/>
                    <w:jc w:val="center"/>
                    <w:textAlignment w:val="center"/>
                    <w:rPr>
                      <w:rFonts w:ascii="Times New Roman" w:hAnsi="Times New Roman" w:eastAsia="宋体" w:cs="Times New Roman"/>
                      <w:color w:val="auto"/>
                      <w:kern w:val="0"/>
                      <w:sz w:val="24"/>
                      <w:szCs w:val="24"/>
                      <w:lang w:val="en-US" w:eastAsia="zh-CN" w:bidi="ar-SA"/>
                    </w:rPr>
                  </w:pPr>
                  <w:r>
                    <w:rPr>
                      <w:rFonts w:ascii="Times New Roman" w:hAnsi="Times New Roman" w:eastAsia="宋体" w:cs="Times New Roman"/>
                      <w:color w:val="auto"/>
                      <w:sz w:val="24"/>
                      <w:szCs w:val="24"/>
                    </w:rPr>
                    <w:t>47</w:t>
                  </w:r>
                </w:p>
              </w:tc>
              <w:tc>
                <w:tcPr>
                  <w:tcW w:w="920" w:type="dxa"/>
                  <w:shd w:val="clear" w:color="auto" w:fill="auto"/>
                  <w:vAlign w:val="center"/>
                </w:tcPr>
                <w:p w14:paraId="1B960347">
                  <w:pPr>
                    <w:widowControl/>
                    <w:jc w:val="center"/>
                    <w:textAlignment w:val="center"/>
                    <w:rPr>
                      <w:rFonts w:ascii="Times New Roman" w:hAnsi="Times New Roman" w:eastAsia="宋体" w:cs="Times New Roman"/>
                      <w:color w:val="auto"/>
                      <w:kern w:val="0"/>
                      <w:sz w:val="24"/>
                      <w:szCs w:val="24"/>
                      <w:lang w:val="en-US" w:eastAsia="zh-CN" w:bidi="ar-SA"/>
                    </w:rPr>
                  </w:pPr>
                  <w:r>
                    <w:rPr>
                      <w:rFonts w:ascii="Times New Roman" w:hAnsi="Times New Roman" w:eastAsia="宋体" w:cs="Times New Roman"/>
                      <w:color w:val="auto"/>
                      <w:sz w:val="24"/>
                      <w:szCs w:val="24"/>
                    </w:rPr>
                    <w:t>45</w:t>
                  </w:r>
                </w:p>
              </w:tc>
              <w:tc>
                <w:tcPr>
                  <w:tcW w:w="920" w:type="dxa"/>
                  <w:gridSpan w:val="2"/>
                  <w:shd w:val="clear" w:color="auto" w:fill="auto"/>
                  <w:vAlign w:val="center"/>
                </w:tcPr>
                <w:p w14:paraId="4EC1A2A8">
                  <w:pPr>
                    <w:widowControl/>
                    <w:jc w:val="center"/>
                    <w:textAlignment w:val="center"/>
                    <w:rPr>
                      <w:rFonts w:ascii="Times New Roman" w:hAnsi="Times New Roman" w:eastAsia="宋体" w:cs="Times New Roman"/>
                      <w:color w:val="auto"/>
                      <w:kern w:val="0"/>
                      <w:sz w:val="24"/>
                      <w:szCs w:val="24"/>
                      <w:lang w:val="en-US" w:eastAsia="zh-CN" w:bidi="ar-SA"/>
                    </w:rPr>
                  </w:pPr>
                  <w:r>
                    <w:rPr>
                      <w:rFonts w:ascii="Times New Roman" w:hAnsi="Times New Roman" w:eastAsia="宋体" w:cs="Times New Roman"/>
                      <w:color w:val="auto"/>
                      <w:sz w:val="24"/>
                      <w:szCs w:val="24"/>
                    </w:rPr>
                    <w:t>52</w:t>
                  </w:r>
                </w:p>
              </w:tc>
              <w:tc>
                <w:tcPr>
                  <w:tcW w:w="920" w:type="dxa"/>
                  <w:shd w:val="clear" w:color="auto" w:fill="auto"/>
                  <w:vAlign w:val="center"/>
                </w:tcPr>
                <w:p w14:paraId="5EAC9921">
                  <w:pPr>
                    <w:widowControl/>
                    <w:jc w:val="center"/>
                    <w:textAlignment w:val="center"/>
                    <w:rPr>
                      <w:rFonts w:ascii="Times New Roman" w:hAnsi="Times New Roman" w:eastAsia="宋体" w:cs="Times New Roman"/>
                      <w:color w:val="auto"/>
                      <w:kern w:val="0"/>
                      <w:sz w:val="24"/>
                      <w:szCs w:val="24"/>
                      <w:lang w:val="en-US" w:eastAsia="zh-CN" w:bidi="ar-SA"/>
                    </w:rPr>
                  </w:pPr>
                  <w:r>
                    <w:rPr>
                      <w:rFonts w:ascii="Times New Roman" w:hAnsi="Times New Roman" w:eastAsia="宋体" w:cs="Times New Roman"/>
                      <w:color w:val="auto"/>
                      <w:sz w:val="24"/>
                      <w:szCs w:val="24"/>
                    </w:rPr>
                    <w:t>46</w:t>
                  </w:r>
                </w:p>
              </w:tc>
              <w:tc>
                <w:tcPr>
                  <w:tcW w:w="920" w:type="dxa"/>
                  <w:gridSpan w:val="2"/>
                  <w:shd w:val="clear" w:color="auto" w:fill="auto"/>
                  <w:vAlign w:val="center"/>
                </w:tcPr>
                <w:p w14:paraId="480A17AA">
                  <w:pPr>
                    <w:widowControl/>
                    <w:jc w:val="center"/>
                    <w:textAlignment w:val="center"/>
                    <w:rPr>
                      <w:rFonts w:ascii="Times New Roman" w:hAnsi="Times New Roman" w:eastAsia="宋体" w:cs="Times New Roman"/>
                      <w:color w:val="auto"/>
                      <w:kern w:val="0"/>
                      <w:sz w:val="24"/>
                      <w:szCs w:val="24"/>
                      <w:lang w:val="en-US" w:eastAsia="zh-CN" w:bidi="ar-SA"/>
                    </w:rPr>
                  </w:pPr>
                  <w:r>
                    <w:rPr>
                      <w:rFonts w:ascii="Times New Roman" w:hAnsi="Times New Roman" w:eastAsia="宋体" w:cs="Times New Roman"/>
                      <w:color w:val="auto"/>
                      <w:sz w:val="24"/>
                      <w:szCs w:val="24"/>
                    </w:rPr>
                    <w:t>53</w:t>
                  </w:r>
                </w:p>
              </w:tc>
              <w:tc>
                <w:tcPr>
                  <w:tcW w:w="920" w:type="dxa"/>
                  <w:shd w:val="clear" w:color="auto" w:fill="auto"/>
                  <w:vAlign w:val="center"/>
                </w:tcPr>
                <w:p w14:paraId="5E9D0B45">
                  <w:pPr>
                    <w:widowControl/>
                    <w:jc w:val="center"/>
                    <w:textAlignment w:val="center"/>
                    <w:rPr>
                      <w:rFonts w:ascii="Times New Roman" w:hAnsi="Times New Roman" w:eastAsia="宋体" w:cs="Times New Roman"/>
                      <w:color w:val="auto"/>
                      <w:kern w:val="0"/>
                      <w:sz w:val="24"/>
                      <w:szCs w:val="24"/>
                      <w:lang w:val="en-US" w:eastAsia="zh-CN" w:bidi="ar-SA"/>
                    </w:rPr>
                  </w:pPr>
                  <w:r>
                    <w:rPr>
                      <w:rFonts w:ascii="Times New Roman" w:hAnsi="Times New Roman" w:eastAsia="宋体" w:cs="Times New Roman"/>
                      <w:color w:val="auto"/>
                      <w:sz w:val="24"/>
                      <w:szCs w:val="24"/>
                    </w:rPr>
                    <w:t>49</w:t>
                  </w:r>
                </w:p>
              </w:tc>
              <w:tc>
                <w:tcPr>
                  <w:tcW w:w="920" w:type="dxa"/>
                  <w:gridSpan w:val="2"/>
                  <w:shd w:val="clear" w:color="auto" w:fill="auto"/>
                  <w:vAlign w:val="center"/>
                </w:tcPr>
                <w:p w14:paraId="414DD08F">
                  <w:pPr>
                    <w:widowControl/>
                    <w:jc w:val="center"/>
                    <w:textAlignment w:val="center"/>
                    <w:rPr>
                      <w:rFonts w:ascii="Times New Roman" w:hAnsi="Times New Roman" w:eastAsia="宋体" w:cs="Times New Roman"/>
                      <w:color w:val="auto"/>
                      <w:kern w:val="0"/>
                      <w:sz w:val="24"/>
                      <w:szCs w:val="24"/>
                      <w:lang w:val="en-US" w:eastAsia="zh-CN" w:bidi="ar-SA"/>
                    </w:rPr>
                  </w:pPr>
                  <w:r>
                    <w:rPr>
                      <w:rFonts w:ascii="Times New Roman" w:hAnsi="Times New Roman" w:eastAsia="宋体" w:cs="Times New Roman"/>
                      <w:color w:val="auto"/>
                      <w:sz w:val="24"/>
                      <w:szCs w:val="24"/>
                    </w:rPr>
                    <w:t>59</w:t>
                  </w:r>
                </w:p>
              </w:tc>
              <w:tc>
                <w:tcPr>
                  <w:tcW w:w="926" w:type="dxa"/>
                  <w:shd w:val="clear" w:color="auto" w:fill="auto"/>
                  <w:vAlign w:val="center"/>
                </w:tcPr>
                <w:p w14:paraId="2CB76E24">
                  <w:pPr>
                    <w:widowControl/>
                    <w:jc w:val="center"/>
                    <w:textAlignment w:val="center"/>
                    <w:rPr>
                      <w:rFonts w:ascii="Times New Roman" w:hAnsi="Times New Roman" w:eastAsia="宋体" w:cs="Times New Roman"/>
                      <w:color w:val="auto"/>
                      <w:kern w:val="0"/>
                      <w:sz w:val="24"/>
                      <w:szCs w:val="24"/>
                      <w:lang w:val="en-US" w:eastAsia="zh-CN" w:bidi="ar-SA"/>
                    </w:rPr>
                  </w:pPr>
                  <w:r>
                    <w:rPr>
                      <w:rFonts w:ascii="Times New Roman" w:hAnsi="Times New Roman" w:eastAsia="宋体" w:cs="Times New Roman"/>
                      <w:color w:val="auto"/>
                      <w:sz w:val="24"/>
                      <w:szCs w:val="24"/>
                    </w:rPr>
                    <w:t>53</w:t>
                  </w:r>
                </w:p>
              </w:tc>
            </w:tr>
          </w:tbl>
          <w:p w14:paraId="5E6002F8">
            <w:pPr>
              <w:keepNext w:val="0"/>
              <w:keepLines w:val="0"/>
              <w:pageBreakBefore w:val="0"/>
              <w:widowControl w:val="0"/>
              <w:kinsoku/>
              <w:wordWrap/>
              <w:overflowPunct/>
              <w:topLinePunct w:val="0"/>
              <w:autoSpaceDE/>
              <w:autoSpaceDN/>
              <w:bidi w:val="0"/>
              <w:adjustRightInd w:val="0"/>
              <w:snapToGrid w:val="0"/>
              <w:spacing w:line="360" w:lineRule="auto"/>
              <w:ind w:firstLine="482"/>
              <w:textAlignment w:val="auto"/>
              <w:rPr>
                <w:rFonts w:ascii="Times New Roman" w:hAnsi="Times New Roman" w:eastAsia="宋体" w:cs="Times New Roman"/>
                <w:bCs/>
                <w:color w:val="auto"/>
                <w:kern w:val="0"/>
              </w:rPr>
            </w:pPr>
            <w:r>
              <w:rPr>
                <w:rFonts w:hint="eastAsia" w:ascii="Times New Roman" w:hAnsi="Times New Roman" w:eastAsia="宋体" w:cs="Times New Roman"/>
                <w:color w:val="auto"/>
                <w:sz w:val="24"/>
                <w:szCs w:val="24"/>
              </w:rPr>
              <w:t>希彼埃姆机械（南通）有限公司委托江苏省百斯特检测技术有限公司于202</w:t>
            </w:r>
            <w:r>
              <w:rPr>
                <w:rFonts w:hint="eastAsia" w:cs="Times New Roman"/>
                <w:color w:val="auto"/>
                <w:sz w:val="24"/>
                <w:szCs w:val="24"/>
                <w:lang w:val="en-US" w:eastAsia="zh-CN"/>
              </w:rPr>
              <w:t>6</w:t>
            </w:r>
            <w:r>
              <w:rPr>
                <w:rFonts w:hint="eastAsia" w:ascii="Times New Roman" w:hAnsi="Times New Roman" w:eastAsia="宋体" w:cs="Times New Roman"/>
                <w:color w:val="auto"/>
                <w:sz w:val="24"/>
                <w:szCs w:val="24"/>
              </w:rPr>
              <w:t>年</w:t>
            </w:r>
            <w:r>
              <w:rPr>
                <w:rFonts w:hint="eastAsia" w:cs="Times New Roman"/>
                <w:color w:val="auto"/>
                <w:sz w:val="24"/>
                <w:szCs w:val="24"/>
                <w:lang w:val="en-US" w:eastAsia="zh-CN"/>
              </w:rPr>
              <w:t>3</w:t>
            </w:r>
            <w:r>
              <w:rPr>
                <w:rFonts w:hint="eastAsia" w:ascii="Times New Roman" w:hAnsi="Times New Roman" w:eastAsia="宋体" w:cs="Times New Roman"/>
                <w:color w:val="auto"/>
                <w:sz w:val="24"/>
                <w:szCs w:val="24"/>
              </w:rPr>
              <w:t>月</w:t>
            </w:r>
            <w:r>
              <w:rPr>
                <w:rFonts w:hint="eastAsia" w:cs="Times New Roman"/>
                <w:color w:val="auto"/>
                <w:sz w:val="24"/>
                <w:szCs w:val="24"/>
                <w:lang w:val="en-US" w:eastAsia="zh-CN"/>
              </w:rPr>
              <w:t>3</w:t>
            </w:r>
            <w:r>
              <w:rPr>
                <w:rFonts w:hint="eastAsia" w:ascii="Times New Roman" w:hAnsi="Times New Roman" w:eastAsia="宋体" w:cs="Times New Roman"/>
                <w:color w:val="auto"/>
                <w:sz w:val="24"/>
                <w:szCs w:val="24"/>
              </w:rPr>
              <w:t>日对项目</w:t>
            </w:r>
            <w:r>
              <w:rPr>
                <w:rFonts w:hint="eastAsia" w:cs="Times New Roman"/>
                <w:color w:val="auto"/>
                <w:sz w:val="24"/>
                <w:szCs w:val="24"/>
                <w:lang w:val="en-US" w:eastAsia="zh-CN"/>
              </w:rPr>
              <w:t>厂界及声环境保护目标</w:t>
            </w:r>
            <w:r>
              <w:rPr>
                <w:rFonts w:hint="eastAsia" w:ascii="Times New Roman" w:hAnsi="Times New Roman" w:eastAsia="宋体" w:cs="Times New Roman"/>
                <w:color w:val="auto"/>
                <w:sz w:val="24"/>
                <w:szCs w:val="24"/>
              </w:rPr>
              <w:t>进行噪声监测（报告编号：H-JY</w:t>
            </w:r>
            <w:r>
              <w:rPr>
                <w:rFonts w:hint="eastAsia" w:cs="Times New Roman"/>
                <w:color w:val="auto"/>
                <w:sz w:val="24"/>
                <w:szCs w:val="24"/>
                <w:lang w:val="en-US" w:eastAsia="zh-CN"/>
              </w:rPr>
              <w:t>20</w:t>
            </w:r>
            <w:r>
              <w:rPr>
                <w:rFonts w:hint="eastAsia" w:ascii="Times New Roman" w:hAnsi="Times New Roman" w:eastAsia="宋体" w:cs="Times New Roman"/>
                <w:color w:val="auto"/>
                <w:sz w:val="24"/>
                <w:szCs w:val="24"/>
              </w:rPr>
              <w:t>2602021）。监测结果见表3-</w:t>
            </w:r>
            <w:r>
              <w:rPr>
                <w:rFonts w:hint="eastAsia" w:cs="Times New Roman"/>
                <w:color w:val="auto"/>
                <w:sz w:val="24"/>
                <w:szCs w:val="24"/>
                <w:lang w:val="en-US" w:eastAsia="zh-CN"/>
              </w:rPr>
              <w:t>4</w:t>
            </w:r>
            <w:r>
              <w:rPr>
                <w:rFonts w:hint="eastAsia" w:ascii="Times New Roman" w:hAnsi="Times New Roman" w:eastAsia="宋体" w:cs="Times New Roman"/>
                <w:color w:val="auto"/>
                <w:sz w:val="24"/>
                <w:szCs w:val="24"/>
              </w:rPr>
              <w:t>。</w:t>
            </w:r>
          </w:p>
          <w:p w14:paraId="50BA4FE3">
            <w:pPr>
              <w:pStyle w:val="21"/>
              <w:spacing w:before="120" w:beforeLines="50" w:after="0" w:line="360" w:lineRule="auto"/>
              <w:ind w:firstLine="480" w:firstLineChars="200"/>
              <w:rPr>
                <w:rFonts w:ascii="Times New Roman" w:hAnsi="Times New Roman" w:eastAsia="宋体" w:cs="Times New Roman"/>
                <w:bCs/>
                <w:color w:val="auto"/>
                <w:kern w:val="0"/>
                <w:sz w:val="24"/>
                <w:szCs w:val="24"/>
              </w:rPr>
            </w:pPr>
            <w:r>
              <w:rPr>
                <w:rFonts w:hint="eastAsia" w:ascii="Times New Roman" w:hAnsi="Times New Roman" w:eastAsia="宋体" w:cs="Times New Roman"/>
                <w:bCs/>
                <w:color w:val="auto"/>
                <w:kern w:val="0"/>
                <w:sz w:val="24"/>
                <w:szCs w:val="24"/>
                <w:lang w:val="en-US" w:eastAsia="zh-CN"/>
              </w:rPr>
              <w:t>略</w:t>
            </w:r>
            <w:bookmarkStart w:id="43" w:name="_GoBack"/>
            <w:bookmarkEnd w:id="43"/>
          </w:p>
          <w:p w14:paraId="133BB7A3">
            <w:pPr>
              <w:pStyle w:val="21"/>
              <w:spacing w:before="120" w:beforeLines="50" w:after="0" w:line="360" w:lineRule="auto"/>
              <w:ind w:firstLine="480" w:firstLineChars="200"/>
              <w:rPr>
                <w:rFonts w:hint="eastAsia"/>
                <w:b w:val="0"/>
                <w:bCs/>
                <w:color w:val="auto"/>
                <w:sz w:val="24"/>
                <w:szCs w:val="24"/>
              </w:rPr>
            </w:pPr>
            <w:r>
              <w:rPr>
                <w:rFonts w:ascii="Times New Roman" w:hAnsi="Times New Roman" w:eastAsia="宋体" w:cs="Times New Roman"/>
                <w:bCs/>
                <w:color w:val="auto"/>
                <w:kern w:val="0"/>
                <w:sz w:val="24"/>
                <w:szCs w:val="24"/>
              </w:rPr>
              <w:t>根据声环境质量监测结果分析，</w:t>
            </w:r>
            <w:r>
              <w:rPr>
                <w:rFonts w:hint="eastAsia" w:cs="Times New Roman"/>
                <w:bCs/>
                <w:color w:val="auto"/>
                <w:kern w:val="0"/>
                <w:sz w:val="24"/>
                <w:szCs w:val="24"/>
                <w:lang w:val="en-US" w:eastAsia="zh-CN"/>
              </w:rPr>
              <w:t>项目</w:t>
            </w:r>
            <w:r>
              <w:rPr>
                <w:rFonts w:hint="eastAsia" w:ascii="Times New Roman" w:hAnsi="Times New Roman" w:eastAsia="宋体" w:cs="Times New Roman"/>
                <w:bCs/>
                <w:color w:val="auto"/>
                <w:kern w:val="0"/>
                <w:sz w:val="24"/>
                <w:szCs w:val="24"/>
              </w:rPr>
              <w:t>东、南、北厂界</w:t>
            </w:r>
            <w:r>
              <w:rPr>
                <w:rFonts w:hint="eastAsia" w:cs="Times New Roman"/>
                <w:bCs/>
                <w:color w:val="auto"/>
                <w:kern w:val="0"/>
                <w:sz w:val="24"/>
                <w:szCs w:val="24"/>
                <w:lang w:val="en-US" w:eastAsia="zh-CN"/>
              </w:rPr>
              <w:t>满足《声环境质量标准》（GB3096-2008）3</w:t>
            </w:r>
            <w:r>
              <w:rPr>
                <w:rFonts w:hint="eastAsia" w:ascii="Times New Roman" w:hAnsi="Times New Roman" w:eastAsia="宋体" w:cs="Times New Roman"/>
                <w:bCs/>
                <w:color w:val="auto"/>
                <w:kern w:val="0"/>
                <w:sz w:val="24"/>
                <w:szCs w:val="24"/>
              </w:rPr>
              <w:t>类标准要求；西厂界满足《声环境质量标准》（GB3096-2008）4a类标准要求</w:t>
            </w:r>
            <w:r>
              <w:rPr>
                <w:rFonts w:hint="eastAsia" w:cs="Times New Roman"/>
                <w:bCs/>
                <w:color w:val="auto"/>
                <w:kern w:val="0"/>
                <w:sz w:val="24"/>
                <w:szCs w:val="24"/>
                <w:lang w:eastAsia="zh-CN"/>
              </w:rPr>
              <w:t>；西北侧居民</w:t>
            </w:r>
            <w:r>
              <w:rPr>
                <w:rFonts w:hint="eastAsia" w:cs="Times New Roman"/>
                <w:bCs/>
                <w:color w:val="auto"/>
                <w:kern w:val="0"/>
                <w:sz w:val="24"/>
                <w:szCs w:val="24"/>
                <w:lang w:val="en-US" w:eastAsia="zh-CN"/>
              </w:rPr>
              <w:t>满足《声环境质量标准》（GB3096-2008）2类</w:t>
            </w:r>
            <w:r>
              <w:rPr>
                <w:rFonts w:hint="eastAsia" w:ascii="Times New Roman" w:hAnsi="Times New Roman" w:eastAsia="宋体" w:cs="Times New Roman"/>
                <w:bCs/>
                <w:color w:val="auto"/>
                <w:kern w:val="0"/>
                <w:sz w:val="24"/>
                <w:szCs w:val="24"/>
              </w:rPr>
              <w:t>标准要求</w:t>
            </w:r>
            <w:r>
              <w:rPr>
                <w:rFonts w:ascii="Times New Roman" w:hAnsi="Times New Roman" w:eastAsia="宋体" w:cs="Times New Roman"/>
                <w:bCs/>
                <w:color w:val="auto"/>
                <w:kern w:val="0"/>
                <w:sz w:val="24"/>
                <w:szCs w:val="24"/>
              </w:rPr>
              <w:t>。</w:t>
            </w:r>
          </w:p>
          <w:p w14:paraId="2D3066B7">
            <w:pPr>
              <w:pStyle w:val="21"/>
              <w:spacing w:before="120" w:beforeLines="50" w:after="0" w:line="360" w:lineRule="auto"/>
              <w:ind w:firstLine="482" w:firstLineChars="200"/>
              <w:rPr>
                <w:b/>
                <w:color w:val="auto"/>
                <w:sz w:val="24"/>
                <w:szCs w:val="24"/>
              </w:rPr>
            </w:pPr>
            <w:r>
              <w:rPr>
                <w:rFonts w:hint="eastAsia"/>
                <w:b/>
                <w:color w:val="auto"/>
                <w:sz w:val="24"/>
                <w:szCs w:val="24"/>
              </w:rPr>
              <w:t>4、生态环境</w:t>
            </w:r>
          </w:p>
          <w:p w14:paraId="66922E01">
            <w:pPr>
              <w:snapToGrid w:val="0"/>
              <w:spacing w:line="360" w:lineRule="auto"/>
              <w:ind w:firstLine="480" w:firstLineChars="200"/>
              <w:rPr>
                <w:rFonts w:ascii="宋体" w:hAnsi="宋体" w:cs="宋体"/>
                <w:color w:val="auto"/>
                <w:kern w:val="0"/>
                <w:sz w:val="24"/>
                <w:szCs w:val="24"/>
              </w:rPr>
            </w:pPr>
            <w:r>
              <w:rPr>
                <w:rFonts w:hint="eastAsia" w:ascii="Times New Roman" w:hAnsi="Times New Roman" w:cs="Times New Roman"/>
                <w:color w:val="auto"/>
                <w:kern w:val="0"/>
                <w:sz w:val="24"/>
                <w:szCs w:val="24"/>
              </w:rPr>
              <w:t>根据《南通市生态环境状况公报》（202</w:t>
            </w:r>
            <w:r>
              <w:rPr>
                <w:rFonts w:hint="eastAsia" w:ascii="Times New Roman" w:hAnsi="Times New Roman" w:cs="Times New Roman"/>
                <w:color w:val="auto"/>
                <w:kern w:val="0"/>
                <w:sz w:val="24"/>
                <w:szCs w:val="24"/>
                <w:lang w:val="en-US" w:eastAsia="zh-CN"/>
              </w:rPr>
              <w:t>5</w:t>
            </w:r>
            <w:r>
              <w:rPr>
                <w:rFonts w:hint="eastAsia" w:ascii="Times New Roman" w:hAnsi="Times New Roman" w:cs="Times New Roman"/>
                <w:color w:val="auto"/>
                <w:kern w:val="0"/>
                <w:sz w:val="24"/>
                <w:szCs w:val="24"/>
              </w:rPr>
              <w:t>）可知，2025年南通市生态质量指数为54.24，类别为“三类”，各县（市、区）生态质量指数介于46.51~59.02之间</w:t>
            </w:r>
            <w:r>
              <w:rPr>
                <w:rFonts w:hint="eastAsia" w:ascii="Times New Roman" w:hAnsi="Times New Roman" w:cs="Times New Roman"/>
                <w:color w:val="auto"/>
                <w:kern w:val="0"/>
                <w:sz w:val="24"/>
                <w:szCs w:val="24"/>
                <w:lang w:eastAsia="zh-CN"/>
              </w:rPr>
              <w:t>，</w:t>
            </w:r>
            <w:r>
              <w:rPr>
                <w:rFonts w:hint="eastAsia" w:ascii="Times New Roman" w:hAnsi="Times New Roman" w:cs="Times New Roman"/>
                <w:color w:val="auto"/>
                <w:kern w:val="0"/>
                <w:sz w:val="24"/>
                <w:szCs w:val="24"/>
              </w:rPr>
              <w:t>海安生态质量为“二类”。</w:t>
            </w:r>
          </w:p>
          <w:p w14:paraId="443DEFFA">
            <w:pPr>
              <w:pStyle w:val="21"/>
              <w:spacing w:after="0" w:line="360" w:lineRule="auto"/>
              <w:ind w:firstLine="482" w:firstLineChars="200"/>
              <w:rPr>
                <w:b/>
                <w:color w:val="auto"/>
                <w:sz w:val="24"/>
                <w:szCs w:val="24"/>
              </w:rPr>
            </w:pPr>
            <w:r>
              <w:rPr>
                <w:rFonts w:hint="eastAsia"/>
                <w:b/>
                <w:color w:val="auto"/>
                <w:sz w:val="24"/>
                <w:szCs w:val="24"/>
              </w:rPr>
              <w:t>5、地下水、土壤环境现状</w:t>
            </w:r>
          </w:p>
          <w:p w14:paraId="5014317F">
            <w:pPr>
              <w:snapToGrid w:val="0"/>
              <w:spacing w:line="360" w:lineRule="auto"/>
              <w:ind w:firstLine="480" w:firstLineChars="200"/>
              <w:rPr>
                <w:rFonts w:ascii="宋体" w:hAnsi="宋体" w:cs="宋体"/>
                <w:color w:val="auto"/>
                <w:kern w:val="0"/>
                <w:sz w:val="24"/>
                <w:szCs w:val="24"/>
              </w:rPr>
            </w:pPr>
            <w:r>
              <w:rPr>
                <w:rFonts w:hint="eastAsia" w:ascii="宋体" w:hAnsi="宋体" w:cs="宋体"/>
                <w:color w:val="auto"/>
                <w:kern w:val="0"/>
                <w:sz w:val="24"/>
                <w:szCs w:val="24"/>
              </w:rPr>
              <w:t>本项目建成后地面进行硬化处理，土壤和地下水污染风险较低，根据《建设项目环境影响报告表编制技术指南（污染影响类）（试行）》，无需开展地下水、土壤环境现状调查。</w:t>
            </w:r>
          </w:p>
        </w:tc>
      </w:tr>
      <w:tr w14:paraId="5C70B4F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997" w:hRule="atLeast"/>
          <w:jc w:val="center"/>
        </w:trPr>
        <w:tc>
          <w:tcPr>
            <w:tcW w:w="634" w:type="dxa"/>
            <w:vAlign w:val="center"/>
          </w:tcPr>
          <w:p w14:paraId="05CCF253">
            <w:pPr>
              <w:adjustRightInd w:val="0"/>
              <w:snapToGrid w:val="0"/>
              <w:jc w:val="center"/>
              <w:rPr>
                <w:rFonts w:ascii="宋体" w:hAnsi="宋体" w:cs="宋体"/>
                <w:color w:val="auto"/>
                <w:kern w:val="0"/>
                <w:sz w:val="24"/>
                <w:szCs w:val="24"/>
              </w:rPr>
            </w:pPr>
            <w:r>
              <w:rPr>
                <w:rFonts w:hint="eastAsia" w:ascii="宋体" w:hAnsi="宋体" w:cs="宋体"/>
                <w:color w:val="auto"/>
                <w:kern w:val="0"/>
                <w:sz w:val="24"/>
                <w:szCs w:val="24"/>
              </w:rPr>
              <w:t>环境</w:t>
            </w:r>
          </w:p>
          <w:p w14:paraId="012A42C9">
            <w:pPr>
              <w:adjustRightInd w:val="0"/>
              <w:snapToGrid w:val="0"/>
              <w:jc w:val="center"/>
              <w:rPr>
                <w:rFonts w:ascii="宋体" w:hAnsi="宋体" w:cs="宋体"/>
                <w:color w:val="auto"/>
                <w:kern w:val="0"/>
                <w:sz w:val="24"/>
                <w:szCs w:val="24"/>
              </w:rPr>
            </w:pPr>
            <w:r>
              <w:rPr>
                <w:rFonts w:hint="eastAsia" w:ascii="宋体" w:hAnsi="宋体" w:cs="宋体"/>
                <w:color w:val="auto"/>
                <w:kern w:val="0"/>
                <w:sz w:val="24"/>
                <w:szCs w:val="24"/>
              </w:rPr>
              <w:t>保护</w:t>
            </w:r>
          </w:p>
          <w:p w14:paraId="738CA114">
            <w:pPr>
              <w:adjustRightInd w:val="0"/>
              <w:snapToGrid w:val="0"/>
              <w:jc w:val="center"/>
              <w:rPr>
                <w:rFonts w:ascii="宋体" w:hAnsi="宋体" w:cs="宋体"/>
                <w:color w:val="auto"/>
                <w:kern w:val="0"/>
                <w:sz w:val="24"/>
                <w:szCs w:val="24"/>
              </w:rPr>
            </w:pPr>
            <w:r>
              <w:rPr>
                <w:rFonts w:hint="eastAsia" w:ascii="宋体" w:hAnsi="宋体" w:cs="宋体"/>
                <w:color w:val="auto"/>
                <w:kern w:val="0"/>
                <w:sz w:val="24"/>
                <w:szCs w:val="24"/>
              </w:rPr>
              <w:t>目标</w:t>
            </w:r>
          </w:p>
        </w:tc>
        <w:tc>
          <w:tcPr>
            <w:tcW w:w="8427" w:type="dxa"/>
          </w:tcPr>
          <w:p w14:paraId="44FB0189">
            <w:pPr>
              <w:adjustRightInd w:val="0"/>
              <w:snapToGrid w:val="0"/>
              <w:spacing w:before="120" w:beforeLines="50" w:line="360" w:lineRule="auto"/>
              <w:ind w:firstLine="480" w:firstLineChars="200"/>
              <w:rPr>
                <w:color w:val="auto"/>
                <w:sz w:val="24"/>
                <w:szCs w:val="24"/>
              </w:rPr>
            </w:pPr>
            <w:r>
              <w:rPr>
                <w:color w:val="auto"/>
                <w:sz w:val="24"/>
                <w:szCs w:val="24"/>
              </w:rPr>
              <w:t>项目位于</w:t>
            </w:r>
            <w:r>
              <w:rPr>
                <w:rFonts w:hint="eastAsia"/>
                <w:color w:val="auto"/>
                <w:sz w:val="24"/>
                <w:szCs w:val="24"/>
              </w:rPr>
              <w:t>江苏省海安高新技术产业开发区田庄村18组</w:t>
            </w:r>
            <w:r>
              <w:rPr>
                <w:color w:val="auto"/>
                <w:sz w:val="24"/>
                <w:szCs w:val="24"/>
              </w:rPr>
              <w:t>，根据现场踏勘及拟建项目周边情况，确定本项目的环境空气保护目标见表3-</w:t>
            </w:r>
            <w:r>
              <w:rPr>
                <w:rFonts w:hint="eastAsia"/>
                <w:color w:val="auto"/>
                <w:sz w:val="24"/>
                <w:szCs w:val="24"/>
                <w:lang w:val="en-US" w:eastAsia="zh-CN"/>
              </w:rPr>
              <w:t>5</w:t>
            </w:r>
            <w:r>
              <w:rPr>
                <w:rFonts w:hint="eastAsia"/>
                <w:color w:val="auto"/>
                <w:sz w:val="24"/>
                <w:szCs w:val="24"/>
              </w:rPr>
              <w:t>，声环境保护目标见表3-6。环境保护目标分布图如附图</w:t>
            </w:r>
            <w:r>
              <w:rPr>
                <w:rFonts w:hint="eastAsia"/>
                <w:color w:val="auto"/>
                <w:sz w:val="24"/>
                <w:szCs w:val="24"/>
                <w:lang w:val="en-US" w:eastAsia="zh-CN"/>
              </w:rPr>
              <w:t>8</w:t>
            </w:r>
            <w:r>
              <w:rPr>
                <w:rFonts w:hint="eastAsia"/>
                <w:color w:val="auto"/>
                <w:sz w:val="24"/>
                <w:szCs w:val="24"/>
              </w:rPr>
              <w:t>-1、</w:t>
            </w:r>
            <w:r>
              <w:rPr>
                <w:rFonts w:hint="eastAsia"/>
                <w:color w:val="auto"/>
                <w:sz w:val="24"/>
                <w:szCs w:val="24"/>
                <w:lang w:val="en-US" w:eastAsia="zh-CN"/>
              </w:rPr>
              <w:t>8</w:t>
            </w:r>
            <w:r>
              <w:rPr>
                <w:rFonts w:hint="eastAsia"/>
                <w:color w:val="auto"/>
                <w:sz w:val="24"/>
                <w:szCs w:val="24"/>
              </w:rPr>
              <w:t>-2所示</w:t>
            </w:r>
            <w:r>
              <w:rPr>
                <w:color w:val="auto"/>
                <w:sz w:val="24"/>
                <w:szCs w:val="24"/>
              </w:rPr>
              <w:t>。</w:t>
            </w:r>
          </w:p>
          <w:p w14:paraId="119CE82F">
            <w:pPr>
              <w:adjustRightInd w:val="0"/>
              <w:snapToGrid w:val="0"/>
              <w:jc w:val="center"/>
              <w:rPr>
                <w:b/>
                <w:bCs/>
                <w:color w:val="auto"/>
                <w:sz w:val="24"/>
                <w:szCs w:val="24"/>
              </w:rPr>
            </w:pPr>
            <w:r>
              <w:rPr>
                <w:b/>
                <w:bCs/>
                <w:color w:val="auto"/>
                <w:sz w:val="24"/>
                <w:szCs w:val="24"/>
              </w:rPr>
              <w:t>表3-</w:t>
            </w:r>
            <w:r>
              <w:rPr>
                <w:rFonts w:hint="eastAsia"/>
                <w:b/>
                <w:bCs/>
                <w:color w:val="auto"/>
                <w:sz w:val="24"/>
                <w:szCs w:val="24"/>
                <w:lang w:val="en-US" w:eastAsia="zh-CN"/>
              </w:rPr>
              <w:t>5</w:t>
            </w:r>
            <w:r>
              <w:rPr>
                <w:b/>
                <w:bCs/>
                <w:color w:val="auto"/>
                <w:sz w:val="24"/>
                <w:szCs w:val="24"/>
              </w:rPr>
              <w:t xml:space="preserve"> 环境空气保护目标一览表</w:t>
            </w:r>
          </w:p>
          <w:tbl>
            <w:tblPr>
              <w:tblStyle w:val="26"/>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1052"/>
              <w:gridCol w:w="1130"/>
              <w:gridCol w:w="1070"/>
              <w:gridCol w:w="1200"/>
              <w:gridCol w:w="704"/>
              <w:gridCol w:w="740"/>
              <w:gridCol w:w="760"/>
              <w:gridCol w:w="727"/>
              <w:gridCol w:w="825"/>
            </w:tblGrid>
            <w:tr w14:paraId="1792FBD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2" w:hRule="atLeast"/>
                <w:jc w:val="center"/>
              </w:trPr>
              <w:tc>
                <w:tcPr>
                  <w:tcW w:w="640" w:type="pct"/>
                  <w:vMerge w:val="restart"/>
                  <w:vAlign w:val="center"/>
                </w:tcPr>
                <w:p w14:paraId="306A59C4">
                  <w:pPr>
                    <w:pStyle w:val="34"/>
                    <w:keepNext w:val="0"/>
                    <w:keepLines w:val="0"/>
                    <w:pageBreakBefore w:val="0"/>
                    <w:widowControl w:val="0"/>
                    <w:kinsoku/>
                    <w:wordWrap/>
                    <w:overflowPunct/>
                    <w:topLinePunct w:val="0"/>
                    <w:autoSpaceDE/>
                    <w:autoSpaceDN/>
                    <w:bidi w:val="0"/>
                    <w:spacing w:before="0" w:beforeLines="0" w:after="0" w:afterLines="0" w:line="240" w:lineRule="auto"/>
                    <w:rPr>
                      <w:rFonts w:ascii="Times New Roman" w:eastAsia="宋体"/>
                      <w:b/>
                      <w:bCs/>
                      <w:color w:val="auto"/>
                      <w:sz w:val="21"/>
                      <w:szCs w:val="21"/>
                    </w:rPr>
                  </w:pPr>
                  <w:r>
                    <w:rPr>
                      <w:rFonts w:ascii="Times New Roman" w:eastAsia="宋体"/>
                      <w:b/>
                      <w:bCs/>
                      <w:color w:val="auto"/>
                      <w:sz w:val="21"/>
                      <w:szCs w:val="21"/>
                    </w:rPr>
                    <w:t>环境空气保护目标名称</w:t>
                  </w:r>
                </w:p>
              </w:tc>
              <w:tc>
                <w:tcPr>
                  <w:tcW w:w="1340" w:type="pct"/>
                  <w:gridSpan w:val="2"/>
                  <w:vAlign w:val="center"/>
                </w:tcPr>
                <w:p w14:paraId="03DF7893">
                  <w:pPr>
                    <w:pStyle w:val="34"/>
                    <w:keepNext w:val="0"/>
                    <w:keepLines w:val="0"/>
                    <w:pageBreakBefore w:val="0"/>
                    <w:widowControl w:val="0"/>
                    <w:kinsoku/>
                    <w:wordWrap/>
                    <w:overflowPunct/>
                    <w:topLinePunct w:val="0"/>
                    <w:autoSpaceDE/>
                    <w:autoSpaceDN/>
                    <w:bidi w:val="0"/>
                    <w:spacing w:before="0" w:beforeLines="0" w:after="0" w:afterLines="0" w:line="240" w:lineRule="auto"/>
                    <w:rPr>
                      <w:rFonts w:ascii="Times New Roman" w:eastAsia="宋体"/>
                      <w:b/>
                      <w:bCs/>
                      <w:color w:val="auto"/>
                      <w:sz w:val="21"/>
                      <w:szCs w:val="21"/>
                    </w:rPr>
                  </w:pPr>
                  <w:r>
                    <w:rPr>
                      <w:rFonts w:hint="eastAsia" w:ascii="Times New Roman" w:eastAsia="宋体"/>
                      <w:b/>
                      <w:bCs/>
                      <w:color w:val="auto"/>
                      <w:sz w:val="21"/>
                      <w:szCs w:val="21"/>
                    </w:rPr>
                    <w:t>坐标</w:t>
                  </w:r>
                </w:p>
              </w:tc>
              <w:tc>
                <w:tcPr>
                  <w:tcW w:w="730" w:type="pct"/>
                  <w:vMerge w:val="restart"/>
                  <w:vAlign w:val="center"/>
                </w:tcPr>
                <w:p w14:paraId="3F0ADF2D">
                  <w:pPr>
                    <w:pStyle w:val="34"/>
                    <w:keepNext w:val="0"/>
                    <w:keepLines w:val="0"/>
                    <w:pageBreakBefore w:val="0"/>
                    <w:widowControl w:val="0"/>
                    <w:kinsoku/>
                    <w:wordWrap/>
                    <w:overflowPunct/>
                    <w:topLinePunct w:val="0"/>
                    <w:autoSpaceDE/>
                    <w:autoSpaceDN/>
                    <w:bidi w:val="0"/>
                    <w:spacing w:before="0" w:beforeLines="0" w:after="0" w:afterLines="0" w:line="240" w:lineRule="auto"/>
                    <w:rPr>
                      <w:rFonts w:ascii="Times New Roman" w:eastAsia="宋体"/>
                      <w:b/>
                      <w:bCs/>
                      <w:color w:val="auto"/>
                      <w:sz w:val="21"/>
                      <w:szCs w:val="21"/>
                    </w:rPr>
                  </w:pPr>
                  <w:r>
                    <w:rPr>
                      <w:rFonts w:hint="eastAsia" w:ascii="Times New Roman" w:eastAsia="宋体"/>
                      <w:b/>
                      <w:bCs/>
                      <w:color w:val="auto"/>
                      <w:sz w:val="21"/>
                      <w:szCs w:val="21"/>
                    </w:rPr>
                    <w:t>规模</w:t>
                  </w:r>
                </w:p>
              </w:tc>
              <w:tc>
                <w:tcPr>
                  <w:tcW w:w="428" w:type="pct"/>
                  <w:vMerge w:val="restart"/>
                  <w:vAlign w:val="center"/>
                </w:tcPr>
                <w:p w14:paraId="2687A4A4">
                  <w:pPr>
                    <w:pStyle w:val="34"/>
                    <w:keepNext w:val="0"/>
                    <w:keepLines w:val="0"/>
                    <w:pageBreakBefore w:val="0"/>
                    <w:widowControl w:val="0"/>
                    <w:kinsoku/>
                    <w:wordWrap/>
                    <w:overflowPunct/>
                    <w:topLinePunct w:val="0"/>
                    <w:autoSpaceDE/>
                    <w:autoSpaceDN/>
                    <w:bidi w:val="0"/>
                    <w:spacing w:before="0" w:beforeLines="0" w:after="0" w:afterLines="0" w:line="240" w:lineRule="auto"/>
                    <w:rPr>
                      <w:rFonts w:ascii="Times New Roman" w:eastAsia="宋体"/>
                      <w:b/>
                      <w:bCs/>
                      <w:color w:val="auto"/>
                      <w:sz w:val="21"/>
                      <w:szCs w:val="21"/>
                    </w:rPr>
                  </w:pPr>
                  <w:r>
                    <w:rPr>
                      <w:rFonts w:hint="eastAsia" w:ascii="Times New Roman" w:eastAsia="宋体"/>
                      <w:b/>
                      <w:bCs/>
                      <w:color w:val="auto"/>
                      <w:sz w:val="21"/>
                      <w:szCs w:val="21"/>
                    </w:rPr>
                    <w:t>保护对象</w:t>
                  </w:r>
                </w:p>
              </w:tc>
              <w:tc>
                <w:tcPr>
                  <w:tcW w:w="450" w:type="pct"/>
                  <w:vMerge w:val="restart"/>
                  <w:vAlign w:val="center"/>
                </w:tcPr>
                <w:p w14:paraId="58762EAB">
                  <w:pPr>
                    <w:pStyle w:val="34"/>
                    <w:keepNext w:val="0"/>
                    <w:keepLines w:val="0"/>
                    <w:pageBreakBefore w:val="0"/>
                    <w:widowControl w:val="0"/>
                    <w:kinsoku/>
                    <w:wordWrap/>
                    <w:overflowPunct/>
                    <w:topLinePunct w:val="0"/>
                    <w:autoSpaceDE/>
                    <w:autoSpaceDN/>
                    <w:bidi w:val="0"/>
                    <w:spacing w:before="0" w:beforeLines="0" w:after="0" w:afterLines="0" w:line="240" w:lineRule="auto"/>
                    <w:rPr>
                      <w:rFonts w:ascii="Times New Roman" w:eastAsia="宋体"/>
                      <w:b/>
                      <w:bCs/>
                      <w:color w:val="auto"/>
                      <w:sz w:val="21"/>
                      <w:szCs w:val="21"/>
                    </w:rPr>
                  </w:pPr>
                  <w:r>
                    <w:rPr>
                      <w:rFonts w:ascii="Times New Roman" w:eastAsia="宋体"/>
                      <w:b/>
                      <w:bCs/>
                      <w:color w:val="auto"/>
                      <w:sz w:val="21"/>
                      <w:szCs w:val="21"/>
                    </w:rPr>
                    <w:t>保护内容</w:t>
                  </w:r>
                </w:p>
              </w:tc>
              <w:tc>
                <w:tcPr>
                  <w:tcW w:w="462" w:type="pct"/>
                  <w:vMerge w:val="restart"/>
                  <w:vAlign w:val="center"/>
                </w:tcPr>
                <w:p w14:paraId="37003F58">
                  <w:pPr>
                    <w:pStyle w:val="34"/>
                    <w:keepNext w:val="0"/>
                    <w:keepLines w:val="0"/>
                    <w:pageBreakBefore w:val="0"/>
                    <w:widowControl w:val="0"/>
                    <w:kinsoku/>
                    <w:wordWrap/>
                    <w:overflowPunct/>
                    <w:topLinePunct w:val="0"/>
                    <w:autoSpaceDE/>
                    <w:autoSpaceDN/>
                    <w:bidi w:val="0"/>
                    <w:spacing w:before="0" w:beforeLines="0" w:after="0" w:afterLines="0" w:line="240" w:lineRule="auto"/>
                    <w:rPr>
                      <w:rFonts w:ascii="Times New Roman" w:eastAsia="宋体"/>
                      <w:b/>
                      <w:bCs/>
                      <w:color w:val="auto"/>
                      <w:sz w:val="21"/>
                      <w:szCs w:val="21"/>
                    </w:rPr>
                  </w:pPr>
                  <w:r>
                    <w:rPr>
                      <w:rFonts w:ascii="Times New Roman" w:eastAsia="宋体"/>
                      <w:b/>
                      <w:bCs/>
                      <w:color w:val="auto"/>
                      <w:sz w:val="21"/>
                      <w:szCs w:val="21"/>
                    </w:rPr>
                    <w:t>环境功能区</w:t>
                  </w:r>
                </w:p>
              </w:tc>
              <w:tc>
                <w:tcPr>
                  <w:tcW w:w="442" w:type="pct"/>
                  <w:vMerge w:val="restart"/>
                  <w:vAlign w:val="center"/>
                </w:tcPr>
                <w:p w14:paraId="7B33E176">
                  <w:pPr>
                    <w:pStyle w:val="34"/>
                    <w:keepNext w:val="0"/>
                    <w:keepLines w:val="0"/>
                    <w:pageBreakBefore w:val="0"/>
                    <w:widowControl w:val="0"/>
                    <w:kinsoku/>
                    <w:wordWrap/>
                    <w:overflowPunct/>
                    <w:topLinePunct w:val="0"/>
                    <w:autoSpaceDE/>
                    <w:autoSpaceDN/>
                    <w:bidi w:val="0"/>
                    <w:spacing w:before="0" w:beforeLines="0" w:after="0" w:afterLines="0" w:line="240" w:lineRule="auto"/>
                    <w:rPr>
                      <w:rFonts w:ascii="Times New Roman" w:eastAsia="宋体"/>
                      <w:b/>
                      <w:bCs/>
                      <w:color w:val="auto"/>
                      <w:sz w:val="21"/>
                      <w:szCs w:val="21"/>
                    </w:rPr>
                  </w:pPr>
                  <w:r>
                    <w:rPr>
                      <w:rFonts w:ascii="Times New Roman" w:eastAsia="宋体"/>
                      <w:b/>
                      <w:bCs/>
                      <w:color w:val="auto"/>
                      <w:sz w:val="21"/>
                      <w:szCs w:val="21"/>
                    </w:rPr>
                    <w:t>相对厂址方位</w:t>
                  </w:r>
                </w:p>
              </w:tc>
              <w:tc>
                <w:tcPr>
                  <w:tcW w:w="502" w:type="pct"/>
                  <w:vMerge w:val="restart"/>
                  <w:vAlign w:val="center"/>
                </w:tcPr>
                <w:p w14:paraId="50A0E20A">
                  <w:pPr>
                    <w:pStyle w:val="34"/>
                    <w:keepNext w:val="0"/>
                    <w:keepLines w:val="0"/>
                    <w:pageBreakBefore w:val="0"/>
                    <w:widowControl w:val="0"/>
                    <w:kinsoku/>
                    <w:wordWrap/>
                    <w:overflowPunct/>
                    <w:topLinePunct w:val="0"/>
                    <w:autoSpaceDE/>
                    <w:autoSpaceDN/>
                    <w:bidi w:val="0"/>
                    <w:spacing w:before="0" w:beforeLines="0" w:after="0" w:afterLines="0" w:line="240" w:lineRule="auto"/>
                    <w:rPr>
                      <w:rFonts w:ascii="Times New Roman" w:eastAsia="宋体"/>
                      <w:b/>
                      <w:bCs/>
                      <w:color w:val="auto"/>
                      <w:sz w:val="21"/>
                      <w:szCs w:val="21"/>
                    </w:rPr>
                  </w:pPr>
                  <w:r>
                    <w:rPr>
                      <w:rFonts w:ascii="Times New Roman" w:eastAsia="宋体"/>
                      <w:b/>
                      <w:bCs/>
                      <w:color w:val="auto"/>
                      <w:sz w:val="21"/>
                      <w:szCs w:val="21"/>
                    </w:rPr>
                    <w:t>相对厂界</w:t>
                  </w:r>
                  <w:r>
                    <w:rPr>
                      <w:rFonts w:hint="eastAsia" w:ascii="Times New Roman" w:eastAsia="宋体"/>
                      <w:b/>
                      <w:bCs/>
                      <w:color w:val="auto"/>
                      <w:sz w:val="21"/>
                      <w:szCs w:val="21"/>
                    </w:rPr>
                    <w:t>最近</w:t>
                  </w:r>
                  <w:r>
                    <w:rPr>
                      <w:rFonts w:ascii="Times New Roman" w:eastAsia="宋体"/>
                      <w:b/>
                      <w:bCs/>
                      <w:color w:val="auto"/>
                      <w:sz w:val="21"/>
                      <w:szCs w:val="21"/>
                    </w:rPr>
                    <w:t>距离</w:t>
                  </w:r>
                  <w:r>
                    <w:rPr>
                      <w:rFonts w:hint="eastAsia" w:ascii="Times New Roman" w:eastAsia="宋体"/>
                      <w:b/>
                      <w:bCs/>
                      <w:color w:val="auto"/>
                      <w:sz w:val="21"/>
                      <w:szCs w:val="21"/>
                    </w:rPr>
                    <w:t>/m</w:t>
                  </w:r>
                </w:p>
              </w:tc>
            </w:tr>
            <w:tr w14:paraId="51D5417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640" w:type="pct"/>
                  <w:vMerge w:val="continue"/>
                  <w:vAlign w:val="center"/>
                </w:tcPr>
                <w:p w14:paraId="14EC3FF3">
                  <w:pPr>
                    <w:pStyle w:val="34"/>
                    <w:keepNext w:val="0"/>
                    <w:keepLines w:val="0"/>
                    <w:pageBreakBefore w:val="0"/>
                    <w:widowControl w:val="0"/>
                    <w:kinsoku/>
                    <w:wordWrap/>
                    <w:overflowPunct/>
                    <w:topLinePunct w:val="0"/>
                    <w:autoSpaceDE/>
                    <w:autoSpaceDN/>
                    <w:bidi w:val="0"/>
                    <w:spacing w:before="0" w:beforeLines="0" w:after="0" w:afterLines="0" w:line="240" w:lineRule="auto"/>
                    <w:rPr>
                      <w:rFonts w:ascii="Times New Roman" w:eastAsia="宋体"/>
                      <w:color w:val="auto"/>
                      <w:sz w:val="21"/>
                      <w:szCs w:val="21"/>
                    </w:rPr>
                  </w:pPr>
                </w:p>
              </w:tc>
              <w:tc>
                <w:tcPr>
                  <w:tcW w:w="688" w:type="pct"/>
                  <w:vAlign w:val="center"/>
                </w:tcPr>
                <w:p w14:paraId="36997E04">
                  <w:pPr>
                    <w:pStyle w:val="34"/>
                    <w:keepNext w:val="0"/>
                    <w:keepLines w:val="0"/>
                    <w:pageBreakBefore w:val="0"/>
                    <w:widowControl w:val="0"/>
                    <w:kinsoku/>
                    <w:wordWrap/>
                    <w:overflowPunct/>
                    <w:topLinePunct w:val="0"/>
                    <w:autoSpaceDE/>
                    <w:autoSpaceDN/>
                    <w:bidi w:val="0"/>
                    <w:spacing w:before="0" w:beforeLines="0" w:after="0" w:afterLines="0" w:line="240" w:lineRule="auto"/>
                    <w:rPr>
                      <w:rFonts w:ascii="Times New Roman" w:eastAsia="宋体"/>
                      <w:b/>
                      <w:bCs/>
                      <w:color w:val="auto"/>
                      <w:sz w:val="21"/>
                      <w:szCs w:val="21"/>
                    </w:rPr>
                  </w:pPr>
                  <w:r>
                    <w:rPr>
                      <w:rFonts w:hint="eastAsia" w:ascii="Times New Roman" w:eastAsia="宋体"/>
                      <w:b/>
                      <w:bCs/>
                      <w:color w:val="auto"/>
                      <w:sz w:val="21"/>
                      <w:szCs w:val="21"/>
                    </w:rPr>
                    <w:t>东经</w:t>
                  </w:r>
                </w:p>
              </w:tc>
              <w:tc>
                <w:tcPr>
                  <w:tcW w:w="651" w:type="pct"/>
                  <w:vAlign w:val="center"/>
                </w:tcPr>
                <w:p w14:paraId="3E9ECDFE">
                  <w:pPr>
                    <w:pStyle w:val="34"/>
                    <w:keepNext w:val="0"/>
                    <w:keepLines w:val="0"/>
                    <w:pageBreakBefore w:val="0"/>
                    <w:widowControl w:val="0"/>
                    <w:kinsoku/>
                    <w:wordWrap/>
                    <w:overflowPunct/>
                    <w:topLinePunct w:val="0"/>
                    <w:autoSpaceDE/>
                    <w:autoSpaceDN/>
                    <w:bidi w:val="0"/>
                    <w:spacing w:before="0" w:beforeLines="0" w:after="0" w:afterLines="0" w:line="240" w:lineRule="auto"/>
                    <w:rPr>
                      <w:rFonts w:ascii="Times New Roman" w:eastAsia="宋体"/>
                      <w:b/>
                      <w:bCs/>
                      <w:color w:val="auto"/>
                      <w:sz w:val="21"/>
                      <w:szCs w:val="21"/>
                    </w:rPr>
                  </w:pPr>
                  <w:r>
                    <w:rPr>
                      <w:rFonts w:hint="eastAsia" w:ascii="Times New Roman" w:eastAsia="宋体"/>
                      <w:b/>
                      <w:bCs/>
                      <w:color w:val="auto"/>
                      <w:sz w:val="21"/>
                      <w:szCs w:val="21"/>
                    </w:rPr>
                    <w:t>北纬</w:t>
                  </w:r>
                </w:p>
              </w:tc>
              <w:tc>
                <w:tcPr>
                  <w:tcW w:w="730" w:type="pct"/>
                  <w:vMerge w:val="continue"/>
                  <w:vAlign w:val="center"/>
                </w:tcPr>
                <w:p w14:paraId="40DFF7D4">
                  <w:pPr>
                    <w:pStyle w:val="34"/>
                    <w:keepNext w:val="0"/>
                    <w:keepLines w:val="0"/>
                    <w:pageBreakBefore w:val="0"/>
                    <w:widowControl w:val="0"/>
                    <w:kinsoku/>
                    <w:wordWrap/>
                    <w:overflowPunct/>
                    <w:topLinePunct w:val="0"/>
                    <w:autoSpaceDE/>
                    <w:autoSpaceDN/>
                    <w:bidi w:val="0"/>
                    <w:spacing w:before="0" w:beforeLines="0" w:after="0" w:afterLines="0" w:line="240" w:lineRule="auto"/>
                    <w:rPr>
                      <w:rFonts w:ascii="Times New Roman" w:eastAsia="宋体"/>
                      <w:color w:val="auto"/>
                      <w:sz w:val="21"/>
                      <w:szCs w:val="21"/>
                    </w:rPr>
                  </w:pPr>
                </w:p>
              </w:tc>
              <w:tc>
                <w:tcPr>
                  <w:tcW w:w="428" w:type="pct"/>
                  <w:vMerge w:val="continue"/>
                  <w:vAlign w:val="center"/>
                </w:tcPr>
                <w:p w14:paraId="146C3201">
                  <w:pPr>
                    <w:pStyle w:val="34"/>
                    <w:keepNext w:val="0"/>
                    <w:keepLines w:val="0"/>
                    <w:pageBreakBefore w:val="0"/>
                    <w:widowControl w:val="0"/>
                    <w:kinsoku/>
                    <w:wordWrap/>
                    <w:overflowPunct/>
                    <w:topLinePunct w:val="0"/>
                    <w:autoSpaceDE/>
                    <w:autoSpaceDN/>
                    <w:bidi w:val="0"/>
                    <w:spacing w:before="0" w:beforeLines="0" w:after="0" w:afterLines="0" w:line="240" w:lineRule="auto"/>
                    <w:rPr>
                      <w:rFonts w:ascii="Times New Roman" w:eastAsia="宋体"/>
                      <w:color w:val="auto"/>
                      <w:sz w:val="21"/>
                      <w:szCs w:val="21"/>
                    </w:rPr>
                  </w:pPr>
                </w:p>
              </w:tc>
              <w:tc>
                <w:tcPr>
                  <w:tcW w:w="450" w:type="pct"/>
                  <w:vMerge w:val="continue"/>
                  <w:vAlign w:val="center"/>
                </w:tcPr>
                <w:p w14:paraId="12FEF13B">
                  <w:pPr>
                    <w:pStyle w:val="34"/>
                    <w:keepNext w:val="0"/>
                    <w:keepLines w:val="0"/>
                    <w:pageBreakBefore w:val="0"/>
                    <w:widowControl w:val="0"/>
                    <w:kinsoku/>
                    <w:wordWrap/>
                    <w:overflowPunct/>
                    <w:topLinePunct w:val="0"/>
                    <w:autoSpaceDE/>
                    <w:autoSpaceDN/>
                    <w:bidi w:val="0"/>
                    <w:spacing w:before="0" w:beforeLines="0" w:after="0" w:afterLines="0" w:line="240" w:lineRule="auto"/>
                    <w:rPr>
                      <w:rFonts w:ascii="Times New Roman" w:eastAsia="宋体"/>
                      <w:color w:val="auto"/>
                      <w:sz w:val="21"/>
                      <w:szCs w:val="21"/>
                    </w:rPr>
                  </w:pPr>
                </w:p>
              </w:tc>
              <w:tc>
                <w:tcPr>
                  <w:tcW w:w="462" w:type="pct"/>
                  <w:vMerge w:val="continue"/>
                  <w:vAlign w:val="center"/>
                </w:tcPr>
                <w:p w14:paraId="10DC5D68">
                  <w:pPr>
                    <w:pStyle w:val="34"/>
                    <w:keepNext w:val="0"/>
                    <w:keepLines w:val="0"/>
                    <w:pageBreakBefore w:val="0"/>
                    <w:widowControl w:val="0"/>
                    <w:kinsoku/>
                    <w:wordWrap/>
                    <w:overflowPunct/>
                    <w:topLinePunct w:val="0"/>
                    <w:autoSpaceDE/>
                    <w:autoSpaceDN/>
                    <w:bidi w:val="0"/>
                    <w:spacing w:before="0" w:beforeLines="0" w:after="0" w:afterLines="0" w:line="240" w:lineRule="auto"/>
                    <w:rPr>
                      <w:rFonts w:ascii="Times New Roman" w:eastAsia="宋体"/>
                      <w:color w:val="auto"/>
                      <w:sz w:val="21"/>
                      <w:szCs w:val="21"/>
                    </w:rPr>
                  </w:pPr>
                </w:p>
              </w:tc>
              <w:tc>
                <w:tcPr>
                  <w:tcW w:w="442" w:type="pct"/>
                  <w:vMerge w:val="continue"/>
                  <w:vAlign w:val="center"/>
                </w:tcPr>
                <w:p w14:paraId="0F0FB74F">
                  <w:pPr>
                    <w:pStyle w:val="34"/>
                    <w:keepNext w:val="0"/>
                    <w:keepLines w:val="0"/>
                    <w:pageBreakBefore w:val="0"/>
                    <w:widowControl w:val="0"/>
                    <w:kinsoku/>
                    <w:wordWrap/>
                    <w:overflowPunct/>
                    <w:topLinePunct w:val="0"/>
                    <w:autoSpaceDE/>
                    <w:autoSpaceDN/>
                    <w:bidi w:val="0"/>
                    <w:spacing w:before="0" w:beforeLines="0" w:after="0" w:afterLines="0" w:line="240" w:lineRule="auto"/>
                    <w:rPr>
                      <w:rFonts w:ascii="Times New Roman" w:eastAsia="宋体"/>
                      <w:color w:val="auto"/>
                      <w:sz w:val="21"/>
                      <w:szCs w:val="21"/>
                    </w:rPr>
                  </w:pPr>
                </w:p>
              </w:tc>
              <w:tc>
                <w:tcPr>
                  <w:tcW w:w="502" w:type="pct"/>
                  <w:vMerge w:val="continue"/>
                  <w:vAlign w:val="center"/>
                </w:tcPr>
                <w:p w14:paraId="016B366B">
                  <w:pPr>
                    <w:pStyle w:val="34"/>
                    <w:keepNext w:val="0"/>
                    <w:keepLines w:val="0"/>
                    <w:pageBreakBefore w:val="0"/>
                    <w:widowControl w:val="0"/>
                    <w:kinsoku/>
                    <w:wordWrap/>
                    <w:overflowPunct/>
                    <w:topLinePunct w:val="0"/>
                    <w:autoSpaceDE/>
                    <w:autoSpaceDN/>
                    <w:bidi w:val="0"/>
                    <w:spacing w:before="0" w:beforeLines="0" w:after="0" w:afterLines="0" w:line="240" w:lineRule="auto"/>
                    <w:rPr>
                      <w:rFonts w:ascii="Times New Roman" w:eastAsia="宋体"/>
                      <w:color w:val="auto"/>
                      <w:sz w:val="21"/>
                      <w:szCs w:val="21"/>
                    </w:rPr>
                  </w:pPr>
                </w:p>
              </w:tc>
            </w:tr>
            <w:tr w14:paraId="57095D9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640" w:type="pct"/>
                  <w:vAlign w:val="center"/>
                </w:tcPr>
                <w:p w14:paraId="25A10172">
                  <w:pPr>
                    <w:pStyle w:val="34"/>
                    <w:keepNext w:val="0"/>
                    <w:keepLines w:val="0"/>
                    <w:pageBreakBefore w:val="0"/>
                    <w:widowControl w:val="0"/>
                    <w:kinsoku/>
                    <w:wordWrap/>
                    <w:overflowPunct/>
                    <w:topLinePunct w:val="0"/>
                    <w:autoSpaceDE/>
                    <w:autoSpaceDN/>
                    <w:bidi w:val="0"/>
                    <w:spacing w:before="0" w:beforeLines="0" w:after="0" w:afterLines="0" w:line="240" w:lineRule="auto"/>
                    <w:rPr>
                      <w:rFonts w:hint="default" w:ascii="Times New Roman" w:eastAsia="宋体"/>
                      <w:color w:val="auto"/>
                      <w:sz w:val="21"/>
                      <w:szCs w:val="21"/>
                      <w:lang w:val="en-US" w:eastAsia="zh-CN"/>
                    </w:rPr>
                  </w:pPr>
                  <w:r>
                    <w:rPr>
                      <w:rFonts w:hint="default" w:ascii="Times New Roman" w:eastAsia="宋体"/>
                      <w:color w:val="auto"/>
                      <w:sz w:val="21"/>
                      <w:szCs w:val="21"/>
                      <w:lang w:val="en-US" w:eastAsia="zh-CN"/>
                    </w:rPr>
                    <w:t>西北侧居民</w:t>
                  </w:r>
                </w:p>
              </w:tc>
              <w:tc>
                <w:tcPr>
                  <w:tcW w:w="688" w:type="pct"/>
                  <w:vAlign w:val="center"/>
                </w:tcPr>
                <w:p w14:paraId="1F792600">
                  <w:pPr>
                    <w:keepNext w:val="0"/>
                    <w:keepLines w:val="0"/>
                    <w:pageBreakBefore w:val="0"/>
                    <w:widowControl w:val="0"/>
                    <w:kinsoku/>
                    <w:wordWrap/>
                    <w:overflowPunct/>
                    <w:topLinePunct w:val="0"/>
                    <w:autoSpaceDE/>
                    <w:autoSpaceDN/>
                    <w:bidi w:val="0"/>
                    <w:spacing w:before="0" w:beforeLines="0" w:after="0" w:afterLines="0" w:line="240" w:lineRule="auto"/>
                    <w:jc w:val="center"/>
                    <w:rPr>
                      <w:rFonts w:hint="eastAsia" w:ascii="Times New Roman" w:eastAsia="宋体"/>
                      <w:color w:val="auto"/>
                      <w:sz w:val="21"/>
                      <w:szCs w:val="21"/>
                      <w:lang w:eastAsia="zh-CN"/>
                    </w:rPr>
                  </w:pPr>
                  <w:r>
                    <w:rPr>
                      <w:rFonts w:hint="eastAsia" w:ascii="Times New Roman" w:eastAsia="宋体"/>
                      <w:color w:val="auto"/>
                      <w:sz w:val="21"/>
                      <w:szCs w:val="21"/>
                      <w:lang w:eastAsia="zh-CN"/>
                    </w:rPr>
                    <w:t>120.41844</w:t>
                  </w:r>
                  <w:r>
                    <w:rPr>
                      <w:rFonts w:hint="eastAsia"/>
                      <w:color w:val="auto"/>
                      <w:sz w:val="21"/>
                      <w:szCs w:val="21"/>
                      <w:lang w:val="en-US" w:eastAsia="zh-CN"/>
                    </w:rPr>
                    <w:t>8</w:t>
                  </w:r>
                </w:p>
              </w:tc>
              <w:tc>
                <w:tcPr>
                  <w:tcW w:w="651" w:type="pct"/>
                  <w:vAlign w:val="center"/>
                </w:tcPr>
                <w:p w14:paraId="42AE74A6">
                  <w:pPr>
                    <w:keepNext w:val="0"/>
                    <w:keepLines w:val="0"/>
                    <w:pageBreakBefore w:val="0"/>
                    <w:widowControl w:val="0"/>
                    <w:kinsoku/>
                    <w:wordWrap/>
                    <w:overflowPunct/>
                    <w:topLinePunct w:val="0"/>
                    <w:autoSpaceDE/>
                    <w:autoSpaceDN/>
                    <w:bidi w:val="0"/>
                    <w:spacing w:before="0" w:beforeLines="0" w:after="0" w:afterLines="0" w:line="240" w:lineRule="auto"/>
                    <w:jc w:val="center"/>
                    <w:rPr>
                      <w:rFonts w:hint="eastAsia" w:ascii="Times New Roman" w:eastAsia="宋体"/>
                      <w:color w:val="auto"/>
                      <w:sz w:val="21"/>
                      <w:szCs w:val="21"/>
                      <w:lang w:eastAsia="zh-CN"/>
                    </w:rPr>
                  </w:pPr>
                  <w:r>
                    <w:rPr>
                      <w:rFonts w:hint="eastAsia" w:ascii="Times New Roman" w:eastAsia="宋体"/>
                      <w:color w:val="auto"/>
                      <w:sz w:val="21"/>
                      <w:szCs w:val="21"/>
                      <w:lang w:eastAsia="zh-CN"/>
                    </w:rPr>
                    <w:t>32.49896</w:t>
                  </w:r>
                  <w:r>
                    <w:rPr>
                      <w:rFonts w:hint="eastAsia"/>
                      <w:color w:val="auto"/>
                      <w:sz w:val="21"/>
                      <w:szCs w:val="21"/>
                      <w:lang w:val="en-US" w:eastAsia="zh-CN"/>
                    </w:rPr>
                    <w:t>7</w:t>
                  </w:r>
                </w:p>
              </w:tc>
              <w:tc>
                <w:tcPr>
                  <w:tcW w:w="730" w:type="pct"/>
                  <w:vAlign w:val="center"/>
                </w:tcPr>
                <w:p w14:paraId="1E6DC386">
                  <w:pPr>
                    <w:keepNext w:val="0"/>
                    <w:keepLines w:val="0"/>
                    <w:pageBreakBefore w:val="0"/>
                    <w:widowControl w:val="0"/>
                    <w:kinsoku/>
                    <w:wordWrap/>
                    <w:overflowPunct/>
                    <w:topLinePunct w:val="0"/>
                    <w:autoSpaceDE/>
                    <w:autoSpaceDN/>
                    <w:bidi w:val="0"/>
                    <w:spacing w:before="0" w:beforeLines="0" w:after="0" w:afterLines="0" w:line="240" w:lineRule="auto"/>
                    <w:jc w:val="center"/>
                    <w:rPr>
                      <w:rFonts w:hint="default" w:ascii="Times New Roman" w:eastAsia="宋体"/>
                      <w:color w:val="auto"/>
                      <w:sz w:val="21"/>
                      <w:szCs w:val="21"/>
                      <w:lang w:val="en-US" w:eastAsia="zh-CN"/>
                    </w:rPr>
                  </w:pPr>
                  <w:r>
                    <w:rPr>
                      <w:rFonts w:hint="eastAsia"/>
                      <w:color w:val="auto"/>
                      <w:sz w:val="21"/>
                      <w:szCs w:val="21"/>
                      <w:lang w:val="en-US" w:eastAsia="zh-CN"/>
                    </w:rPr>
                    <w:t>5户/15人</w:t>
                  </w:r>
                </w:p>
              </w:tc>
              <w:tc>
                <w:tcPr>
                  <w:tcW w:w="428" w:type="pct"/>
                  <w:shd w:val="clear" w:color="auto" w:fill="auto"/>
                  <w:vAlign w:val="center"/>
                </w:tcPr>
                <w:p w14:paraId="053B8844">
                  <w:pPr>
                    <w:pStyle w:val="34"/>
                    <w:spacing w:before="24" w:after="24" w:line="240" w:lineRule="auto"/>
                    <w:ind w:firstLine="0" w:firstLineChars="0"/>
                    <w:rPr>
                      <w:rFonts w:ascii="Times New Roman" w:hAnsi="宋体" w:eastAsia="宋体" w:cs="Times New Roman"/>
                      <w:color w:val="auto"/>
                      <w:spacing w:val="-10"/>
                      <w:kern w:val="0"/>
                      <w:sz w:val="21"/>
                      <w:szCs w:val="21"/>
                      <w:lang w:val="en-US" w:eastAsia="zh-CN" w:bidi="ar-SA"/>
                    </w:rPr>
                  </w:pPr>
                  <w:r>
                    <w:rPr>
                      <w:rFonts w:hint="eastAsia" w:ascii="Times New Roman" w:eastAsia="宋体" w:cs="Times New Roman"/>
                      <w:color w:val="auto"/>
                      <w:spacing w:val="-10"/>
                      <w:kern w:val="0"/>
                      <w:sz w:val="21"/>
                      <w:szCs w:val="21"/>
                      <w:lang w:val="en-US" w:eastAsia="zh-CN" w:bidi="ar-SA"/>
                    </w:rPr>
                    <w:t>居住区</w:t>
                  </w:r>
                </w:p>
              </w:tc>
              <w:tc>
                <w:tcPr>
                  <w:tcW w:w="450" w:type="pct"/>
                  <w:shd w:val="clear" w:color="auto" w:fill="auto"/>
                  <w:vAlign w:val="center"/>
                </w:tcPr>
                <w:p w14:paraId="395964C7">
                  <w:pPr>
                    <w:spacing w:before="24" w:after="24"/>
                    <w:jc w:val="center"/>
                    <w:rPr>
                      <w:rFonts w:ascii="Times New Roman" w:hAnsi="Times New Roman" w:eastAsia="宋体" w:cs="Times New Roman"/>
                      <w:color w:val="auto"/>
                      <w:kern w:val="2"/>
                      <w:sz w:val="21"/>
                      <w:szCs w:val="21"/>
                      <w:lang w:val="en-US" w:eastAsia="zh-CN" w:bidi="ar-SA"/>
                    </w:rPr>
                  </w:pPr>
                  <w:r>
                    <w:rPr>
                      <w:rFonts w:hint="eastAsia"/>
                      <w:color w:val="auto"/>
                      <w:sz w:val="21"/>
                      <w:szCs w:val="21"/>
                    </w:rPr>
                    <w:t>人群</w:t>
                  </w:r>
                </w:p>
              </w:tc>
              <w:tc>
                <w:tcPr>
                  <w:tcW w:w="462" w:type="pct"/>
                  <w:vMerge w:val="restart"/>
                  <w:vAlign w:val="center"/>
                </w:tcPr>
                <w:p w14:paraId="7DB1592A">
                  <w:pPr>
                    <w:keepNext w:val="0"/>
                    <w:keepLines w:val="0"/>
                    <w:pageBreakBefore w:val="0"/>
                    <w:widowControl w:val="0"/>
                    <w:kinsoku/>
                    <w:wordWrap/>
                    <w:overflowPunct/>
                    <w:topLinePunct w:val="0"/>
                    <w:autoSpaceDE/>
                    <w:autoSpaceDN/>
                    <w:bidi w:val="0"/>
                    <w:spacing w:before="0" w:beforeLines="0" w:after="0" w:afterLines="0" w:line="240" w:lineRule="auto"/>
                    <w:jc w:val="center"/>
                    <w:rPr>
                      <w:rFonts w:ascii="Times New Roman" w:eastAsia="宋体"/>
                      <w:color w:val="auto"/>
                      <w:sz w:val="21"/>
                      <w:szCs w:val="21"/>
                    </w:rPr>
                  </w:pPr>
                  <w:r>
                    <w:rPr>
                      <w:rFonts w:hint="eastAsia" w:ascii="Times New Roman" w:eastAsia="宋体"/>
                      <w:color w:val="auto"/>
                      <w:sz w:val="21"/>
                      <w:szCs w:val="21"/>
                    </w:rPr>
                    <w:t>《环境空气质量标准》（GB3095-20</w:t>
                  </w:r>
                  <w:r>
                    <w:rPr>
                      <w:rFonts w:hint="eastAsia"/>
                      <w:color w:val="auto"/>
                      <w:sz w:val="21"/>
                      <w:szCs w:val="21"/>
                      <w:lang w:val="en-US" w:eastAsia="zh-CN"/>
                    </w:rPr>
                    <w:t>26</w:t>
                  </w:r>
                  <w:r>
                    <w:rPr>
                      <w:rFonts w:hint="eastAsia" w:ascii="Times New Roman" w:eastAsia="宋体"/>
                      <w:color w:val="auto"/>
                      <w:sz w:val="21"/>
                      <w:szCs w:val="21"/>
                    </w:rPr>
                    <w:t>）中二类区</w:t>
                  </w:r>
                </w:p>
              </w:tc>
              <w:tc>
                <w:tcPr>
                  <w:tcW w:w="442" w:type="pct"/>
                  <w:vAlign w:val="center"/>
                </w:tcPr>
                <w:p w14:paraId="514E97A7">
                  <w:pPr>
                    <w:keepNext w:val="0"/>
                    <w:keepLines w:val="0"/>
                    <w:pageBreakBefore w:val="0"/>
                    <w:widowControl w:val="0"/>
                    <w:kinsoku/>
                    <w:wordWrap/>
                    <w:overflowPunct/>
                    <w:topLinePunct w:val="0"/>
                    <w:autoSpaceDE/>
                    <w:autoSpaceDN/>
                    <w:bidi w:val="0"/>
                    <w:spacing w:line="240" w:lineRule="auto"/>
                    <w:jc w:val="center"/>
                    <w:rPr>
                      <w:rFonts w:hint="default" w:eastAsia="宋体"/>
                      <w:color w:val="auto"/>
                      <w:sz w:val="21"/>
                      <w:szCs w:val="21"/>
                      <w:lang w:val="en-US" w:eastAsia="zh-CN"/>
                    </w:rPr>
                  </w:pPr>
                  <w:r>
                    <w:rPr>
                      <w:rFonts w:hint="eastAsia"/>
                      <w:color w:val="auto"/>
                      <w:sz w:val="21"/>
                      <w:szCs w:val="21"/>
                      <w:lang w:val="en-US" w:eastAsia="zh-CN"/>
                    </w:rPr>
                    <w:t>NW</w:t>
                  </w:r>
                </w:p>
              </w:tc>
              <w:tc>
                <w:tcPr>
                  <w:tcW w:w="502" w:type="pct"/>
                  <w:vAlign w:val="center"/>
                </w:tcPr>
                <w:p w14:paraId="687CC7F1">
                  <w:pPr>
                    <w:keepNext w:val="0"/>
                    <w:keepLines w:val="0"/>
                    <w:pageBreakBefore w:val="0"/>
                    <w:widowControl w:val="0"/>
                    <w:kinsoku/>
                    <w:wordWrap/>
                    <w:overflowPunct/>
                    <w:topLinePunct w:val="0"/>
                    <w:autoSpaceDE/>
                    <w:autoSpaceDN/>
                    <w:bidi w:val="0"/>
                    <w:spacing w:line="240" w:lineRule="auto"/>
                    <w:jc w:val="center"/>
                    <w:rPr>
                      <w:rFonts w:hint="default" w:eastAsia="宋体"/>
                      <w:color w:val="auto"/>
                      <w:sz w:val="21"/>
                      <w:szCs w:val="21"/>
                      <w:lang w:val="en-US" w:eastAsia="zh-CN"/>
                    </w:rPr>
                  </w:pPr>
                  <w:r>
                    <w:rPr>
                      <w:rFonts w:hint="eastAsia"/>
                      <w:color w:val="auto"/>
                      <w:sz w:val="21"/>
                      <w:szCs w:val="21"/>
                      <w:lang w:val="en-US" w:eastAsia="zh-CN"/>
                    </w:rPr>
                    <w:t>6</w:t>
                  </w:r>
                </w:p>
              </w:tc>
            </w:tr>
            <w:tr w14:paraId="45BD9B2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640" w:type="pct"/>
                  <w:vAlign w:val="center"/>
                </w:tcPr>
                <w:p w14:paraId="537CC6A0">
                  <w:pPr>
                    <w:pStyle w:val="34"/>
                    <w:keepNext w:val="0"/>
                    <w:keepLines w:val="0"/>
                    <w:pageBreakBefore w:val="0"/>
                    <w:widowControl w:val="0"/>
                    <w:kinsoku/>
                    <w:wordWrap/>
                    <w:overflowPunct/>
                    <w:topLinePunct w:val="0"/>
                    <w:autoSpaceDE/>
                    <w:autoSpaceDN/>
                    <w:bidi w:val="0"/>
                    <w:spacing w:before="0" w:beforeLines="0" w:after="0" w:afterLines="0" w:line="240" w:lineRule="auto"/>
                    <w:rPr>
                      <w:rFonts w:hint="default" w:ascii="Times New Roman" w:eastAsia="宋体"/>
                      <w:color w:val="auto"/>
                      <w:sz w:val="21"/>
                      <w:szCs w:val="21"/>
                      <w:lang w:val="en-US" w:eastAsia="zh-CN"/>
                    </w:rPr>
                  </w:pPr>
                  <w:r>
                    <w:rPr>
                      <w:rFonts w:hint="eastAsia" w:ascii="Times New Roman" w:eastAsia="宋体"/>
                      <w:color w:val="auto"/>
                      <w:sz w:val="21"/>
                      <w:szCs w:val="21"/>
                      <w:lang w:val="en-US" w:eastAsia="zh-CN"/>
                    </w:rPr>
                    <w:t>谭港小区</w:t>
                  </w:r>
                </w:p>
              </w:tc>
              <w:tc>
                <w:tcPr>
                  <w:tcW w:w="688" w:type="pct"/>
                  <w:vAlign w:val="center"/>
                </w:tcPr>
                <w:p w14:paraId="6BAD9692">
                  <w:pPr>
                    <w:keepNext w:val="0"/>
                    <w:keepLines w:val="0"/>
                    <w:pageBreakBefore w:val="0"/>
                    <w:widowControl w:val="0"/>
                    <w:kinsoku/>
                    <w:wordWrap/>
                    <w:overflowPunct/>
                    <w:topLinePunct w:val="0"/>
                    <w:autoSpaceDE/>
                    <w:autoSpaceDN/>
                    <w:bidi w:val="0"/>
                    <w:spacing w:before="0" w:beforeLines="0" w:after="0" w:afterLines="0" w:line="240" w:lineRule="auto"/>
                    <w:jc w:val="center"/>
                    <w:rPr>
                      <w:rFonts w:hint="eastAsia" w:ascii="Times New Roman" w:eastAsia="宋体"/>
                      <w:color w:val="auto"/>
                      <w:sz w:val="21"/>
                      <w:szCs w:val="21"/>
                      <w:lang w:eastAsia="zh-CN"/>
                    </w:rPr>
                  </w:pPr>
                  <w:r>
                    <w:rPr>
                      <w:rFonts w:hint="eastAsia" w:ascii="Times New Roman" w:eastAsia="宋体"/>
                      <w:color w:val="auto"/>
                      <w:sz w:val="21"/>
                      <w:szCs w:val="21"/>
                      <w:lang w:eastAsia="zh-CN"/>
                    </w:rPr>
                    <w:t>120.42447</w:t>
                  </w:r>
                  <w:r>
                    <w:rPr>
                      <w:rFonts w:hint="eastAsia"/>
                      <w:color w:val="auto"/>
                      <w:sz w:val="21"/>
                      <w:szCs w:val="21"/>
                      <w:lang w:val="en-US" w:eastAsia="zh-CN"/>
                    </w:rPr>
                    <w:t>4</w:t>
                  </w:r>
                </w:p>
              </w:tc>
              <w:tc>
                <w:tcPr>
                  <w:tcW w:w="651" w:type="pct"/>
                  <w:vAlign w:val="center"/>
                </w:tcPr>
                <w:p w14:paraId="7D985898">
                  <w:pPr>
                    <w:keepNext w:val="0"/>
                    <w:keepLines w:val="0"/>
                    <w:pageBreakBefore w:val="0"/>
                    <w:widowControl w:val="0"/>
                    <w:kinsoku/>
                    <w:wordWrap/>
                    <w:overflowPunct/>
                    <w:topLinePunct w:val="0"/>
                    <w:autoSpaceDE/>
                    <w:autoSpaceDN/>
                    <w:bidi w:val="0"/>
                    <w:spacing w:before="0" w:beforeLines="0" w:after="0" w:afterLines="0" w:line="240" w:lineRule="auto"/>
                    <w:jc w:val="center"/>
                    <w:rPr>
                      <w:rFonts w:hint="eastAsia" w:ascii="Times New Roman" w:eastAsia="宋体"/>
                      <w:color w:val="auto"/>
                      <w:sz w:val="21"/>
                      <w:szCs w:val="21"/>
                      <w:lang w:eastAsia="zh-CN"/>
                    </w:rPr>
                  </w:pPr>
                  <w:r>
                    <w:rPr>
                      <w:rFonts w:hint="eastAsia" w:ascii="Times New Roman" w:eastAsia="宋体"/>
                      <w:color w:val="auto"/>
                      <w:sz w:val="21"/>
                      <w:szCs w:val="21"/>
                      <w:lang w:eastAsia="zh-CN"/>
                    </w:rPr>
                    <w:t>32.49633</w:t>
                  </w:r>
                  <w:r>
                    <w:rPr>
                      <w:rFonts w:hint="eastAsia"/>
                      <w:color w:val="auto"/>
                      <w:sz w:val="21"/>
                      <w:szCs w:val="21"/>
                      <w:lang w:val="en-US" w:eastAsia="zh-CN"/>
                    </w:rPr>
                    <w:t>2</w:t>
                  </w:r>
                </w:p>
              </w:tc>
              <w:tc>
                <w:tcPr>
                  <w:tcW w:w="730" w:type="pct"/>
                  <w:vAlign w:val="center"/>
                </w:tcPr>
                <w:p w14:paraId="15D5B695">
                  <w:pPr>
                    <w:keepNext w:val="0"/>
                    <w:keepLines w:val="0"/>
                    <w:pageBreakBefore w:val="0"/>
                    <w:widowControl w:val="0"/>
                    <w:kinsoku/>
                    <w:wordWrap/>
                    <w:overflowPunct/>
                    <w:topLinePunct w:val="0"/>
                    <w:autoSpaceDE/>
                    <w:autoSpaceDN/>
                    <w:bidi w:val="0"/>
                    <w:spacing w:before="0" w:beforeLines="0" w:after="0" w:afterLines="0" w:line="240" w:lineRule="auto"/>
                    <w:jc w:val="center"/>
                    <w:rPr>
                      <w:rFonts w:hint="default" w:ascii="Times New Roman" w:eastAsia="宋体"/>
                      <w:color w:val="auto"/>
                      <w:sz w:val="21"/>
                      <w:szCs w:val="21"/>
                      <w:lang w:val="en-US" w:eastAsia="zh-CN"/>
                    </w:rPr>
                  </w:pPr>
                  <w:r>
                    <w:rPr>
                      <w:rFonts w:hint="eastAsia"/>
                      <w:color w:val="auto"/>
                      <w:sz w:val="21"/>
                      <w:szCs w:val="21"/>
                      <w:lang w:val="en-US" w:eastAsia="zh-CN"/>
                    </w:rPr>
                    <w:t>440户/1320人</w:t>
                  </w:r>
                </w:p>
              </w:tc>
              <w:tc>
                <w:tcPr>
                  <w:tcW w:w="428" w:type="pct"/>
                  <w:vAlign w:val="center"/>
                </w:tcPr>
                <w:p w14:paraId="5616D434">
                  <w:pPr>
                    <w:pStyle w:val="34"/>
                    <w:spacing w:before="24" w:after="24" w:line="240" w:lineRule="auto"/>
                    <w:ind w:firstLine="0" w:firstLineChars="0"/>
                    <w:rPr>
                      <w:rFonts w:ascii="Times New Roman" w:eastAsia="宋体"/>
                      <w:color w:val="auto"/>
                      <w:sz w:val="21"/>
                      <w:szCs w:val="21"/>
                    </w:rPr>
                  </w:pPr>
                  <w:r>
                    <w:rPr>
                      <w:rFonts w:hint="eastAsia" w:ascii="Times New Roman" w:eastAsia="宋体" w:cs="Times New Roman"/>
                      <w:color w:val="auto"/>
                      <w:spacing w:val="-10"/>
                      <w:kern w:val="0"/>
                      <w:sz w:val="21"/>
                      <w:szCs w:val="21"/>
                      <w:lang w:val="en-US" w:eastAsia="zh-CN" w:bidi="ar-SA"/>
                    </w:rPr>
                    <w:t>居住区</w:t>
                  </w:r>
                </w:p>
              </w:tc>
              <w:tc>
                <w:tcPr>
                  <w:tcW w:w="450" w:type="pct"/>
                  <w:vAlign w:val="center"/>
                </w:tcPr>
                <w:p w14:paraId="620DD9F5">
                  <w:pPr>
                    <w:spacing w:before="24" w:after="24"/>
                    <w:jc w:val="center"/>
                    <w:rPr>
                      <w:color w:val="auto"/>
                      <w:sz w:val="21"/>
                      <w:szCs w:val="21"/>
                    </w:rPr>
                  </w:pPr>
                  <w:r>
                    <w:rPr>
                      <w:rFonts w:hint="eastAsia"/>
                      <w:color w:val="auto"/>
                      <w:sz w:val="21"/>
                      <w:szCs w:val="21"/>
                    </w:rPr>
                    <w:t>人群</w:t>
                  </w:r>
                </w:p>
              </w:tc>
              <w:tc>
                <w:tcPr>
                  <w:tcW w:w="462" w:type="pct"/>
                  <w:vMerge w:val="continue"/>
                  <w:vAlign w:val="center"/>
                </w:tcPr>
                <w:p w14:paraId="0A9F316E">
                  <w:pPr>
                    <w:keepNext w:val="0"/>
                    <w:keepLines w:val="0"/>
                    <w:pageBreakBefore w:val="0"/>
                    <w:widowControl w:val="0"/>
                    <w:kinsoku/>
                    <w:wordWrap/>
                    <w:overflowPunct/>
                    <w:topLinePunct w:val="0"/>
                    <w:autoSpaceDE/>
                    <w:autoSpaceDN/>
                    <w:bidi w:val="0"/>
                    <w:spacing w:before="0" w:beforeLines="0" w:after="0" w:afterLines="0" w:line="240" w:lineRule="auto"/>
                    <w:jc w:val="center"/>
                    <w:rPr>
                      <w:rFonts w:ascii="Times New Roman" w:eastAsia="宋体"/>
                      <w:color w:val="auto"/>
                      <w:sz w:val="21"/>
                      <w:szCs w:val="21"/>
                    </w:rPr>
                  </w:pPr>
                </w:p>
              </w:tc>
              <w:tc>
                <w:tcPr>
                  <w:tcW w:w="442" w:type="pct"/>
                  <w:vAlign w:val="center"/>
                </w:tcPr>
                <w:p w14:paraId="5A2D3B4E">
                  <w:pPr>
                    <w:keepNext w:val="0"/>
                    <w:keepLines w:val="0"/>
                    <w:pageBreakBefore w:val="0"/>
                    <w:widowControl w:val="0"/>
                    <w:kinsoku/>
                    <w:wordWrap/>
                    <w:overflowPunct/>
                    <w:topLinePunct w:val="0"/>
                    <w:autoSpaceDE/>
                    <w:autoSpaceDN/>
                    <w:bidi w:val="0"/>
                    <w:spacing w:line="240" w:lineRule="auto"/>
                    <w:jc w:val="center"/>
                    <w:rPr>
                      <w:rFonts w:hint="default" w:eastAsia="宋体"/>
                      <w:color w:val="auto"/>
                      <w:sz w:val="21"/>
                      <w:szCs w:val="21"/>
                      <w:lang w:val="en-US" w:eastAsia="zh-CN"/>
                    </w:rPr>
                  </w:pPr>
                  <w:r>
                    <w:rPr>
                      <w:rFonts w:hint="eastAsia"/>
                      <w:color w:val="auto"/>
                      <w:sz w:val="21"/>
                      <w:szCs w:val="21"/>
                      <w:lang w:val="en-US" w:eastAsia="zh-CN"/>
                    </w:rPr>
                    <w:t>SE</w:t>
                  </w:r>
                </w:p>
              </w:tc>
              <w:tc>
                <w:tcPr>
                  <w:tcW w:w="502" w:type="pct"/>
                  <w:vAlign w:val="center"/>
                </w:tcPr>
                <w:p w14:paraId="5A3EEA4E">
                  <w:pPr>
                    <w:keepNext w:val="0"/>
                    <w:keepLines w:val="0"/>
                    <w:pageBreakBefore w:val="0"/>
                    <w:widowControl w:val="0"/>
                    <w:kinsoku/>
                    <w:wordWrap/>
                    <w:overflowPunct/>
                    <w:topLinePunct w:val="0"/>
                    <w:autoSpaceDE/>
                    <w:autoSpaceDN/>
                    <w:bidi w:val="0"/>
                    <w:spacing w:line="240" w:lineRule="auto"/>
                    <w:jc w:val="center"/>
                    <w:rPr>
                      <w:rFonts w:hint="default" w:eastAsia="宋体"/>
                      <w:color w:val="auto"/>
                      <w:sz w:val="21"/>
                      <w:szCs w:val="21"/>
                      <w:lang w:val="en-US" w:eastAsia="zh-CN"/>
                    </w:rPr>
                  </w:pPr>
                  <w:r>
                    <w:rPr>
                      <w:rFonts w:hint="eastAsia"/>
                      <w:color w:val="auto"/>
                      <w:sz w:val="21"/>
                      <w:szCs w:val="21"/>
                      <w:lang w:val="en-US" w:eastAsia="zh-CN"/>
                    </w:rPr>
                    <w:t>360</w:t>
                  </w:r>
                </w:p>
              </w:tc>
            </w:tr>
            <w:tr w14:paraId="16D29F1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640" w:type="pct"/>
                  <w:vAlign w:val="center"/>
                </w:tcPr>
                <w:p w14:paraId="25543CD7">
                  <w:pPr>
                    <w:pStyle w:val="34"/>
                    <w:keepNext w:val="0"/>
                    <w:keepLines w:val="0"/>
                    <w:pageBreakBefore w:val="0"/>
                    <w:widowControl w:val="0"/>
                    <w:kinsoku/>
                    <w:wordWrap/>
                    <w:overflowPunct/>
                    <w:topLinePunct w:val="0"/>
                    <w:autoSpaceDE/>
                    <w:autoSpaceDN/>
                    <w:bidi w:val="0"/>
                    <w:spacing w:before="0" w:beforeLines="0" w:after="0" w:afterLines="0" w:line="240" w:lineRule="auto"/>
                    <w:rPr>
                      <w:rFonts w:hint="eastAsia" w:ascii="Times New Roman" w:eastAsia="宋体"/>
                      <w:color w:val="auto"/>
                      <w:sz w:val="21"/>
                      <w:szCs w:val="21"/>
                      <w:lang w:val="en-US" w:eastAsia="zh-CN"/>
                    </w:rPr>
                  </w:pPr>
                  <w:r>
                    <w:rPr>
                      <w:rFonts w:hint="eastAsia" w:ascii="Times New Roman" w:eastAsia="宋体"/>
                      <w:color w:val="auto"/>
                      <w:sz w:val="21"/>
                      <w:szCs w:val="21"/>
                      <w:lang w:val="en-US" w:eastAsia="zh-CN"/>
                    </w:rPr>
                    <w:t>吉姓庄</w:t>
                  </w:r>
                </w:p>
              </w:tc>
              <w:tc>
                <w:tcPr>
                  <w:tcW w:w="688" w:type="pct"/>
                  <w:vAlign w:val="center"/>
                </w:tcPr>
                <w:p w14:paraId="74055DEB">
                  <w:pPr>
                    <w:keepNext w:val="0"/>
                    <w:keepLines w:val="0"/>
                    <w:pageBreakBefore w:val="0"/>
                    <w:widowControl w:val="0"/>
                    <w:kinsoku/>
                    <w:wordWrap/>
                    <w:overflowPunct/>
                    <w:topLinePunct w:val="0"/>
                    <w:autoSpaceDE/>
                    <w:autoSpaceDN/>
                    <w:bidi w:val="0"/>
                    <w:spacing w:before="0" w:beforeLines="0" w:after="0" w:afterLines="0" w:line="240" w:lineRule="auto"/>
                    <w:jc w:val="center"/>
                    <w:rPr>
                      <w:rFonts w:hint="eastAsia" w:ascii="Times New Roman" w:eastAsia="宋体"/>
                      <w:color w:val="auto"/>
                      <w:sz w:val="21"/>
                      <w:szCs w:val="21"/>
                      <w:lang w:eastAsia="zh-CN"/>
                    </w:rPr>
                  </w:pPr>
                  <w:r>
                    <w:rPr>
                      <w:rFonts w:hint="eastAsia" w:ascii="Times New Roman" w:eastAsia="宋体"/>
                      <w:color w:val="auto"/>
                      <w:sz w:val="21"/>
                      <w:szCs w:val="21"/>
                      <w:lang w:eastAsia="zh-CN"/>
                    </w:rPr>
                    <w:t>120.41523</w:t>
                  </w:r>
                  <w:r>
                    <w:rPr>
                      <w:rFonts w:hint="eastAsia"/>
                      <w:color w:val="auto"/>
                      <w:sz w:val="21"/>
                      <w:szCs w:val="21"/>
                      <w:lang w:val="en-US" w:eastAsia="zh-CN"/>
                    </w:rPr>
                    <w:t>7</w:t>
                  </w:r>
                </w:p>
              </w:tc>
              <w:tc>
                <w:tcPr>
                  <w:tcW w:w="651" w:type="pct"/>
                  <w:vAlign w:val="center"/>
                </w:tcPr>
                <w:p w14:paraId="6B1820DB">
                  <w:pPr>
                    <w:keepNext w:val="0"/>
                    <w:keepLines w:val="0"/>
                    <w:pageBreakBefore w:val="0"/>
                    <w:widowControl w:val="0"/>
                    <w:kinsoku/>
                    <w:wordWrap/>
                    <w:overflowPunct/>
                    <w:topLinePunct w:val="0"/>
                    <w:autoSpaceDE/>
                    <w:autoSpaceDN/>
                    <w:bidi w:val="0"/>
                    <w:spacing w:before="0" w:beforeLines="0" w:after="0" w:afterLines="0" w:line="240" w:lineRule="auto"/>
                    <w:jc w:val="center"/>
                    <w:rPr>
                      <w:rFonts w:hint="eastAsia" w:ascii="Times New Roman" w:eastAsia="宋体"/>
                      <w:color w:val="auto"/>
                      <w:sz w:val="21"/>
                      <w:szCs w:val="21"/>
                      <w:lang w:eastAsia="zh-CN"/>
                    </w:rPr>
                  </w:pPr>
                  <w:r>
                    <w:rPr>
                      <w:rFonts w:hint="eastAsia" w:ascii="Times New Roman" w:eastAsia="宋体"/>
                      <w:color w:val="auto"/>
                      <w:sz w:val="21"/>
                      <w:szCs w:val="21"/>
                      <w:lang w:eastAsia="zh-CN"/>
                    </w:rPr>
                    <w:t>32.502159</w:t>
                  </w:r>
                </w:p>
              </w:tc>
              <w:tc>
                <w:tcPr>
                  <w:tcW w:w="730" w:type="pct"/>
                  <w:vAlign w:val="center"/>
                </w:tcPr>
                <w:p w14:paraId="7C42B9C7">
                  <w:pPr>
                    <w:keepNext w:val="0"/>
                    <w:keepLines w:val="0"/>
                    <w:pageBreakBefore w:val="0"/>
                    <w:widowControl w:val="0"/>
                    <w:kinsoku/>
                    <w:wordWrap/>
                    <w:overflowPunct/>
                    <w:topLinePunct w:val="0"/>
                    <w:autoSpaceDE/>
                    <w:autoSpaceDN/>
                    <w:bidi w:val="0"/>
                    <w:spacing w:before="0" w:beforeLines="0" w:after="0" w:afterLines="0" w:line="240" w:lineRule="auto"/>
                    <w:jc w:val="center"/>
                    <w:rPr>
                      <w:rFonts w:hint="eastAsia"/>
                      <w:color w:val="auto"/>
                      <w:sz w:val="21"/>
                      <w:szCs w:val="21"/>
                      <w:lang w:val="en-US" w:eastAsia="zh-CN"/>
                    </w:rPr>
                  </w:pPr>
                  <w:r>
                    <w:rPr>
                      <w:rFonts w:hint="eastAsia"/>
                      <w:color w:val="auto"/>
                      <w:sz w:val="21"/>
                      <w:szCs w:val="21"/>
                      <w:lang w:val="en-US" w:eastAsia="zh-CN"/>
                    </w:rPr>
                    <w:t>4户/12人</w:t>
                  </w:r>
                </w:p>
              </w:tc>
              <w:tc>
                <w:tcPr>
                  <w:tcW w:w="428" w:type="pct"/>
                  <w:shd w:val="clear" w:color="auto" w:fill="auto"/>
                  <w:vAlign w:val="center"/>
                </w:tcPr>
                <w:p w14:paraId="21F61080">
                  <w:pPr>
                    <w:pStyle w:val="34"/>
                    <w:spacing w:before="24" w:after="24" w:line="240" w:lineRule="auto"/>
                    <w:ind w:firstLine="0" w:firstLineChars="0"/>
                    <w:rPr>
                      <w:rFonts w:hint="eastAsia" w:ascii="Times New Roman" w:hAnsi="宋体" w:eastAsia="宋体" w:cs="Times New Roman"/>
                      <w:color w:val="auto"/>
                      <w:spacing w:val="-10"/>
                      <w:kern w:val="0"/>
                      <w:sz w:val="21"/>
                      <w:szCs w:val="21"/>
                      <w:lang w:val="en-US" w:eastAsia="zh-CN" w:bidi="ar"/>
                    </w:rPr>
                  </w:pPr>
                  <w:r>
                    <w:rPr>
                      <w:rFonts w:hint="eastAsia" w:ascii="Times New Roman" w:eastAsia="宋体" w:cs="Times New Roman"/>
                      <w:color w:val="auto"/>
                      <w:spacing w:val="-10"/>
                      <w:kern w:val="0"/>
                      <w:sz w:val="21"/>
                      <w:szCs w:val="21"/>
                      <w:lang w:val="en-US" w:eastAsia="zh-CN" w:bidi="ar-SA"/>
                    </w:rPr>
                    <w:t>居住区</w:t>
                  </w:r>
                </w:p>
              </w:tc>
              <w:tc>
                <w:tcPr>
                  <w:tcW w:w="450" w:type="pct"/>
                  <w:shd w:val="clear" w:color="auto" w:fill="auto"/>
                  <w:vAlign w:val="center"/>
                </w:tcPr>
                <w:p w14:paraId="63D7002F">
                  <w:pPr>
                    <w:spacing w:before="24" w:after="24"/>
                    <w:jc w:val="center"/>
                    <w:rPr>
                      <w:rFonts w:hint="eastAsia" w:ascii="Times New Roman" w:hAnsi="Times New Roman" w:eastAsia="宋体" w:cs="Times New Roman"/>
                      <w:color w:val="auto"/>
                      <w:kern w:val="2"/>
                      <w:sz w:val="21"/>
                      <w:szCs w:val="21"/>
                      <w:lang w:val="en-US" w:eastAsia="zh-CN" w:bidi="ar"/>
                    </w:rPr>
                  </w:pPr>
                  <w:r>
                    <w:rPr>
                      <w:rFonts w:hint="eastAsia"/>
                      <w:color w:val="auto"/>
                      <w:sz w:val="21"/>
                      <w:szCs w:val="21"/>
                    </w:rPr>
                    <w:t>人群</w:t>
                  </w:r>
                </w:p>
              </w:tc>
              <w:tc>
                <w:tcPr>
                  <w:tcW w:w="462" w:type="pct"/>
                  <w:vMerge w:val="continue"/>
                  <w:vAlign w:val="center"/>
                </w:tcPr>
                <w:p w14:paraId="28BE2D31">
                  <w:pPr>
                    <w:keepNext w:val="0"/>
                    <w:keepLines w:val="0"/>
                    <w:pageBreakBefore w:val="0"/>
                    <w:widowControl w:val="0"/>
                    <w:kinsoku/>
                    <w:wordWrap/>
                    <w:overflowPunct/>
                    <w:topLinePunct w:val="0"/>
                    <w:autoSpaceDE/>
                    <w:autoSpaceDN/>
                    <w:bidi w:val="0"/>
                    <w:spacing w:before="0" w:beforeLines="0" w:after="0" w:afterLines="0" w:line="240" w:lineRule="auto"/>
                    <w:jc w:val="center"/>
                    <w:rPr>
                      <w:rFonts w:ascii="Times New Roman" w:eastAsia="宋体"/>
                      <w:color w:val="auto"/>
                      <w:sz w:val="21"/>
                      <w:szCs w:val="21"/>
                    </w:rPr>
                  </w:pPr>
                </w:p>
              </w:tc>
              <w:tc>
                <w:tcPr>
                  <w:tcW w:w="442" w:type="pct"/>
                  <w:vAlign w:val="center"/>
                </w:tcPr>
                <w:p w14:paraId="7A2EFD16">
                  <w:pPr>
                    <w:keepNext w:val="0"/>
                    <w:keepLines w:val="0"/>
                    <w:pageBreakBefore w:val="0"/>
                    <w:widowControl w:val="0"/>
                    <w:kinsoku/>
                    <w:wordWrap/>
                    <w:overflowPunct/>
                    <w:topLinePunct w:val="0"/>
                    <w:autoSpaceDE/>
                    <w:autoSpaceDN/>
                    <w:bidi w:val="0"/>
                    <w:spacing w:line="240" w:lineRule="auto"/>
                    <w:jc w:val="center"/>
                    <w:rPr>
                      <w:rFonts w:hint="eastAsia"/>
                      <w:color w:val="auto"/>
                      <w:sz w:val="21"/>
                      <w:szCs w:val="21"/>
                      <w:lang w:val="en-US" w:eastAsia="zh-CN"/>
                    </w:rPr>
                  </w:pPr>
                  <w:r>
                    <w:rPr>
                      <w:rFonts w:hint="eastAsia"/>
                      <w:color w:val="auto"/>
                      <w:sz w:val="21"/>
                      <w:szCs w:val="21"/>
                      <w:lang w:val="en-US" w:eastAsia="zh-CN"/>
                    </w:rPr>
                    <w:t>NW</w:t>
                  </w:r>
                </w:p>
              </w:tc>
              <w:tc>
                <w:tcPr>
                  <w:tcW w:w="502" w:type="pct"/>
                  <w:vAlign w:val="center"/>
                </w:tcPr>
                <w:p w14:paraId="63DC761C">
                  <w:pPr>
                    <w:keepNext w:val="0"/>
                    <w:keepLines w:val="0"/>
                    <w:pageBreakBefore w:val="0"/>
                    <w:widowControl w:val="0"/>
                    <w:kinsoku/>
                    <w:wordWrap/>
                    <w:overflowPunct/>
                    <w:topLinePunct w:val="0"/>
                    <w:autoSpaceDE/>
                    <w:autoSpaceDN/>
                    <w:bidi w:val="0"/>
                    <w:spacing w:line="240" w:lineRule="auto"/>
                    <w:jc w:val="center"/>
                    <w:rPr>
                      <w:rFonts w:hint="default"/>
                      <w:color w:val="auto"/>
                      <w:sz w:val="21"/>
                      <w:szCs w:val="21"/>
                      <w:lang w:val="en-US" w:eastAsia="zh-CN"/>
                    </w:rPr>
                  </w:pPr>
                  <w:r>
                    <w:rPr>
                      <w:rFonts w:hint="eastAsia"/>
                      <w:color w:val="auto"/>
                      <w:sz w:val="21"/>
                      <w:szCs w:val="21"/>
                      <w:lang w:val="en-US" w:eastAsia="zh-CN"/>
                    </w:rPr>
                    <w:t>450</w:t>
                  </w:r>
                </w:p>
              </w:tc>
            </w:tr>
            <w:tr w14:paraId="4E0D69E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640" w:type="pct"/>
                  <w:vAlign w:val="center"/>
                </w:tcPr>
                <w:p w14:paraId="117DFEC7">
                  <w:pPr>
                    <w:pStyle w:val="34"/>
                    <w:keepNext w:val="0"/>
                    <w:keepLines w:val="0"/>
                    <w:pageBreakBefore w:val="0"/>
                    <w:widowControl w:val="0"/>
                    <w:kinsoku/>
                    <w:wordWrap/>
                    <w:overflowPunct/>
                    <w:topLinePunct w:val="0"/>
                    <w:autoSpaceDE/>
                    <w:autoSpaceDN/>
                    <w:bidi w:val="0"/>
                    <w:spacing w:before="0" w:beforeLines="0" w:after="0" w:afterLines="0" w:line="240" w:lineRule="auto"/>
                    <w:rPr>
                      <w:rFonts w:hint="default" w:ascii="Times New Roman" w:eastAsia="宋体"/>
                      <w:color w:val="auto"/>
                      <w:sz w:val="21"/>
                      <w:szCs w:val="21"/>
                      <w:lang w:val="en-US" w:eastAsia="zh-CN"/>
                    </w:rPr>
                  </w:pPr>
                  <w:r>
                    <w:rPr>
                      <w:rFonts w:hint="eastAsia" w:ascii="Times New Roman" w:eastAsia="宋体"/>
                      <w:color w:val="auto"/>
                      <w:sz w:val="21"/>
                      <w:szCs w:val="21"/>
                      <w:lang w:val="en-US" w:eastAsia="zh-CN"/>
                    </w:rPr>
                    <w:t>杨家套</w:t>
                  </w:r>
                </w:p>
              </w:tc>
              <w:tc>
                <w:tcPr>
                  <w:tcW w:w="688" w:type="pct"/>
                  <w:vAlign w:val="center"/>
                </w:tcPr>
                <w:p w14:paraId="207928A7">
                  <w:pPr>
                    <w:keepNext w:val="0"/>
                    <w:keepLines w:val="0"/>
                    <w:pageBreakBefore w:val="0"/>
                    <w:widowControl w:val="0"/>
                    <w:kinsoku/>
                    <w:wordWrap/>
                    <w:overflowPunct/>
                    <w:topLinePunct w:val="0"/>
                    <w:autoSpaceDE/>
                    <w:autoSpaceDN/>
                    <w:bidi w:val="0"/>
                    <w:spacing w:before="0" w:beforeLines="0" w:after="0" w:afterLines="0" w:line="240" w:lineRule="auto"/>
                    <w:jc w:val="center"/>
                    <w:rPr>
                      <w:rFonts w:hint="eastAsia" w:ascii="Times New Roman" w:eastAsia="宋体"/>
                      <w:color w:val="auto"/>
                      <w:sz w:val="21"/>
                      <w:szCs w:val="21"/>
                      <w:lang w:eastAsia="zh-CN"/>
                    </w:rPr>
                  </w:pPr>
                  <w:r>
                    <w:rPr>
                      <w:rFonts w:hint="eastAsia" w:ascii="Times New Roman" w:eastAsia="宋体"/>
                      <w:color w:val="auto"/>
                      <w:sz w:val="21"/>
                      <w:szCs w:val="21"/>
                      <w:lang w:eastAsia="zh-CN"/>
                    </w:rPr>
                    <w:t>120.4215276</w:t>
                  </w:r>
                </w:p>
              </w:tc>
              <w:tc>
                <w:tcPr>
                  <w:tcW w:w="651" w:type="pct"/>
                  <w:vAlign w:val="center"/>
                </w:tcPr>
                <w:p w14:paraId="3F037A6E">
                  <w:pPr>
                    <w:keepNext w:val="0"/>
                    <w:keepLines w:val="0"/>
                    <w:pageBreakBefore w:val="0"/>
                    <w:widowControl w:val="0"/>
                    <w:kinsoku/>
                    <w:wordWrap/>
                    <w:overflowPunct/>
                    <w:topLinePunct w:val="0"/>
                    <w:autoSpaceDE/>
                    <w:autoSpaceDN/>
                    <w:bidi w:val="0"/>
                    <w:spacing w:before="0" w:beforeLines="0" w:after="0" w:afterLines="0" w:line="240" w:lineRule="auto"/>
                    <w:jc w:val="center"/>
                    <w:rPr>
                      <w:rFonts w:hint="eastAsia" w:ascii="Times New Roman" w:eastAsia="宋体"/>
                      <w:color w:val="auto"/>
                      <w:sz w:val="21"/>
                      <w:szCs w:val="21"/>
                      <w:lang w:eastAsia="zh-CN"/>
                    </w:rPr>
                  </w:pPr>
                  <w:r>
                    <w:rPr>
                      <w:rFonts w:hint="eastAsia" w:ascii="Times New Roman" w:eastAsia="宋体"/>
                      <w:color w:val="auto"/>
                      <w:sz w:val="21"/>
                      <w:szCs w:val="21"/>
                      <w:lang w:eastAsia="zh-CN"/>
                    </w:rPr>
                    <w:t>32.502588</w:t>
                  </w:r>
                  <w:r>
                    <w:rPr>
                      <w:rFonts w:hint="eastAsia"/>
                      <w:color w:val="auto"/>
                      <w:sz w:val="21"/>
                      <w:szCs w:val="21"/>
                      <w:lang w:val="en-US" w:eastAsia="zh-CN"/>
                    </w:rPr>
                    <w:t>7</w:t>
                  </w:r>
                </w:p>
              </w:tc>
              <w:tc>
                <w:tcPr>
                  <w:tcW w:w="730" w:type="pct"/>
                  <w:vAlign w:val="center"/>
                </w:tcPr>
                <w:p w14:paraId="7CB061A8">
                  <w:pPr>
                    <w:keepNext w:val="0"/>
                    <w:keepLines w:val="0"/>
                    <w:pageBreakBefore w:val="0"/>
                    <w:widowControl w:val="0"/>
                    <w:kinsoku/>
                    <w:wordWrap/>
                    <w:overflowPunct/>
                    <w:topLinePunct w:val="0"/>
                    <w:autoSpaceDE/>
                    <w:autoSpaceDN/>
                    <w:bidi w:val="0"/>
                    <w:spacing w:before="0" w:beforeLines="0" w:after="0" w:afterLines="0" w:line="240" w:lineRule="auto"/>
                    <w:jc w:val="center"/>
                    <w:rPr>
                      <w:rFonts w:hint="eastAsia"/>
                      <w:color w:val="auto"/>
                      <w:sz w:val="21"/>
                      <w:szCs w:val="21"/>
                      <w:lang w:val="en-US" w:eastAsia="zh-CN"/>
                    </w:rPr>
                  </w:pPr>
                  <w:r>
                    <w:rPr>
                      <w:rFonts w:hint="eastAsia"/>
                      <w:color w:val="auto"/>
                      <w:sz w:val="21"/>
                      <w:szCs w:val="21"/>
                      <w:lang w:val="en-US" w:eastAsia="zh-CN"/>
                    </w:rPr>
                    <w:t>2户/6人</w:t>
                  </w:r>
                </w:p>
              </w:tc>
              <w:tc>
                <w:tcPr>
                  <w:tcW w:w="428" w:type="pct"/>
                  <w:shd w:val="clear" w:color="auto" w:fill="auto"/>
                  <w:vAlign w:val="center"/>
                </w:tcPr>
                <w:p w14:paraId="26D819B0">
                  <w:pPr>
                    <w:pStyle w:val="34"/>
                    <w:spacing w:before="24" w:after="24" w:line="240" w:lineRule="auto"/>
                    <w:ind w:firstLine="0" w:firstLineChars="0"/>
                    <w:rPr>
                      <w:rFonts w:hint="eastAsia" w:ascii="Times New Roman" w:hAnsi="宋体" w:eastAsia="宋体" w:cs="Times New Roman"/>
                      <w:color w:val="auto"/>
                      <w:spacing w:val="-10"/>
                      <w:kern w:val="0"/>
                      <w:sz w:val="21"/>
                      <w:szCs w:val="21"/>
                      <w:lang w:val="en-US" w:eastAsia="zh-CN" w:bidi="ar"/>
                    </w:rPr>
                  </w:pPr>
                  <w:r>
                    <w:rPr>
                      <w:rFonts w:hint="eastAsia" w:ascii="Times New Roman" w:eastAsia="宋体" w:cs="Times New Roman"/>
                      <w:color w:val="auto"/>
                      <w:spacing w:val="-10"/>
                      <w:kern w:val="0"/>
                      <w:sz w:val="21"/>
                      <w:szCs w:val="21"/>
                      <w:lang w:val="en-US" w:eastAsia="zh-CN" w:bidi="ar-SA"/>
                    </w:rPr>
                    <w:t>居住区</w:t>
                  </w:r>
                </w:p>
              </w:tc>
              <w:tc>
                <w:tcPr>
                  <w:tcW w:w="450" w:type="pct"/>
                  <w:shd w:val="clear" w:color="auto" w:fill="auto"/>
                  <w:vAlign w:val="center"/>
                </w:tcPr>
                <w:p w14:paraId="50478093">
                  <w:pPr>
                    <w:spacing w:before="24" w:after="24"/>
                    <w:jc w:val="center"/>
                    <w:rPr>
                      <w:rFonts w:hint="eastAsia" w:ascii="Times New Roman" w:hAnsi="Times New Roman" w:eastAsia="宋体" w:cs="Times New Roman"/>
                      <w:color w:val="auto"/>
                      <w:kern w:val="2"/>
                      <w:sz w:val="21"/>
                      <w:szCs w:val="21"/>
                      <w:lang w:val="en-US" w:eastAsia="zh-CN" w:bidi="ar"/>
                    </w:rPr>
                  </w:pPr>
                  <w:r>
                    <w:rPr>
                      <w:rFonts w:hint="eastAsia"/>
                      <w:color w:val="auto"/>
                      <w:sz w:val="21"/>
                      <w:szCs w:val="21"/>
                    </w:rPr>
                    <w:t>人群</w:t>
                  </w:r>
                </w:p>
              </w:tc>
              <w:tc>
                <w:tcPr>
                  <w:tcW w:w="462" w:type="pct"/>
                  <w:vMerge w:val="continue"/>
                  <w:vAlign w:val="center"/>
                </w:tcPr>
                <w:p w14:paraId="0BEAF955">
                  <w:pPr>
                    <w:keepNext w:val="0"/>
                    <w:keepLines w:val="0"/>
                    <w:pageBreakBefore w:val="0"/>
                    <w:widowControl w:val="0"/>
                    <w:kinsoku/>
                    <w:wordWrap/>
                    <w:overflowPunct/>
                    <w:topLinePunct w:val="0"/>
                    <w:autoSpaceDE/>
                    <w:autoSpaceDN/>
                    <w:bidi w:val="0"/>
                    <w:spacing w:before="0" w:beforeLines="0" w:after="0" w:afterLines="0" w:line="240" w:lineRule="auto"/>
                    <w:jc w:val="center"/>
                    <w:rPr>
                      <w:rFonts w:ascii="Times New Roman" w:eastAsia="宋体"/>
                      <w:color w:val="auto"/>
                      <w:sz w:val="21"/>
                      <w:szCs w:val="21"/>
                    </w:rPr>
                  </w:pPr>
                </w:p>
              </w:tc>
              <w:tc>
                <w:tcPr>
                  <w:tcW w:w="442" w:type="pct"/>
                  <w:vAlign w:val="center"/>
                </w:tcPr>
                <w:p w14:paraId="39DFEBE5">
                  <w:pPr>
                    <w:keepNext w:val="0"/>
                    <w:keepLines w:val="0"/>
                    <w:pageBreakBefore w:val="0"/>
                    <w:widowControl w:val="0"/>
                    <w:kinsoku/>
                    <w:wordWrap/>
                    <w:overflowPunct/>
                    <w:topLinePunct w:val="0"/>
                    <w:autoSpaceDE/>
                    <w:autoSpaceDN/>
                    <w:bidi w:val="0"/>
                    <w:spacing w:line="240" w:lineRule="auto"/>
                    <w:jc w:val="center"/>
                    <w:rPr>
                      <w:rFonts w:hint="default"/>
                      <w:color w:val="auto"/>
                      <w:sz w:val="21"/>
                      <w:szCs w:val="21"/>
                      <w:lang w:val="en-US" w:eastAsia="zh-CN"/>
                    </w:rPr>
                  </w:pPr>
                  <w:r>
                    <w:rPr>
                      <w:rFonts w:hint="eastAsia"/>
                      <w:color w:val="auto"/>
                      <w:sz w:val="21"/>
                      <w:szCs w:val="21"/>
                      <w:lang w:val="en-US" w:eastAsia="zh-CN"/>
                    </w:rPr>
                    <w:t>NE</w:t>
                  </w:r>
                </w:p>
              </w:tc>
              <w:tc>
                <w:tcPr>
                  <w:tcW w:w="502" w:type="pct"/>
                  <w:vAlign w:val="center"/>
                </w:tcPr>
                <w:p w14:paraId="2B31126F">
                  <w:pPr>
                    <w:keepNext w:val="0"/>
                    <w:keepLines w:val="0"/>
                    <w:pageBreakBefore w:val="0"/>
                    <w:widowControl w:val="0"/>
                    <w:kinsoku/>
                    <w:wordWrap/>
                    <w:overflowPunct/>
                    <w:topLinePunct w:val="0"/>
                    <w:autoSpaceDE/>
                    <w:autoSpaceDN/>
                    <w:bidi w:val="0"/>
                    <w:spacing w:line="240" w:lineRule="auto"/>
                    <w:jc w:val="center"/>
                    <w:rPr>
                      <w:rFonts w:hint="default"/>
                      <w:color w:val="auto"/>
                      <w:sz w:val="21"/>
                      <w:szCs w:val="21"/>
                      <w:lang w:val="en-US" w:eastAsia="zh-CN"/>
                    </w:rPr>
                  </w:pPr>
                  <w:r>
                    <w:rPr>
                      <w:rFonts w:hint="eastAsia"/>
                      <w:color w:val="auto"/>
                      <w:sz w:val="21"/>
                      <w:szCs w:val="21"/>
                      <w:lang w:val="en-US" w:eastAsia="zh-CN"/>
                    </w:rPr>
                    <w:t>410</w:t>
                  </w:r>
                </w:p>
              </w:tc>
            </w:tr>
            <w:tr w14:paraId="6FD0766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640" w:type="pct"/>
                  <w:vAlign w:val="center"/>
                </w:tcPr>
                <w:p w14:paraId="73C07AE5">
                  <w:pPr>
                    <w:pStyle w:val="34"/>
                    <w:keepNext w:val="0"/>
                    <w:keepLines w:val="0"/>
                    <w:pageBreakBefore w:val="0"/>
                    <w:widowControl w:val="0"/>
                    <w:kinsoku/>
                    <w:wordWrap/>
                    <w:overflowPunct/>
                    <w:topLinePunct w:val="0"/>
                    <w:autoSpaceDE/>
                    <w:autoSpaceDN/>
                    <w:bidi w:val="0"/>
                    <w:spacing w:before="0" w:beforeLines="0" w:after="0" w:afterLines="0" w:line="240" w:lineRule="auto"/>
                    <w:rPr>
                      <w:rFonts w:hint="eastAsia" w:ascii="Times New Roman" w:eastAsia="宋体"/>
                      <w:color w:val="auto"/>
                      <w:sz w:val="21"/>
                      <w:szCs w:val="21"/>
                      <w:lang w:val="en-US" w:eastAsia="zh-CN"/>
                    </w:rPr>
                  </w:pPr>
                  <w:r>
                    <w:rPr>
                      <w:rFonts w:hint="eastAsia" w:ascii="Times New Roman" w:eastAsia="宋体"/>
                      <w:color w:val="auto"/>
                      <w:sz w:val="21"/>
                      <w:szCs w:val="21"/>
                      <w:lang w:val="en-US" w:eastAsia="zh-CN"/>
                    </w:rPr>
                    <w:t>东南侧居民</w:t>
                  </w:r>
                </w:p>
              </w:tc>
              <w:tc>
                <w:tcPr>
                  <w:tcW w:w="688" w:type="pct"/>
                  <w:vAlign w:val="center"/>
                </w:tcPr>
                <w:p w14:paraId="3E82A3D9">
                  <w:pPr>
                    <w:keepNext w:val="0"/>
                    <w:keepLines w:val="0"/>
                    <w:pageBreakBefore w:val="0"/>
                    <w:widowControl w:val="0"/>
                    <w:kinsoku/>
                    <w:wordWrap/>
                    <w:overflowPunct/>
                    <w:topLinePunct w:val="0"/>
                    <w:autoSpaceDE/>
                    <w:autoSpaceDN/>
                    <w:bidi w:val="0"/>
                    <w:spacing w:before="0" w:beforeLines="0" w:after="0" w:afterLines="0" w:line="240" w:lineRule="auto"/>
                    <w:jc w:val="center"/>
                    <w:rPr>
                      <w:rFonts w:hint="eastAsia" w:ascii="Times New Roman" w:eastAsia="宋体"/>
                      <w:color w:val="auto"/>
                      <w:sz w:val="21"/>
                      <w:szCs w:val="21"/>
                      <w:lang w:eastAsia="zh-CN"/>
                    </w:rPr>
                  </w:pPr>
                  <w:r>
                    <w:rPr>
                      <w:rFonts w:hint="eastAsia" w:ascii="Times New Roman" w:eastAsia="宋体"/>
                      <w:color w:val="auto"/>
                      <w:sz w:val="21"/>
                      <w:szCs w:val="21"/>
                      <w:lang w:eastAsia="zh-CN"/>
                    </w:rPr>
                    <w:t>120.4249926</w:t>
                  </w:r>
                </w:p>
              </w:tc>
              <w:tc>
                <w:tcPr>
                  <w:tcW w:w="651" w:type="pct"/>
                  <w:vAlign w:val="center"/>
                </w:tcPr>
                <w:p w14:paraId="0C3F2FC1">
                  <w:pPr>
                    <w:keepNext w:val="0"/>
                    <w:keepLines w:val="0"/>
                    <w:pageBreakBefore w:val="0"/>
                    <w:widowControl w:val="0"/>
                    <w:kinsoku/>
                    <w:wordWrap/>
                    <w:overflowPunct/>
                    <w:topLinePunct w:val="0"/>
                    <w:autoSpaceDE/>
                    <w:autoSpaceDN/>
                    <w:bidi w:val="0"/>
                    <w:spacing w:before="0" w:beforeLines="0" w:after="0" w:afterLines="0" w:line="240" w:lineRule="auto"/>
                    <w:jc w:val="center"/>
                    <w:rPr>
                      <w:rFonts w:hint="eastAsia" w:ascii="Times New Roman" w:eastAsia="宋体"/>
                      <w:color w:val="auto"/>
                      <w:sz w:val="21"/>
                      <w:szCs w:val="21"/>
                      <w:lang w:eastAsia="zh-CN"/>
                    </w:rPr>
                  </w:pPr>
                  <w:r>
                    <w:rPr>
                      <w:rFonts w:hint="eastAsia" w:ascii="Times New Roman" w:eastAsia="宋体"/>
                      <w:color w:val="auto"/>
                      <w:sz w:val="21"/>
                      <w:szCs w:val="21"/>
                      <w:lang w:eastAsia="zh-CN"/>
                    </w:rPr>
                    <w:t>32.497300</w:t>
                  </w:r>
                  <w:r>
                    <w:rPr>
                      <w:rFonts w:hint="eastAsia"/>
                      <w:color w:val="auto"/>
                      <w:sz w:val="21"/>
                      <w:szCs w:val="21"/>
                      <w:lang w:val="en-US" w:eastAsia="zh-CN"/>
                    </w:rPr>
                    <w:t>4</w:t>
                  </w:r>
                </w:p>
              </w:tc>
              <w:tc>
                <w:tcPr>
                  <w:tcW w:w="730" w:type="pct"/>
                  <w:vAlign w:val="center"/>
                </w:tcPr>
                <w:p w14:paraId="3C3EA571">
                  <w:pPr>
                    <w:keepNext w:val="0"/>
                    <w:keepLines w:val="0"/>
                    <w:pageBreakBefore w:val="0"/>
                    <w:widowControl w:val="0"/>
                    <w:kinsoku/>
                    <w:wordWrap/>
                    <w:overflowPunct/>
                    <w:topLinePunct w:val="0"/>
                    <w:autoSpaceDE/>
                    <w:autoSpaceDN/>
                    <w:bidi w:val="0"/>
                    <w:spacing w:before="0" w:beforeLines="0" w:after="0" w:afterLines="0" w:line="240" w:lineRule="auto"/>
                    <w:jc w:val="center"/>
                    <w:rPr>
                      <w:rFonts w:hint="eastAsia"/>
                      <w:color w:val="auto"/>
                      <w:sz w:val="21"/>
                      <w:szCs w:val="21"/>
                      <w:lang w:val="en-US" w:eastAsia="zh-CN"/>
                    </w:rPr>
                  </w:pPr>
                  <w:r>
                    <w:rPr>
                      <w:rFonts w:hint="eastAsia"/>
                      <w:color w:val="auto"/>
                      <w:sz w:val="21"/>
                      <w:szCs w:val="21"/>
                      <w:lang w:val="en-US" w:eastAsia="zh-CN"/>
                    </w:rPr>
                    <w:t>1户/3人</w:t>
                  </w:r>
                </w:p>
              </w:tc>
              <w:tc>
                <w:tcPr>
                  <w:tcW w:w="428" w:type="pct"/>
                  <w:shd w:val="clear" w:color="auto" w:fill="auto"/>
                  <w:vAlign w:val="center"/>
                </w:tcPr>
                <w:p w14:paraId="6A4D5EB7">
                  <w:pPr>
                    <w:pStyle w:val="34"/>
                    <w:spacing w:before="24" w:after="24" w:line="240" w:lineRule="auto"/>
                    <w:ind w:firstLine="0" w:firstLineChars="0"/>
                    <w:rPr>
                      <w:rFonts w:hint="eastAsia" w:ascii="Times New Roman" w:hAnsi="宋体" w:eastAsia="宋体" w:cs="Times New Roman"/>
                      <w:color w:val="auto"/>
                      <w:spacing w:val="-10"/>
                      <w:kern w:val="0"/>
                      <w:sz w:val="21"/>
                      <w:szCs w:val="21"/>
                      <w:lang w:val="en-US" w:eastAsia="zh-CN" w:bidi="ar"/>
                    </w:rPr>
                  </w:pPr>
                  <w:r>
                    <w:rPr>
                      <w:rFonts w:hint="eastAsia" w:ascii="Times New Roman" w:eastAsia="宋体" w:cs="Times New Roman"/>
                      <w:color w:val="auto"/>
                      <w:spacing w:val="-10"/>
                      <w:kern w:val="0"/>
                      <w:sz w:val="21"/>
                      <w:szCs w:val="21"/>
                      <w:lang w:val="en-US" w:eastAsia="zh-CN" w:bidi="ar-SA"/>
                    </w:rPr>
                    <w:t>居住区</w:t>
                  </w:r>
                </w:p>
              </w:tc>
              <w:tc>
                <w:tcPr>
                  <w:tcW w:w="450" w:type="pct"/>
                  <w:shd w:val="clear" w:color="auto" w:fill="auto"/>
                  <w:vAlign w:val="center"/>
                </w:tcPr>
                <w:p w14:paraId="563CCBFD">
                  <w:pPr>
                    <w:spacing w:before="24" w:after="24"/>
                    <w:jc w:val="center"/>
                    <w:rPr>
                      <w:rFonts w:hint="eastAsia" w:ascii="Times New Roman" w:hAnsi="Times New Roman" w:eastAsia="宋体" w:cs="Times New Roman"/>
                      <w:color w:val="auto"/>
                      <w:kern w:val="2"/>
                      <w:sz w:val="21"/>
                      <w:szCs w:val="21"/>
                      <w:lang w:val="en-US" w:eastAsia="zh-CN" w:bidi="ar"/>
                    </w:rPr>
                  </w:pPr>
                  <w:r>
                    <w:rPr>
                      <w:rFonts w:hint="eastAsia"/>
                      <w:color w:val="auto"/>
                      <w:sz w:val="21"/>
                      <w:szCs w:val="21"/>
                    </w:rPr>
                    <w:t>人群</w:t>
                  </w:r>
                </w:p>
              </w:tc>
              <w:tc>
                <w:tcPr>
                  <w:tcW w:w="462" w:type="pct"/>
                  <w:vMerge w:val="continue"/>
                  <w:vAlign w:val="center"/>
                </w:tcPr>
                <w:p w14:paraId="795ACB04">
                  <w:pPr>
                    <w:keepNext w:val="0"/>
                    <w:keepLines w:val="0"/>
                    <w:pageBreakBefore w:val="0"/>
                    <w:widowControl w:val="0"/>
                    <w:kinsoku/>
                    <w:wordWrap/>
                    <w:overflowPunct/>
                    <w:topLinePunct w:val="0"/>
                    <w:autoSpaceDE/>
                    <w:autoSpaceDN/>
                    <w:bidi w:val="0"/>
                    <w:spacing w:before="0" w:beforeLines="0" w:after="0" w:afterLines="0" w:line="240" w:lineRule="auto"/>
                    <w:jc w:val="center"/>
                    <w:rPr>
                      <w:rFonts w:ascii="Times New Roman" w:eastAsia="宋体"/>
                      <w:color w:val="auto"/>
                      <w:sz w:val="21"/>
                      <w:szCs w:val="21"/>
                    </w:rPr>
                  </w:pPr>
                </w:p>
              </w:tc>
              <w:tc>
                <w:tcPr>
                  <w:tcW w:w="442" w:type="pct"/>
                  <w:vAlign w:val="center"/>
                </w:tcPr>
                <w:p w14:paraId="1734BCFA">
                  <w:pPr>
                    <w:keepNext w:val="0"/>
                    <w:keepLines w:val="0"/>
                    <w:pageBreakBefore w:val="0"/>
                    <w:widowControl w:val="0"/>
                    <w:kinsoku/>
                    <w:wordWrap/>
                    <w:overflowPunct/>
                    <w:topLinePunct w:val="0"/>
                    <w:autoSpaceDE/>
                    <w:autoSpaceDN/>
                    <w:bidi w:val="0"/>
                    <w:spacing w:line="240" w:lineRule="auto"/>
                    <w:jc w:val="center"/>
                    <w:rPr>
                      <w:rFonts w:hint="default"/>
                      <w:color w:val="auto"/>
                      <w:sz w:val="21"/>
                      <w:szCs w:val="21"/>
                      <w:lang w:val="en-US" w:eastAsia="zh-CN"/>
                    </w:rPr>
                  </w:pPr>
                  <w:r>
                    <w:rPr>
                      <w:rFonts w:hint="eastAsia"/>
                      <w:color w:val="auto"/>
                      <w:sz w:val="21"/>
                      <w:szCs w:val="21"/>
                      <w:lang w:val="en-US" w:eastAsia="zh-CN"/>
                    </w:rPr>
                    <w:t>SE</w:t>
                  </w:r>
                </w:p>
              </w:tc>
              <w:tc>
                <w:tcPr>
                  <w:tcW w:w="502" w:type="pct"/>
                  <w:vAlign w:val="center"/>
                </w:tcPr>
                <w:p w14:paraId="0374F284">
                  <w:pPr>
                    <w:keepNext w:val="0"/>
                    <w:keepLines w:val="0"/>
                    <w:pageBreakBefore w:val="0"/>
                    <w:widowControl w:val="0"/>
                    <w:kinsoku/>
                    <w:wordWrap/>
                    <w:overflowPunct/>
                    <w:topLinePunct w:val="0"/>
                    <w:autoSpaceDE/>
                    <w:autoSpaceDN/>
                    <w:bidi w:val="0"/>
                    <w:spacing w:line="240" w:lineRule="auto"/>
                    <w:jc w:val="center"/>
                    <w:rPr>
                      <w:rFonts w:hint="default"/>
                      <w:color w:val="auto"/>
                      <w:sz w:val="21"/>
                      <w:szCs w:val="21"/>
                      <w:lang w:val="en-US" w:eastAsia="zh-CN"/>
                    </w:rPr>
                  </w:pPr>
                  <w:r>
                    <w:rPr>
                      <w:rFonts w:hint="eastAsia"/>
                      <w:color w:val="auto"/>
                      <w:sz w:val="21"/>
                      <w:szCs w:val="21"/>
                      <w:lang w:val="en-US" w:eastAsia="zh-CN"/>
                    </w:rPr>
                    <w:t>445</w:t>
                  </w:r>
                </w:p>
              </w:tc>
            </w:tr>
          </w:tbl>
          <w:p w14:paraId="77DFC781">
            <w:pPr>
              <w:adjustRightInd w:val="0"/>
              <w:snapToGrid w:val="0"/>
              <w:jc w:val="center"/>
              <w:rPr>
                <w:rFonts w:ascii="Times New Roman" w:hAnsi="Times New Roman" w:eastAsia="宋体" w:cs="Times New Roman"/>
                <w:color w:val="auto"/>
                <w:sz w:val="24"/>
                <w:szCs w:val="24"/>
              </w:rPr>
            </w:pPr>
            <w:r>
              <w:rPr>
                <w:rFonts w:ascii="Times New Roman" w:hAnsi="Times New Roman" w:eastAsia="宋体" w:cs="Times New Roman"/>
                <w:b/>
                <w:bCs/>
                <w:color w:val="auto"/>
                <w:sz w:val="24"/>
                <w:szCs w:val="24"/>
              </w:rPr>
              <w:t>表3-</w:t>
            </w:r>
            <w:r>
              <w:rPr>
                <w:rFonts w:hint="eastAsia" w:cs="Times New Roman"/>
                <w:b/>
                <w:bCs/>
                <w:color w:val="auto"/>
                <w:sz w:val="24"/>
                <w:szCs w:val="24"/>
                <w:lang w:val="en-US" w:eastAsia="zh-CN"/>
              </w:rPr>
              <w:t>6</w:t>
            </w:r>
            <w:r>
              <w:rPr>
                <w:rFonts w:hint="eastAsia" w:ascii="Times New Roman" w:hAnsi="Times New Roman" w:eastAsia="宋体" w:cs="Times New Roman"/>
                <w:b/>
                <w:bCs/>
                <w:color w:val="auto"/>
                <w:sz w:val="24"/>
                <w:szCs w:val="24"/>
              </w:rPr>
              <w:t xml:space="preserve"> </w:t>
            </w:r>
            <w:r>
              <w:rPr>
                <w:rFonts w:ascii="Times New Roman" w:hAnsi="Times New Roman" w:eastAsia="宋体" w:cs="Times New Roman"/>
                <w:b/>
                <w:bCs/>
                <w:color w:val="auto"/>
                <w:sz w:val="24"/>
                <w:szCs w:val="24"/>
              </w:rPr>
              <w:t>声环境保护目标一览表</w:t>
            </w:r>
          </w:p>
          <w:tbl>
            <w:tblPr>
              <w:tblStyle w:val="26"/>
              <w:tblW w:w="8205"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303"/>
              <w:gridCol w:w="1488"/>
              <w:gridCol w:w="756"/>
              <w:gridCol w:w="666"/>
              <w:gridCol w:w="653"/>
              <w:gridCol w:w="1125"/>
              <w:gridCol w:w="804"/>
              <w:gridCol w:w="975"/>
              <w:gridCol w:w="1435"/>
            </w:tblGrid>
            <w:tr w14:paraId="4DE2047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28" w:hRule="atLeast"/>
                <w:jc w:val="center"/>
              </w:trPr>
              <w:tc>
                <w:tcPr>
                  <w:tcW w:w="303" w:type="dxa"/>
                  <w:vMerge w:val="restart"/>
                  <w:vAlign w:val="center"/>
                </w:tcPr>
                <w:p w14:paraId="041AE810">
                  <w:pPr>
                    <w:widowControl w:val="0"/>
                    <w:adjustRightInd w:val="0"/>
                    <w:snapToGrid w:val="0"/>
                    <w:spacing w:before="24" w:beforeLines="10" w:after="24" w:afterLines="10" w:line="240" w:lineRule="auto"/>
                    <w:ind w:firstLine="0" w:firstLineChars="0"/>
                    <w:jc w:val="center"/>
                    <w:textAlignment w:val="baseline"/>
                    <w:rPr>
                      <w:rFonts w:ascii="Times New Roman" w:hAnsi="宋体" w:eastAsia="宋体" w:cs="Times New Roman"/>
                      <w:b/>
                      <w:bCs/>
                      <w:color w:val="auto"/>
                      <w:spacing w:val="-10"/>
                      <w:kern w:val="0"/>
                      <w:sz w:val="21"/>
                      <w:szCs w:val="21"/>
                      <w:lang w:val="en-US" w:eastAsia="zh-CN" w:bidi="ar-SA"/>
                    </w:rPr>
                  </w:pPr>
                  <w:r>
                    <w:rPr>
                      <w:rFonts w:hint="eastAsia" w:ascii="Times New Roman" w:hAnsi="宋体" w:eastAsia="宋体" w:cs="Times New Roman"/>
                      <w:b/>
                      <w:bCs/>
                      <w:color w:val="auto"/>
                      <w:spacing w:val="-10"/>
                      <w:kern w:val="0"/>
                      <w:sz w:val="21"/>
                      <w:szCs w:val="21"/>
                      <w:lang w:val="en-US" w:eastAsia="zh-CN" w:bidi="ar-SA"/>
                    </w:rPr>
                    <w:t>序号</w:t>
                  </w:r>
                </w:p>
              </w:tc>
              <w:tc>
                <w:tcPr>
                  <w:tcW w:w="1488" w:type="dxa"/>
                  <w:vMerge w:val="restart"/>
                  <w:vAlign w:val="center"/>
                </w:tcPr>
                <w:p w14:paraId="383552B2">
                  <w:pPr>
                    <w:widowControl w:val="0"/>
                    <w:adjustRightInd w:val="0"/>
                    <w:snapToGrid w:val="0"/>
                    <w:spacing w:before="24" w:beforeLines="10" w:after="24" w:afterLines="10" w:line="240" w:lineRule="auto"/>
                    <w:ind w:firstLine="0" w:firstLineChars="0"/>
                    <w:jc w:val="center"/>
                    <w:textAlignment w:val="baseline"/>
                    <w:rPr>
                      <w:rFonts w:ascii="Times New Roman" w:hAnsi="宋体" w:eastAsia="宋体" w:cs="Times New Roman"/>
                      <w:b/>
                      <w:bCs/>
                      <w:color w:val="auto"/>
                      <w:spacing w:val="-10"/>
                      <w:kern w:val="0"/>
                      <w:sz w:val="21"/>
                      <w:szCs w:val="21"/>
                      <w:lang w:val="en-US" w:eastAsia="zh-CN" w:bidi="ar-SA"/>
                    </w:rPr>
                  </w:pPr>
                  <w:r>
                    <w:rPr>
                      <w:rFonts w:hint="eastAsia" w:ascii="Times New Roman" w:hAnsi="宋体" w:eastAsia="宋体" w:cs="Times New Roman"/>
                      <w:b/>
                      <w:bCs/>
                      <w:color w:val="auto"/>
                      <w:spacing w:val="-10"/>
                      <w:kern w:val="0"/>
                      <w:sz w:val="21"/>
                      <w:szCs w:val="21"/>
                      <w:lang w:val="en-US" w:eastAsia="zh-CN" w:bidi="ar-SA"/>
                    </w:rPr>
                    <w:t>声环境保护目标名称</w:t>
                  </w:r>
                </w:p>
              </w:tc>
              <w:tc>
                <w:tcPr>
                  <w:tcW w:w="2075" w:type="dxa"/>
                  <w:gridSpan w:val="3"/>
                  <w:vAlign w:val="center"/>
                </w:tcPr>
                <w:p w14:paraId="38190E58">
                  <w:pPr>
                    <w:widowControl w:val="0"/>
                    <w:adjustRightInd w:val="0"/>
                    <w:snapToGrid w:val="0"/>
                    <w:spacing w:before="24" w:beforeLines="10" w:after="24" w:afterLines="10" w:line="240" w:lineRule="auto"/>
                    <w:ind w:firstLine="0" w:firstLineChars="0"/>
                    <w:jc w:val="center"/>
                    <w:textAlignment w:val="baseline"/>
                    <w:rPr>
                      <w:rFonts w:ascii="Times New Roman" w:hAnsi="宋体" w:eastAsia="宋体" w:cs="Times New Roman"/>
                      <w:b/>
                      <w:bCs/>
                      <w:color w:val="auto"/>
                      <w:spacing w:val="-10"/>
                      <w:kern w:val="0"/>
                      <w:sz w:val="21"/>
                      <w:szCs w:val="21"/>
                      <w:lang w:val="en-US" w:eastAsia="zh-CN" w:bidi="ar-SA"/>
                    </w:rPr>
                  </w:pPr>
                  <w:r>
                    <w:rPr>
                      <w:rFonts w:hint="eastAsia" w:ascii="Times New Roman" w:hAnsi="宋体" w:eastAsia="宋体" w:cs="Times New Roman"/>
                      <w:b/>
                      <w:bCs/>
                      <w:color w:val="auto"/>
                      <w:spacing w:val="-10"/>
                      <w:kern w:val="0"/>
                      <w:sz w:val="21"/>
                      <w:szCs w:val="21"/>
                      <w:lang w:val="en-US" w:eastAsia="zh-CN" w:bidi="ar-SA"/>
                    </w:rPr>
                    <w:t>空间相对坐标</w:t>
                  </w:r>
                </w:p>
              </w:tc>
              <w:tc>
                <w:tcPr>
                  <w:tcW w:w="1125" w:type="dxa"/>
                  <w:vMerge w:val="restart"/>
                  <w:vAlign w:val="center"/>
                </w:tcPr>
                <w:p w14:paraId="5D9161AF">
                  <w:pPr>
                    <w:widowControl w:val="0"/>
                    <w:adjustRightInd w:val="0"/>
                    <w:snapToGrid w:val="0"/>
                    <w:spacing w:before="24" w:beforeLines="10" w:after="24" w:afterLines="10" w:line="240" w:lineRule="auto"/>
                    <w:ind w:firstLine="0" w:firstLineChars="0"/>
                    <w:jc w:val="center"/>
                    <w:textAlignment w:val="baseline"/>
                    <w:rPr>
                      <w:rFonts w:ascii="Times New Roman" w:hAnsi="宋体" w:eastAsia="宋体" w:cs="Times New Roman"/>
                      <w:b/>
                      <w:bCs/>
                      <w:color w:val="auto"/>
                      <w:spacing w:val="-10"/>
                      <w:kern w:val="0"/>
                      <w:sz w:val="21"/>
                      <w:szCs w:val="21"/>
                      <w:lang w:val="en-US" w:eastAsia="zh-CN" w:bidi="ar-SA"/>
                    </w:rPr>
                  </w:pPr>
                  <w:r>
                    <w:rPr>
                      <w:rFonts w:hint="eastAsia" w:ascii="Times New Roman" w:hAnsi="宋体" w:eastAsia="宋体" w:cs="Times New Roman"/>
                      <w:b/>
                      <w:bCs/>
                      <w:color w:val="auto"/>
                      <w:spacing w:val="-10"/>
                      <w:kern w:val="0"/>
                      <w:sz w:val="21"/>
                      <w:szCs w:val="21"/>
                      <w:lang w:val="en-US" w:eastAsia="zh-CN" w:bidi="ar-SA"/>
                    </w:rPr>
                    <w:t>距离厂界最近距离/m</w:t>
                  </w:r>
                </w:p>
              </w:tc>
              <w:tc>
                <w:tcPr>
                  <w:tcW w:w="804" w:type="dxa"/>
                  <w:vMerge w:val="restart"/>
                  <w:vAlign w:val="center"/>
                </w:tcPr>
                <w:p w14:paraId="3C01B221">
                  <w:pPr>
                    <w:widowControl w:val="0"/>
                    <w:adjustRightInd w:val="0"/>
                    <w:snapToGrid w:val="0"/>
                    <w:spacing w:before="24" w:beforeLines="10" w:after="24" w:afterLines="10" w:line="240" w:lineRule="auto"/>
                    <w:ind w:firstLine="0" w:firstLineChars="0"/>
                    <w:jc w:val="center"/>
                    <w:textAlignment w:val="baseline"/>
                    <w:rPr>
                      <w:rFonts w:ascii="Times New Roman" w:hAnsi="宋体" w:eastAsia="宋体" w:cs="Times New Roman"/>
                      <w:b/>
                      <w:bCs/>
                      <w:color w:val="auto"/>
                      <w:spacing w:val="-10"/>
                      <w:kern w:val="0"/>
                      <w:sz w:val="21"/>
                      <w:szCs w:val="21"/>
                      <w:lang w:val="en-US" w:eastAsia="zh-CN" w:bidi="ar-SA"/>
                    </w:rPr>
                  </w:pPr>
                  <w:r>
                    <w:rPr>
                      <w:rFonts w:hint="eastAsia" w:ascii="Times New Roman" w:hAnsi="宋体" w:eastAsia="宋体" w:cs="Times New Roman"/>
                      <w:b/>
                      <w:bCs/>
                      <w:color w:val="auto"/>
                      <w:spacing w:val="-10"/>
                      <w:kern w:val="0"/>
                      <w:sz w:val="21"/>
                      <w:szCs w:val="21"/>
                      <w:lang w:val="en-US" w:eastAsia="zh-CN" w:bidi="ar-SA"/>
                    </w:rPr>
                    <w:t>方位</w:t>
                  </w:r>
                </w:p>
              </w:tc>
              <w:tc>
                <w:tcPr>
                  <w:tcW w:w="975" w:type="dxa"/>
                  <w:vMerge w:val="restart"/>
                  <w:vAlign w:val="center"/>
                </w:tcPr>
                <w:p w14:paraId="423E607A">
                  <w:pPr>
                    <w:adjustRightInd w:val="0"/>
                    <w:snapToGrid w:val="0"/>
                    <w:jc w:val="center"/>
                    <w:rPr>
                      <w:rFonts w:ascii="Times New Roman" w:hAnsi="Times New Roman" w:eastAsia="宋体" w:cs="Times New Roman"/>
                      <w:b/>
                      <w:bCs/>
                      <w:color w:val="auto"/>
                      <w:sz w:val="21"/>
                      <w:szCs w:val="21"/>
                    </w:rPr>
                  </w:pPr>
                  <w:r>
                    <w:rPr>
                      <w:rFonts w:hint="eastAsia" w:ascii="宋体" w:hAnsi="宋体" w:eastAsia="宋体" w:cs="宋体"/>
                      <w:b/>
                      <w:bCs/>
                      <w:color w:val="auto"/>
                      <w:spacing w:val="-10"/>
                      <w:kern w:val="0"/>
                      <w:sz w:val="21"/>
                      <w:szCs w:val="21"/>
                    </w:rPr>
                    <w:t>执行标准</w:t>
                  </w:r>
                  <w:r>
                    <w:rPr>
                      <w:rFonts w:ascii="Times New Roman" w:hAnsi="Times New Roman" w:eastAsia="宋体" w:cs="Times New Roman"/>
                      <w:b/>
                      <w:bCs/>
                      <w:color w:val="auto"/>
                      <w:spacing w:val="-10"/>
                      <w:kern w:val="0"/>
                      <w:sz w:val="21"/>
                      <w:szCs w:val="21"/>
                    </w:rPr>
                    <w:t>/</w:t>
                  </w:r>
                  <w:r>
                    <w:rPr>
                      <w:rFonts w:hint="eastAsia" w:ascii="宋体" w:hAnsi="宋体" w:eastAsia="宋体" w:cs="宋体"/>
                      <w:b/>
                      <w:bCs/>
                      <w:color w:val="auto"/>
                      <w:spacing w:val="-10"/>
                      <w:kern w:val="0"/>
                      <w:sz w:val="21"/>
                      <w:szCs w:val="21"/>
                    </w:rPr>
                    <w:t>功能区类别</w:t>
                  </w:r>
                </w:p>
              </w:tc>
              <w:tc>
                <w:tcPr>
                  <w:tcW w:w="1435" w:type="dxa"/>
                  <w:vMerge w:val="restart"/>
                  <w:vAlign w:val="center"/>
                </w:tcPr>
                <w:p w14:paraId="12DD2108">
                  <w:pPr>
                    <w:adjustRightInd w:val="0"/>
                    <w:snapToGrid w:val="0"/>
                    <w:jc w:val="center"/>
                    <w:rPr>
                      <w:rFonts w:ascii="Times New Roman" w:hAnsi="Times New Roman" w:eastAsia="宋体" w:cs="Times New Roman"/>
                      <w:b/>
                      <w:bCs/>
                      <w:color w:val="auto"/>
                      <w:sz w:val="21"/>
                      <w:szCs w:val="21"/>
                    </w:rPr>
                  </w:pPr>
                  <w:r>
                    <w:rPr>
                      <w:rFonts w:hint="eastAsia" w:ascii="宋体" w:hAnsi="宋体" w:eastAsia="宋体" w:cs="宋体"/>
                      <w:b/>
                      <w:bCs/>
                      <w:color w:val="auto"/>
                      <w:spacing w:val="-10"/>
                      <w:kern w:val="0"/>
                      <w:sz w:val="21"/>
                      <w:szCs w:val="21"/>
                    </w:rPr>
                    <w:t>声环境保护目标情况说明</w:t>
                  </w:r>
                </w:p>
              </w:tc>
            </w:tr>
            <w:tr w14:paraId="6EECBF7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03" w:type="dxa"/>
                  <w:vMerge w:val="continue"/>
                  <w:vAlign w:val="center"/>
                </w:tcPr>
                <w:p w14:paraId="6A8B5C28">
                  <w:pPr>
                    <w:widowControl w:val="0"/>
                    <w:adjustRightInd w:val="0"/>
                    <w:snapToGrid w:val="0"/>
                    <w:spacing w:before="24" w:beforeLines="10" w:after="24" w:afterLines="10" w:line="240" w:lineRule="auto"/>
                    <w:ind w:firstLine="0" w:firstLineChars="0"/>
                    <w:jc w:val="center"/>
                    <w:textAlignment w:val="baseline"/>
                    <w:rPr>
                      <w:rFonts w:ascii="宋体" w:hAnsi="宋体" w:eastAsia="黑体" w:cs="Times New Roman"/>
                      <w:color w:val="auto"/>
                      <w:spacing w:val="-10"/>
                      <w:kern w:val="0"/>
                      <w:sz w:val="21"/>
                      <w:szCs w:val="21"/>
                      <w:lang w:val="en-US" w:eastAsia="zh-CN" w:bidi="ar-SA"/>
                    </w:rPr>
                  </w:pPr>
                </w:p>
              </w:tc>
              <w:tc>
                <w:tcPr>
                  <w:tcW w:w="1488" w:type="dxa"/>
                  <w:vMerge w:val="continue"/>
                  <w:vAlign w:val="center"/>
                </w:tcPr>
                <w:p w14:paraId="2069FB1B">
                  <w:pPr>
                    <w:widowControl w:val="0"/>
                    <w:adjustRightInd w:val="0"/>
                    <w:snapToGrid w:val="0"/>
                    <w:spacing w:before="24" w:beforeLines="10" w:after="24" w:afterLines="10" w:line="240" w:lineRule="auto"/>
                    <w:ind w:firstLine="0" w:firstLineChars="0"/>
                    <w:jc w:val="center"/>
                    <w:textAlignment w:val="baseline"/>
                    <w:rPr>
                      <w:rFonts w:ascii="宋体" w:hAnsi="宋体" w:eastAsia="黑体" w:cs="Times New Roman"/>
                      <w:color w:val="auto"/>
                      <w:spacing w:val="-10"/>
                      <w:kern w:val="0"/>
                      <w:sz w:val="21"/>
                      <w:szCs w:val="21"/>
                      <w:lang w:val="en-US" w:eastAsia="zh-CN" w:bidi="ar-SA"/>
                    </w:rPr>
                  </w:pPr>
                </w:p>
              </w:tc>
              <w:tc>
                <w:tcPr>
                  <w:tcW w:w="756" w:type="dxa"/>
                  <w:vAlign w:val="center"/>
                </w:tcPr>
                <w:p w14:paraId="476FBA79">
                  <w:pPr>
                    <w:widowControl w:val="0"/>
                    <w:adjustRightInd w:val="0"/>
                    <w:snapToGrid w:val="0"/>
                    <w:spacing w:before="24" w:beforeLines="10" w:after="24" w:afterLines="10" w:line="240" w:lineRule="auto"/>
                    <w:ind w:firstLine="0" w:firstLineChars="0"/>
                    <w:jc w:val="center"/>
                    <w:textAlignment w:val="baseline"/>
                    <w:rPr>
                      <w:rFonts w:ascii="Times New Roman" w:hAnsi="Times New Roman" w:eastAsia="黑体" w:cs="Times New Roman"/>
                      <w:b/>
                      <w:bCs/>
                      <w:color w:val="auto"/>
                      <w:spacing w:val="-10"/>
                      <w:kern w:val="0"/>
                      <w:sz w:val="21"/>
                      <w:szCs w:val="21"/>
                      <w:lang w:val="en-US" w:eastAsia="zh-CN" w:bidi="ar-SA"/>
                    </w:rPr>
                  </w:pPr>
                  <w:r>
                    <w:rPr>
                      <w:rFonts w:ascii="Times New Roman" w:hAnsi="Times New Roman" w:eastAsia="黑体" w:cs="Times New Roman"/>
                      <w:b/>
                      <w:bCs/>
                      <w:color w:val="auto"/>
                      <w:spacing w:val="-10"/>
                      <w:kern w:val="0"/>
                      <w:sz w:val="21"/>
                      <w:szCs w:val="21"/>
                      <w:lang w:val="en-US" w:eastAsia="zh-CN" w:bidi="ar-SA"/>
                    </w:rPr>
                    <w:t>X</w:t>
                  </w:r>
                </w:p>
              </w:tc>
              <w:tc>
                <w:tcPr>
                  <w:tcW w:w="666" w:type="dxa"/>
                  <w:vAlign w:val="center"/>
                </w:tcPr>
                <w:p w14:paraId="535254B2">
                  <w:pPr>
                    <w:widowControl w:val="0"/>
                    <w:adjustRightInd w:val="0"/>
                    <w:snapToGrid w:val="0"/>
                    <w:spacing w:before="24" w:beforeLines="10" w:after="24" w:afterLines="10" w:line="240" w:lineRule="auto"/>
                    <w:ind w:firstLine="0" w:firstLineChars="0"/>
                    <w:jc w:val="center"/>
                    <w:textAlignment w:val="baseline"/>
                    <w:rPr>
                      <w:rFonts w:ascii="Times New Roman" w:hAnsi="Times New Roman" w:eastAsia="黑体" w:cs="Times New Roman"/>
                      <w:b/>
                      <w:bCs/>
                      <w:color w:val="auto"/>
                      <w:spacing w:val="-10"/>
                      <w:kern w:val="0"/>
                      <w:sz w:val="21"/>
                      <w:szCs w:val="21"/>
                      <w:lang w:val="en-US" w:eastAsia="zh-CN" w:bidi="ar-SA"/>
                    </w:rPr>
                  </w:pPr>
                  <w:r>
                    <w:rPr>
                      <w:rFonts w:ascii="Times New Roman" w:hAnsi="Times New Roman" w:eastAsia="黑体" w:cs="Times New Roman"/>
                      <w:b/>
                      <w:bCs/>
                      <w:color w:val="auto"/>
                      <w:spacing w:val="-10"/>
                      <w:kern w:val="0"/>
                      <w:sz w:val="21"/>
                      <w:szCs w:val="21"/>
                      <w:lang w:val="en-US" w:eastAsia="zh-CN" w:bidi="ar-SA"/>
                    </w:rPr>
                    <w:t>Y</w:t>
                  </w:r>
                </w:p>
              </w:tc>
              <w:tc>
                <w:tcPr>
                  <w:tcW w:w="653" w:type="dxa"/>
                  <w:vAlign w:val="center"/>
                </w:tcPr>
                <w:p w14:paraId="388C1490">
                  <w:pPr>
                    <w:widowControl w:val="0"/>
                    <w:adjustRightInd w:val="0"/>
                    <w:snapToGrid w:val="0"/>
                    <w:spacing w:before="24" w:beforeLines="10" w:after="24" w:afterLines="10" w:line="240" w:lineRule="auto"/>
                    <w:ind w:firstLine="0" w:firstLineChars="0"/>
                    <w:jc w:val="center"/>
                    <w:textAlignment w:val="baseline"/>
                    <w:rPr>
                      <w:rFonts w:ascii="Times New Roman" w:hAnsi="Times New Roman" w:eastAsia="黑体" w:cs="Times New Roman"/>
                      <w:b/>
                      <w:bCs/>
                      <w:color w:val="auto"/>
                      <w:spacing w:val="-10"/>
                      <w:kern w:val="0"/>
                      <w:sz w:val="21"/>
                      <w:szCs w:val="21"/>
                      <w:lang w:val="en-US" w:eastAsia="zh-CN" w:bidi="ar-SA"/>
                    </w:rPr>
                  </w:pPr>
                  <w:r>
                    <w:rPr>
                      <w:rFonts w:ascii="Times New Roman" w:hAnsi="Times New Roman" w:eastAsia="黑体" w:cs="Times New Roman"/>
                      <w:b/>
                      <w:bCs/>
                      <w:color w:val="auto"/>
                      <w:spacing w:val="-10"/>
                      <w:kern w:val="0"/>
                      <w:sz w:val="21"/>
                      <w:szCs w:val="21"/>
                      <w:lang w:val="en-US" w:eastAsia="zh-CN" w:bidi="ar-SA"/>
                    </w:rPr>
                    <w:t>Z</w:t>
                  </w:r>
                </w:p>
              </w:tc>
              <w:tc>
                <w:tcPr>
                  <w:tcW w:w="1125" w:type="dxa"/>
                  <w:vMerge w:val="continue"/>
                  <w:vAlign w:val="center"/>
                </w:tcPr>
                <w:p w14:paraId="15515691">
                  <w:pPr>
                    <w:widowControl w:val="0"/>
                    <w:adjustRightInd w:val="0"/>
                    <w:snapToGrid w:val="0"/>
                    <w:spacing w:before="24" w:beforeLines="10" w:after="24" w:afterLines="10" w:line="240" w:lineRule="auto"/>
                    <w:ind w:firstLine="0" w:firstLineChars="0"/>
                    <w:jc w:val="center"/>
                    <w:textAlignment w:val="baseline"/>
                    <w:rPr>
                      <w:rFonts w:ascii="宋体" w:hAnsi="宋体" w:eastAsia="黑体" w:cs="Times New Roman"/>
                      <w:color w:val="auto"/>
                      <w:spacing w:val="-10"/>
                      <w:kern w:val="0"/>
                      <w:sz w:val="21"/>
                      <w:szCs w:val="21"/>
                      <w:lang w:val="en-US" w:eastAsia="zh-CN" w:bidi="ar-SA"/>
                    </w:rPr>
                  </w:pPr>
                </w:p>
              </w:tc>
              <w:tc>
                <w:tcPr>
                  <w:tcW w:w="804" w:type="dxa"/>
                  <w:vMerge w:val="continue"/>
                  <w:vAlign w:val="center"/>
                </w:tcPr>
                <w:p w14:paraId="4E0BC005">
                  <w:pPr>
                    <w:widowControl w:val="0"/>
                    <w:adjustRightInd w:val="0"/>
                    <w:snapToGrid w:val="0"/>
                    <w:spacing w:before="24" w:beforeLines="10" w:after="24" w:afterLines="10" w:line="240" w:lineRule="auto"/>
                    <w:ind w:firstLine="0" w:firstLineChars="0"/>
                    <w:jc w:val="center"/>
                    <w:textAlignment w:val="baseline"/>
                    <w:rPr>
                      <w:rFonts w:ascii="宋体" w:hAnsi="宋体" w:eastAsia="黑体" w:cs="Times New Roman"/>
                      <w:color w:val="auto"/>
                      <w:spacing w:val="-10"/>
                      <w:kern w:val="0"/>
                      <w:sz w:val="21"/>
                      <w:szCs w:val="21"/>
                      <w:lang w:val="en-US" w:eastAsia="zh-CN" w:bidi="ar-SA"/>
                    </w:rPr>
                  </w:pPr>
                </w:p>
              </w:tc>
              <w:tc>
                <w:tcPr>
                  <w:tcW w:w="975" w:type="dxa"/>
                  <w:vMerge w:val="continue"/>
                  <w:vAlign w:val="center"/>
                </w:tcPr>
                <w:p w14:paraId="4CC66CAB">
                  <w:pPr>
                    <w:widowControl w:val="0"/>
                    <w:adjustRightInd w:val="0"/>
                    <w:snapToGrid w:val="0"/>
                    <w:spacing w:before="24" w:beforeLines="10" w:after="24" w:afterLines="10" w:line="240" w:lineRule="auto"/>
                    <w:ind w:firstLine="0" w:firstLineChars="0"/>
                    <w:jc w:val="center"/>
                    <w:textAlignment w:val="baseline"/>
                    <w:rPr>
                      <w:rFonts w:ascii="宋体" w:hAnsi="宋体" w:eastAsia="黑体" w:cs="Times New Roman"/>
                      <w:color w:val="auto"/>
                      <w:spacing w:val="-10"/>
                      <w:kern w:val="0"/>
                      <w:sz w:val="21"/>
                      <w:szCs w:val="21"/>
                      <w:lang w:val="en-US" w:eastAsia="zh-CN" w:bidi="ar-SA"/>
                    </w:rPr>
                  </w:pPr>
                </w:p>
              </w:tc>
              <w:tc>
                <w:tcPr>
                  <w:tcW w:w="1435" w:type="dxa"/>
                  <w:vMerge w:val="continue"/>
                  <w:vAlign w:val="center"/>
                </w:tcPr>
                <w:p w14:paraId="6A66953E">
                  <w:pPr>
                    <w:widowControl w:val="0"/>
                    <w:adjustRightInd w:val="0"/>
                    <w:snapToGrid w:val="0"/>
                    <w:spacing w:before="24" w:beforeLines="10" w:after="24" w:afterLines="10" w:line="240" w:lineRule="auto"/>
                    <w:ind w:firstLine="0" w:firstLineChars="0"/>
                    <w:jc w:val="center"/>
                    <w:textAlignment w:val="baseline"/>
                    <w:rPr>
                      <w:rFonts w:ascii="宋体" w:hAnsi="宋体" w:eastAsia="黑体" w:cs="Times New Roman"/>
                      <w:color w:val="auto"/>
                      <w:spacing w:val="-10"/>
                      <w:kern w:val="0"/>
                      <w:sz w:val="21"/>
                      <w:szCs w:val="21"/>
                      <w:lang w:val="en-US" w:eastAsia="zh-CN" w:bidi="ar-SA"/>
                    </w:rPr>
                  </w:pPr>
                </w:p>
              </w:tc>
            </w:tr>
            <w:tr w14:paraId="052C3DC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03" w:type="dxa"/>
                  <w:vAlign w:val="center"/>
                </w:tcPr>
                <w:p w14:paraId="3EA750C5">
                  <w:pPr>
                    <w:widowControl w:val="0"/>
                    <w:adjustRightInd w:val="0"/>
                    <w:snapToGrid w:val="0"/>
                    <w:spacing w:before="24" w:beforeLines="10" w:after="24" w:afterLines="10" w:line="240" w:lineRule="auto"/>
                    <w:ind w:firstLine="0" w:firstLineChars="0"/>
                    <w:jc w:val="center"/>
                    <w:textAlignment w:val="baseline"/>
                    <w:rPr>
                      <w:rFonts w:hint="default" w:ascii="Times New Roman" w:hAnsi="宋体" w:eastAsia="宋体" w:cs="Times New Roman"/>
                      <w:color w:val="auto"/>
                      <w:spacing w:val="-10"/>
                      <w:kern w:val="0"/>
                      <w:sz w:val="21"/>
                      <w:szCs w:val="21"/>
                      <w:lang w:val="en-US" w:eastAsia="zh-CN" w:bidi="ar-SA"/>
                    </w:rPr>
                  </w:pPr>
                  <w:r>
                    <w:rPr>
                      <w:rFonts w:hint="eastAsia" w:hAnsi="宋体" w:cs="Times New Roman"/>
                      <w:color w:val="auto"/>
                      <w:spacing w:val="-10"/>
                      <w:kern w:val="0"/>
                      <w:sz w:val="21"/>
                      <w:szCs w:val="21"/>
                      <w:lang w:val="en-US" w:eastAsia="zh-CN" w:bidi="ar-SA"/>
                    </w:rPr>
                    <w:t>1</w:t>
                  </w:r>
                </w:p>
              </w:tc>
              <w:tc>
                <w:tcPr>
                  <w:tcW w:w="1488" w:type="dxa"/>
                  <w:vAlign w:val="center"/>
                </w:tcPr>
                <w:p w14:paraId="55D2399E">
                  <w:pPr>
                    <w:widowControl w:val="0"/>
                    <w:adjustRightInd w:val="0"/>
                    <w:snapToGrid w:val="0"/>
                    <w:spacing w:before="24" w:beforeLines="10" w:after="24" w:afterLines="10" w:line="240" w:lineRule="auto"/>
                    <w:ind w:firstLine="0" w:firstLineChars="0"/>
                    <w:jc w:val="center"/>
                    <w:textAlignment w:val="baseline"/>
                    <w:rPr>
                      <w:rFonts w:hint="default" w:ascii="Times New Roman" w:hAnsi="宋体" w:eastAsia="宋体" w:cs="Times New Roman"/>
                      <w:color w:val="auto"/>
                      <w:spacing w:val="-10"/>
                      <w:kern w:val="0"/>
                      <w:sz w:val="21"/>
                      <w:szCs w:val="21"/>
                      <w:lang w:val="en-US" w:eastAsia="zh-CN" w:bidi="ar-SA"/>
                    </w:rPr>
                  </w:pPr>
                  <w:r>
                    <w:rPr>
                      <w:rFonts w:hint="default" w:ascii="Times New Roman" w:eastAsia="宋体"/>
                      <w:color w:val="auto"/>
                      <w:sz w:val="21"/>
                      <w:szCs w:val="21"/>
                      <w:lang w:val="en-US" w:eastAsia="zh-CN"/>
                    </w:rPr>
                    <w:t>西北侧居民</w:t>
                  </w:r>
                </w:p>
              </w:tc>
              <w:tc>
                <w:tcPr>
                  <w:tcW w:w="756" w:type="dxa"/>
                  <w:vAlign w:val="center"/>
                </w:tcPr>
                <w:p w14:paraId="75A03A44">
                  <w:pPr>
                    <w:widowControl w:val="0"/>
                    <w:adjustRightInd w:val="0"/>
                    <w:snapToGrid w:val="0"/>
                    <w:spacing w:before="24" w:beforeLines="10" w:after="24" w:afterLines="10" w:line="240" w:lineRule="auto"/>
                    <w:ind w:firstLine="0" w:firstLineChars="0"/>
                    <w:jc w:val="center"/>
                    <w:textAlignment w:val="baseline"/>
                    <w:rPr>
                      <w:rFonts w:hint="default" w:ascii="Times New Roman" w:hAnsi="宋体" w:eastAsia="宋体" w:cs="Times New Roman"/>
                      <w:color w:val="auto"/>
                      <w:spacing w:val="-10"/>
                      <w:kern w:val="0"/>
                      <w:sz w:val="21"/>
                      <w:szCs w:val="21"/>
                      <w:lang w:val="en-US" w:eastAsia="zh-CN" w:bidi="ar-SA"/>
                    </w:rPr>
                  </w:pPr>
                  <w:r>
                    <w:rPr>
                      <w:rFonts w:hint="eastAsia" w:hAnsi="宋体" w:cs="Times New Roman"/>
                      <w:color w:val="auto"/>
                      <w:spacing w:val="-10"/>
                      <w:kern w:val="0"/>
                      <w:sz w:val="21"/>
                      <w:szCs w:val="21"/>
                      <w:lang w:val="en-US" w:eastAsia="zh-CN" w:bidi="ar-SA"/>
                    </w:rPr>
                    <w:t>-80</w:t>
                  </w:r>
                </w:p>
              </w:tc>
              <w:tc>
                <w:tcPr>
                  <w:tcW w:w="666" w:type="dxa"/>
                  <w:vAlign w:val="center"/>
                </w:tcPr>
                <w:p w14:paraId="6FDBE3CE">
                  <w:pPr>
                    <w:widowControl w:val="0"/>
                    <w:adjustRightInd w:val="0"/>
                    <w:snapToGrid w:val="0"/>
                    <w:spacing w:before="24" w:beforeLines="10" w:after="24" w:afterLines="10" w:line="240" w:lineRule="auto"/>
                    <w:ind w:firstLine="0" w:firstLineChars="0"/>
                    <w:jc w:val="center"/>
                    <w:textAlignment w:val="baseline"/>
                    <w:rPr>
                      <w:rFonts w:hint="default" w:ascii="Times New Roman" w:hAnsi="宋体" w:eastAsia="宋体" w:cs="Times New Roman"/>
                      <w:color w:val="auto"/>
                      <w:spacing w:val="-10"/>
                      <w:kern w:val="0"/>
                      <w:sz w:val="21"/>
                      <w:szCs w:val="21"/>
                      <w:lang w:val="en-US" w:eastAsia="zh-CN" w:bidi="ar-SA"/>
                    </w:rPr>
                  </w:pPr>
                  <w:r>
                    <w:rPr>
                      <w:rFonts w:hint="eastAsia" w:hAnsi="宋体" w:cs="Times New Roman"/>
                      <w:color w:val="auto"/>
                      <w:spacing w:val="-10"/>
                      <w:kern w:val="0"/>
                      <w:sz w:val="21"/>
                      <w:szCs w:val="21"/>
                      <w:lang w:val="en-US" w:eastAsia="zh-CN" w:bidi="ar-SA"/>
                    </w:rPr>
                    <w:t>173</w:t>
                  </w:r>
                </w:p>
              </w:tc>
              <w:tc>
                <w:tcPr>
                  <w:tcW w:w="653" w:type="dxa"/>
                  <w:shd w:val="clear" w:color="auto" w:fill="auto"/>
                  <w:vAlign w:val="center"/>
                </w:tcPr>
                <w:p w14:paraId="1B9594E1">
                  <w:pPr>
                    <w:adjustRightInd w:val="0"/>
                    <w:snapToGrid w:val="0"/>
                    <w:spacing w:before="24" w:beforeLines="10" w:after="24" w:afterLines="10"/>
                    <w:jc w:val="center"/>
                    <w:textAlignment w:val="baseline"/>
                    <w:rPr>
                      <w:rFonts w:hint="default" w:ascii="Times New Roman" w:hAnsi="Times New Roman" w:eastAsia="宋体" w:cs="Times New Roman"/>
                      <w:color w:val="auto"/>
                      <w:spacing w:val="-10"/>
                      <w:kern w:val="0"/>
                      <w:sz w:val="21"/>
                      <w:szCs w:val="21"/>
                      <w:lang w:val="en-US" w:eastAsia="zh-CN" w:bidi="ar"/>
                    </w:rPr>
                  </w:pPr>
                  <w:r>
                    <w:rPr>
                      <w:rFonts w:hint="eastAsia" w:cs="Times New Roman"/>
                      <w:color w:val="auto"/>
                      <w:spacing w:val="-10"/>
                      <w:kern w:val="0"/>
                      <w:sz w:val="21"/>
                      <w:szCs w:val="21"/>
                      <w:lang w:val="en-US" w:eastAsia="zh-CN" w:bidi="ar"/>
                    </w:rPr>
                    <w:t>2</w:t>
                  </w:r>
                </w:p>
              </w:tc>
              <w:tc>
                <w:tcPr>
                  <w:tcW w:w="1125" w:type="dxa"/>
                  <w:shd w:val="clear" w:color="auto" w:fill="auto"/>
                  <w:vAlign w:val="center"/>
                </w:tcPr>
                <w:p w14:paraId="425BEF28">
                  <w:pPr>
                    <w:keepNext w:val="0"/>
                    <w:keepLines w:val="0"/>
                    <w:pageBreakBefore w:val="0"/>
                    <w:widowControl w:val="0"/>
                    <w:kinsoku/>
                    <w:wordWrap/>
                    <w:overflowPunct/>
                    <w:topLinePunct w:val="0"/>
                    <w:autoSpaceDE/>
                    <w:autoSpaceDN/>
                    <w:bidi w:val="0"/>
                    <w:spacing w:line="240" w:lineRule="auto"/>
                    <w:jc w:val="center"/>
                    <w:rPr>
                      <w:rFonts w:hint="eastAsia" w:ascii="Times New Roman" w:hAnsi="Times New Roman" w:eastAsia="宋体" w:cs="Times New Roman"/>
                      <w:color w:val="auto"/>
                      <w:kern w:val="2"/>
                      <w:sz w:val="21"/>
                      <w:szCs w:val="21"/>
                      <w:lang w:val="en-US" w:eastAsia="zh-CN" w:bidi="ar"/>
                    </w:rPr>
                  </w:pPr>
                  <w:r>
                    <w:rPr>
                      <w:rFonts w:hint="eastAsia"/>
                      <w:color w:val="auto"/>
                      <w:sz w:val="21"/>
                      <w:szCs w:val="21"/>
                      <w:lang w:val="en-US" w:eastAsia="zh-CN"/>
                    </w:rPr>
                    <w:t>6</w:t>
                  </w:r>
                </w:p>
              </w:tc>
              <w:tc>
                <w:tcPr>
                  <w:tcW w:w="804" w:type="dxa"/>
                  <w:shd w:val="clear" w:color="auto" w:fill="auto"/>
                  <w:vAlign w:val="center"/>
                </w:tcPr>
                <w:p w14:paraId="766969DE">
                  <w:pPr>
                    <w:keepNext w:val="0"/>
                    <w:keepLines w:val="0"/>
                    <w:pageBreakBefore w:val="0"/>
                    <w:widowControl w:val="0"/>
                    <w:kinsoku/>
                    <w:wordWrap/>
                    <w:overflowPunct/>
                    <w:topLinePunct w:val="0"/>
                    <w:autoSpaceDE/>
                    <w:autoSpaceDN/>
                    <w:bidi w:val="0"/>
                    <w:spacing w:line="240" w:lineRule="auto"/>
                    <w:jc w:val="center"/>
                    <w:rPr>
                      <w:rFonts w:hint="default" w:ascii="Times New Roman" w:hAnsi="Times New Roman" w:eastAsia="宋体" w:cs="Times New Roman"/>
                      <w:color w:val="auto"/>
                      <w:kern w:val="2"/>
                      <w:sz w:val="21"/>
                      <w:szCs w:val="21"/>
                      <w:lang w:val="en-US" w:eastAsia="zh-CN" w:bidi="ar"/>
                    </w:rPr>
                  </w:pPr>
                  <w:r>
                    <w:rPr>
                      <w:rFonts w:hint="eastAsia"/>
                      <w:color w:val="auto"/>
                      <w:sz w:val="21"/>
                      <w:szCs w:val="21"/>
                      <w:lang w:val="en-US" w:eastAsia="zh-CN"/>
                    </w:rPr>
                    <w:t>NW</w:t>
                  </w:r>
                </w:p>
              </w:tc>
              <w:tc>
                <w:tcPr>
                  <w:tcW w:w="975" w:type="dxa"/>
                  <w:shd w:val="clear" w:color="auto" w:fill="auto"/>
                  <w:vAlign w:val="center"/>
                </w:tcPr>
                <w:p w14:paraId="269A03D5">
                  <w:pPr>
                    <w:jc w:val="center"/>
                    <w:rPr>
                      <w:rFonts w:hint="default" w:ascii="Times New Roman" w:hAnsi="Times New Roman" w:eastAsia="宋体" w:cs="Times New Roman"/>
                      <w:color w:val="auto"/>
                      <w:kern w:val="2"/>
                      <w:sz w:val="21"/>
                      <w:szCs w:val="21"/>
                      <w:lang w:val="en-US" w:eastAsia="zh-CN" w:bidi="ar"/>
                    </w:rPr>
                  </w:pPr>
                  <w:r>
                    <w:rPr>
                      <w:rFonts w:hint="eastAsia"/>
                      <w:color w:val="auto"/>
                      <w:lang w:val="en-US" w:eastAsia="zh-CN"/>
                    </w:rPr>
                    <w:t>2</w:t>
                  </w:r>
                  <w:r>
                    <w:rPr>
                      <w:rFonts w:hint="eastAsia"/>
                      <w:color w:val="auto"/>
                    </w:rPr>
                    <w:t>类</w:t>
                  </w:r>
                </w:p>
              </w:tc>
              <w:tc>
                <w:tcPr>
                  <w:tcW w:w="1435" w:type="dxa"/>
                  <w:shd w:val="clear" w:color="auto" w:fill="auto"/>
                  <w:vAlign w:val="center"/>
                </w:tcPr>
                <w:p w14:paraId="17B4B7E4">
                  <w:pPr>
                    <w:jc w:val="center"/>
                    <w:rPr>
                      <w:rFonts w:hint="default" w:ascii="Times New Roman" w:hAnsi="Times New Roman" w:eastAsia="宋体" w:cs="Times New Roman"/>
                      <w:color w:val="auto"/>
                      <w:kern w:val="2"/>
                      <w:sz w:val="21"/>
                      <w:szCs w:val="21"/>
                      <w:lang w:val="en-US" w:eastAsia="zh-CN" w:bidi="ar"/>
                    </w:rPr>
                  </w:pPr>
                  <w:r>
                    <w:rPr>
                      <w:color w:val="auto"/>
                    </w:rPr>
                    <w:t>砖混结构，朝</w:t>
                  </w:r>
                  <w:r>
                    <w:rPr>
                      <w:rFonts w:hint="eastAsia"/>
                      <w:color w:val="auto"/>
                      <w:lang w:val="en-US" w:eastAsia="zh-CN"/>
                    </w:rPr>
                    <w:t>南</w:t>
                  </w:r>
                  <w:r>
                    <w:rPr>
                      <w:color w:val="auto"/>
                    </w:rPr>
                    <w:t>，</w:t>
                  </w:r>
                  <w:r>
                    <w:rPr>
                      <w:rFonts w:hint="eastAsia"/>
                      <w:color w:val="auto"/>
                      <w:lang w:val="en-US" w:eastAsia="zh-CN"/>
                    </w:rPr>
                    <w:t>1</w:t>
                  </w:r>
                  <w:r>
                    <w:rPr>
                      <w:color w:val="auto"/>
                    </w:rPr>
                    <w:t>层，硬地面</w:t>
                  </w:r>
                </w:p>
              </w:tc>
            </w:tr>
            <w:tr w14:paraId="0B540B5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8205" w:type="dxa"/>
                  <w:gridSpan w:val="9"/>
                  <w:vAlign w:val="center"/>
                </w:tcPr>
                <w:p w14:paraId="7AA33E9B">
                  <w:pPr>
                    <w:jc w:val="left"/>
                    <w:rPr>
                      <w:rFonts w:ascii="Times New Roman" w:hAnsi="Times New Roman" w:eastAsia="宋体" w:cs="Times New Roman"/>
                      <w:color w:val="auto"/>
                      <w:sz w:val="21"/>
                      <w:szCs w:val="21"/>
                    </w:rPr>
                  </w:pPr>
                  <w:r>
                    <w:rPr>
                      <w:rFonts w:hint="eastAsia" w:ascii="Times New Roman" w:hAnsi="Times New Roman" w:eastAsia="宋体" w:cs="Times New Roman"/>
                      <w:b/>
                      <w:bCs/>
                      <w:color w:val="auto"/>
                      <w:sz w:val="21"/>
                      <w:szCs w:val="21"/>
                    </w:rPr>
                    <w:t>注：以</w:t>
                  </w:r>
                  <w:r>
                    <w:rPr>
                      <w:rFonts w:hint="eastAsia" w:ascii="Times New Roman" w:hAnsi="Times New Roman" w:eastAsia="宋体" w:cs="Times New Roman"/>
                      <w:b/>
                      <w:bCs/>
                      <w:color w:val="auto"/>
                      <w:sz w:val="21"/>
                      <w:szCs w:val="21"/>
                      <w:lang w:val="en-US" w:eastAsia="zh-CN"/>
                    </w:rPr>
                    <w:t>生产</w:t>
                  </w:r>
                  <w:r>
                    <w:rPr>
                      <w:rFonts w:hint="eastAsia" w:cs="Times New Roman"/>
                      <w:b/>
                      <w:bCs/>
                      <w:color w:val="auto"/>
                      <w:sz w:val="21"/>
                      <w:szCs w:val="21"/>
                      <w:lang w:val="en-US" w:eastAsia="zh-CN"/>
                    </w:rPr>
                    <w:t>车间</w:t>
                  </w:r>
                  <w:r>
                    <w:rPr>
                      <w:rFonts w:hint="eastAsia" w:ascii="Times New Roman" w:hAnsi="Times New Roman" w:eastAsia="宋体" w:cs="Times New Roman"/>
                      <w:b/>
                      <w:bCs/>
                      <w:color w:val="auto"/>
                      <w:sz w:val="21"/>
                      <w:szCs w:val="21"/>
                    </w:rPr>
                    <w:t>西南角地面为空间坐标原点（0，0，0）。</w:t>
                  </w:r>
                </w:p>
              </w:tc>
            </w:tr>
          </w:tbl>
          <w:p w14:paraId="6A3C28DC">
            <w:pPr>
              <w:adjustRightInd w:val="0"/>
              <w:snapToGrid w:val="0"/>
              <w:spacing w:before="120" w:beforeLines="50" w:line="360" w:lineRule="auto"/>
              <w:ind w:firstLine="480" w:firstLineChars="200"/>
              <w:rPr>
                <w:color w:val="auto"/>
                <w:sz w:val="24"/>
                <w:szCs w:val="24"/>
              </w:rPr>
            </w:pPr>
            <w:r>
              <w:rPr>
                <w:rFonts w:hint="eastAsia"/>
                <w:color w:val="auto"/>
                <w:sz w:val="24"/>
                <w:szCs w:val="24"/>
              </w:rPr>
              <w:t>本项目地表水环境保护目标见表3-</w:t>
            </w:r>
            <w:r>
              <w:rPr>
                <w:rFonts w:hint="eastAsia"/>
                <w:color w:val="auto"/>
                <w:sz w:val="24"/>
                <w:szCs w:val="24"/>
                <w:lang w:val="en-US" w:eastAsia="zh-CN"/>
              </w:rPr>
              <w:t>7</w:t>
            </w:r>
            <w:r>
              <w:rPr>
                <w:rFonts w:hint="eastAsia"/>
                <w:color w:val="auto"/>
                <w:sz w:val="24"/>
                <w:szCs w:val="24"/>
              </w:rPr>
              <w:t>。</w:t>
            </w:r>
          </w:p>
          <w:p w14:paraId="5523C905">
            <w:pPr>
              <w:adjustRightInd w:val="0"/>
              <w:snapToGrid w:val="0"/>
              <w:jc w:val="center"/>
              <w:rPr>
                <w:color w:val="auto"/>
                <w:sz w:val="24"/>
                <w:szCs w:val="24"/>
              </w:rPr>
            </w:pPr>
            <w:r>
              <w:rPr>
                <w:b/>
                <w:bCs/>
                <w:color w:val="auto"/>
                <w:sz w:val="24"/>
                <w:szCs w:val="24"/>
              </w:rPr>
              <w:t>表3-</w:t>
            </w:r>
            <w:r>
              <w:rPr>
                <w:rFonts w:hint="eastAsia"/>
                <w:b/>
                <w:bCs/>
                <w:color w:val="auto"/>
                <w:sz w:val="24"/>
                <w:szCs w:val="24"/>
                <w:lang w:val="en-US" w:eastAsia="zh-CN"/>
              </w:rPr>
              <w:t>7</w:t>
            </w:r>
            <w:r>
              <w:rPr>
                <w:b/>
                <w:bCs/>
                <w:color w:val="auto"/>
                <w:sz w:val="24"/>
                <w:szCs w:val="24"/>
              </w:rPr>
              <w:t xml:space="preserve"> </w:t>
            </w:r>
            <w:r>
              <w:rPr>
                <w:rFonts w:hint="eastAsia"/>
                <w:b/>
                <w:bCs/>
                <w:color w:val="auto"/>
                <w:sz w:val="24"/>
                <w:szCs w:val="24"/>
              </w:rPr>
              <w:t>地表水环境</w:t>
            </w:r>
            <w:r>
              <w:rPr>
                <w:b/>
                <w:bCs/>
                <w:color w:val="auto"/>
                <w:sz w:val="24"/>
                <w:szCs w:val="24"/>
              </w:rPr>
              <w:t>保护目标一览表</w:t>
            </w:r>
          </w:p>
          <w:tbl>
            <w:tblPr>
              <w:tblStyle w:val="26"/>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1009"/>
              <w:gridCol w:w="1494"/>
              <w:gridCol w:w="995"/>
              <w:gridCol w:w="982"/>
              <w:gridCol w:w="1302"/>
              <w:gridCol w:w="2426"/>
            </w:tblGrid>
            <w:tr w14:paraId="46CE1D1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23" w:hRule="atLeast"/>
                <w:jc w:val="center"/>
              </w:trPr>
              <w:tc>
                <w:tcPr>
                  <w:tcW w:w="614" w:type="pct"/>
                  <w:vAlign w:val="center"/>
                </w:tcPr>
                <w:p w14:paraId="2BB3F681">
                  <w:pPr>
                    <w:pStyle w:val="34"/>
                    <w:keepNext w:val="0"/>
                    <w:keepLines w:val="0"/>
                    <w:pageBreakBefore w:val="0"/>
                    <w:kinsoku/>
                    <w:wordWrap/>
                    <w:overflowPunct/>
                    <w:topLinePunct w:val="0"/>
                    <w:autoSpaceDE/>
                    <w:autoSpaceDN/>
                    <w:bidi w:val="0"/>
                    <w:snapToGrid w:val="0"/>
                    <w:spacing w:before="0" w:beforeLines="0" w:after="0" w:afterLines="0" w:line="240" w:lineRule="auto"/>
                    <w:ind w:right="0"/>
                    <w:jc w:val="center"/>
                    <w:rPr>
                      <w:rFonts w:ascii="Times New Roman" w:eastAsia="宋体"/>
                      <w:b/>
                      <w:bCs/>
                      <w:color w:val="auto"/>
                      <w:spacing w:val="0"/>
                      <w:sz w:val="21"/>
                      <w:szCs w:val="21"/>
                    </w:rPr>
                  </w:pPr>
                  <w:r>
                    <w:rPr>
                      <w:rFonts w:ascii="Times New Roman" w:eastAsia="宋体"/>
                      <w:b/>
                      <w:bCs/>
                      <w:color w:val="auto"/>
                      <w:spacing w:val="0"/>
                      <w:sz w:val="21"/>
                      <w:szCs w:val="21"/>
                    </w:rPr>
                    <w:t>环境要素</w:t>
                  </w:r>
                </w:p>
              </w:tc>
              <w:tc>
                <w:tcPr>
                  <w:tcW w:w="910" w:type="pct"/>
                  <w:vAlign w:val="center"/>
                </w:tcPr>
                <w:p w14:paraId="1AD6D01F">
                  <w:pPr>
                    <w:pStyle w:val="34"/>
                    <w:keepNext w:val="0"/>
                    <w:keepLines w:val="0"/>
                    <w:pageBreakBefore w:val="0"/>
                    <w:kinsoku/>
                    <w:wordWrap/>
                    <w:overflowPunct/>
                    <w:topLinePunct w:val="0"/>
                    <w:autoSpaceDE/>
                    <w:autoSpaceDN/>
                    <w:bidi w:val="0"/>
                    <w:snapToGrid w:val="0"/>
                    <w:spacing w:before="0" w:beforeLines="0" w:after="0" w:afterLines="0" w:line="240" w:lineRule="auto"/>
                    <w:ind w:right="0"/>
                    <w:jc w:val="center"/>
                    <w:rPr>
                      <w:rFonts w:ascii="Times New Roman" w:eastAsia="宋体"/>
                      <w:b/>
                      <w:bCs/>
                      <w:color w:val="auto"/>
                      <w:spacing w:val="0"/>
                      <w:sz w:val="21"/>
                      <w:szCs w:val="21"/>
                    </w:rPr>
                  </w:pPr>
                  <w:r>
                    <w:rPr>
                      <w:rFonts w:ascii="Times New Roman" w:eastAsia="宋体"/>
                      <w:b/>
                      <w:bCs/>
                      <w:color w:val="auto"/>
                      <w:spacing w:val="0"/>
                      <w:sz w:val="21"/>
                      <w:szCs w:val="21"/>
                    </w:rPr>
                    <w:t>环境保护目标</w:t>
                  </w:r>
                </w:p>
              </w:tc>
              <w:tc>
                <w:tcPr>
                  <w:tcW w:w="606" w:type="pct"/>
                  <w:vAlign w:val="center"/>
                </w:tcPr>
                <w:p w14:paraId="66048255">
                  <w:pPr>
                    <w:pStyle w:val="34"/>
                    <w:keepNext w:val="0"/>
                    <w:keepLines w:val="0"/>
                    <w:pageBreakBefore w:val="0"/>
                    <w:kinsoku/>
                    <w:wordWrap/>
                    <w:overflowPunct/>
                    <w:topLinePunct w:val="0"/>
                    <w:autoSpaceDE/>
                    <w:autoSpaceDN/>
                    <w:bidi w:val="0"/>
                    <w:snapToGrid w:val="0"/>
                    <w:spacing w:before="0" w:beforeLines="0" w:after="0" w:afterLines="0" w:line="240" w:lineRule="auto"/>
                    <w:ind w:right="0"/>
                    <w:jc w:val="center"/>
                    <w:rPr>
                      <w:rFonts w:ascii="Times New Roman" w:eastAsia="宋体"/>
                      <w:b/>
                      <w:bCs/>
                      <w:color w:val="auto"/>
                      <w:spacing w:val="0"/>
                      <w:sz w:val="21"/>
                      <w:szCs w:val="21"/>
                    </w:rPr>
                  </w:pPr>
                  <w:r>
                    <w:rPr>
                      <w:rFonts w:ascii="Times New Roman" w:eastAsia="宋体"/>
                      <w:b/>
                      <w:bCs/>
                      <w:color w:val="auto"/>
                      <w:spacing w:val="0"/>
                      <w:sz w:val="21"/>
                      <w:szCs w:val="21"/>
                    </w:rPr>
                    <w:t>方位</w:t>
                  </w:r>
                </w:p>
              </w:tc>
              <w:tc>
                <w:tcPr>
                  <w:tcW w:w="598" w:type="pct"/>
                  <w:vAlign w:val="center"/>
                </w:tcPr>
                <w:p w14:paraId="488D99B1">
                  <w:pPr>
                    <w:pStyle w:val="34"/>
                    <w:keepNext w:val="0"/>
                    <w:keepLines w:val="0"/>
                    <w:pageBreakBefore w:val="0"/>
                    <w:kinsoku/>
                    <w:wordWrap/>
                    <w:overflowPunct/>
                    <w:topLinePunct w:val="0"/>
                    <w:autoSpaceDE/>
                    <w:autoSpaceDN/>
                    <w:bidi w:val="0"/>
                    <w:snapToGrid w:val="0"/>
                    <w:spacing w:before="0" w:beforeLines="0" w:after="0" w:afterLines="0" w:line="240" w:lineRule="auto"/>
                    <w:ind w:right="0"/>
                    <w:jc w:val="center"/>
                    <w:rPr>
                      <w:rFonts w:hint="default" w:ascii="Times New Roman" w:eastAsia="宋体"/>
                      <w:b/>
                      <w:bCs/>
                      <w:color w:val="auto"/>
                      <w:spacing w:val="0"/>
                      <w:sz w:val="21"/>
                      <w:szCs w:val="21"/>
                      <w:lang w:val="en-US" w:eastAsia="zh-CN"/>
                    </w:rPr>
                  </w:pPr>
                  <w:r>
                    <w:rPr>
                      <w:rFonts w:ascii="Times New Roman" w:eastAsia="宋体"/>
                      <w:b/>
                      <w:bCs/>
                      <w:color w:val="auto"/>
                      <w:spacing w:val="0"/>
                      <w:sz w:val="21"/>
                      <w:szCs w:val="21"/>
                    </w:rPr>
                    <w:t>距离</w:t>
                  </w:r>
                  <w:r>
                    <w:rPr>
                      <w:rFonts w:hint="eastAsia" w:ascii="Times New Roman" w:eastAsia="宋体"/>
                      <w:b/>
                      <w:bCs/>
                      <w:color w:val="auto"/>
                      <w:spacing w:val="0"/>
                      <w:sz w:val="21"/>
                      <w:szCs w:val="21"/>
                      <w:vertAlign w:val="superscript"/>
                    </w:rPr>
                    <w:t>①</w:t>
                  </w:r>
                  <w:r>
                    <w:rPr>
                      <w:rFonts w:hint="eastAsia" w:ascii="Times New Roman" w:eastAsia="宋体"/>
                      <w:b/>
                      <w:bCs/>
                      <w:color w:val="auto"/>
                      <w:spacing w:val="0"/>
                      <w:sz w:val="21"/>
                      <w:szCs w:val="21"/>
                      <w:vertAlign w:val="baseline"/>
                      <w:lang w:val="en-US" w:eastAsia="zh-CN"/>
                    </w:rPr>
                    <w:t>/m</w:t>
                  </w:r>
                </w:p>
              </w:tc>
              <w:tc>
                <w:tcPr>
                  <w:tcW w:w="793" w:type="pct"/>
                  <w:vAlign w:val="center"/>
                </w:tcPr>
                <w:p w14:paraId="7DA90EED">
                  <w:pPr>
                    <w:pStyle w:val="34"/>
                    <w:keepNext w:val="0"/>
                    <w:keepLines w:val="0"/>
                    <w:pageBreakBefore w:val="0"/>
                    <w:kinsoku/>
                    <w:wordWrap/>
                    <w:overflowPunct/>
                    <w:topLinePunct w:val="0"/>
                    <w:autoSpaceDE/>
                    <w:autoSpaceDN/>
                    <w:bidi w:val="0"/>
                    <w:snapToGrid w:val="0"/>
                    <w:spacing w:before="0" w:beforeLines="0" w:after="0" w:afterLines="0" w:line="240" w:lineRule="auto"/>
                    <w:ind w:right="0"/>
                    <w:jc w:val="center"/>
                    <w:rPr>
                      <w:rFonts w:ascii="Times New Roman" w:eastAsia="宋体"/>
                      <w:b/>
                      <w:bCs/>
                      <w:color w:val="auto"/>
                      <w:spacing w:val="0"/>
                      <w:sz w:val="21"/>
                      <w:szCs w:val="21"/>
                    </w:rPr>
                  </w:pPr>
                  <w:r>
                    <w:rPr>
                      <w:rFonts w:ascii="Times New Roman" w:eastAsia="宋体"/>
                      <w:b/>
                      <w:bCs/>
                      <w:color w:val="auto"/>
                      <w:spacing w:val="0"/>
                      <w:sz w:val="21"/>
                      <w:szCs w:val="21"/>
                    </w:rPr>
                    <w:t>规模</w:t>
                  </w:r>
                </w:p>
              </w:tc>
              <w:tc>
                <w:tcPr>
                  <w:tcW w:w="1477" w:type="pct"/>
                  <w:vAlign w:val="center"/>
                </w:tcPr>
                <w:p w14:paraId="0DA90B54">
                  <w:pPr>
                    <w:pStyle w:val="34"/>
                    <w:keepNext w:val="0"/>
                    <w:keepLines w:val="0"/>
                    <w:pageBreakBefore w:val="0"/>
                    <w:kinsoku/>
                    <w:wordWrap/>
                    <w:overflowPunct/>
                    <w:topLinePunct w:val="0"/>
                    <w:autoSpaceDE/>
                    <w:autoSpaceDN/>
                    <w:bidi w:val="0"/>
                    <w:snapToGrid w:val="0"/>
                    <w:spacing w:before="0" w:beforeLines="0" w:after="0" w:afterLines="0" w:line="240" w:lineRule="auto"/>
                    <w:ind w:right="0"/>
                    <w:jc w:val="center"/>
                    <w:rPr>
                      <w:rFonts w:ascii="Times New Roman" w:eastAsia="宋体"/>
                      <w:b/>
                      <w:bCs/>
                      <w:color w:val="auto"/>
                      <w:spacing w:val="0"/>
                      <w:sz w:val="21"/>
                      <w:szCs w:val="21"/>
                    </w:rPr>
                  </w:pPr>
                  <w:r>
                    <w:rPr>
                      <w:rFonts w:ascii="Times New Roman" w:eastAsia="宋体"/>
                      <w:b/>
                      <w:bCs/>
                      <w:color w:val="auto"/>
                      <w:spacing w:val="0"/>
                      <w:sz w:val="21"/>
                      <w:szCs w:val="21"/>
                    </w:rPr>
                    <w:t>环境功能</w:t>
                  </w:r>
                </w:p>
              </w:tc>
            </w:tr>
            <w:tr w14:paraId="14B5AAC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614" w:type="pct"/>
                  <w:vMerge w:val="restart"/>
                  <w:vAlign w:val="center"/>
                </w:tcPr>
                <w:p w14:paraId="4C75F787">
                  <w:pPr>
                    <w:pStyle w:val="34"/>
                    <w:keepNext w:val="0"/>
                    <w:keepLines w:val="0"/>
                    <w:pageBreakBefore w:val="0"/>
                    <w:kinsoku/>
                    <w:wordWrap/>
                    <w:overflowPunct/>
                    <w:topLinePunct w:val="0"/>
                    <w:autoSpaceDE/>
                    <w:autoSpaceDN/>
                    <w:bidi w:val="0"/>
                    <w:snapToGrid w:val="0"/>
                    <w:spacing w:before="0" w:beforeLines="0" w:after="0" w:afterLines="0" w:line="240" w:lineRule="auto"/>
                    <w:ind w:right="0"/>
                    <w:jc w:val="center"/>
                    <w:rPr>
                      <w:rFonts w:ascii="Times New Roman" w:eastAsia="宋体"/>
                      <w:color w:val="auto"/>
                      <w:spacing w:val="0"/>
                      <w:sz w:val="21"/>
                      <w:szCs w:val="21"/>
                    </w:rPr>
                  </w:pPr>
                  <w:bookmarkStart w:id="19" w:name="OLE_LINK32" w:colFirst="1" w:colLast="5"/>
                  <w:r>
                    <w:rPr>
                      <w:rFonts w:hint="eastAsia" w:ascii="Times New Roman" w:eastAsia="宋体"/>
                      <w:color w:val="auto"/>
                      <w:spacing w:val="0"/>
                      <w:sz w:val="21"/>
                      <w:szCs w:val="21"/>
                    </w:rPr>
                    <w:t>地表水</w:t>
                  </w:r>
                  <w:r>
                    <w:rPr>
                      <w:rFonts w:ascii="Times New Roman" w:eastAsia="宋体"/>
                      <w:color w:val="auto"/>
                      <w:spacing w:val="0"/>
                      <w:sz w:val="21"/>
                      <w:szCs w:val="21"/>
                    </w:rPr>
                    <w:t>环境</w:t>
                  </w:r>
                </w:p>
              </w:tc>
              <w:tc>
                <w:tcPr>
                  <w:tcW w:w="910" w:type="pct"/>
                  <w:shd w:val="clear" w:color="auto" w:fill="auto"/>
                  <w:vAlign w:val="center"/>
                </w:tcPr>
                <w:p w14:paraId="4F08536A">
                  <w:pPr>
                    <w:pStyle w:val="34"/>
                    <w:keepNext w:val="0"/>
                    <w:keepLines w:val="0"/>
                    <w:pageBreakBefore w:val="0"/>
                    <w:kinsoku/>
                    <w:wordWrap/>
                    <w:overflowPunct/>
                    <w:topLinePunct w:val="0"/>
                    <w:autoSpaceDE/>
                    <w:autoSpaceDN/>
                    <w:bidi w:val="0"/>
                    <w:snapToGrid w:val="0"/>
                    <w:spacing w:before="0" w:beforeLines="0" w:after="0" w:afterLines="0" w:line="240" w:lineRule="auto"/>
                    <w:ind w:right="0"/>
                    <w:jc w:val="center"/>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桥港河</w:t>
                  </w:r>
                </w:p>
              </w:tc>
              <w:tc>
                <w:tcPr>
                  <w:tcW w:w="606" w:type="pct"/>
                  <w:shd w:val="clear" w:color="auto" w:fill="auto"/>
                  <w:vAlign w:val="center"/>
                </w:tcPr>
                <w:p w14:paraId="75FC2936">
                  <w:pPr>
                    <w:pStyle w:val="34"/>
                    <w:keepNext w:val="0"/>
                    <w:keepLines w:val="0"/>
                    <w:pageBreakBefore w:val="0"/>
                    <w:kinsoku/>
                    <w:wordWrap/>
                    <w:overflowPunct/>
                    <w:topLinePunct w:val="0"/>
                    <w:autoSpaceDE/>
                    <w:autoSpaceDN/>
                    <w:bidi w:val="0"/>
                    <w:snapToGrid w:val="0"/>
                    <w:spacing w:before="0" w:beforeLines="0" w:after="0" w:afterLines="0" w:line="240" w:lineRule="auto"/>
                    <w:ind w:right="0"/>
                    <w:jc w:val="center"/>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E</w:t>
                  </w:r>
                </w:p>
              </w:tc>
              <w:tc>
                <w:tcPr>
                  <w:tcW w:w="598" w:type="pct"/>
                  <w:shd w:val="clear" w:color="auto" w:fill="auto"/>
                  <w:vAlign w:val="center"/>
                </w:tcPr>
                <w:p w14:paraId="55EC19FD">
                  <w:pPr>
                    <w:pStyle w:val="34"/>
                    <w:keepNext w:val="0"/>
                    <w:keepLines w:val="0"/>
                    <w:pageBreakBefore w:val="0"/>
                    <w:kinsoku/>
                    <w:wordWrap/>
                    <w:overflowPunct/>
                    <w:topLinePunct w:val="0"/>
                    <w:autoSpaceDE/>
                    <w:autoSpaceDN/>
                    <w:bidi w:val="0"/>
                    <w:snapToGrid w:val="0"/>
                    <w:spacing w:before="0" w:beforeLines="0" w:after="0" w:afterLines="0" w:line="240" w:lineRule="auto"/>
                    <w:ind w:right="0"/>
                    <w:jc w:val="center"/>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333</w:t>
                  </w:r>
                </w:p>
              </w:tc>
              <w:tc>
                <w:tcPr>
                  <w:tcW w:w="793" w:type="pct"/>
                  <w:shd w:val="clear" w:color="auto" w:fill="auto"/>
                  <w:vAlign w:val="center"/>
                </w:tcPr>
                <w:p w14:paraId="45F89842">
                  <w:pPr>
                    <w:pStyle w:val="34"/>
                    <w:keepNext w:val="0"/>
                    <w:keepLines w:val="0"/>
                    <w:pageBreakBefore w:val="0"/>
                    <w:kinsoku/>
                    <w:wordWrap/>
                    <w:overflowPunct/>
                    <w:topLinePunct w:val="0"/>
                    <w:autoSpaceDE/>
                    <w:autoSpaceDN/>
                    <w:bidi w:val="0"/>
                    <w:snapToGrid w:val="0"/>
                    <w:spacing w:before="0" w:beforeLines="0" w:after="0" w:afterLines="0" w:line="240" w:lineRule="auto"/>
                    <w:ind w:right="0"/>
                    <w:jc w:val="center"/>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小型</w:t>
                  </w:r>
                </w:p>
              </w:tc>
              <w:tc>
                <w:tcPr>
                  <w:tcW w:w="1477" w:type="pct"/>
                  <w:vMerge w:val="restart"/>
                  <w:vAlign w:val="center"/>
                </w:tcPr>
                <w:p w14:paraId="042223C9">
                  <w:pPr>
                    <w:pStyle w:val="34"/>
                    <w:keepNext w:val="0"/>
                    <w:keepLines w:val="0"/>
                    <w:pageBreakBefore w:val="0"/>
                    <w:kinsoku/>
                    <w:wordWrap/>
                    <w:overflowPunct/>
                    <w:topLinePunct w:val="0"/>
                    <w:autoSpaceDE/>
                    <w:autoSpaceDN/>
                    <w:bidi w:val="0"/>
                    <w:snapToGrid w:val="0"/>
                    <w:spacing w:before="0" w:beforeLines="0" w:after="0" w:afterLines="0" w:line="240" w:lineRule="auto"/>
                    <w:ind w:right="0"/>
                    <w:jc w:val="center"/>
                    <w:rPr>
                      <w:rFonts w:ascii="Times New Roman" w:eastAsia="宋体"/>
                      <w:color w:val="auto"/>
                      <w:spacing w:val="0"/>
                      <w:sz w:val="21"/>
                      <w:szCs w:val="21"/>
                    </w:rPr>
                  </w:pPr>
                  <w:r>
                    <w:rPr>
                      <w:rFonts w:hint="eastAsia" w:ascii="Times New Roman" w:eastAsia="宋体"/>
                      <w:color w:val="auto"/>
                      <w:spacing w:val="0"/>
                      <w:sz w:val="21"/>
                      <w:szCs w:val="21"/>
                    </w:rPr>
                    <w:t>《地表水环境质量标准》（GB3838-2002）</w:t>
                  </w:r>
                  <w:bookmarkStart w:id="20" w:name="OLE_LINK39"/>
                  <w:r>
                    <w:rPr>
                      <w:rFonts w:hint="default" w:ascii="Times New Roman" w:hAnsi="Times New Roman" w:eastAsia="宋体" w:cs="Times New Roman"/>
                      <w:color w:val="auto"/>
                      <w:spacing w:val="0"/>
                      <w:sz w:val="21"/>
                      <w:szCs w:val="21"/>
                      <w:lang w:val="en-US" w:eastAsia="zh-CN"/>
                    </w:rPr>
                    <w:t>Ⅲ</w:t>
                  </w:r>
                  <w:bookmarkEnd w:id="20"/>
                  <w:r>
                    <w:rPr>
                      <w:rFonts w:hint="eastAsia" w:ascii="Times New Roman" w:eastAsia="宋体"/>
                      <w:color w:val="auto"/>
                      <w:spacing w:val="0"/>
                      <w:sz w:val="21"/>
                      <w:szCs w:val="21"/>
                    </w:rPr>
                    <w:t>类水质</w:t>
                  </w:r>
                </w:p>
              </w:tc>
            </w:tr>
            <w:tr w14:paraId="69D0D7B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614" w:type="pct"/>
                  <w:vMerge w:val="continue"/>
                  <w:vAlign w:val="center"/>
                </w:tcPr>
                <w:p w14:paraId="57C236C5">
                  <w:pPr>
                    <w:pStyle w:val="34"/>
                    <w:keepNext w:val="0"/>
                    <w:keepLines w:val="0"/>
                    <w:pageBreakBefore w:val="0"/>
                    <w:kinsoku/>
                    <w:wordWrap/>
                    <w:overflowPunct/>
                    <w:topLinePunct w:val="0"/>
                    <w:autoSpaceDE/>
                    <w:autoSpaceDN/>
                    <w:bidi w:val="0"/>
                    <w:snapToGrid w:val="0"/>
                    <w:spacing w:before="0" w:beforeLines="0" w:after="0" w:afterLines="0" w:line="240" w:lineRule="auto"/>
                    <w:ind w:right="0"/>
                    <w:jc w:val="center"/>
                    <w:rPr>
                      <w:rFonts w:hint="eastAsia" w:ascii="Times New Roman" w:eastAsia="宋体"/>
                      <w:color w:val="auto"/>
                      <w:spacing w:val="0"/>
                      <w:sz w:val="21"/>
                      <w:szCs w:val="21"/>
                    </w:rPr>
                  </w:pPr>
                </w:p>
              </w:tc>
              <w:tc>
                <w:tcPr>
                  <w:tcW w:w="910" w:type="pct"/>
                  <w:shd w:val="clear" w:color="auto" w:fill="auto"/>
                  <w:vAlign w:val="center"/>
                </w:tcPr>
                <w:p w14:paraId="749C86E5">
                  <w:pPr>
                    <w:pStyle w:val="34"/>
                    <w:keepNext w:val="0"/>
                    <w:keepLines w:val="0"/>
                    <w:pageBreakBefore w:val="0"/>
                    <w:kinsoku/>
                    <w:wordWrap/>
                    <w:overflowPunct/>
                    <w:topLinePunct w:val="0"/>
                    <w:autoSpaceDE/>
                    <w:autoSpaceDN/>
                    <w:bidi w:val="0"/>
                    <w:snapToGrid w:val="0"/>
                    <w:spacing w:before="0" w:beforeLines="0" w:after="0" w:afterLines="0" w:line="240" w:lineRule="auto"/>
                    <w:ind w:right="0"/>
                    <w:jc w:val="center"/>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界河</w:t>
                  </w:r>
                </w:p>
              </w:tc>
              <w:tc>
                <w:tcPr>
                  <w:tcW w:w="606" w:type="pct"/>
                  <w:shd w:val="clear" w:color="auto" w:fill="auto"/>
                  <w:vAlign w:val="center"/>
                </w:tcPr>
                <w:p w14:paraId="6B084D60">
                  <w:pPr>
                    <w:pStyle w:val="34"/>
                    <w:keepNext w:val="0"/>
                    <w:keepLines w:val="0"/>
                    <w:pageBreakBefore w:val="0"/>
                    <w:kinsoku/>
                    <w:wordWrap/>
                    <w:overflowPunct/>
                    <w:topLinePunct w:val="0"/>
                    <w:autoSpaceDE/>
                    <w:autoSpaceDN/>
                    <w:bidi w:val="0"/>
                    <w:snapToGrid w:val="0"/>
                    <w:spacing w:before="0" w:beforeLines="0" w:after="0" w:afterLines="0" w:line="240" w:lineRule="auto"/>
                    <w:ind w:right="0"/>
                    <w:jc w:val="center"/>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N</w:t>
                  </w:r>
                </w:p>
              </w:tc>
              <w:tc>
                <w:tcPr>
                  <w:tcW w:w="598" w:type="pct"/>
                  <w:shd w:val="clear" w:color="auto" w:fill="auto"/>
                  <w:vAlign w:val="center"/>
                </w:tcPr>
                <w:p w14:paraId="53D6A22B">
                  <w:pPr>
                    <w:pStyle w:val="34"/>
                    <w:keepNext w:val="0"/>
                    <w:keepLines w:val="0"/>
                    <w:pageBreakBefore w:val="0"/>
                    <w:kinsoku/>
                    <w:wordWrap/>
                    <w:overflowPunct/>
                    <w:topLinePunct w:val="0"/>
                    <w:autoSpaceDE/>
                    <w:autoSpaceDN/>
                    <w:bidi w:val="0"/>
                    <w:snapToGrid w:val="0"/>
                    <w:spacing w:before="0" w:beforeLines="0" w:after="0" w:afterLines="0" w:line="240" w:lineRule="auto"/>
                    <w:ind w:right="0"/>
                    <w:jc w:val="center"/>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44</w:t>
                  </w:r>
                </w:p>
              </w:tc>
              <w:tc>
                <w:tcPr>
                  <w:tcW w:w="793" w:type="pct"/>
                  <w:shd w:val="clear" w:color="auto" w:fill="auto"/>
                  <w:vAlign w:val="center"/>
                </w:tcPr>
                <w:p w14:paraId="275732E4">
                  <w:pPr>
                    <w:pStyle w:val="34"/>
                    <w:keepNext w:val="0"/>
                    <w:keepLines w:val="0"/>
                    <w:pageBreakBefore w:val="0"/>
                    <w:kinsoku/>
                    <w:wordWrap/>
                    <w:overflowPunct/>
                    <w:topLinePunct w:val="0"/>
                    <w:autoSpaceDE/>
                    <w:autoSpaceDN/>
                    <w:bidi w:val="0"/>
                    <w:snapToGrid w:val="0"/>
                    <w:spacing w:before="0" w:beforeLines="0" w:after="0" w:afterLines="0" w:line="240" w:lineRule="auto"/>
                    <w:ind w:right="0"/>
                    <w:jc w:val="center"/>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小型</w:t>
                  </w:r>
                </w:p>
              </w:tc>
              <w:tc>
                <w:tcPr>
                  <w:tcW w:w="1477" w:type="pct"/>
                  <w:vMerge w:val="continue"/>
                  <w:vAlign w:val="center"/>
                </w:tcPr>
                <w:p w14:paraId="3A6C420F">
                  <w:pPr>
                    <w:pStyle w:val="34"/>
                    <w:keepNext w:val="0"/>
                    <w:keepLines w:val="0"/>
                    <w:pageBreakBefore w:val="0"/>
                    <w:kinsoku/>
                    <w:wordWrap/>
                    <w:overflowPunct/>
                    <w:topLinePunct w:val="0"/>
                    <w:autoSpaceDE/>
                    <w:autoSpaceDN/>
                    <w:bidi w:val="0"/>
                    <w:snapToGrid w:val="0"/>
                    <w:spacing w:before="0" w:beforeLines="0" w:after="0" w:afterLines="0" w:line="240" w:lineRule="auto"/>
                    <w:ind w:right="0"/>
                    <w:jc w:val="center"/>
                    <w:rPr>
                      <w:rFonts w:hint="eastAsia" w:ascii="Times New Roman" w:eastAsia="宋体"/>
                      <w:color w:val="auto"/>
                      <w:spacing w:val="0"/>
                      <w:sz w:val="21"/>
                      <w:szCs w:val="21"/>
                    </w:rPr>
                  </w:pPr>
                </w:p>
              </w:tc>
            </w:tr>
            <w:tr w14:paraId="24AAA07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614" w:type="pct"/>
                  <w:vMerge w:val="continue"/>
                  <w:vAlign w:val="center"/>
                </w:tcPr>
                <w:p w14:paraId="6744D418">
                  <w:pPr>
                    <w:pStyle w:val="34"/>
                    <w:keepNext w:val="0"/>
                    <w:keepLines w:val="0"/>
                    <w:pageBreakBefore w:val="0"/>
                    <w:kinsoku/>
                    <w:wordWrap/>
                    <w:overflowPunct/>
                    <w:topLinePunct w:val="0"/>
                    <w:autoSpaceDE/>
                    <w:autoSpaceDN/>
                    <w:bidi w:val="0"/>
                    <w:snapToGrid w:val="0"/>
                    <w:spacing w:before="0" w:beforeLines="0" w:after="0" w:afterLines="0" w:line="240" w:lineRule="auto"/>
                    <w:ind w:right="0"/>
                    <w:jc w:val="center"/>
                    <w:rPr>
                      <w:rFonts w:hint="eastAsia" w:ascii="Times New Roman" w:eastAsia="宋体"/>
                      <w:color w:val="auto"/>
                      <w:spacing w:val="0"/>
                      <w:sz w:val="21"/>
                      <w:szCs w:val="21"/>
                    </w:rPr>
                  </w:pPr>
                </w:p>
              </w:tc>
              <w:tc>
                <w:tcPr>
                  <w:tcW w:w="910" w:type="pct"/>
                  <w:shd w:val="clear" w:color="auto" w:fill="auto"/>
                  <w:vAlign w:val="center"/>
                </w:tcPr>
                <w:p w14:paraId="18A24A71">
                  <w:pPr>
                    <w:pStyle w:val="34"/>
                    <w:keepNext w:val="0"/>
                    <w:keepLines w:val="0"/>
                    <w:pageBreakBefore w:val="0"/>
                    <w:kinsoku/>
                    <w:wordWrap/>
                    <w:overflowPunct/>
                    <w:topLinePunct w:val="0"/>
                    <w:autoSpaceDE/>
                    <w:autoSpaceDN/>
                    <w:bidi w:val="0"/>
                    <w:snapToGrid w:val="0"/>
                    <w:spacing w:before="0" w:beforeLines="0" w:after="0" w:afterLines="0" w:line="240" w:lineRule="auto"/>
                    <w:ind w:right="0"/>
                    <w:jc w:val="center"/>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子宏河</w:t>
                  </w:r>
                </w:p>
              </w:tc>
              <w:tc>
                <w:tcPr>
                  <w:tcW w:w="606" w:type="pct"/>
                  <w:shd w:val="clear" w:color="auto" w:fill="auto"/>
                  <w:vAlign w:val="center"/>
                </w:tcPr>
                <w:p w14:paraId="7372D5D6">
                  <w:pPr>
                    <w:pStyle w:val="34"/>
                    <w:keepNext w:val="0"/>
                    <w:keepLines w:val="0"/>
                    <w:pageBreakBefore w:val="0"/>
                    <w:kinsoku/>
                    <w:wordWrap/>
                    <w:overflowPunct/>
                    <w:topLinePunct w:val="0"/>
                    <w:autoSpaceDE/>
                    <w:autoSpaceDN/>
                    <w:bidi w:val="0"/>
                    <w:snapToGrid w:val="0"/>
                    <w:spacing w:before="0" w:beforeLines="0" w:after="0" w:afterLines="0" w:line="240" w:lineRule="auto"/>
                    <w:ind w:right="0"/>
                    <w:jc w:val="center"/>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W</w:t>
                  </w:r>
                </w:p>
              </w:tc>
              <w:tc>
                <w:tcPr>
                  <w:tcW w:w="598" w:type="pct"/>
                  <w:shd w:val="clear" w:color="auto" w:fill="auto"/>
                  <w:vAlign w:val="center"/>
                </w:tcPr>
                <w:p w14:paraId="07632166">
                  <w:pPr>
                    <w:pStyle w:val="34"/>
                    <w:keepNext w:val="0"/>
                    <w:keepLines w:val="0"/>
                    <w:pageBreakBefore w:val="0"/>
                    <w:kinsoku/>
                    <w:wordWrap/>
                    <w:overflowPunct/>
                    <w:topLinePunct w:val="0"/>
                    <w:autoSpaceDE/>
                    <w:autoSpaceDN/>
                    <w:bidi w:val="0"/>
                    <w:snapToGrid w:val="0"/>
                    <w:spacing w:before="0" w:beforeLines="0" w:after="0" w:afterLines="0" w:line="240" w:lineRule="auto"/>
                    <w:ind w:right="0"/>
                    <w:jc w:val="center"/>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395</w:t>
                  </w:r>
                </w:p>
              </w:tc>
              <w:tc>
                <w:tcPr>
                  <w:tcW w:w="793" w:type="pct"/>
                  <w:shd w:val="clear" w:color="auto" w:fill="auto"/>
                  <w:vAlign w:val="center"/>
                </w:tcPr>
                <w:p w14:paraId="31A1E1D7">
                  <w:pPr>
                    <w:pStyle w:val="34"/>
                    <w:keepNext w:val="0"/>
                    <w:keepLines w:val="0"/>
                    <w:pageBreakBefore w:val="0"/>
                    <w:kinsoku/>
                    <w:wordWrap/>
                    <w:overflowPunct/>
                    <w:topLinePunct w:val="0"/>
                    <w:autoSpaceDE/>
                    <w:autoSpaceDN/>
                    <w:bidi w:val="0"/>
                    <w:snapToGrid w:val="0"/>
                    <w:spacing w:before="0" w:beforeLines="0" w:after="0" w:afterLines="0" w:line="240" w:lineRule="auto"/>
                    <w:ind w:right="0"/>
                    <w:jc w:val="center"/>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小型</w:t>
                  </w:r>
                </w:p>
              </w:tc>
              <w:tc>
                <w:tcPr>
                  <w:tcW w:w="1477" w:type="pct"/>
                  <w:vMerge w:val="continue"/>
                  <w:vAlign w:val="center"/>
                </w:tcPr>
                <w:p w14:paraId="52A5A59F">
                  <w:pPr>
                    <w:pStyle w:val="34"/>
                    <w:keepNext w:val="0"/>
                    <w:keepLines w:val="0"/>
                    <w:pageBreakBefore w:val="0"/>
                    <w:kinsoku/>
                    <w:wordWrap/>
                    <w:overflowPunct/>
                    <w:topLinePunct w:val="0"/>
                    <w:autoSpaceDE/>
                    <w:autoSpaceDN/>
                    <w:bidi w:val="0"/>
                    <w:snapToGrid w:val="0"/>
                    <w:spacing w:before="0" w:beforeLines="0" w:after="0" w:afterLines="0" w:line="240" w:lineRule="auto"/>
                    <w:ind w:right="0"/>
                    <w:jc w:val="center"/>
                    <w:rPr>
                      <w:rFonts w:hint="eastAsia" w:ascii="Times New Roman" w:eastAsia="宋体"/>
                      <w:color w:val="auto"/>
                      <w:spacing w:val="0"/>
                      <w:sz w:val="21"/>
                      <w:szCs w:val="21"/>
                    </w:rPr>
                  </w:pPr>
                </w:p>
              </w:tc>
            </w:tr>
            <w:tr w14:paraId="6994661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614" w:type="pct"/>
                  <w:vMerge w:val="continue"/>
                  <w:vAlign w:val="center"/>
                </w:tcPr>
                <w:p w14:paraId="4D6BEFEA">
                  <w:pPr>
                    <w:pStyle w:val="34"/>
                    <w:keepNext w:val="0"/>
                    <w:keepLines w:val="0"/>
                    <w:pageBreakBefore w:val="0"/>
                    <w:kinsoku/>
                    <w:wordWrap/>
                    <w:overflowPunct/>
                    <w:topLinePunct w:val="0"/>
                    <w:autoSpaceDE/>
                    <w:autoSpaceDN/>
                    <w:bidi w:val="0"/>
                    <w:snapToGrid w:val="0"/>
                    <w:spacing w:before="0" w:beforeLines="0" w:after="0" w:afterLines="0" w:line="240" w:lineRule="auto"/>
                    <w:ind w:right="0"/>
                    <w:jc w:val="center"/>
                    <w:rPr>
                      <w:rFonts w:hint="eastAsia" w:ascii="Times New Roman" w:eastAsia="宋体"/>
                      <w:color w:val="auto"/>
                      <w:spacing w:val="0"/>
                      <w:sz w:val="21"/>
                      <w:szCs w:val="21"/>
                    </w:rPr>
                  </w:pPr>
                </w:p>
              </w:tc>
              <w:tc>
                <w:tcPr>
                  <w:tcW w:w="910" w:type="pct"/>
                  <w:shd w:val="clear" w:color="auto" w:fill="auto"/>
                  <w:vAlign w:val="center"/>
                </w:tcPr>
                <w:p w14:paraId="2F5AC27F">
                  <w:pPr>
                    <w:pStyle w:val="34"/>
                    <w:keepNext w:val="0"/>
                    <w:keepLines w:val="0"/>
                    <w:pageBreakBefore w:val="0"/>
                    <w:kinsoku/>
                    <w:wordWrap/>
                    <w:overflowPunct/>
                    <w:topLinePunct w:val="0"/>
                    <w:autoSpaceDE/>
                    <w:autoSpaceDN/>
                    <w:bidi w:val="0"/>
                    <w:snapToGrid w:val="0"/>
                    <w:spacing w:before="0" w:beforeLines="0" w:after="0" w:afterLines="0" w:line="240" w:lineRule="auto"/>
                    <w:ind w:right="0"/>
                    <w:jc w:val="center"/>
                    <w:rPr>
                      <w:rFonts w:hint="default" w:ascii="Times New Roman" w:hAnsi="Times New Roman" w:eastAsia="宋体"/>
                      <w:color w:val="auto"/>
                      <w:sz w:val="21"/>
                      <w:szCs w:val="21"/>
                      <w:lang w:val="en-US" w:eastAsia="zh-CN"/>
                    </w:rPr>
                  </w:pPr>
                  <w:r>
                    <w:rPr>
                      <w:rFonts w:hint="default" w:ascii="Times New Roman" w:hAnsi="Times New Roman" w:eastAsia="宋体"/>
                      <w:color w:val="auto"/>
                      <w:sz w:val="21"/>
                      <w:szCs w:val="21"/>
                      <w:lang w:val="en-US" w:eastAsia="zh-CN"/>
                    </w:rPr>
                    <w:t>栟茶运河</w:t>
                  </w:r>
                  <w:r>
                    <w:rPr>
                      <w:rFonts w:hint="eastAsia" w:ascii="宋体" w:hAnsi="宋体" w:eastAsia="宋体" w:cs="宋体"/>
                      <w:color w:val="auto"/>
                      <w:kern w:val="0"/>
                      <w:sz w:val="21"/>
                      <w:szCs w:val="21"/>
                      <w:highlight w:val="none"/>
                      <w:lang w:val="en-US" w:eastAsia="zh-CN" w:bidi="ar"/>
                    </w:rPr>
                    <w:t>（纳污）</w:t>
                  </w:r>
                </w:p>
              </w:tc>
              <w:tc>
                <w:tcPr>
                  <w:tcW w:w="606" w:type="pct"/>
                  <w:shd w:val="clear" w:color="auto" w:fill="auto"/>
                  <w:vAlign w:val="center"/>
                </w:tcPr>
                <w:p w14:paraId="6FF7257E">
                  <w:pPr>
                    <w:pStyle w:val="34"/>
                    <w:keepNext w:val="0"/>
                    <w:keepLines w:val="0"/>
                    <w:pageBreakBefore w:val="0"/>
                    <w:kinsoku/>
                    <w:wordWrap/>
                    <w:overflowPunct/>
                    <w:topLinePunct w:val="0"/>
                    <w:autoSpaceDE/>
                    <w:autoSpaceDN/>
                    <w:bidi w:val="0"/>
                    <w:snapToGrid w:val="0"/>
                    <w:spacing w:before="0" w:beforeLines="0" w:after="0" w:afterLines="0" w:line="240" w:lineRule="auto"/>
                    <w:ind w:right="0"/>
                    <w:jc w:val="center"/>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SE</w:t>
                  </w:r>
                </w:p>
              </w:tc>
              <w:tc>
                <w:tcPr>
                  <w:tcW w:w="598" w:type="pct"/>
                  <w:shd w:val="clear" w:color="auto" w:fill="auto"/>
                  <w:vAlign w:val="center"/>
                </w:tcPr>
                <w:p w14:paraId="27D56C7F">
                  <w:pPr>
                    <w:pStyle w:val="34"/>
                    <w:keepNext w:val="0"/>
                    <w:keepLines w:val="0"/>
                    <w:pageBreakBefore w:val="0"/>
                    <w:kinsoku/>
                    <w:wordWrap/>
                    <w:overflowPunct/>
                    <w:topLinePunct w:val="0"/>
                    <w:autoSpaceDE/>
                    <w:autoSpaceDN/>
                    <w:bidi w:val="0"/>
                    <w:snapToGrid w:val="0"/>
                    <w:spacing w:before="0" w:beforeLines="0" w:after="0" w:afterLines="0" w:line="240" w:lineRule="auto"/>
                    <w:ind w:right="0"/>
                    <w:jc w:val="center"/>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4035</w:t>
                  </w:r>
                </w:p>
              </w:tc>
              <w:tc>
                <w:tcPr>
                  <w:tcW w:w="793" w:type="pct"/>
                  <w:shd w:val="clear" w:color="auto" w:fill="auto"/>
                  <w:vAlign w:val="center"/>
                </w:tcPr>
                <w:p w14:paraId="05B7B3EE">
                  <w:pPr>
                    <w:pStyle w:val="34"/>
                    <w:keepNext w:val="0"/>
                    <w:keepLines w:val="0"/>
                    <w:pageBreakBefore w:val="0"/>
                    <w:kinsoku/>
                    <w:wordWrap/>
                    <w:overflowPunct/>
                    <w:topLinePunct w:val="0"/>
                    <w:autoSpaceDE/>
                    <w:autoSpaceDN/>
                    <w:bidi w:val="0"/>
                    <w:snapToGrid w:val="0"/>
                    <w:spacing w:before="0" w:beforeLines="0" w:after="0" w:afterLines="0" w:line="240" w:lineRule="auto"/>
                    <w:ind w:right="0"/>
                    <w:jc w:val="center"/>
                    <w:rPr>
                      <w:rFonts w:hint="default" w:ascii="Times New Roman" w:hAnsi="Times New Roman" w:eastAsia="宋体"/>
                      <w:color w:val="auto"/>
                      <w:sz w:val="21"/>
                      <w:szCs w:val="21"/>
                      <w:lang w:val="en-US" w:eastAsia="zh-CN"/>
                    </w:rPr>
                  </w:pPr>
                  <w:r>
                    <w:rPr>
                      <w:rFonts w:hint="default" w:ascii="Times New Roman" w:hAnsi="Times New Roman" w:eastAsia="宋体"/>
                      <w:color w:val="auto"/>
                      <w:sz w:val="21"/>
                      <w:szCs w:val="21"/>
                      <w:lang w:val="en-US" w:eastAsia="zh-CN"/>
                    </w:rPr>
                    <w:t>中型</w:t>
                  </w:r>
                </w:p>
              </w:tc>
              <w:tc>
                <w:tcPr>
                  <w:tcW w:w="1477" w:type="pct"/>
                  <w:vMerge w:val="continue"/>
                  <w:vAlign w:val="center"/>
                </w:tcPr>
                <w:p w14:paraId="30589FD5">
                  <w:pPr>
                    <w:pStyle w:val="34"/>
                    <w:keepNext w:val="0"/>
                    <w:keepLines w:val="0"/>
                    <w:pageBreakBefore w:val="0"/>
                    <w:kinsoku/>
                    <w:wordWrap/>
                    <w:overflowPunct/>
                    <w:topLinePunct w:val="0"/>
                    <w:autoSpaceDE/>
                    <w:autoSpaceDN/>
                    <w:bidi w:val="0"/>
                    <w:snapToGrid w:val="0"/>
                    <w:spacing w:before="0" w:beforeLines="0" w:after="0" w:afterLines="0" w:line="240" w:lineRule="auto"/>
                    <w:ind w:right="0"/>
                    <w:jc w:val="center"/>
                    <w:rPr>
                      <w:rFonts w:hint="eastAsia" w:ascii="Times New Roman" w:eastAsia="宋体"/>
                      <w:color w:val="auto"/>
                      <w:spacing w:val="0"/>
                      <w:sz w:val="21"/>
                      <w:szCs w:val="21"/>
                    </w:rPr>
                  </w:pPr>
                </w:p>
              </w:tc>
            </w:tr>
            <w:bookmarkEnd w:id="19"/>
            <w:tr w14:paraId="6D08478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5000" w:type="pct"/>
                  <w:gridSpan w:val="6"/>
                  <w:vAlign w:val="center"/>
                </w:tcPr>
                <w:p w14:paraId="63E8E054">
                  <w:pPr>
                    <w:pStyle w:val="10"/>
                    <w:keepNext w:val="0"/>
                    <w:keepLines w:val="0"/>
                    <w:pageBreakBefore w:val="0"/>
                    <w:kinsoku/>
                    <w:wordWrap/>
                    <w:overflowPunct/>
                    <w:topLinePunct w:val="0"/>
                    <w:autoSpaceDE/>
                    <w:autoSpaceDN/>
                    <w:bidi w:val="0"/>
                    <w:snapToGrid w:val="0"/>
                    <w:spacing w:before="0" w:after="0" w:line="240" w:lineRule="auto"/>
                    <w:ind w:right="0"/>
                    <w:jc w:val="center"/>
                    <w:rPr>
                      <w:color w:val="auto"/>
                      <w:sz w:val="21"/>
                      <w:szCs w:val="21"/>
                    </w:rPr>
                  </w:pPr>
                  <w:r>
                    <w:rPr>
                      <w:rFonts w:hint="eastAsia"/>
                      <w:b/>
                      <w:bCs/>
                      <w:color w:val="auto"/>
                      <w:sz w:val="21"/>
                      <w:szCs w:val="21"/>
                    </w:rPr>
                    <w:t>注：距离指距离本项目厂界的最近距离。</w:t>
                  </w:r>
                </w:p>
              </w:tc>
            </w:tr>
          </w:tbl>
          <w:p w14:paraId="5172DB1E">
            <w:pPr>
              <w:adjustRightInd w:val="0"/>
              <w:snapToGrid w:val="0"/>
              <w:spacing w:before="120" w:beforeLines="50" w:line="360" w:lineRule="auto"/>
              <w:ind w:firstLine="480" w:firstLineChars="200"/>
              <w:rPr>
                <w:color w:val="auto"/>
                <w:sz w:val="24"/>
                <w:szCs w:val="24"/>
              </w:rPr>
            </w:pPr>
            <w:r>
              <w:rPr>
                <w:rFonts w:hint="eastAsia"/>
                <w:color w:val="auto"/>
                <w:sz w:val="24"/>
                <w:szCs w:val="24"/>
              </w:rPr>
              <w:t>本项目厂界外500米范围内无地下水集中式饮用水水源和热水、矿泉水、温泉等特殊地下水资源。</w:t>
            </w:r>
          </w:p>
          <w:p w14:paraId="2CF095D9">
            <w:pPr>
              <w:adjustRightInd w:val="0"/>
              <w:snapToGrid w:val="0"/>
              <w:spacing w:line="360" w:lineRule="auto"/>
              <w:ind w:firstLine="480" w:firstLineChars="200"/>
              <w:rPr>
                <w:color w:val="auto"/>
                <w:sz w:val="24"/>
                <w:szCs w:val="24"/>
              </w:rPr>
            </w:pPr>
            <w:r>
              <w:rPr>
                <w:rFonts w:hint="eastAsia"/>
                <w:color w:val="auto"/>
                <w:sz w:val="24"/>
                <w:szCs w:val="24"/>
              </w:rPr>
              <w:t>本项目位于江苏省海安高新技术产业开发区田庄村18组，与</w:t>
            </w:r>
            <w:r>
              <w:rPr>
                <w:color w:val="auto"/>
                <w:sz w:val="24"/>
                <w:szCs w:val="24"/>
              </w:rPr>
              <w:t>本项目最近的江苏省国家级生态保护红线为</w:t>
            </w:r>
            <w:r>
              <w:rPr>
                <w:rFonts w:hint="eastAsia"/>
                <w:color w:val="auto"/>
                <w:sz w:val="24"/>
                <w:szCs w:val="24"/>
              </w:rPr>
              <w:t>北侧的新通扬运河（海安）饮用水水源保护区，最近距离约5.51km</w:t>
            </w:r>
            <w:r>
              <w:rPr>
                <w:rFonts w:hint="eastAsia"/>
                <w:color w:val="auto"/>
                <w:sz w:val="24"/>
                <w:szCs w:val="24"/>
                <w:lang w:eastAsia="zh-CN"/>
              </w:rPr>
              <w:t>；</w:t>
            </w:r>
            <w:r>
              <w:rPr>
                <w:color w:val="auto"/>
                <w:sz w:val="24"/>
                <w:szCs w:val="24"/>
              </w:rPr>
              <w:t>与本项目距离最近的生态空间管控区域为</w:t>
            </w:r>
            <w:r>
              <w:rPr>
                <w:rFonts w:hint="eastAsia"/>
                <w:color w:val="auto"/>
                <w:sz w:val="24"/>
                <w:szCs w:val="24"/>
              </w:rPr>
              <w:t>北侧的新通扬－通榆运河清水通道维护区，最近距离约4.84km，故</w:t>
            </w:r>
            <w:r>
              <w:rPr>
                <w:rFonts w:hint="eastAsia"/>
                <w:color w:val="auto"/>
                <w:sz w:val="24"/>
                <w:szCs w:val="24"/>
                <w:lang w:val="en-US" w:eastAsia="zh-CN"/>
              </w:rPr>
              <w:t>本</w:t>
            </w:r>
            <w:r>
              <w:rPr>
                <w:rFonts w:hint="eastAsia"/>
                <w:color w:val="auto"/>
                <w:sz w:val="24"/>
                <w:szCs w:val="24"/>
                <w:lang w:eastAsia="zh-CN"/>
              </w:rPr>
              <w:t>项目</w:t>
            </w:r>
            <w:r>
              <w:rPr>
                <w:rFonts w:hint="eastAsia"/>
                <w:color w:val="auto"/>
                <w:sz w:val="24"/>
                <w:szCs w:val="24"/>
              </w:rPr>
              <w:t>不涉及生态红线、生态空间管控区，项目用地范围内无生态环境保护目标。</w:t>
            </w:r>
            <w:r>
              <w:rPr>
                <w:rFonts w:hint="eastAsia"/>
                <w:color w:val="auto"/>
                <w:sz w:val="24"/>
                <w:szCs w:val="24"/>
                <w:lang w:val="en-US" w:eastAsia="zh-CN"/>
              </w:rPr>
              <w:t>本</w:t>
            </w:r>
            <w:r>
              <w:rPr>
                <w:rFonts w:hint="eastAsia"/>
                <w:color w:val="auto"/>
                <w:sz w:val="24"/>
                <w:szCs w:val="24"/>
                <w:lang w:eastAsia="zh-CN"/>
              </w:rPr>
              <w:t>项目</w:t>
            </w:r>
            <w:r>
              <w:rPr>
                <w:rFonts w:hint="eastAsia"/>
                <w:color w:val="auto"/>
                <w:sz w:val="24"/>
                <w:szCs w:val="24"/>
              </w:rPr>
              <w:t>不处于生态保护红线范围内。</w:t>
            </w:r>
          </w:p>
        </w:tc>
      </w:tr>
      <w:tr w14:paraId="739B9AA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060" w:hRule="atLeast"/>
          <w:jc w:val="center"/>
        </w:trPr>
        <w:tc>
          <w:tcPr>
            <w:tcW w:w="634" w:type="dxa"/>
            <w:tcMar>
              <w:left w:w="28" w:type="dxa"/>
              <w:right w:w="28" w:type="dxa"/>
            </w:tcMar>
            <w:vAlign w:val="center"/>
          </w:tcPr>
          <w:p w14:paraId="1FA932E7">
            <w:pPr>
              <w:adjustRightInd w:val="0"/>
              <w:snapToGrid w:val="0"/>
              <w:jc w:val="center"/>
              <w:rPr>
                <w:rFonts w:ascii="宋体" w:hAnsi="宋体" w:cs="宋体"/>
                <w:color w:val="auto"/>
                <w:kern w:val="0"/>
                <w:sz w:val="24"/>
                <w:szCs w:val="24"/>
              </w:rPr>
            </w:pPr>
            <w:r>
              <w:rPr>
                <w:rFonts w:hint="eastAsia" w:ascii="宋体" w:hAnsi="宋体" w:cs="宋体"/>
                <w:color w:val="auto"/>
                <w:kern w:val="0"/>
                <w:sz w:val="24"/>
                <w:szCs w:val="24"/>
              </w:rPr>
              <w:t>污染</w:t>
            </w:r>
          </w:p>
          <w:p w14:paraId="574CD49D">
            <w:pPr>
              <w:adjustRightInd w:val="0"/>
              <w:snapToGrid w:val="0"/>
              <w:jc w:val="center"/>
              <w:rPr>
                <w:rFonts w:ascii="宋体" w:hAnsi="宋体" w:cs="宋体"/>
                <w:color w:val="auto"/>
                <w:kern w:val="0"/>
                <w:sz w:val="24"/>
                <w:szCs w:val="24"/>
              </w:rPr>
            </w:pPr>
            <w:r>
              <w:rPr>
                <w:rFonts w:hint="eastAsia" w:ascii="宋体" w:hAnsi="宋体" w:cs="宋体"/>
                <w:color w:val="auto"/>
                <w:kern w:val="0"/>
                <w:sz w:val="24"/>
                <w:szCs w:val="24"/>
              </w:rPr>
              <w:t>物排</w:t>
            </w:r>
          </w:p>
          <w:p w14:paraId="23791D52">
            <w:pPr>
              <w:adjustRightInd w:val="0"/>
              <w:snapToGrid w:val="0"/>
              <w:jc w:val="center"/>
              <w:rPr>
                <w:rFonts w:ascii="宋体" w:hAnsi="宋体" w:cs="宋体"/>
                <w:color w:val="auto"/>
                <w:kern w:val="0"/>
                <w:sz w:val="24"/>
                <w:szCs w:val="24"/>
              </w:rPr>
            </w:pPr>
            <w:r>
              <w:rPr>
                <w:rFonts w:hint="eastAsia" w:ascii="宋体" w:hAnsi="宋体" w:cs="宋体"/>
                <w:color w:val="auto"/>
                <w:kern w:val="0"/>
                <w:sz w:val="24"/>
                <w:szCs w:val="24"/>
              </w:rPr>
              <w:t>放控</w:t>
            </w:r>
          </w:p>
          <w:p w14:paraId="01226C6A">
            <w:pPr>
              <w:adjustRightInd w:val="0"/>
              <w:snapToGrid w:val="0"/>
              <w:jc w:val="center"/>
              <w:rPr>
                <w:rFonts w:ascii="宋体" w:hAnsi="宋体" w:cs="宋体"/>
                <w:color w:val="auto"/>
                <w:kern w:val="0"/>
                <w:sz w:val="24"/>
                <w:szCs w:val="24"/>
              </w:rPr>
            </w:pPr>
            <w:r>
              <w:rPr>
                <w:rFonts w:hint="eastAsia" w:ascii="宋体" w:hAnsi="宋体" w:cs="宋体"/>
                <w:color w:val="auto"/>
                <w:kern w:val="0"/>
                <w:sz w:val="24"/>
                <w:szCs w:val="24"/>
              </w:rPr>
              <w:t>制标</w:t>
            </w:r>
          </w:p>
          <w:p w14:paraId="345F6BA5">
            <w:pPr>
              <w:adjustRightInd w:val="0"/>
              <w:snapToGrid w:val="0"/>
              <w:jc w:val="center"/>
              <w:rPr>
                <w:rFonts w:ascii="宋体" w:hAnsi="宋体" w:cs="宋体"/>
                <w:color w:val="auto"/>
                <w:kern w:val="0"/>
                <w:sz w:val="24"/>
                <w:szCs w:val="24"/>
              </w:rPr>
            </w:pPr>
            <w:r>
              <w:rPr>
                <w:rFonts w:hint="eastAsia" w:ascii="宋体" w:hAnsi="宋体" w:cs="宋体"/>
                <w:color w:val="auto"/>
                <w:kern w:val="0"/>
                <w:sz w:val="24"/>
                <w:szCs w:val="24"/>
              </w:rPr>
              <w:t>准</w:t>
            </w:r>
          </w:p>
        </w:tc>
        <w:tc>
          <w:tcPr>
            <w:tcW w:w="8427" w:type="dxa"/>
            <w:vAlign w:val="center"/>
          </w:tcPr>
          <w:p w14:paraId="4680FF67">
            <w:pPr>
              <w:adjustRightInd w:val="0"/>
              <w:snapToGrid w:val="0"/>
              <w:spacing w:line="360" w:lineRule="auto"/>
              <w:ind w:firstLine="482" w:firstLineChars="200"/>
              <w:rPr>
                <w:b/>
                <w:color w:val="auto"/>
                <w:kern w:val="0"/>
                <w:sz w:val="24"/>
                <w:szCs w:val="24"/>
              </w:rPr>
            </w:pPr>
            <w:r>
              <w:rPr>
                <w:b/>
                <w:color w:val="auto"/>
                <w:kern w:val="0"/>
                <w:sz w:val="24"/>
                <w:szCs w:val="24"/>
              </w:rPr>
              <w:t>1、污水排放标准</w:t>
            </w:r>
          </w:p>
          <w:p w14:paraId="1AEA18DB">
            <w:pPr>
              <w:spacing w:line="360" w:lineRule="auto"/>
              <w:ind w:firstLine="480" w:firstLineChars="200"/>
              <w:rPr>
                <w:rFonts w:hint="eastAsia"/>
                <w:color w:val="auto"/>
                <w:sz w:val="24"/>
                <w:szCs w:val="24"/>
                <w:highlight w:val="none"/>
              </w:rPr>
            </w:pPr>
            <w:r>
              <w:rPr>
                <w:rFonts w:hint="eastAsia"/>
                <w:color w:val="auto"/>
                <w:sz w:val="24"/>
                <w:szCs w:val="24"/>
                <w:highlight w:val="none"/>
              </w:rPr>
              <w:t>本项目实行雨污分流。雨水经雨水管网收集后</w:t>
            </w:r>
            <w:r>
              <w:rPr>
                <w:rFonts w:hint="eastAsia"/>
                <w:color w:val="auto"/>
                <w:sz w:val="24"/>
                <w:szCs w:val="24"/>
                <w:highlight w:val="none"/>
                <w:lang w:val="en-US" w:eastAsia="zh-CN"/>
              </w:rPr>
              <w:t>就近</w:t>
            </w:r>
            <w:r>
              <w:rPr>
                <w:rFonts w:hint="eastAsia"/>
                <w:color w:val="auto"/>
                <w:sz w:val="24"/>
                <w:szCs w:val="24"/>
                <w:highlight w:val="none"/>
              </w:rPr>
              <w:t>排入</w:t>
            </w:r>
            <w:r>
              <w:rPr>
                <w:rFonts w:hint="eastAsia"/>
                <w:color w:val="auto"/>
                <w:sz w:val="24"/>
                <w:szCs w:val="24"/>
                <w:highlight w:val="none"/>
                <w:lang w:val="en-US" w:eastAsia="zh-CN"/>
              </w:rPr>
              <w:t>界河</w:t>
            </w:r>
            <w:r>
              <w:rPr>
                <w:rFonts w:hint="eastAsia"/>
                <w:color w:val="auto"/>
                <w:sz w:val="24"/>
                <w:szCs w:val="24"/>
                <w:highlight w:val="none"/>
              </w:rPr>
              <w:t>，雨水排放标准参照执行《地表水环境质量标准》（GB3838-2002）中</w:t>
            </w:r>
            <w:r>
              <w:rPr>
                <w:rFonts w:hint="default" w:ascii="Times New Roman" w:hAnsi="Times New Roman" w:cs="Times New Roman"/>
                <w:color w:val="auto"/>
                <w:sz w:val="24"/>
                <w:szCs w:val="24"/>
                <w:highlight w:val="none"/>
              </w:rPr>
              <w:t>Ⅲ</w:t>
            </w:r>
            <w:r>
              <w:rPr>
                <w:rFonts w:hint="eastAsia"/>
                <w:color w:val="auto"/>
                <w:sz w:val="24"/>
                <w:szCs w:val="24"/>
                <w:highlight w:val="none"/>
              </w:rPr>
              <w:t>类标准。生活污水由化粪池预处理后接管进入鹰泰水务海安有限公司处理，最终排入栟茶运河。</w:t>
            </w:r>
          </w:p>
          <w:p w14:paraId="6E25611F">
            <w:pPr>
              <w:spacing w:line="360" w:lineRule="auto"/>
              <w:ind w:firstLine="480" w:firstLineChars="200"/>
              <w:rPr>
                <w:color w:val="auto"/>
                <w:sz w:val="24"/>
                <w:szCs w:val="24"/>
                <w:highlight w:val="none"/>
              </w:rPr>
            </w:pPr>
            <w:r>
              <w:rPr>
                <w:rFonts w:hint="eastAsia"/>
                <w:color w:val="auto"/>
                <w:sz w:val="24"/>
                <w:szCs w:val="24"/>
              </w:rPr>
              <w:t>本项目生活污水接管执行《污水综合排放标准》（GB8978-1996）表4中三级标准及《污水排入城镇下水道水质标准》（GB/T31962-2015）表1中B等级标准，同时也应符合鹰泰水务设计接管水质要求。鹰泰水务海安有限公司出水执行</w:t>
            </w:r>
            <w:r>
              <w:rPr>
                <w:rFonts w:hint="eastAsia" w:cs="宋体"/>
                <w:color w:val="auto"/>
                <w:kern w:val="0"/>
                <w:sz w:val="24"/>
                <w:szCs w:val="24"/>
                <w:lang w:val="en-US" w:eastAsia="zh-CN"/>
              </w:rPr>
              <w:t>《城镇污水处理厂污染物排放标准》（DB32/4440-2022）表1中C标准</w:t>
            </w:r>
            <w:r>
              <w:rPr>
                <w:rFonts w:hint="eastAsia"/>
                <w:color w:val="auto"/>
                <w:sz w:val="24"/>
                <w:szCs w:val="24"/>
                <w:highlight w:val="none"/>
              </w:rPr>
              <w:t>，具体数值见下表。</w:t>
            </w:r>
          </w:p>
          <w:p w14:paraId="21BB75C3">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ind w:left="0" w:right="0"/>
              <w:jc w:val="center"/>
              <w:textAlignment w:val="auto"/>
              <w:rPr>
                <w:rFonts w:hint="default" w:ascii="Times New Roman" w:hAnsi="Times New Roman" w:eastAsia="宋体" w:cs="Times New Roman"/>
                <w:b/>
                <w:color w:val="auto"/>
                <w:kern w:val="2"/>
                <w:sz w:val="24"/>
                <w:szCs w:val="24"/>
                <w:lang w:val="en-US" w:eastAsia="zh-CN" w:bidi="ar"/>
              </w:rPr>
            </w:pPr>
            <w:r>
              <w:rPr>
                <w:rFonts w:hint="default" w:ascii="Times New Roman" w:hAnsi="Times New Roman" w:eastAsia="宋体" w:cs="Times New Roman"/>
                <w:b/>
                <w:color w:val="auto"/>
                <w:kern w:val="2"/>
                <w:sz w:val="24"/>
                <w:szCs w:val="24"/>
                <w:lang w:val="en-US" w:eastAsia="zh-CN" w:bidi="ar"/>
              </w:rPr>
              <w:t>表3-</w:t>
            </w:r>
            <w:r>
              <w:rPr>
                <w:rFonts w:hint="eastAsia" w:cs="Times New Roman"/>
                <w:b/>
                <w:color w:val="auto"/>
                <w:kern w:val="2"/>
                <w:sz w:val="24"/>
                <w:szCs w:val="24"/>
                <w:lang w:val="en-US" w:eastAsia="zh-CN" w:bidi="ar"/>
              </w:rPr>
              <w:t>8</w:t>
            </w:r>
            <w:r>
              <w:rPr>
                <w:rFonts w:hint="eastAsia" w:ascii="Times New Roman" w:hAnsi="Times New Roman" w:eastAsia="宋体" w:cs="Times New Roman"/>
                <w:b/>
                <w:color w:val="auto"/>
                <w:kern w:val="2"/>
                <w:sz w:val="24"/>
                <w:szCs w:val="24"/>
                <w:lang w:val="en-US" w:eastAsia="zh-CN" w:bidi="ar"/>
              </w:rPr>
              <w:t xml:space="preserve"> </w:t>
            </w:r>
            <w:r>
              <w:rPr>
                <w:rFonts w:hint="default" w:ascii="Times New Roman" w:hAnsi="Times New Roman" w:eastAsia="宋体" w:cs="Times New Roman"/>
                <w:b/>
                <w:color w:val="auto"/>
                <w:kern w:val="2"/>
                <w:sz w:val="24"/>
                <w:szCs w:val="24"/>
                <w:lang w:val="en-US" w:eastAsia="zh-CN" w:bidi="ar"/>
              </w:rPr>
              <w:t>污水排放标准（单位：除pH值外为mg/L）</w:t>
            </w:r>
          </w:p>
          <w:tbl>
            <w:tblPr>
              <w:tblStyle w:val="26"/>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141"/>
              <w:gridCol w:w="5227"/>
              <w:gridCol w:w="1843"/>
            </w:tblGrid>
            <w:tr w14:paraId="4FF2A72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141" w:type="dxa"/>
                  <w:vAlign w:val="center"/>
                </w:tcPr>
                <w:p w14:paraId="5744A9BF">
                  <w:pPr>
                    <w:adjustRightInd w:val="0"/>
                    <w:snapToGrid w:val="0"/>
                    <w:spacing w:before="24" w:beforeLines="10" w:after="24" w:afterLines="10" w:line="259" w:lineRule="auto"/>
                    <w:jc w:val="center"/>
                    <w:textAlignment w:val="baseline"/>
                    <w:rPr>
                      <w:b/>
                      <w:bCs/>
                      <w:color w:val="auto"/>
                      <w:spacing w:val="-10"/>
                      <w:kern w:val="0"/>
                    </w:rPr>
                  </w:pPr>
                  <w:r>
                    <w:rPr>
                      <w:b/>
                      <w:bCs/>
                      <w:color w:val="auto"/>
                      <w:spacing w:val="-10"/>
                      <w:kern w:val="0"/>
                    </w:rPr>
                    <w:t>项目</w:t>
                  </w:r>
                </w:p>
              </w:tc>
              <w:tc>
                <w:tcPr>
                  <w:tcW w:w="5227" w:type="dxa"/>
                  <w:vAlign w:val="center"/>
                </w:tcPr>
                <w:p w14:paraId="0030EB6B">
                  <w:pPr>
                    <w:adjustRightInd w:val="0"/>
                    <w:snapToGrid w:val="0"/>
                    <w:spacing w:before="24" w:beforeLines="10" w:after="24" w:afterLines="10" w:line="259" w:lineRule="auto"/>
                    <w:jc w:val="center"/>
                    <w:textAlignment w:val="baseline"/>
                    <w:rPr>
                      <w:b/>
                      <w:bCs/>
                      <w:color w:val="auto"/>
                      <w:spacing w:val="-10"/>
                    </w:rPr>
                  </w:pPr>
                  <w:r>
                    <w:rPr>
                      <w:b/>
                      <w:bCs/>
                      <w:color w:val="auto"/>
                      <w:spacing w:val="-10"/>
                      <w:kern w:val="0"/>
                    </w:rPr>
                    <w:t>《污水综合排放标准》（GB8978-1996）表4中三级标准和《污水排入城镇下水道水质标准》</w:t>
                  </w:r>
                  <w:r>
                    <w:rPr>
                      <w:rFonts w:hint="eastAsia"/>
                      <w:b/>
                      <w:bCs/>
                      <w:color w:val="auto"/>
                      <w:spacing w:val="-10"/>
                      <w:kern w:val="0"/>
                    </w:rPr>
                    <w:t>（</w:t>
                  </w:r>
                  <w:r>
                    <w:rPr>
                      <w:b/>
                      <w:bCs/>
                      <w:color w:val="auto"/>
                      <w:spacing w:val="-10"/>
                      <w:kern w:val="0"/>
                    </w:rPr>
                    <w:t>GB/T31962-2015</w:t>
                  </w:r>
                  <w:r>
                    <w:rPr>
                      <w:rFonts w:hint="eastAsia"/>
                      <w:b/>
                      <w:bCs/>
                      <w:color w:val="auto"/>
                      <w:spacing w:val="-10"/>
                      <w:kern w:val="0"/>
                    </w:rPr>
                    <w:t>）</w:t>
                  </w:r>
                  <w:r>
                    <w:rPr>
                      <w:b/>
                      <w:bCs/>
                      <w:color w:val="auto"/>
                      <w:spacing w:val="-10"/>
                      <w:kern w:val="0"/>
                    </w:rPr>
                    <w:t>表1中B等级标准及鹰泰水务海安有限公司接管标准</w:t>
                  </w:r>
                </w:p>
              </w:tc>
              <w:tc>
                <w:tcPr>
                  <w:tcW w:w="1843" w:type="dxa"/>
                  <w:vAlign w:val="center"/>
                </w:tcPr>
                <w:p w14:paraId="6FC411FA">
                  <w:pPr>
                    <w:adjustRightInd w:val="0"/>
                    <w:snapToGrid w:val="0"/>
                    <w:spacing w:before="24" w:beforeLines="10" w:after="24" w:afterLines="10" w:line="259" w:lineRule="auto"/>
                    <w:jc w:val="center"/>
                    <w:textAlignment w:val="baseline"/>
                    <w:rPr>
                      <w:b/>
                      <w:bCs/>
                      <w:color w:val="auto"/>
                      <w:spacing w:val="-10"/>
                      <w:kern w:val="0"/>
                    </w:rPr>
                  </w:pPr>
                  <w:r>
                    <w:rPr>
                      <w:b/>
                      <w:bCs/>
                      <w:color w:val="auto"/>
                      <w:spacing w:val="-10"/>
                      <w:kern w:val="0"/>
                    </w:rPr>
                    <w:t>污水处理厂尾水排放标准</w:t>
                  </w:r>
                </w:p>
              </w:tc>
            </w:tr>
            <w:tr w14:paraId="2C166E3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1141" w:type="dxa"/>
                  <w:vAlign w:val="center"/>
                </w:tcPr>
                <w:p w14:paraId="2B0414E2">
                  <w:pPr>
                    <w:adjustRightInd w:val="0"/>
                    <w:snapToGrid w:val="0"/>
                    <w:spacing w:before="24" w:beforeLines="10" w:after="24" w:afterLines="10" w:line="259" w:lineRule="auto"/>
                    <w:jc w:val="center"/>
                    <w:textAlignment w:val="baseline"/>
                    <w:rPr>
                      <w:color w:val="auto"/>
                      <w:spacing w:val="-10"/>
                      <w:kern w:val="0"/>
                    </w:rPr>
                  </w:pPr>
                  <w:r>
                    <w:rPr>
                      <w:color w:val="auto"/>
                      <w:spacing w:val="-10"/>
                      <w:kern w:val="0"/>
                    </w:rPr>
                    <w:t>pH</w:t>
                  </w:r>
                </w:p>
              </w:tc>
              <w:tc>
                <w:tcPr>
                  <w:tcW w:w="5227" w:type="dxa"/>
                  <w:vAlign w:val="center"/>
                </w:tcPr>
                <w:p w14:paraId="56A1EA08">
                  <w:pPr>
                    <w:adjustRightInd w:val="0"/>
                    <w:snapToGrid w:val="0"/>
                    <w:spacing w:before="24" w:beforeLines="10" w:after="24" w:afterLines="10" w:line="259" w:lineRule="auto"/>
                    <w:jc w:val="center"/>
                    <w:textAlignment w:val="baseline"/>
                    <w:rPr>
                      <w:color w:val="auto"/>
                      <w:spacing w:val="-10"/>
                      <w:kern w:val="0"/>
                    </w:rPr>
                  </w:pPr>
                  <w:r>
                    <w:rPr>
                      <w:color w:val="auto"/>
                      <w:spacing w:val="-10"/>
                      <w:kern w:val="0"/>
                    </w:rPr>
                    <w:t>6-9</w:t>
                  </w:r>
                  <w:r>
                    <w:rPr>
                      <w:color w:val="auto"/>
                      <w:spacing w:val="-10"/>
                    </w:rPr>
                    <w:t>（无量纲）</w:t>
                  </w:r>
                </w:p>
              </w:tc>
              <w:tc>
                <w:tcPr>
                  <w:tcW w:w="1843" w:type="dxa"/>
                  <w:vAlign w:val="center"/>
                </w:tcPr>
                <w:p w14:paraId="1C9C1D22">
                  <w:pPr>
                    <w:adjustRightInd w:val="0"/>
                    <w:snapToGrid w:val="0"/>
                    <w:spacing w:before="24" w:beforeLines="10" w:after="24" w:afterLines="10" w:line="259" w:lineRule="auto"/>
                    <w:jc w:val="center"/>
                    <w:textAlignment w:val="baseline"/>
                    <w:rPr>
                      <w:color w:val="auto"/>
                      <w:spacing w:val="-10"/>
                      <w:kern w:val="0"/>
                    </w:rPr>
                  </w:pPr>
                  <w:r>
                    <w:rPr>
                      <w:color w:val="auto"/>
                      <w:spacing w:val="-10"/>
                      <w:kern w:val="0"/>
                    </w:rPr>
                    <w:t>6-9（无量纲）</w:t>
                  </w:r>
                </w:p>
              </w:tc>
            </w:tr>
            <w:tr w14:paraId="2049275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141" w:type="dxa"/>
                  <w:vAlign w:val="center"/>
                </w:tcPr>
                <w:p w14:paraId="738F8ED8">
                  <w:pPr>
                    <w:adjustRightInd w:val="0"/>
                    <w:snapToGrid w:val="0"/>
                    <w:spacing w:before="24" w:beforeLines="10" w:after="24" w:afterLines="10" w:line="259" w:lineRule="auto"/>
                    <w:jc w:val="center"/>
                    <w:textAlignment w:val="baseline"/>
                    <w:rPr>
                      <w:color w:val="auto"/>
                      <w:spacing w:val="-10"/>
                      <w:kern w:val="0"/>
                    </w:rPr>
                  </w:pPr>
                  <w:r>
                    <w:rPr>
                      <w:color w:val="auto"/>
                      <w:spacing w:val="-10"/>
                      <w:kern w:val="0"/>
                    </w:rPr>
                    <w:t>COD</w:t>
                  </w:r>
                </w:p>
              </w:tc>
              <w:tc>
                <w:tcPr>
                  <w:tcW w:w="5227" w:type="dxa"/>
                  <w:vAlign w:val="center"/>
                </w:tcPr>
                <w:p w14:paraId="3A71129C">
                  <w:pPr>
                    <w:adjustRightInd w:val="0"/>
                    <w:snapToGrid w:val="0"/>
                    <w:spacing w:before="24" w:beforeLines="10" w:after="24" w:afterLines="10" w:line="259" w:lineRule="auto"/>
                    <w:jc w:val="center"/>
                    <w:textAlignment w:val="baseline"/>
                    <w:rPr>
                      <w:color w:val="auto"/>
                      <w:spacing w:val="-10"/>
                    </w:rPr>
                  </w:pPr>
                  <w:r>
                    <w:rPr>
                      <w:color w:val="auto"/>
                      <w:spacing w:val="-10"/>
                      <w:kern w:val="0"/>
                    </w:rPr>
                    <w:t>500</w:t>
                  </w:r>
                </w:p>
              </w:tc>
              <w:tc>
                <w:tcPr>
                  <w:tcW w:w="1843" w:type="dxa"/>
                  <w:vAlign w:val="center"/>
                </w:tcPr>
                <w:p w14:paraId="5DACB87A">
                  <w:pPr>
                    <w:adjustRightInd w:val="0"/>
                    <w:snapToGrid w:val="0"/>
                    <w:spacing w:before="24" w:beforeLines="10" w:after="24" w:afterLines="10" w:line="259" w:lineRule="auto"/>
                    <w:jc w:val="center"/>
                    <w:textAlignment w:val="baseline"/>
                    <w:rPr>
                      <w:rFonts w:hint="default" w:eastAsia="宋体"/>
                      <w:color w:val="auto"/>
                      <w:spacing w:val="-10"/>
                      <w:kern w:val="0"/>
                      <w:lang w:val="en-US" w:eastAsia="zh-CN"/>
                    </w:rPr>
                  </w:pPr>
                  <w:r>
                    <w:rPr>
                      <w:rFonts w:hint="eastAsia"/>
                      <w:color w:val="auto"/>
                      <w:spacing w:val="-10"/>
                      <w:kern w:val="0"/>
                      <w:lang w:val="en-US" w:eastAsia="zh-CN"/>
                    </w:rPr>
                    <w:t>50</w:t>
                  </w:r>
                </w:p>
              </w:tc>
            </w:tr>
            <w:tr w14:paraId="57A05EB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141" w:type="dxa"/>
                  <w:vAlign w:val="center"/>
                </w:tcPr>
                <w:p w14:paraId="6FD6C68D">
                  <w:pPr>
                    <w:adjustRightInd w:val="0"/>
                    <w:snapToGrid w:val="0"/>
                    <w:spacing w:before="24" w:beforeLines="10" w:after="24" w:afterLines="10" w:line="259" w:lineRule="auto"/>
                    <w:jc w:val="center"/>
                    <w:textAlignment w:val="baseline"/>
                    <w:rPr>
                      <w:color w:val="auto"/>
                      <w:spacing w:val="-10"/>
                      <w:kern w:val="0"/>
                    </w:rPr>
                  </w:pPr>
                  <w:r>
                    <w:rPr>
                      <w:color w:val="auto"/>
                      <w:spacing w:val="-10"/>
                      <w:kern w:val="0"/>
                    </w:rPr>
                    <w:t>SS</w:t>
                  </w:r>
                </w:p>
              </w:tc>
              <w:tc>
                <w:tcPr>
                  <w:tcW w:w="5227" w:type="dxa"/>
                  <w:vAlign w:val="center"/>
                </w:tcPr>
                <w:p w14:paraId="3102DF4E">
                  <w:pPr>
                    <w:adjustRightInd w:val="0"/>
                    <w:snapToGrid w:val="0"/>
                    <w:spacing w:before="24" w:beforeLines="10" w:after="24" w:afterLines="10" w:line="259" w:lineRule="auto"/>
                    <w:jc w:val="center"/>
                    <w:textAlignment w:val="baseline"/>
                    <w:rPr>
                      <w:color w:val="auto"/>
                      <w:spacing w:val="-10"/>
                    </w:rPr>
                  </w:pPr>
                  <w:r>
                    <w:rPr>
                      <w:color w:val="auto"/>
                      <w:spacing w:val="-10"/>
                      <w:kern w:val="0"/>
                    </w:rPr>
                    <w:t>400</w:t>
                  </w:r>
                </w:p>
              </w:tc>
              <w:tc>
                <w:tcPr>
                  <w:tcW w:w="1843" w:type="dxa"/>
                  <w:vAlign w:val="center"/>
                </w:tcPr>
                <w:p w14:paraId="1FB48BBB">
                  <w:pPr>
                    <w:adjustRightInd w:val="0"/>
                    <w:snapToGrid w:val="0"/>
                    <w:spacing w:before="24" w:beforeLines="10" w:after="24" w:afterLines="10" w:line="259" w:lineRule="auto"/>
                    <w:jc w:val="center"/>
                    <w:textAlignment w:val="baseline"/>
                    <w:rPr>
                      <w:rFonts w:hint="default" w:eastAsia="宋体"/>
                      <w:color w:val="auto"/>
                      <w:spacing w:val="-10"/>
                      <w:kern w:val="0"/>
                      <w:lang w:val="en-US" w:eastAsia="zh-CN"/>
                    </w:rPr>
                  </w:pPr>
                  <w:r>
                    <w:rPr>
                      <w:rFonts w:hint="eastAsia"/>
                      <w:color w:val="auto"/>
                      <w:spacing w:val="-10"/>
                      <w:kern w:val="0"/>
                      <w:lang w:val="en-US" w:eastAsia="zh-CN"/>
                    </w:rPr>
                    <w:t>10</w:t>
                  </w:r>
                </w:p>
              </w:tc>
            </w:tr>
            <w:tr w14:paraId="41020EE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141" w:type="dxa"/>
                  <w:vAlign w:val="center"/>
                </w:tcPr>
                <w:p w14:paraId="6B8F655A">
                  <w:pPr>
                    <w:adjustRightInd w:val="0"/>
                    <w:snapToGrid w:val="0"/>
                    <w:spacing w:before="24" w:beforeLines="10" w:after="24" w:afterLines="10" w:line="259" w:lineRule="auto"/>
                    <w:jc w:val="center"/>
                    <w:textAlignment w:val="baseline"/>
                    <w:rPr>
                      <w:color w:val="auto"/>
                      <w:spacing w:val="-10"/>
                      <w:kern w:val="0"/>
                    </w:rPr>
                  </w:pPr>
                  <w:r>
                    <w:rPr>
                      <w:color w:val="auto"/>
                      <w:spacing w:val="-10"/>
                      <w:kern w:val="0"/>
                    </w:rPr>
                    <w:t>NH</w:t>
                  </w:r>
                  <w:r>
                    <w:rPr>
                      <w:color w:val="auto"/>
                      <w:spacing w:val="-10"/>
                      <w:kern w:val="0"/>
                      <w:vertAlign w:val="subscript"/>
                    </w:rPr>
                    <w:t>3</w:t>
                  </w:r>
                  <w:r>
                    <w:rPr>
                      <w:color w:val="auto"/>
                      <w:spacing w:val="-10"/>
                      <w:kern w:val="0"/>
                    </w:rPr>
                    <w:t>-N</w:t>
                  </w:r>
                </w:p>
              </w:tc>
              <w:tc>
                <w:tcPr>
                  <w:tcW w:w="5227" w:type="dxa"/>
                  <w:vAlign w:val="center"/>
                </w:tcPr>
                <w:p w14:paraId="77302EF2">
                  <w:pPr>
                    <w:adjustRightInd w:val="0"/>
                    <w:snapToGrid w:val="0"/>
                    <w:spacing w:before="24" w:beforeLines="10" w:after="24" w:afterLines="10" w:line="259" w:lineRule="auto"/>
                    <w:jc w:val="center"/>
                    <w:textAlignment w:val="baseline"/>
                    <w:rPr>
                      <w:color w:val="auto"/>
                      <w:spacing w:val="-10"/>
                    </w:rPr>
                  </w:pPr>
                  <w:r>
                    <w:rPr>
                      <w:color w:val="auto"/>
                      <w:spacing w:val="-10"/>
                      <w:kern w:val="0"/>
                    </w:rPr>
                    <w:t>45</w:t>
                  </w:r>
                </w:p>
              </w:tc>
              <w:tc>
                <w:tcPr>
                  <w:tcW w:w="1843" w:type="dxa"/>
                  <w:vAlign w:val="center"/>
                </w:tcPr>
                <w:p w14:paraId="0E85E07F">
                  <w:pPr>
                    <w:adjustRightInd w:val="0"/>
                    <w:snapToGrid w:val="0"/>
                    <w:spacing w:before="24" w:beforeLines="10" w:after="24" w:afterLines="10" w:line="259" w:lineRule="auto"/>
                    <w:jc w:val="center"/>
                    <w:textAlignment w:val="baseline"/>
                    <w:rPr>
                      <w:rFonts w:hint="default" w:eastAsia="宋体"/>
                      <w:color w:val="auto"/>
                      <w:spacing w:val="-10"/>
                      <w:kern w:val="0"/>
                      <w:lang w:val="en-US" w:eastAsia="zh-CN"/>
                    </w:rPr>
                  </w:pPr>
                  <w:r>
                    <w:rPr>
                      <w:rFonts w:hint="eastAsia"/>
                      <w:color w:val="auto"/>
                      <w:spacing w:val="-10"/>
                      <w:kern w:val="0"/>
                      <w:lang w:val="en-US" w:eastAsia="zh-CN"/>
                    </w:rPr>
                    <w:t>4（6）*</w:t>
                  </w:r>
                </w:p>
              </w:tc>
            </w:tr>
            <w:tr w14:paraId="1F7A002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141" w:type="dxa"/>
                  <w:vAlign w:val="center"/>
                </w:tcPr>
                <w:p w14:paraId="07017DB2">
                  <w:pPr>
                    <w:adjustRightInd w:val="0"/>
                    <w:snapToGrid w:val="0"/>
                    <w:spacing w:before="24" w:beforeLines="10" w:after="24" w:afterLines="10" w:line="259" w:lineRule="auto"/>
                    <w:jc w:val="center"/>
                    <w:textAlignment w:val="baseline"/>
                    <w:rPr>
                      <w:color w:val="auto"/>
                      <w:spacing w:val="-10"/>
                      <w:kern w:val="0"/>
                    </w:rPr>
                  </w:pPr>
                  <w:r>
                    <w:rPr>
                      <w:color w:val="auto"/>
                      <w:spacing w:val="-10"/>
                      <w:kern w:val="0"/>
                    </w:rPr>
                    <w:t>TP</w:t>
                  </w:r>
                </w:p>
              </w:tc>
              <w:tc>
                <w:tcPr>
                  <w:tcW w:w="5227" w:type="dxa"/>
                  <w:vAlign w:val="center"/>
                </w:tcPr>
                <w:p w14:paraId="5F3FD2BB">
                  <w:pPr>
                    <w:adjustRightInd w:val="0"/>
                    <w:snapToGrid w:val="0"/>
                    <w:spacing w:before="24" w:beforeLines="10" w:after="24" w:afterLines="10" w:line="259" w:lineRule="auto"/>
                    <w:jc w:val="center"/>
                    <w:textAlignment w:val="baseline"/>
                    <w:rPr>
                      <w:color w:val="auto"/>
                      <w:spacing w:val="-10"/>
                    </w:rPr>
                  </w:pPr>
                  <w:r>
                    <w:rPr>
                      <w:color w:val="auto"/>
                      <w:spacing w:val="-10"/>
                      <w:kern w:val="0"/>
                    </w:rPr>
                    <w:t>8</w:t>
                  </w:r>
                </w:p>
              </w:tc>
              <w:tc>
                <w:tcPr>
                  <w:tcW w:w="1843" w:type="dxa"/>
                  <w:vAlign w:val="center"/>
                </w:tcPr>
                <w:p w14:paraId="2E842B33">
                  <w:pPr>
                    <w:adjustRightInd w:val="0"/>
                    <w:snapToGrid w:val="0"/>
                    <w:spacing w:before="24" w:beforeLines="10" w:after="24" w:afterLines="10" w:line="259" w:lineRule="auto"/>
                    <w:jc w:val="center"/>
                    <w:textAlignment w:val="baseline"/>
                    <w:rPr>
                      <w:rFonts w:hint="default" w:eastAsia="宋体"/>
                      <w:color w:val="auto"/>
                      <w:spacing w:val="-10"/>
                      <w:kern w:val="0"/>
                      <w:lang w:val="en-US" w:eastAsia="zh-CN"/>
                    </w:rPr>
                  </w:pPr>
                  <w:r>
                    <w:rPr>
                      <w:rFonts w:hint="eastAsia"/>
                      <w:color w:val="auto"/>
                      <w:spacing w:val="-10"/>
                      <w:kern w:val="0"/>
                      <w:lang w:val="en-US" w:eastAsia="zh-CN"/>
                    </w:rPr>
                    <w:t>0.5</w:t>
                  </w:r>
                </w:p>
              </w:tc>
            </w:tr>
            <w:tr w14:paraId="068F00A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141" w:type="dxa"/>
                  <w:vAlign w:val="center"/>
                </w:tcPr>
                <w:p w14:paraId="26646342">
                  <w:pPr>
                    <w:adjustRightInd w:val="0"/>
                    <w:snapToGrid w:val="0"/>
                    <w:spacing w:before="24" w:beforeLines="10" w:after="24" w:afterLines="10" w:line="259" w:lineRule="auto"/>
                    <w:jc w:val="center"/>
                    <w:textAlignment w:val="baseline"/>
                    <w:rPr>
                      <w:color w:val="auto"/>
                      <w:spacing w:val="-10"/>
                      <w:kern w:val="0"/>
                    </w:rPr>
                  </w:pPr>
                  <w:r>
                    <w:rPr>
                      <w:color w:val="auto"/>
                      <w:spacing w:val="-10"/>
                      <w:kern w:val="0"/>
                    </w:rPr>
                    <w:t>TN</w:t>
                  </w:r>
                </w:p>
              </w:tc>
              <w:tc>
                <w:tcPr>
                  <w:tcW w:w="5227" w:type="dxa"/>
                  <w:vAlign w:val="center"/>
                </w:tcPr>
                <w:p w14:paraId="7440B051">
                  <w:pPr>
                    <w:adjustRightInd w:val="0"/>
                    <w:snapToGrid w:val="0"/>
                    <w:spacing w:before="24" w:beforeLines="10" w:after="24" w:afterLines="10" w:line="259" w:lineRule="auto"/>
                    <w:jc w:val="center"/>
                    <w:textAlignment w:val="baseline"/>
                    <w:rPr>
                      <w:color w:val="auto"/>
                      <w:spacing w:val="-10"/>
                    </w:rPr>
                  </w:pPr>
                  <w:r>
                    <w:rPr>
                      <w:color w:val="auto"/>
                      <w:spacing w:val="-10"/>
                      <w:kern w:val="0"/>
                    </w:rPr>
                    <w:t>70</w:t>
                  </w:r>
                </w:p>
              </w:tc>
              <w:tc>
                <w:tcPr>
                  <w:tcW w:w="1843" w:type="dxa"/>
                  <w:vAlign w:val="center"/>
                </w:tcPr>
                <w:p w14:paraId="70B90F5B">
                  <w:pPr>
                    <w:adjustRightInd w:val="0"/>
                    <w:snapToGrid w:val="0"/>
                    <w:spacing w:before="24" w:beforeLines="10" w:after="24" w:afterLines="10" w:line="259" w:lineRule="auto"/>
                    <w:jc w:val="center"/>
                    <w:textAlignment w:val="baseline"/>
                    <w:rPr>
                      <w:rFonts w:hint="default" w:eastAsia="宋体"/>
                      <w:color w:val="auto"/>
                      <w:spacing w:val="-10"/>
                      <w:kern w:val="0"/>
                      <w:lang w:val="en-US" w:eastAsia="zh-CN"/>
                    </w:rPr>
                  </w:pPr>
                  <w:r>
                    <w:rPr>
                      <w:rFonts w:hint="eastAsia"/>
                      <w:color w:val="auto"/>
                      <w:spacing w:val="-10"/>
                      <w:kern w:val="0"/>
                      <w:lang w:val="en-US" w:eastAsia="zh-CN"/>
                    </w:rPr>
                    <w:t>12（15）*</w:t>
                  </w:r>
                </w:p>
              </w:tc>
            </w:tr>
            <w:tr w14:paraId="0484363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141" w:type="dxa"/>
                  <w:vAlign w:val="center"/>
                </w:tcPr>
                <w:p w14:paraId="1A259BC5">
                  <w:pPr>
                    <w:adjustRightInd w:val="0"/>
                    <w:snapToGrid w:val="0"/>
                    <w:spacing w:before="24" w:beforeLines="10" w:after="24" w:afterLines="10" w:line="259" w:lineRule="auto"/>
                    <w:jc w:val="center"/>
                    <w:textAlignment w:val="baseline"/>
                    <w:rPr>
                      <w:rFonts w:hint="eastAsia" w:eastAsia="宋体"/>
                      <w:color w:val="auto"/>
                      <w:spacing w:val="-10"/>
                      <w:kern w:val="0"/>
                      <w:lang w:val="en-US" w:eastAsia="zh-CN"/>
                    </w:rPr>
                  </w:pPr>
                  <w:r>
                    <w:rPr>
                      <w:rFonts w:hint="eastAsia"/>
                      <w:color w:val="auto"/>
                      <w:spacing w:val="-10"/>
                      <w:kern w:val="0"/>
                      <w:lang w:val="en-US" w:eastAsia="zh-CN"/>
                    </w:rPr>
                    <w:t>石油类</w:t>
                  </w:r>
                </w:p>
              </w:tc>
              <w:tc>
                <w:tcPr>
                  <w:tcW w:w="5227" w:type="dxa"/>
                  <w:vAlign w:val="center"/>
                </w:tcPr>
                <w:p w14:paraId="4A644B8F">
                  <w:pPr>
                    <w:adjustRightInd w:val="0"/>
                    <w:snapToGrid w:val="0"/>
                    <w:spacing w:before="24" w:beforeLines="10" w:after="24" w:afterLines="10" w:line="259" w:lineRule="auto"/>
                    <w:jc w:val="center"/>
                    <w:textAlignment w:val="baseline"/>
                    <w:rPr>
                      <w:rFonts w:hint="default" w:eastAsia="宋体"/>
                      <w:color w:val="auto"/>
                      <w:spacing w:val="-10"/>
                      <w:kern w:val="0"/>
                      <w:lang w:val="en-US" w:eastAsia="zh-CN"/>
                    </w:rPr>
                  </w:pPr>
                  <w:r>
                    <w:rPr>
                      <w:rFonts w:hint="eastAsia"/>
                      <w:color w:val="auto"/>
                      <w:spacing w:val="-10"/>
                      <w:kern w:val="0"/>
                      <w:lang w:val="en-US" w:eastAsia="zh-CN"/>
                    </w:rPr>
                    <w:t>15</w:t>
                  </w:r>
                </w:p>
              </w:tc>
              <w:tc>
                <w:tcPr>
                  <w:tcW w:w="1843" w:type="dxa"/>
                  <w:vAlign w:val="center"/>
                </w:tcPr>
                <w:p w14:paraId="27F0A156">
                  <w:pPr>
                    <w:adjustRightInd w:val="0"/>
                    <w:snapToGrid w:val="0"/>
                    <w:spacing w:before="24" w:beforeLines="10" w:after="24" w:afterLines="10" w:line="259" w:lineRule="auto"/>
                    <w:jc w:val="center"/>
                    <w:textAlignment w:val="baseline"/>
                    <w:rPr>
                      <w:rFonts w:hint="default"/>
                      <w:color w:val="auto"/>
                      <w:spacing w:val="-10"/>
                      <w:kern w:val="0"/>
                      <w:lang w:val="en-US" w:eastAsia="zh-CN"/>
                    </w:rPr>
                  </w:pPr>
                  <w:r>
                    <w:rPr>
                      <w:rFonts w:hint="eastAsia"/>
                      <w:color w:val="auto"/>
                      <w:spacing w:val="-10"/>
                      <w:kern w:val="0"/>
                      <w:lang w:val="en-US" w:eastAsia="zh-CN"/>
                    </w:rPr>
                    <w:t>1</w:t>
                  </w:r>
                </w:p>
              </w:tc>
            </w:tr>
            <w:tr w14:paraId="7B653DD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167" w:hRule="atLeast"/>
                <w:jc w:val="center"/>
              </w:trPr>
              <w:tc>
                <w:tcPr>
                  <w:tcW w:w="8211" w:type="dxa"/>
                  <w:gridSpan w:val="3"/>
                  <w:vAlign w:val="center"/>
                </w:tcPr>
                <w:p w14:paraId="3719FF55">
                  <w:pPr>
                    <w:adjustRightInd w:val="0"/>
                    <w:snapToGrid w:val="0"/>
                    <w:spacing w:before="24" w:beforeLines="10" w:after="24" w:afterLines="10" w:line="259" w:lineRule="auto"/>
                    <w:jc w:val="left"/>
                    <w:textAlignment w:val="baseline"/>
                    <w:rPr>
                      <w:color w:val="auto"/>
                      <w:spacing w:val="-10"/>
                      <w:kern w:val="0"/>
                    </w:rPr>
                  </w:pPr>
                  <w:r>
                    <w:rPr>
                      <w:rFonts w:hint="eastAsia"/>
                      <w:b/>
                      <w:color w:val="auto"/>
                    </w:rPr>
                    <w:t>*注：</w:t>
                  </w:r>
                  <w:r>
                    <w:rPr>
                      <w:rFonts w:hint="eastAsia"/>
                      <w:b/>
                      <w:color w:val="auto"/>
                      <w:lang w:val="en-US" w:eastAsia="zh-CN"/>
                    </w:rPr>
                    <w:t>每年11月1日至次年3月31日执行括号内排放限值</w:t>
                  </w:r>
                  <w:r>
                    <w:rPr>
                      <w:rFonts w:hint="eastAsia"/>
                      <w:bCs/>
                      <w:color w:val="auto"/>
                    </w:rPr>
                    <w:t>。</w:t>
                  </w:r>
                </w:p>
              </w:tc>
            </w:tr>
          </w:tbl>
          <w:p w14:paraId="507A382D">
            <w:pPr>
              <w:spacing w:before="120" w:beforeLines="50" w:line="360" w:lineRule="auto"/>
              <w:ind w:firstLine="480" w:firstLineChars="200"/>
              <w:jc w:val="left"/>
              <w:rPr>
                <w:rFonts w:hint="eastAsia"/>
                <w:b w:val="0"/>
                <w:bCs/>
                <w:color w:val="auto"/>
                <w:sz w:val="24"/>
                <w:szCs w:val="24"/>
                <w:lang w:val="en-US" w:eastAsia="zh-CN"/>
              </w:rPr>
            </w:pPr>
            <w:r>
              <w:rPr>
                <w:rFonts w:hint="eastAsia"/>
                <w:b w:val="0"/>
                <w:bCs/>
                <w:color w:val="auto"/>
                <w:sz w:val="24"/>
                <w:szCs w:val="24"/>
                <w:lang w:val="en-US" w:eastAsia="zh-CN"/>
              </w:rPr>
              <w:t>本项目清洗废水回用标准执行《城市污水再生利用 工业用水水质》（GB/T19923-2024）表1中直流冷却水、洗涤用水标准限值，详见表3-9。</w:t>
            </w:r>
          </w:p>
          <w:p w14:paraId="2CC72D9F">
            <w:pPr>
              <w:jc w:val="center"/>
              <w:rPr>
                <w:b/>
                <w:bCs/>
                <w:color w:val="auto"/>
                <w:sz w:val="24"/>
                <w:szCs w:val="24"/>
              </w:rPr>
            </w:pPr>
            <w:r>
              <w:rPr>
                <w:b/>
                <w:bCs/>
                <w:color w:val="auto"/>
                <w:sz w:val="24"/>
                <w:szCs w:val="24"/>
              </w:rPr>
              <w:t>表3-</w:t>
            </w:r>
            <w:r>
              <w:rPr>
                <w:rFonts w:hint="eastAsia"/>
                <w:b/>
                <w:bCs/>
                <w:color w:val="auto"/>
                <w:sz w:val="24"/>
                <w:szCs w:val="24"/>
                <w:lang w:val="en-US" w:eastAsia="zh-CN"/>
              </w:rPr>
              <w:t>9</w:t>
            </w:r>
            <w:r>
              <w:rPr>
                <w:rFonts w:hint="eastAsia"/>
                <w:b/>
                <w:bCs/>
                <w:color w:val="auto"/>
                <w:sz w:val="24"/>
                <w:szCs w:val="24"/>
              </w:rPr>
              <w:t xml:space="preserve"> </w:t>
            </w:r>
            <w:r>
              <w:rPr>
                <w:rFonts w:hint="eastAsia"/>
                <w:b/>
                <w:bCs/>
                <w:color w:val="auto"/>
                <w:sz w:val="24"/>
                <w:szCs w:val="24"/>
                <w:lang w:val="en-US" w:eastAsia="zh-CN"/>
              </w:rPr>
              <w:t>生产废水</w:t>
            </w:r>
            <w:r>
              <w:rPr>
                <w:rFonts w:hint="eastAsia"/>
                <w:b/>
                <w:bCs/>
                <w:color w:val="auto"/>
                <w:sz w:val="24"/>
                <w:szCs w:val="24"/>
              </w:rPr>
              <w:t>回用</w:t>
            </w:r>
            <w:r>
              <w:rPr>
                <w:b/>
                <w:bCs/>
                <w:color w:val="auto"/>
                <w:sz w:val="24"/>
                <w:szCs w:val="24"/>
              </w:rPr>
              <w:t>标准（单位：除</w:t>
            </w:r>
            <w:r>
              <w:rPr>
                <w:rFonts w:hint="eastAsia"/>
                <w:b/>
                <w:bCs/>
                <w:color w:val="auto"/>
                <w:sz w:val="24"/>
                <w:szCs w:val="24"/>
              </w:rPr>
              <w:t>p</w:t>
            </w:r>
            <w:r>
              <w:rPr>
                <w:b/>
                <w:bCs/>
                <w:color w:val="auto"/>
                <w:sz w:val="24"/>
                <w:szCs w:val="24"/>
              </w:rPr>
              <w:t>H值外为mg/L）</w:t>
            </w:r>
          </w:p>
          <w:tbl>
            <w:tblPr>
              <w:tblStyle w:val="26"/>
              <w:tblW w:w="8214"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3837"/>
              <w:gridCol w:w="4377"/>
            </w:tblGrid>
            <w:tr w14:paraId="52EA9F0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12" w:hRule="atLeast"/>
                <w:jc w:val="center"/>
              </w:trPr>
              <w:tc>
                <w:tcPr>
                  <w:tcW w:w="3837" w:type="dxa"/>
                  <w:vAlign w:val="center"/>
                </w:tcPr>
                <w:p w14:paraId="4B9037C7">
                  <w:pPr>
                    <w:pStyle w:val="22"/>
                    <w:widowControl w:val="0"/>
                    <w:snapToGrid w:val="0"/>
                    <w:spacing w:before="0" w:beforeAutospacing="0" w:after="0" w:afterAutospacing="0"/>
                    <w:jc w:val="center"/>
                    <w:rPr>
                      <w:b/>
                      <w:color w:val="auto"/>
                      <w:sz w:val="21"/>
                      <w:szCs w:val="21"/>
                    </w:rPr>
                  </w:pPr>
                  <w:r>
                    <w:rPr>
                      <w:rFonts w:ascii="Times New Roman" w:hAnsi="Times New Roman"/>
                      <w:b/>
                      <w:bCs/>
                      <w:color w:val="auto"/>
                      <w:sz w:val="21"/>
                      <w:szCs w:val="21"/>
                      <w:lang w:bidi="ar"/>
                    </w:rPr>
                    <w:t>项目</w:t>
                  </w:r>
                </w:p>
              </w:tc>
              <w:tc>
                <w:tcPr>
                  <w:tcW w:w="4377" w:type="dxa"/>
                  <w:vAlign w:val="center"/>
                </w:tcPr>
                <w:p w14:paraId="73AA0731">
                  <w:pPr>
                    <w:pStyle w:val="22"/>
                    <w:widowControl w:val="0"/>
                    <w:snapToGrid w:val="0"/>
                    <w:spacing w:before="0" w:beforeAutospacing="0" w:after="0" w:afterAutospacing="0"/>
                    <w:jc w:val="center"/>
                    <w:rPr>
                      <w:rFonts w:hint="eastAsia" w:eastAsia="宋体"/>
                      <w:b/>
                      <w:color w:val="auto"/>
                      <w:sz w:val="21"/>
                      <w:szCs w:val="21"/>
                      <w:lang w:val="en-US" w:eastAsia="zh-CN"/>
                    </w:rPr>
                  </w:pPr>
                  <w:r>
                    <w:rPr>
                      <w:rFonts w:hint="eastAsia"/>
                      <w:b/>
                      <w:color w:val="auto"/>
                      <w:sz w:val="21"/>
                      <w:szCs w:val="21"/>
                      <w:lang w:val="en-US" w:eastAsia="zh-CN"/>
                    </w:rPr>
                    <w:t>限值</w:t>
                  </w:r>
                </w:p>
              </w:tc>
            </w:tr>
            <w:tr w14:paraId="6FFE480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3837" w:type="dxa"/>
                  <w:vAlign w:val="center"/>
                </w:tcPr>
                <w:p w14:paraId="65561134">
                  <w:pPr>
                    <w:pStyle w:val="22"/>
                    <w:widowControl w:val="0"/>
                    <w:snapToGrid w:val="0"/>
                    <w:spacing w:before="0" w:beforeAutospacing="0" w:after="0" w:afterAutospacing="0"/>
                    <w:jc w:val="center"/>
                    <w:rPr>
                      <w:rFonts w:ascii="宋体" w:hAnsi="宋体" w:eastAsia="宋体" w:cs="Times New Roman"/>
                      <w:color w:val="auto"/>
                      <w:kern w:val="0"/>
                      <w:sz w:val="21"/>
                      <w:szCs w:val="21"/>
                      <w:lang w:val="en-US" w:eastAsia="zh-CN" w:bidi="ar-SA"/>
                    </w:rPr>
                  </w:pPr>
                  <w:r>
                    <w:rPr>
                      <w:rFonts w:ascii="Times New Roman" w:hAnsi="Times New Roman"/>
                      <w:bCs/>
                      <w:color w:val="auto"/>
                      <w:sz w:val="21"/>
                      <w:szCs w:val="21"/>
                      <w:lang w:bidi="ar"/>
                    </w:rPr>
                    <w:t>pH</w:t>
                  </w:r>
                </w:p>
              </w:tc>
              <w:tc>
                <w:tcPr>
                  <w:tcW w:w="4377" w:type="dxa"/>
                  <w:vAlign w:val="center"/>
                </w:tcPr>
                <w:p w14:paraId="13DCEBF4">
                  <w:pPr>
                    <w:pStyle w:val="22"/>
                    <w:widowControl w:val="0"/>
                    <w:snapToGrid w:val="0"/>
                    <w:spacing w:before="0" w:beforeAutospacing="0" w:after="0" w:afterAutospacing="0"/>
                    <w:jc w:val="center"/>
                    <w:rPr>
                      <w:rFonts w:ascii="Times New Roman" w:hAnsi="Times New Roman" w:eastAsia="宋体" w:cs="Times New Roman"/>
                      <w:color w:val="auto"/>
                      <w:spacing w:val="6"/>
                      <w:kern w:val="2"/>
                      <w:sz w:val="21"/>
                      <w:szCs w:val="21"/>
                      <w:lang w:val="en-US" w:eastAsia="zh-CN" w:bidi="ar-SA"/>
                    </w:rPr>
                  </w:pPr>
                  <w:r>
                    <w:rPr>
                      <w:rFonts w:ascii="Times New Roman" w:hAnsi="Times New Roman"/>
                      <w:bCs/>
                      <w:color w:val="auto"/>
                      <w:sz w:val="21"/>
                      <w:szCs w:val="21"/>
                      <w:lang w:bidi="ar"/>
                    </w:rPr>
                    <w:t>6-9（无量纲）</w:t>
                  </w:r>
                </w:p>
              </w:tc>
            </w:tr>
            <w:tr w14:paraId="0A25BBA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3837" w:type="dxa"/>
                  <w:vAlign w:val="center"/>
                </w:tcPr>
                <w:p w14:paraId="5A965B75">
                  <w:pPr>
                    <w:pStyle w:val="22"/>
                    <w:widowControl w:val="0"/>
                    <w:snapToGrid w:val="0"/>
                    <w:spacing w:before="0" w:beforeAutospacing="0" w:after="0" w:afterAutospacing="0"/>
                    <w:jc w:val="center"/>
                    <w:rPr>
                      <w:rFonts w:ascii="宋体" w:hAnsi="宋体" w:eastAsia="宋体" w:cs="Times New Roman"/>
                      <w:color w:val="auto"/>
                      <w:kern w:val="0"/>
                      <w:sz w:val="21"/>
                      <w:szCs w:val="21"/>
                      <w:lang w:val="en-US" w:eastAsia="zh-CN" w:bidi="ar-SA"/>
                    </w:rPr>
                  </w:pPr>
                  <w:r>
                    <w:rPr>
                      <w:rFonts w:ascii="Times New Roman" w:hAnsi="Times New Roman"/>
                      <w:bCs/>
                      <w:color w:val="auto"/>
                      <w:sz w:val="21"/>
                      <w:szCs w:val="21"/>
                      <w:lang w:bidi="ar"/>
                    </w:rPr>
                    <w:t>COD</w:t>
                  </w:r>
                </w:p>
              </w:tc>
              <w:tc>
                <w:tcPr>
                  <w:tcW w:w="4377" w:type="dxa"/>
                  <w:vAlign w:val="center"/>
                </w:tcPr>
                <w:p w14:paraId="742CA90D">
                  <w:pPr>
                    <w:pStyle w:val="22"/>
                    <w:widowControl w:val="0"/>
                    <w:snapToGrid w:val="0"/>
                    <w:spacing w:before="0" w:beforeAutospacing="0" w:after="0" w:afterAutospacing="0"/>
                    <w:jc w:val="center"/>
                    <w:rPr>
                      <w:rFonts w:hint="default" w:ascii="Times New Roman" w:hAnsi="Times New Roman" w:eastAsia="宋体"/>
                      <w:color w:val="auto"/>
                      <w:spacing w:val="6"/>
                      <w:kern w:val="2"/>
                      <w:sz w:val="21"/>
                      <w:szCs w:val="21"/>
                      <w:lang w:val="en-US" w:eastAsia="zh-CN"/>
                    </w:rPr>
                  </w:pPr>
                  <w:r>
                    <w:rPr>
                      <w:rFonts w:hint="eastAsia" w:ascii="Times New Roman" w:hAnsi="Times New Roman"/>
                      <w:color w:val="auto"/>
                      <w:spacing w:val="6"/>
                      <w:kern w:val="2"/>
                      <w:sz w:val="21"/>
                      <w:szCs w:val="21"/>
                      <w:lang w:val="en-US" w:eastAsia="zh-CN"/>
                    </w:rPr>
                    <w:t>50</w:t>
                  </w:r>
                </w:p>
              </w:tc>
            </w:tr>
            <w:tr w14:paraId="035EBDA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3837" w:type="dxa"/>
                  <w:vAlign w:val="center"/>
                </w:tcPr>
                <w:p w14:paraId="6E1CD190">
                  <w:pPr>
                    <w:pStyle w:val="22"/>
                    <w:widowControl w:val="0"/>
                    <w:snapToGrid w:val="0"/>
                    <w:spacing w:before="0" w:beforeAutospacing="0" w:after="0" w:afterAutospacing="0"/>
                    <w:jc w:val="center"/>
                    <w:rPr>
                      <w:rFonts w:ascii="宋体" w:hAnsi="宋体" w:eastAsia="宋体" w:cs="Times New Roman"/>
                      <w:color w:val="auto"/>
                      <w:kern w:val="0"/>
                      <w:sz w:val="21"/>
                      <w:szCs w:val="21"/>
                      <w:lang w:val="en-US" w:eastAsia="zh-CN" w:bidi="ar-SA"/>
                    </w:rPr>
                  </w:pPr>
                  <w:r>
                    <w:rPr>
                      <w:rFonts w:ascii="Times New Roman" w:hAnsi="Times New Roman"/>
                      <w:bCs/>
                      <w:color w:val="auto"/>
                      <w:sz w:val="21"/>
                      <w:szCs w:val="21"/>
                      <w:lang w:bidi="ar"/>
                    </w:rPr>
                    <w:t>SS</w:t>
                  </w:r>
                </w:p>
              </w:tc>
              <w:tc>
                <w:tcPr>
                  <w:tcW w:w="4377" w:type="dxa"/>
                  <w:vAlign w:val="center"/>
                </w:tcPr>
                <w:p w14:paraId="5755B669">
                  <w:pPr>
                    <w:pStyle w:val="22"/>
                    <w:widowControl w:val="0"/>
                    <w:snapToGrid w:val="0"/>
                    <w:spacing w:before="0" w:beforeAutospacing="0" w:after="0" w:afterAutospacing="0"/>
                    <w:jc w:val="center"/>
                    <w:rPr>
                      <w:rFonts w:hint="eastAsia" w:ascii="Times New Roman" w:hAnsi="Times New Roman" w:eastAsia="宋体"/>
                      <w:color w:val="auto"/>
                      <w:spacing w:val="6"/>
                      <w:kern w:val="2"/>
                      <w:sz w:val="21"/>
                      <w:szCs w:val="21"/>
                      <w:lang w:val="en-US" w:eastAsia="zh-CN"/>
                    </w:rPr>
                  </w:pPr>
                  <w:r>
                    <w:rPr>
                      <w:rFonts w:hint="eastAsia" w:ascii="Times New Roman" w:hAnsi="Times New Roman"/>
                      <w:color w:val="auto"/>
                      <w:spacing w:val="6"/>
                      <w:kern w:val="2"/>
                      <w:sz w:val="21"/>
                      <w:szCs w:val="21"/>
                      <w:lang w:val="en-US" w:eastAsia="zh-CN"/>
                    </w:rPr>
                    <w:t>/</w:t>
                  </w:r>
                </w:p>
              </w:tc>
            </w:tr>
            <w:tr w14:paraId="42FF9AA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3837" w:type="dxa"/>
                  <w:vAlign w:val="center"/>
                </w:tcPr>
                <w:p w14:paraId="3B2FF421">
                  <w:pPr>
                    <w:pStyle w:val="22"/>
                    <w:widowControl w:val="0"/>
                    <w:snapToGrid w:val="0"/>
                    <w:spacing w:before="0" w:beforeAutospacing="0" w:after="0" w:afterAutospacing="0"/>
                    <w:jc w:val="center"/>
                    <w:rPr>
                      <w:rFonts w:hint="eastAsia" w:ascii="Times New Roman" w:hAnsi="Times New Roman" w:eastAsia="宋体"/>
                      <w:bCs/>
                      <w:color w:val="auto"/>
                      <w:sz w:val="21"/>
                      <w:szCs w:val="21"/>
                      <w:lang w:val="en-US" w:eastAsia="zh-CN" w:bidi="ar"/>
                    </w:rPr>
                  </w:pPr>
                  <w:r>
                    <w:rPr>
                      <w:rFonts w:hint="eastAsia" w:ascii="Times New Roman" w:hAnsi="Times New Roman"/>
                      <w:bCs/>
                      <w:color w:val="auto"/>
                      <w:sz w:val="21"/>
                      <w:szCs w:val="21"/>
                      <w:lang w:val="en-US" w:eastAsia="zh-CN" w:bidi="ar"/>
                    </w:rPr>
                    <w:t>石油类</w:t>
                  </w:r>
                </w:p>
              </w:tc>
              <w:tc>
                <w:tcPr>
                  <w:tcW w:w="4377" w:type="dxa"/>
                  <w:vAlign w:val="center"/>
                </w:tcPr>
                <w:p w14:paraId="28BA67E6">
                  <w:pPr>
                    <w:pStyle w:val="22"/>
                    <w:widowControl w:val="0"/>
                    <w:snapToGrid w:val="0"/>
                    <w:spacing w:before="0" w:beforeAutospacing="0" w:after="0" w:afterAutospacing="0"/>
                    <w:jc w:val="center"/>
                    <w:rPr>
                      <w:rFonts w:hint="default" w:ascii="Times New Roman" w:hAnsi="Times New Roman"/>
                      <w:color w:val="auto"/>
                      <w:spacing w:val="6"/>
                      <w:kern w:val="2"/>
                      <w:sz w:val="21"/>
                      <w:szCs w:val="21"/>
                      <w:lang w:val="en-US" w:eastAsia="zh-CN"/>
                    </w:rPr>
                  </w:pPr>
                  <w:r>
                    <w:rPr>
                      <w:rFonts w:hint="eastAsia" w:ascii="Times New Roman" w:hAnsi="Times New Roman"/>
                      <w:color w:val="auto"/>
                      <w:spacing w:val="6"/>
                      <w:kern w:val="2"/>
                      <w:sz w:val="21"/>
                      <w:szCs w:val="21"/>
                      <w:lang w:val="en-US" w:eastAsia="zh-CN"/>
                    </w:rPr>
                    <w:t>1.0</w:t>
                  </w:r>
                </w:p>
              </w:tc>
            </w:tr>
            <w:tr w14:paraId="0C7D727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3837" w:type="dxa"/>
                  <w:vAlign w:val="center"/>
                </w:tcPr>
                <w:p w14:paraId="599E3DDD">
                  <w:pPr>
                    <w:pStyle w:val="22"/>
                    <w:widowControl w:val="0"/>
                    <w:snapToGrid w:val="0"/>
                    <w:spacing w:before="0" w:beforeAutospacing="0" w:after="0" w:afterAutospacing="0"/>
                    <w:jc w:val="center"/>
                    <w:rPr>
                      <w:rFonts w:hint="default" w:ascii="Times New Roman" w:hAnsi="Times New Roman"/>
                      <w:bCs/>
                      <w:color w:val="auto"/>
                      <w:sz w:val="21"/>
                      <w:szCs w:val="21"/>
                      <w:lang w:val="en-US" w:eastAsia="zh-CN" w:bidi="ar"/>
                    </w:rPr>
                  </w:pPr>
                  <w:r>
                    <w:rPr>
                      <w:rFonts w:hint="eastAsia" w:ascii="Times New Roman" w:hAnsi="Times New Roman"/>
                      <w:bCs/>
                      <w:color w:val="auto"/>
                      <w:sz w:val="21"/>
                      <w:szCs w:val="21"/>
                      <w:lang w:val="en-US" w:eastAsia="zh-CN" w:bidi="ar"/>
                    </w:rPr>
                    <w:t>TDS</w:t>
                  </w:r>
                </w:p>
              </w:tc>
              <w:tc>
                <w:tcPr>
                  <w:tcW w:w="4377" w:type="dxa"/>
                  <w:vAlign w:val="center"/>
                </w:tcPr>
                <w:p w14:paraId="1B1E0A09">
                  <w:pPr>
                    <w:pStyle w:val="22"/>
                    <w:widowControl w:val="0"/>
                    <w:snapToGrid w:val="0"/>
                    <w:spacing w:before="0" w:beforeAutospacing="0" w:after="0" w:afterAutospacing="0"/>
                    <w:jc w:val="center"/>
                    <w:rPr>
                      <w:rFonts w:hint="default" w:ascii="Times New Roman" w:hAnsi="Times New Roman"/>
                      <w:color w:val="auto"/>
                      <w:spacing w:val="6"/>
                      <w:kern w:val="2"/>
                      <w:sz w:val="21"/>
                      <w:szCs w:val="21"/>
                      <w:lang w:val="en-US" w:eastAsia="zh-CN"/>
                    </w:rPr>
                  </w:pPr>
                  <w:r>
                    <w:rPr>
                      <w:rFonts w:hint="eastAsia" w:ascii="Times New Roman" w:hAnsi="Times New Roman"/>
                      <w:color w:val="auto"/>
                      <w:spacing w:val="6"/>
                      <w:kern w:val="2"/>
                      <w:sz w:val="21"/>
                      <w:szCs w:val="21"/>
                      <w:lang w:val="en-US" w:eastAsia="zh-CN"/>
                    </w:rPr>
                    <w:t>1500</w:t>
                  </w:r>
                </w:p>
              </w:tc>
            </w:tr>
          </w:tbl>
          <w:p w14:paraId="3B62DDDA">
            <w:pPr>
              <w:spacing w:before="120" w:beforeLines="50" w:line="360" w:lineRule="auto"/>
              <w:ind w:firstLine="482" w:firstLineChars="200"/>
              <w:jc w:val="left"/>
              <w:rPr>
                <w:b/>
                <w:color w:val="auto"/>
                <w:sz w:val="24"/>
                <w:szCs w:val="24"/>
              </w:rPr>
            </w:pPr>
            <w:r>
              <w:rPr>
                <w:b/>
                <w:color w:val="auto"/>
                <w:sz w:val="24"/>
                <w:szCs w:val="24"/>
              </w:rPr>
              <w:t>2、废气排放标准</w:t>
            </w:r>
          </w:p>
          <w:p w14:paraId="08CF2624">
            <w:pPr>
              <w:spacing w:line="360" w:lineRule="auto"/>
              <w:ind w:firstLine="480" w:firstLineChars="200"/>
              <w:rPr>
                <w:rFonts w:hint="default"/>
                <w:color w:val="auto"/>
                <w:sz w:val="24"/>
                <w:szCs w:val="24"/>
                <w:lang w:val="en-US" w:eastAsia="zh-CN"/>
              </w:rPr>
            </w:pPr>
            <w:r>
              <w:rPr>
                <w:color w:val="auto"/>
                <w:kern w:val="0"/>
                <w:sz w:val="24"/>
                <w:szCs w:val="24"/>
              </w:rPr>
              <w:t>本项目</w:t>
            </w:r>
            <w:r>
              <w:rPr>
                <w:rFonts w:hint="eastAsia"/>
                <w:color w:val="auto"/>
                <w:kern w:val="0"/>
                <w:sz w:val="24"/>
                <w:szCs w:val="24"/>
              </w:rPr>
              <w:t>运营期</w:t>
            </w:r>
            <w:r>
              <w:rPr>
                <w:rFonts w:hint="eastAsia"/>
                <w:color w:val="auto"/>
                <w:sz w:val="24"/>
                <w:szCs w:val="24"/>
              </w:rPr>
              <w:t>产生的废气主要为制粒粉尘</w:t>
            </w:r>
            <w:r>
              <w:rPr>
                <w:rFonts w:hint="eastAsia"/>
                <w:color w:val="auto"/>
                <w:sz w:val="24"/>
                <w:szCs w:val="24"/>
                <w:lang w:val="en-US" w:eastAsia="zh-CN"/>
              </w:rPr>
              <w:t>（颗粒物）</w:t>
            </w:r>
            <w:r>
              <w:rPr>
                <w:rFonts w:hint="eastAsia"/>
                <w:color w:val="auto"/>
                <w:sz w:val="24"/>
                <w:szCs w:val="24"/>
              </w:rPr>
              <w:t>、配料粉尘</w:t>
            </w:r>
            <w:r>
              <w:rPr>
                <w:rFonts w:hint="eastAsia"/>
                <w:color w:val="auto"/>
                <w:sz w:val="24"/>
                <w:szCs w:val="24"/>
                <w:lang w:val="en-US" w:eastAsia="zh-CN"/>
              </w:rPr>
              <w:t>（颗粒物）</w:t>
            </w:r>
            <w:r>
              <w:rPr>
                <w:rFonts w:hint="eastAsia"/>
                <w:color w:val="auto"/>
                <w:sz w:val="24"/>
                <w:szCs w:val="24"/>
              </w:rPr>
              <w:t>、切削液废气</w:t>
            </w:r>
            <w:r>
              <w:rPr>
                <w:rFonts w:hint="eastAsia"/>
                <w:color w:val="auto"/>
                <w:sz w:val="24"/>
                <w:szCs w:val="24"/>
                <w:lang w:eastAsia="zh-CN"/>
              </w:rPr>
              <w:t>（非甲烷总烃）</w:t>
            </w:r>
            <w:r>
              <w:rPr>
                <w:rFonts w:hint="eastAsia"/>
                <w:color w:val="auto"/>
                <w:sz w:val="24"/>
                <w:szCs w:val="24"/>
              </w:rPr>
              <w:t>、危废贮存废气</w:t>
            </w:r>
            <w:r>
              <w:rPr>
                <w:rFonts w:hint="eastAsia"/>
                <w:color w:val="auto"/>
                <w:sz w:val="24"/>
                <w:szCs w:val="24"/>
                <w:lang w:eastAsia="zh-CN"/>
              </w:rPr>
              <w:t>（非甲烷总烃）</w:t>
            </w:r>
            <w:r>
              <w:rPr>
                <w:rFonts w:hint="eastAsia"/>
                <w:color w:val="auto"/>
                <w:sz w:val="24"/>
                <w:szCs w:val="24"/>
              </w:rPr>
              <w:t>、废水处理废气</w:t>
            </w:r>
            <w:r>
              <w:rPr>
                <w:rFonts w:hint="eastAsia"/>
                <w:color w:val="auto"/>
                <w:sz w:val="24"/>
                <w:szCs w:val="24"/>
                <w:lang w:eastAsia="zh-CN"/>
              </w:rPr>
              <w:t>（</w:t>
            </w:r>
            <w:r>
              <w:rPr>
                <w:rFonts w:hint="eastAsia"/>
                <w:color w:val="auto"/>
                <w:sz w:val="24"/>
                <w:szCs w:val="24"/>
                <w:lang w:val="en-US" w:eastAsia="zh-CN"/>
              </w:rPr>
              <w:t>硫化氢、氨气</w:t>
            </w:r>
            <w:r>
              <w:rPr>
                <w:rFonts w:hint="eastAsia"/>
                <w:color w:val="auto"/>
                <w:sz w:val="24"/>
                <w:szCs w:val="24"/>
                <w:lang w:eastAsia="zh-CN"/>
              </w:rPr>
              <w:t>、臭气浓度）。制粒粉尘</w:t>
            </w:r>
            <w:r>
              <w:rPr>
                <w:rFonts w:hint="eastAsia"/>
                <w:color w:val="auto"/>
                <w:sz w:val="24"/>
                <w:szCs w:val="24"/>
                <w:lang w:val="en-US" w:eastAsia="zh-CN"/>
              </w:rPr>
              <w:t>收集至DA001排气筒排放。</w:t>
            </w:r>
          </w:p>
          <w:p w14:paraId="6A7F82D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kern w:val="0"/>
                <w:sz w:val="24"/>
                <w:szCs w:val="24"/>
              </w:rPr>
            </w:pPr>
            <w:r>
              <w:rPr>
                <w:rFonts w:hint="eastAsia"/>
                <w:color w:val="auto"/>
                <w:sz w:val="24"/>
                <w:szCs w:val="24"/>
              </w:rPr>
              <w:t>抛光测试产生的颗粒物有组织排放执行《大气污染物综合排放标准》（DB32/4041-2021）表1标准，</w:t>
            </w:r>
            <w:r>
              <w:rPr>
                <w:rFonts w:hint="eastAsia" w:ascii="Times New Roman" w:hAnsi="Times New Roman" w:eastAsia="宋体" w:cs="Times New Roman"/>
                <w:color w:val="auto"/>
                <w:kern w:val="0"/>
                <w:sz w:val="24"/>
                <w:szCs w:val="24"/>
                <w:highlight w:val="none"/>
                <w:lang w:val="en-US" w:eastAsia="zh-CN"/>
              </w:rPr>
              <w:t>厂区内非甲烷总烃无组织排放、厂界颗粒物、非甲烷总烃排放执行《大气污染物综合排放标准》（DB32/4041-2021）表2、表3规定的限值；</w:t>
            </w:r>
            <w:r>
              <w:rPr>
                <w:rFonts w:hint="eastAsia"/>
                <w:color w:val="auto"/>
                <w:sz w:val="24"/>
                <w:szCs w:val="24"/>
                <w:lang w:val="en-US" w:eastAsia="zh-CN"/>
              </w:rPr>
              <w:t>硫化氢、氨气</w:t>
            </w:r>
            <w:r>
              <w:rPr>
                <w:rFonts w:hint="eastAsia"/>
                <w:color w:val="auto"/>
                <w:sz w:val="24"/>
                <w:szCs w:val="24"/>
                <w:lang w:eastAsia="zh-CN"/>
              </w:rPr>
              <w:t>、</w:t>
            </w:r>
            <w:r>
              <w:rPr>
                <w:rFonts w:hint="eastAsia" w:ascii="Times New Roman" w:hAnsi="Times New Roman" w:eastAsia="宋体" w:cs="Times New Roman"/>
                <w:color w:val="auto"/>
                <w:kern w:val="0"/>
                <w:sz w:val="24"/>
                <w:szCs w:val="24"/>
                <w:highlight w:val="none"/>
                <w:lang w:val="en-US" w:eastAsia="zh-CN"/>
              </w:rPr>
              <w:t>臭气浓度排放执行《恶臭污染物排放标准》（GB14554-93）表1规定的限值</w:t>
            </w:r>
            <w:r>
              <w:rPr>
                <w:rFonts w:hint="eastAsia" w:ascii="Times New Roman" w:hAnsi="Times New Roman" w:cs="Times New Roman"/>
                <w:color w:val="auto"/>
                <w:kern w:val="0"/>
                <w:sz w:val="24"/>
                <w:szCs w:val="24"/>
                <w:highlight w:val="none"/>
                <w:lang w:val="en-US" w:eastAsia="zh-CN"/>
              </w:rPr>
              <w:t>。</w:t>
            </w:r>
            <w:r>
              <w:rPr>
                <w:color w:val="auto"/>
                <w:kern w:val="0"/>
                <w:sz w:val="24"/>
                <w:szCs w:val="24"/>
              </w:rPr>
              <w:t>具体</w:t>
            </w:r>
            <w:r>
              <w:rPr>
                <w:rFonts w:hint="eastAsia"/>
                <w:color w:val="auto"/>
                <w:kern w:val="0"/>
                <w:sz w:val="24"/>
                <w:szCs w:val="24"/>
              </w:rPr>
              <w:t>数值</w:t>
            </w:r>
            <w:r>
              <w:rPr>
                <w:color w:val="auto"/>
                <w:kern w:val="0"/>
                <w:sz w:val="24"/>
                <w:szCs w:val="24"/>
              </w:rPr>
              <w:t>见</w:t>
            </w:r>
            <w:r>
              <w:rPr>
                <w:rFonts w:hint="eastAsia"/>
                <w:color w:val="auto"/>
                <w:kern w:val="0"/>
                <w:sz w:val="24"/>
                <w:szCs w:val="24"/>
              </w:rPr>
              <w:t>下表</w:t>
            </w:r>
            <w:r>
              <w:rPr>
                <w:color w:val="auto"/>
                <w:kern w:val="0"/>
                <w:sz w:val="24"/>
                <w:szCs w:val="24"/>
              </w:rPr>
              <w:t>。</w:t>
            </w:r>
          </w:p>
          <w:p w14:paraId="010C48CD">
            <w:pPr>
              <w:adjustRightInd w:val="0"/>
              <w:snapToGrid w:val="0"/>
              <w:jc w:val="center"/>
              <w:rPr>
                <w:b/>
                <w:color w:val="auto"/>
                <w:sz w:val="24"/>
                <w:szCs w:val="24"/>
              </w:rPr>
            </w:pPr>
            <w:r>
              <w:rPr>
                <w:b/>
                <w:color w:val="auto"/>
                <w:kern w:val="0"/>
                <w:sz w:val="24"/>
                <w:szCs w:val="24"/>
              </w:rPr>
              <w:t>表3-</w:t>
            </w:r>
            <w:r>
              <w:rPr>
                <w:rFonts w:hint="eastAsia"/>
                <w:b/>
                <w:color w:val="auto"/>
                <w:kern w:val="0"/>
                <w:sz w:val="24"/>
                <w:szCs w:val="24"/>
                <w:lang w:val="en-US" w:eastAsia="zh-CN"/>
              </w:rPr>
              <w:t>10</w:t>
            </w:r>
            <w:r>
              <w:rPr>
                <w:rFonts w:hint="eastAsia"/>
                <w:b/>
                <w:color w:val="auto"/>
                <w:kern w:val="0"/>
                <w:sz w:val="24"/>
                <w:szCs w:val="24"/>
              </w:rPr>
              <w:t xml:space="preserve"> </w:t>
            </w:r>
            <w:r>
              <w:rPr>
                <w:b/>
                <w:color w:val="auto"/>
                <w:kern w:val="0"/>
                <w:sz w:val="24"/>
                <w:szCs w:val="24"/>
              </w:rPr>
              <w:t>大气污染物排放标准</w:t>
            </w:r>
          </w:p>
          <w:tbl>
            <w:tblPr>
              <w:tblStyle w:val="26"/>
              <w:tblW w:w="4995"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28" w:type="dxa"/>
                <w:bottom w:w="0" w:type="dxa"/>
                <w:right w:w="28" w:type="dxa"/>
              </w:tblCellMar>
            </w:tblPr>
            <w:tblGrid>
              <w:gridCol w:w="678"/>
              <w:gridCol w:w="928"/>
              <w:gridCol w:w="992"/>
              <w:gridCol w:w="1016"/>
              <w:gridCol w:w="1107"/>
              <w:gridCol w:w="762"/>
              <w:gridCol w:w="1050"/>
              <w:gridCol w:w="1671"/>
            </w:tblGrid>
            <w:tr w14:paraId="2D2E170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23" w:hRule="atLeast"/>
                <w:jc w:val="center"/>
              </w:trPr>
              <w:tc>
                <w:tcPr>
                  <w:tcW w:w="413" w:type="pct"/>
                  <w:vMerge w:val="restart"/>
                  <w:tcBorders>
                    <w:tl2br w:val="nil"/>
                    <w:tr2bl w:val="nil"/>
                  </w:tcBorders>
                  <w:vAlign w:val="center"/>
                </w:tcPr>
                <w:p w14:paraId="427BD0F6">
                  <w:pPr>
                    <w:jc w:val="center"/>
                    <w:rPr>
                      <w:b/>
                      <w:color w:val="auto"/>
                      <w:sz w:val="21"/>
                      <w:szCs w:val="21"/>
                    </w:rPr>
                  </w:pPr>
                  <w:r>
                    <w:rPr>
                      <w:b/>
                      <w:color w:val="auto"/>
                      <w:sz w:val="21"/>
                      <w:szCs w:val="21"/>
                    </w:rPr>
                    <w:t>排放源</w:t>
                  </w:r>
                </w:p>
              </w:tc>
              <w:tc>
                <w:tcPr>
                  <w:tcW w:w="565" w:type="pct"/>
                  <w:vMerge w:val="restart"/>
                  <w:tcBorders>
                    <w:tl2br w:val="nil"/>
                    <w:tr2bl w:val="nil"/>
                  </w:tcBorders>
                  <w:vAlign w:val="center"/>
                </w:tcPr>
                <w:p w14:paraId="7429A33D">
                  <w:pPr>
                    <w:jc w:val="center"/>
                    <w:rPr>
                      <w:b/>
                      <w:color w:val="auto"/>
                      <w:sz w:val="21"/>
                      <w:szCs w:val="21"/>
                    </w:rPr>
                  </w:pPr>
                  <w:r>
                    <w:rPr>
                      <w:b/>
                      <w:color w:val="auto"/>
                      <w:sz w:val="21"/>
                      <w:szCs w:val="21"/>
                    </w:rPr>
                    <w:t>污染工段</w:t>
                  </w:r>
                </w:p>
              </w:tc>
              <w:tc>
                <w:tcPr>
                  <w:tcW w:w="604" w:type="pct"/>
                  <w:vMerge w:val="restart"/>
                  <w:tcBorders>
                    <w:tl2br w:val="nil"/>
                    <w:tr2bl w:val="nil"/>
                  </w:tcBorders>
                  <w:vAlign w:val="center"/>
                </w:tcPr>
                <w:p w14:paraId="758554EF">
                  <w:pPr>
                    <w:jc w:val="center"/>
                    <w:rPr>
                      <w:b/>
                      <w:color w:val="auto"/>
                      <w:sz w:val="21"/>
                      <w:szCs w:val="21"/>
                    </w:rPr>
                  </w:pPr>
                  <w:r>
                    <w:rPr>
                      <w:b/>
                      <w:color w:val="auto"/>
                      <w:sz w:val="21"/>
                      <w:szCs w:val="21"/>
                    </w:rPr>
                    <w:t>污染指标</w:t>
                  </w:r>
                </w:p>
              </w:tc>
              <w:tc>
                <w:tcPr>
                  <w:tcW w:w="619" w:type="pct"/>
                  <w:vMerge w:val="restart"/>
                  <w:tcBorders>
                    <w:tl2br w:val="nil"/>
                    <w:tr2bl w:val="nil"/>
                  </w:tcBorders>
                  <w:vAlign w:val="center"/>
                </w:tcPr>
                <w:p w14:paraId="4F65C53F">
                  <w:pPr>
                    <w:jc w:val="center"/>
                    <w:rPr>
                      <w:b/>
                      <w:color w:val="auto"/>
                      <w:sz w:val="21"/>
                      <w:szCs w:val="21"/>
                    </w:rPr>
                  </w:pPr>
                  <w:r>
                    <w:rPr>
                      <w:b/>
                      <w:color w:val="auto"/>
                      <w:sz w:val="21"/>
                      <w:szCs w:val="21"/>
                    </w:rPr>
                    <w:t>最高允许排放浓度（mg/m</w:t>
                  </w:r>
                  <w:r>
                    <w:rPr>
                      <w:b/>
                      <w:color w:val="auto"/>
                      <w:sz w:val="21"/>
                      <w:szCs w:val="21"/>
                      <w:vertAlign w:val="superscript"/>
                    </w:rPr>
                    <w:t>3</w:t>
                  </w:r>
                  <w:r>
                    <w:rPr>
                      <w:b/>
                      <w:color w:val="auto"/>
                      <w:sz w:val="21"/>
                      <w:szCs w:val="21"/>
                    </w:rPr>
                    <w:t>）</w:t>
                  </w:r>
                </w:p>
              </w:tc>
              <w:tc>
                <w:tcPr>
                  <w:tcW w:w="674" w:type="pct"/>
                  <w:vMerge w:val="restart"/>
                  <w:tcBorders>
                    <w:tl2br w:val="nil"/>
                    <w:tr2bl w:val="nil"/>
                  </w:tcBorders>
                  <w:vAlign w:val="center"/>
                </w:tcPr>
                <w:p w14:paraId="09947431">
                  <w:pPr>
                    <w:jc w:val="center"/>
                    <w:rPr>
                      <w:b/>
                      <w:color w:val="auto"/>
                      <w:sz w:val="21"/>
                      <w:szCs w:val="21"/>
                    </w:rPr>
                  </w:pPr>
                  <w:r>
                    <w:rPr>
                      <w:b/>
                      <w:color w:val="auto"/>
                      <w:sz w:val="21"/>
                      <w:szCs w:val="21"/>
                    </w:rPr>
                    <w:t>最高允许排放速率（kg/h）</w:t>
                  </w:r>
                </w:p>
              </w:tc>
              <w:tc>
                <w:tcPr>
                  <w:tcW w:w="1104" w:type="pct"/>
                  <w:gridSpan w:val="2"/>
                  <w:tcBorders>
                    <w:tl2br w:val="nil"/>
                    <w:tr2bl w:val="nil"/>
                  </w:tcBorders>
                  <w:vAlign w:val="center"/>
                </w:tcPr>
                <w:p w14:paraId="13F0F1E3">
                  <w:pPr>
                    <w:jc w:val="center"/>
                    <w:rPr>
                      <w:b/>
                      <w:color w:val="auto"/>
                      <w:sz w:val="21"/>
                      <w:szCs w:val="21"/>
                    </w:rPr>
                  </w:pPr>
                  <w:r>
                    <w:rPr>
                      <w:b/>
                      <w:color w:val="auto"/>
                      <w:sz w:val="21"/>
                      <w:szCs w:val="21"/>
                    </w:rPr>
                    <w:t>无组织排放监控浓度限值mg/m</w:t>
                  </w:r>
                  <w:r>
                    <w:rPr>
                      <w:b/>
                      <w:color w:val="auto"/>
                      <w:sz w:val="21"/>
                      <w:szCs w:val="21"/>
                      <w:vertAlign w:val="superscript"/>
                    </w:rPr>
                    <w:t>3</w:t>
                  </w:r>
                </w:p>
              </w:tc>
              <w:tc>
                <w:tcPr>
                  <w:tcW w:w="1018" w:type="pct"/>
                  <w:vMerge w:val="restart"/>
                  <w:tcBorders>
                    <w:tl2br w:val="nil"/>
                    <w:tr2bl w:val="nil"/>
                  </w:tcBorders>
                  <w:vAlign w:val="center"/>
                </w:tcPr>
                <w:p w14:paraId="3483FAFC">
                  <w:pPr>
                    <w:jc w:val="center"/>
                    <w:rPr>
                      <w:b/>
                      <w:color w:val="auto"/>
                      <w:sz w:val="21"/>
                      <w:szCs w:val="21"/>
                    </w:rPr>
                  </w:pPr>
                  <w:r>
                    <w:rPr>
                      <w:b/>
                      <w:color w:val="auto"/>
                      <w:sz w:val="21"/>
                      <w:szCs w:val="21"/>
                    </w:rPr>
                    <w:t>对应标准</w:t>
                  </w:r>
                </w:p>
              </w:tc>
            </w:tr>
            <w:tr w14:paraId="45D39D0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90" w:hRule="atLeast"/>
                <w:jc w:val="center"/>
              </w:trPr>
              <w:tc>
                <w:tcPr>
                  <w:tcW w:w="413" w:type="pct"/>
                  <w:vMerge w:val="continue"/>
                  <w:tcBorders>
                    <w:tl2br w:val="nil"/>
                    <w:tr2bl w:val="nil"/>
                  </w:tcBorders>
                  <w:vAlign w:val="center"/>
                </w:tcPr>
                <w:p w14:paraId="4380D4E9">
                  <w:pPr>
                    <w:jc w:val="center"/>
                    <w:rPr>
                      <w:color w:val="auto"/>
                      <w:sz w:val="21"/>
                      <w:szCs w:val="21"/>
                    </w:rPr>
                  </w:pPr>
                </w:p>
              </w:tc>
              <w:tc>
                <w:tcPr>
                  <w:tcW w:w="565" w:type="pct"/>
                  <w:vMerge w:val="continue"/>
                  <w:tcBorders>
                    <w:tl2br w:val="nil"/>
                    <w:tr2bl w:val="nil"/>
                  </w:tcBorders>
                  <w:vAlign w:val="center"/>
                </w:tcPr>
                <w:p w14:paraId="06C59F53">
                  <w:pPr>
                    <w:jc w:val="center"/>
                    <w:rPr>
                      <w:color w:val="auto"/>
                      <w:sz w:val="21"/>
                      <w:szCs w:val="21"/>
                    </w:rPr>
                  </w:pPr>
                </w:p>
              </w:tc>
              <w:tc>
                <w:tcPr>
                  <w:tcW w:w="604" w:type="pct"/>
                  <w:vMerge w:val="continue"/>
                  <w:tcBorders>
                    <w:tl2br w:val="nil"/>
                    <w:tr2bl w:val="nil"/>
                  </w:tcBorders>
                  <w:vAlign w:val="center"/>
                </w:tcPr>
                <w:p w14:paraId="7C51C625">
                  <w:pPr>
                    <w:jc w:val="center"/>
                    <w:rPr>
                      <w:color w:val="auto"/>
                      <w:sz w:val="21"/>
                      <w:szCs w:val="21"/>
                    </w:rPr>
                  </w:pPr>
                </w:p>
              </w:tc>
              <w:tc>
                <w:tcPr>
                  <w:tcW w:w="619" w:type="pct"/>
                  <w:vMerge w:val="continue"/>
                  <w:tcBorders>
                    <w:tl2br w:val="nil"/>
                    <w:tr2bl w:val="nil"/>
                  </w:tcBorders>
                  <w:vAlign w:val="center"/>
                </w:tcPr>
                <w:p w14:paraId="3D0E4A3F">
                  <w:pPr>
                    <w:jc w:val="center"/>
                    <w:rPr>
                      <w:color w:val="auto"/>
                      <w:sz w:val="21"/>
                      <w:szCs w:val="21"/>
                    </w:rPr>
                  </w:pPr>
                </w:p>
              </w:tc>
              <w:tc>
                <w:tcPr>
                  <w:tcW w:w="674" w:type="pct"/>
                  <w:vMerge w:val="continue"/>
                  <w:tcBorders>
                    <w:tl2br w:val="nil"/>
                    <w:tr2bl w:val="nil"/>
                  </w:tcBorders>
                  <w:vAlign w:val="center"/>
                </w:tcPr>
                <w:p w14:paraId="3DC5B1B0">
                  <w:pPr>
                    <w:jc w:val="center"/>
                    <w:rPr>
                      <w:color w:val="auto"/>
                      <w:sz w:val="21"/>
                      <w:szCs w:val="21"/>
                    </w:rPr>
                  </w:pPr>
                </w:p>
              </w:tc>
              <w:tc>
                <w:tcPr>
                  <w:tcW w:w="464" w:type="pct"/>
                  <w:tcBorders>
                    <w:tl2br w:val="nil"/>
                    <w:tr2bl w:val="nil"/>
                  </w:tcBorders>
                  <w:vAlign w:val="center"/>
                </w:tcPr>
                <w:p w14:paraId="51B3CC74">
                  <w:pPr>
                    <w:jc w:val="center"/>
                    <w:rPr>
                      <w:b/>
                      <w:color w:val="auto"/>
                      <w:sz w:val="21"/>
                      <w:szCs w:val="21"/>
                    </w:rPr>
                  </w:pPr>
                  <w:r>
                    <w:rPr>
                      <w:b/>
                      <w:color w:val="auto"/>
                      <w:sz w:val="21"/>
                      <w:szCs w:val="21"/>
                    </w:rPr>
                    <w:t>监控点</w:t>
                  </w:r>
                </w:p>
              </w:tc>
              <w:tc>
                <w:tcPr>
                  <w:tcW w:w="639" w:type="pct"/>
                  <w:tcBorders>
                    <w:tl2br w:val="nil"/>
                    <w:tr2bl w:val="nil"/>
                  </w:tcBorders>
                  <w:vAlign w:val="center"/>
                </w:tcPr>
                <w:p w14:paraId="276C09EE">
                  <w:pPr>
                    <w:jc w:val="center"/>
                    <w:rPr>
                      <w:b/>
                      <w:color w:val="auto"/>
                      <w:sz w:val="21"/>
                      <w:szCs w:val="21"/>
                    </w:rPr>
                  </w:pPr>
                  <w:r>
                    <w:rPr>
                      <w:b/>
                      <w:color w:val="auto"/>
                      <w:sz w:val="21"/>
                      <w:szCs w:val="21"/>
                    </w:rPr>
                    <w:t>限值</w:t>
                  </w:r>
                </w:p>
              </w:tc>
              <w:tc>
                <w:tcPr>
                  <w:tcW w:w="1018" w:type="pct"/>
                  <w:vMerge w:val="continue"/>
                  <w:tcBorders>
                    <w:tl2br w:val="nil"/>
                    <w:tr2bl w:val="nil"/>
                  </w:tcBorders>
                  <w:vAlign w:val="center"/>
                </w:tcPr>
                <w:p w14:paraId="2C7C959D">
                  <w:pPr>
                    <w:jc w:val="center"/>
                    <w:rPr>
                      <w:b/>
                      <w:color w:val="auto"/>
                      <w:sz w:val="21"/>
                      <w:szCs w:val="21"/>
                    </w:rPr>
                  </w:pPr>
                </w:p>
              </w:tc>
            </w:tr>
            <w:tr w14:paraId="2D9CFB3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23" w:hRule="atLeast"/>
                <w:jc w:val="center"/>
              </w:trPr>
              <w:tc>
                <w:tcPr>
                  <w:tcW w:w="413" w:type="pct"/>
                  <w:tcBorders>
                    <w:tl2br w:val="nil"/>
                    <w:tr2bl w:val="nil"/>
                  </w:tcBorders>
                  <w:shd w:val="clear" w:color="auto" w:fill="auto"/>
                  <w:vAlign w:val="center"/>
                </w:tcPr>
                <w:p w14:paraId="64F2F1B0">
                  <w:pPr>
                    <w:jc w:val="center"/>
                    <w:rPr>
                      <w:rFonts w:hint="default" w:ascii="Times New Roman" w:hAnsi="Times New Roman" w:eastAsia="宋体" w:cs="Times New Roman"/>
                      <w:color w:val="auto"/>
                      <w:kern w:val="2"/>
                      <w:sz w:val="21"/>
                      <w:szCs w:val="21"/>
                      <w:lang w:val="en-US" w:eastAsia="zh-CN" w:bidi="ar"/>
                    </w:rPr>
                  </w:pPr>
                  <w:bookmarkStart w:id="21" w:name="OLE_LINK101" w:colFirst="3" w:colLast="5"/>
                  <w:r>
                    <w:rPr>
                      <w:rFonts w:hint="eastAsia"/>
                      <w:color w:val="auto"/>
                      <w:kern w:val="21"/>
                    </w:rPr>
                    <w:t>DA001</w:t>
                  </w:r>
                </w:p>
              </w:tc>
              <w:tc>
                <w:tcPr>
                  <w:tcW w:w="565" w:type="pct"/>
                  <w:tcBorders>
                    <w:tl2br w:val="nil"/>
                    <w:tr2bl w:val="nil"/>
                  </w:tcBorders>
                  <w:shd w:val="clear" w:color="auto" w:fill="auto"/>
                  <w:vAlign w:val="center"/>
                </w:tcPr>
                <w:p w14:paraId="600A6673">
                  <w:pPr>
                    <w:jc w:val="center"/>
                    <w:rPr>
                      <w:rFonts w:hint="default" w:ascii="Times New Roman" w:hAnsi="Times New Roman" w:eastAsia="宋体" w:cs="Times New Roman"/>
                      <w:color w:val="auto"/>
                      <w:kern w:val="2"/>
                      <w:sz w:val="21"/>
                      <w:szCs w:val="21"/>
                      <w:lang w:val="en-US" w:eastAsia="zh-CN" w:bidi="ar"/>
                    </w:rPr>
                  </w:pPr>
                  <w:r>
                    <w:rPr>
                      <w:rFonts w:hint="default" w:ascii="Times New Roman" w:hAnsi="Times New Roman" w:eastAsia="宋体" w:cs="Times New Roman"/>
                      <w:color w:val="auto"/>
                      <w:kern w:val="2"/>
                      <w:sz w:val="21"/>
                      <w:szCs w:val="21"/>
                      <w:lang w:val="en-US" w:eastAsia="zh-CN" w:bidi="ar"/>
                    </w:rPr>
                    <w:t>抛光测试</w:t>
                  </w:r>
                </w:p>
              </w:tc>
              <w:tc>
                <w:tcPr>
                  <w:tcW w:w="604" w:type="pct"/>
                  <w:tcBorders>
                    <w:tl2br w:val="nil"/>
                    <w:tr2bl w:val="nil"/>
                  </w:tcBorders>
                  <w:shd w:val="clear" w:color="auto" w:fill="auto"/>
                  <w:vAlign w:val="center"/>
                </w:tcPr>
                <w:p w14:paraId="506FC366">
                  <w:pPr>
                    <w:jc w:val="center"/>
                    <w:rPr>
                      <w:rFonts w:hint="eastAsia" w:ascii="Times New Roman" w:hAnsi="Times New Roman" w:eastAsia="宋体" w:cs="Times New Roman"/>
                      <w:color w:val="auto"/>
                      <w:kern w:val="2"/>
                      <w:sz w:val="21"/>
                      <w:szCs w:val="21"/>
                      <w:lang w:val="en-US" w:eastAsia="zh-CN" w:bidi="ar"/>
                    </w:rPr>
                  </w:pPr>
                  <w:r>
                    <w:rPr>
                      <w:rFonts w:hint="eastAsia"/>
                      <w:color w:val="auto"/>
                    </w:rPr>
                    <w:t>颗粒物</w:t>
                  </w:r>
                </w:p>
              </w:tc>
              <w:tc>
                <w:tcPr>
                  <w:tcW w:w="619" w:type="pct"/>
                  <w:tcBorders>
                    <w:tl2br w:val="nil"/>
                    <w:tr2bl w:val="nil"/>
                  </w:tcBorders>
                  <w:shd w:val="clear" w:color="auto" w:fill="auto"/>
                  <w:vAlign w:val="center"/>
                </w:tcPr>
                <w:p w14:paraId="5EC2B7C4">
                  <w:pPr>
                    <w:jc w:val="center"/>
                    <w:rPr>
                      <w:rFonts w:hint="default" w:ascii="Times New Roman" w:hAnsi="Times New Roman" w:eastAsia="宋体" w:cs="Times New Roman"/>
                      <w:color w:val="auto"/>
                      <w:kern w:val="2"/>
                      <w:sz w:val="21"/>
                      <w:szCs w:val="21"/>
                      <w:lang w:val="en-US" w:eastAsia="zh-CN" w:bidi="ar"/>
                    </w:rPr>
                  </w:pPr>
                  <w:r>
                    <w:rPr>
                      <w:rFonts w:hint="eastAsia"/>
                      <w:color w:val="auto"/>
                    </w:rPr>
                    <w:t>20</w:t>
                  </w:r>
                </w:p>
              </w:tc>
              <w:tc>
                <w:tcPr>
                  <w:tcW w:w="674" w:type="pct"/>
                  <w:tcBorders>
                    <w:tl2br w:val="nil"/>
                    <w:tr2bl w:val="nil"/>
                  </w:tcBorders>
                  <w:shd w:val="clear" w:color="auto" w:fill="auto"/>
                  <w:vAlign w:val="center"/>
                </w:tcPr>
                <w:p w14:paraId="2F1D1A6C">
                  <w:pPr>
                    <w:jc w:val="center"/>
                    <w:rPr>
                      <w:rFonts w:hint="default" w:ascii="Times New Roman" w:hAnsi="Times New Roman" w:eastAsia="宋体" w:cs="Times New Roman"/>
                      <w:color w:val="auto"/>
                      <w:kern w:val="2"/>
                      <w:sz w:val="21"/>
                      <w:szCs w:val="21"/>
                      <w:lang w:val="en-US" w:eastAsia="zh-CN" w:bidi="ar"/>
                    </w:rPr>
                  </w:pPr>
                  <w:r>
                    <w:rPr>
                      <w:rFonts w:hint="eastAsia"/>
                      <w:color w:val="auto"/>
                    </w:rPr>
                    <w:t>1</w:t>
                  </w:r>
                </w:p>
              </w:tc>
              <w:tc>
                <w:tcPr>
                  <w:tcW w:w="464" w:type="pct"/>
                  <w:tcBorders>
                    <w:tl2br w:val="nil"/>
                    <w:tr2bl w:val="nil"/>
                  </w:tcBorders>
                  <w:shd w:val="clear" w:color="auto" w:fill="auto"/>
                  <w:vAlign w:val="center"/>
                </w:tcPr>
                <w:p w14:paraId="0B059D25">
                  <w:pPr>
                    <w:jc w:val="center"/>
                    <w:rPr>
                      <w:rFonts w:hint="default" w:ascii="Times New Roman" w:hAnsi="Times New Roman" w:eastAsia="宋体" w:cs="Times New Roman"/>
                      <w:color w:val="auto"/>
                      <w:kern w:val="2"/>
                      <w:sz w:val="21"/>
                      <w:szCs w:val="21"/>
                      <w:lang w:val="en-US" w:eastAsia="zh-CN" w:bidi="ar"/>
                    </w:rPr>
                  </w:pPr>
                  <w:r>
                    <w:rPr>
                      <w:rFonts w:hint="eastAsia"/>
                      <w:color w:val="auto"/>
                    </w:rPr>
                    <w:t>/</w:t>
                  </w:r>
                </w:p>
              </w:tc>
              <w:tc>
                <w:tcPr>
                  <w:tcW w:w="639" w:type="pct"/>
                  <w:tcBorders>
                    <w:tl2br w:val="nil"/>
                    <w:tr2bl w:val="nil"/>
                  </w:tcBorders>
                  <w:shd w:val="clear" w:color="auto" w:fill="auto"/>
                  <w:vAlign w:val="center"/>
                </w:tcPr>
                <w:p w14:paraId="344FDB22">
                  <w:pPr>
                    <w:jc w:val="center"/>
                    <w:rPr>
                      <w:rFonts w:hint="eastAsia" w:ascii="Times New Roman" w:hAnsi="Times New Roman" w:eastAsia="宋体" w:cs="Times New Roman"/>
                      <w:color w:val="auto"/>
                      <w:kern w:val="2"/>
                      <w:sz w:val="21"/>
                      <w:szCs w:val="21"/>
                      <w:lang w:val="en-US" w:eastAsia="zh-CN" w:bidi="ar"/>
                    </w:rPr>
                  </w:pPr>
                  <w:r>
                    <w:rPr>
                      <w:rFonts w:hint="eastAsia"/>
                      <w:color w:val="auto"/>
                    </w:rPr>
                    <w:t>/</w:t>
                  </w:r>
                </w:p>
              </w:tc>
              <w:tc>
                <w:tcPr>
                  <w:tcW w:w="1018" w:type="pct"/>
                  <w:tcBorders>
                    <w:tl2br w:val="nil"/>
                    <w:tr2bl w:val="nil"/>
                  </w:tcBorders>
                  <w:shd w:val="clear" w:color="auto" w:fill="auto"/>
                  <w:vAlign w:val="center"/>
                </w:tcPr>
                <w:p w14:paraId="47ED2442">
                  <w:pPr>
                    <w:wordWrap w:val="0"/>
                    <w:jc w:val="center"/>
                    <w:rPr>
                      <w:rFonts w:hint="eastAsia" w:ascii="Times New Roman" w:hAnsi="Times New Roman" w:eastAsia="宋体" w:cs="Times New Roman"/>
                      <w:color w:val="auto"/>
                      <w:kern w:val="2"/>
                      <w:sz w:val="21"/>
                      <w:szCs w:val="21"/>
                      <w:lang w:val="en-US" w:eastAsia="zh-CN" w:bidi="ar"/>
                    </w:rPr>
                  </w:pPr>
                  <w:r>
                    <w:rPr>
                      <w:rFonts w:hint="eastAsia"/>
                      <w:color w:val="auto"/>
                    </w:rPr>
                    <w:t>《大气污染物综合排放标准》（DB32/4041-2021）表1</w:t>
                  </w:r>
                </w:p>
              </w:tc>
            </w:tr>
            <w:tr w14:paraId="4E0E8A4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23" w:hRule="atLeast"/>
                <w:jc w:val="center"/>
              </w:trPr>
              <w:tc>
                <w:tcPr>
                  <w:tcW w:w="413" w:type="pct"/>
                  <w:vMerge w:val="restart"/>
                  <w:tcBorders>
                    <w:tl2br w:val="nil"/>
                    <w:tr2bl w:val="nil"/>
                  </w:tcBorders>
                  <w:vAlign w:val="center"/>
                </w:tcPr>
                <w:p w14:paraId="7EF68D22">
                  <w:pPr>
                    <w:jc w:val="center"/>
                    <w:rPr>
                      <w:color w:val="auto"/>
                      <w:sz w:val="21"/>
                      <w:szCs w:val="21"/>
                    </w:rPr>
                  </w:pPr>
                  <w:r>
                    <w:rPr>
                      <w:color w:val="auto"/>
                      <w:sz w:val="21"/>
                      <w:szCs w:val="21"/>
                    </w:rPr>
                    <w:t>厂区边界</w:t>
                  </w:r>
                </w:p>
              </w:tc>
              <w:tc>
                <w:tcPr>
                  <w:tcW w:w="565" w:type="pct"/>
                  <w:vMerge w:val="restart"/>
                  <w:tcBorders>
                    <w:tl2br w:val="nil"/>
                    <w:tr2bl w:val="nil"/>
                  </w:tcBorders>
                  <w:vAlign w:val="center"/>
                </w:tcPr>
                <w:p w14:paraId="5670A419">
                  <w:pPr>
                    <w:jc w:val="center"/>
                    <w:rPr>
                      <w:color w:val="auto"/>
                      <w:sz w:val="21"/>
                      <w:szCs w:val="21"/>
                    </w:rPr>
                  </w:pPr>
                  <w:r>
                    <w:rPr>
                      <w:color w:val="auto"/>
                      <w:sz w:val="21"/>
                      <w:szCs w:val="21"/>
                    </w:rPr>
                    <w:t>/</w:t>
                  </w:r>
                </w:p>
              </w:tc>
              <w:tc>
                <w:tcPr>
                  <w:tcW w:w="604" w:type="pct"/>
                  <w:tcBorders>
                    <w:tl2br w:val="nil"/>
                    <w:tr2bl w:val="nil"/>
                  </w:tcBorders>
                  <w:vAlign w:val="center"/>
                </w:tcPr>
                <w:p w14:paraId="2DB5F8B5">
                  <w:pPr>
                    <w:jc w:val="center"/>
                    <w:rPr>
                      <w:color w:val="auto"/>
                      <w:sz w:val="21"/>
                      <w:szCs w:val="21"/>
                    </w:rPr>
                  </w:pPr>
                  <w:r>
                    <w:rPr>
                      <w:rFonts w:hint="eastAsia"/>
                      <w:color w:val="auto"/>
                      <w:sz w:val="21"/>
                      <w:szCs w:val="21"/>
                    </w:rPr>
                    <w:t>颗粒物</w:t>
                  </w:r>
                </w:p>
              </w:tc>
              <w:tc>
                <w:tcPr>
                  <w:tcW w:w="619" w:type="pct"/>
                  <w:tcBorders>
                    <w:tl2br w:val="nil"/>
                    <w:tr2bl w:val="nil"/>
                  </w:tcBorders>
                  <w:vAlign w:val="center"/>
                </w:tcPr>
                <w:p w14:paraId="7FBC1658">
                  <w:pPr>
                    <w:jc w:val="center"/>
                    <w:rPr>
                      <w:color w:val="auto"/>
                      <w:sz w:val="21"/>
                      <w:szCs w:val="21"/>
                    </w:rPr>
                  </w:pPr>
                  <w:r>
                    <w:rPr>
                      <w:color w:val="auto"/>
                      <w:sz w:val="21"/>
                      <w:szCs w:val="21"/>
                    </w:rPr>
                    <w:t>/</w:t>
                  </w:r>
                </w:p>
              </w:tc>
              <w:tc>
                <w:tcPr>
                  <w:tcW w:w="674" w:type="pct"/>
                  <w:tcBorders>
                    <w:tl2br w:val="nil"/>
                    <w:tr2bl w:val="nil"/>
                  </w:tcBorders>
                  <w:vAlign w:val="center"/>
                </w:tcPr>
                <w:p w14:paraId="360E7CCB">
                  <w:pPr>
                    <w:jc w:val="center"/>
                    <w:rPr>
                      <w:color w:val="auto"/>
                      <w:sz w:val="21"/>
                      <w:szCs w:val="21"/>
                    </w:rPr>
                  </w:pPr>
                  <w:r>
                    <w:rPr>
                      <w:color w:val="auto"/>
                      <w:sz w:val="21"/>
                      <w:szCs w:val="21"/>
                    </w:rPr>
                    <w:t>/</w:t>
                  </w:r>
                </w:p>
              </w:tc>
              <w:tc>
                <w:tcPr>
                  <w:tcW w:w="464" w:type="pct"/>
                  <w:vMerge w:val="restart"/>
                  <w:tcBorders>
                    <w:tl2br w:val="nil"/>
                    <w:tr2bl w:val="nil"/>
                  </w:tcBorders>
                  <w:vAlign w:val="center"/>
                </w:tcPr>
                <w:p w14:paraId="020E64B8">
                  <w:pPr>
                    <w:jc w:val="center"/>
                    <w:rPr>
                      <w:color w:val="auto"/>
                      <w:sz w:val="21"/>
                      <w:szCs w:val="21"/>
                    </w:rPr>
                  </w:pPr>
                  <w:r>
                    <w:rPr>
                      <w:color w:val="auto"/>
                      <w:sz w:val="21"/>
                      <w:szCs w:val="21"/>
                    </w:rPr>
                    <w:t>边界外浓度最高点</w:t>
                  </w:r>
                </w:p>
              </w:tc>
              <w:tc>
                <w:tcPr>
                  <w:tcW w:w="639" w:type="pct"/>
                  <w:tcBorders>
                    <w:tl2br w:val="nil"/>
                    <w:tr2bl w:val="nil"/>
                  </w:tcBorders>
                  <w:shd w:val="clear" w:color="auto" w:fill="auto"/>
                  <w:vAlign w:val="center"/>
                </w:tcPr>
                <w:p w14:paraId="17BABC75">
                  <w:pPr>
                    <w:widowControl w:val="0"/>
                    <w:adjustRightInd w:val="0"/>
                    <w:snapToGrid w:val="0"/>
                    <w:spacing w:before="24" w:beforeLines="10" w:after="24" w:afterLines="10" w:line="259" w:lineRule="auto"/>
                    <w:ind w:firstLine="0" w:firstLineChars="0"/>
                    <w:jc w:val="center"/>
                    <w:textAlignment w:val="baseline"/>
                    <w:rPr>
                      <w:rFonts w:hint="default" w:ascii="Times New Roman" w:hAnsi="宋体" w:eastAsia="宋体" w:cs="Times New Roman"/>
                      <w:color w:val="auto"/>
                      <w:spacing w:val="-10"/>
                      <w:kern w:val="0"/>
                      <w:sz w:val="21"/>
                      <w:szCs w:val="21"/>
                      <w:highlight w:val="none"/>
                      <w:lang w:val="en-US" w:eastAsia="zh-CN" w:bidi="ar-SA"/>
                    </w:rPr>
                  </w:pPr>
                  <w:r>
                    <w:rPr>
                      <w:rFonts w:hint="eastAsia" w:ascii="Times New Roman" w:hAnsi="宋体" w:eastAsia="宋体" w:cs="Times New Roman"/>
                      <w:color w:val="auto"/>
                      <w:spacing w:val="-10"/>
                      <w:kern w:val="0"/>
                      <w:sz w:val="21"/>
                      <w:szCs w:val="21"/>
                      <w:highlight w:val="none"/>
                      <w:lang w:val="en-US" w:eastAsia="zh-CN" w:bidi="ar-SA"/>
                    </w:rPr>
                    <w:t>0.5</w:t>
                  </w:r>
                </w:p>
              </w:tc>
              <w:tc>
                <w:tcPr>
                  <w:tcW w:w="1018" w:type="pct"/>
                  <w:vMerge w:val="restart"/>
                  <w:tcBorders>
                    <w:tl2br w:val="nil"/>
                    <w:tr2bl w:val="nil"/>
                  </w:tcBorders>
                  <w:vAlign w:val="center"/>
                </w:tcPr>
                <w:p w14:paraId="2F478895">
                  <w:pPr>
                    <w:wordWrap w:val="0"/>
                    <w:jc w:val="center"/>
                    <w:rPr>
                      <w:color w:val="auto"/>
                      <w:sz w:val="21"/>
                      <w:szCs w:val="21"/>
                    </w:rPr>
                  </w:pPr>
                  <w:r>
                    <w:rPr>
                      <w:rFonts w:hint="eastAsia"/>
                      <w:color w:val="auto"/>
                      <w:sz w:val="21"/>
                      <w:szCs w:val="21"/>
                    </w:rPr>
                    <w:t>《大气污染物综合排放标准》（DB32/4041-2021）表3</w:t>
                  </w:r>
                </w:p>
              </w:tc>
            </w:tr>
            <w:tr w14:paraId="342AFD3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23" w:hRule="atLeast"/>
                <w:jc w:val="center"/>
              </w:trPr>
              <w:tc>
                <w:tcPr>
                  <w:tcW w:w="413" w:type="pct"/>
                  <w:vMerge w:val="continue"/>
                  <w:tcBorders>
                    <w:tl2br w:val="nil"/>
                    <w:tr2bl w:val="nil"/>
                  </w:tcBorders>
                  <w:vAlign w:val="center"/>
                </w:tcPr>
                <w:p w14:paraId="1E2064F5">
                  <w:pPr>
                    <w:jc w:val="center"/>
                    <w:rPr>
                      <w:color w:val="auto"/>
                      <w:sz w:val="21"/>
                      <w:szCs w:val="21"/>
                    </w:rPr>
                  </w:pPr>
                </w:p>
              </w:tc>
              <w:tc>
                <w:tcPr>
                  <w:tcW w:w="565" w:type="pct"/>
                  <w:vMerge w:val="continue"/>
                  <w:tcBorders>
                    <w:tl2br w:val="nil"/>
                    <w:tr2bl w:val="nil"/>
                  </w:tcBorders>
                  <w:vAlign w:val="center"/>
                </w:tcPr>
                <w:p w14:paraId="5E0FA5DC">
                  <w:pPr>
                    <w:jc w:val="center"/>
                    <w:rPr>
                      <w:color w:val="auto"/>
                      <w:sz w:val="21"/>
                      <w:szCs w:val="21"/>
                    </w:rPr>
                  </w:pPr>
                </w:p>
              </w:tc>
              <w:tc>
                <w:tcPr>
                  <w:tcW w:w="604" w:type="pct"/>
                  <w:tcBorders>
                    <w:tl2br w:val="nil"/>
                    <w:tr2bl w:val="nil"/>
                  </w:tcBorders>
                  <w:shd w:val="clear" w:color="auto" w:fill="auto"/>
                  <w:vAlign w:val="center"/>
                </w:tcPr>
                <w:p w14:paraId="7B1FF9E0">
                  <w:pPr>
                    <w:jc w:val="center"/>
                    <w:rPr>
                      <w:rFonts w:hint="eastAsia" w:ascii="Times New Roman" w:hAnsi="Times New Roman" w:eastAsia="宋体" w:cs="Times New Roman"/>
                      <w:color w:val="auto"/>
                      <w:kern w:val="2"/>
                      <w:sz w:val="21"/>
                      <w:szCs w:val="21"/>
                      <w:lang w:val="en-US" w:eastAsia="zh-CN" w:bidi="ar"/>
                    </w:rPr>
                  </w:pPr>
                  <w:r>
                    <w:rPr>
                      <w:rFonts w:hint="eastAsia"/>
                      <w:color w:val="auto"/>
                      <w:sz w:val="21"/>
                      <w:szCs w:val="21"/>
                    </w:rPr>
                    <w:t>非甲烷总烃</w:t>
                  </w:r>
                </w:p>
              </w:tc>
              <w:tc>
                <w:tcPr>
                  <w:tcW w:w="619" w:type="pct"/>
                  <w:tcBorders>
                    <w:tl2br w:val="nil"/>
                    <w:tr2bl w:val="nil"/>
                  </w:tcBorders>
                  <w:shd w:val="clear" w:color="auto" w:fill="auto"/>
                  <w:vAlign w:val="center"/>
                </w:tcPr>
                <w:p w14:paraId="53F2BEF7">
                  <w:pPr>
                    <w:jc w:val="center"/>
                    <w:rPr>
                      <w:rFonts w:hint="default" w:ascii="Times New Roman" w:hAnsi="Times New Roman" w:eastAsia="宋体" w:cs="Times New Roman"/>
                      <w:color w:val="auto"/>
                      <w:kern w:val="2"/>
                      <w:sz w:val="21"/>
                      <w:szCs w:val="21"/>
                      <w:lang w:val="en-US" w:eastAsia="zh-CN" w:bidi="ar"/>
                    </w:rPr>
                  </w:pPr>
                  <w:r>
                    <w:rPr>
                      <w:color w:val="auto"/>
                      <w:sz w:val="21"/>
                      <w:szCs w:val="21"/>
                    </w:rPr>
                    <w:t>/</w:t>
                  </w:r>
                </w:p>
              </w:tc>
              <w:tc>
                <w:tcPr>
                  <w:tcW w:w="674" w:type="pct"/>
                  <w:tcBorders>
                    <w:tl2br w:val="nil"/>
                    <w:tr2bl w:val="nil"/>
                  </w:tcBorders>
                  <w:shd w:val="clear" w:color="auto" w:fill="auto"/>
                  <w:vAlign w:val="center"/>
                </w:tcPr>
                <w:p w14:paraId="1B41DEF6">
                  <w:pPr>
                    <w:jc w:val="center"/>
                    <w:rPr>
                      <w:rFonts w:hint="default" w:ascii="Times New Roman" w:hAnsi="Times New Roman" w:eastAsia="宋体" w:cs="Times New Roman"/>
                      <w:color w:val="auto"/>
                      <w:kern w:val="2"/>
                      <w:sz w:val="21"/>
                      <w:szCs w:val="21"/>
                      <w:lang w:val="en-US" w:eastAsia="zh-CN" w:bidi="ar"/>
                    </w:rPr>
                  </w:pPr>
                  <w:r>
                    <w:rPr>
                      <w:color w:val="auto"/>
                      <w:sz w:val="21"/>
                      <w:szCs w:val="21"/>
                    </w:rPr>
                    <w:t>/</w:t>
                  </w:r>
                </w:p>
              </w:tc>
              <w:tc>
                <w:tcPr>
                  <w:tcW w:w="464" w:type="pct"/>
                  <w:vMerge w:val="continue"/>
                  <w:tcBorders>
                    <w:tl2br w:val="nil"/>
                    <w:tr2bl w:val="nil"/>
                  </w:tcBorders>
                  <w:shd w:val="clear" w:color="auto" w:fill="auto"/>
                  <w:vAlign w:val="center"/>
                </w:tcPr>
                <w:p w14:paraId="775C63D2">
                  <w:pPr>
                    <w:jc w:val="center"/>
                    <w:rPr>
                      <w:rFonts w:hint="default" w:ascii="Times New Roman" w:hAnsi="Times New Roman" w:eastAsia="宋体" w:cs="Times New Roman"/>
                      <w:color w:val="auto"/>
                      <w:kern w:val="2"/>
                      <w:sz w:val="21"/>
                      <w:szCs w:val="21"/>
                      <w:lang w:val="en-US" w:eastAsia="zh-CN" w:bidi="ar"/>
                    </w:rPr>
                  </w:pPr>
                </w:p>
              </w:tc>
              <w:tc>
                <w:tcPr>
                  <w:tcW w:w="639" w:type="pct"/>
                  <w:tcBorders>
                    <w:tl2br w:val="nil"/>
                    <w:tr2bl w:val="nil"/>
                  </w:tcBorders>
                  <w:shd w:val="clear" w:color="auto" w:fill="auto"/>
                  <w:vAlign w:val="center"/>
                </w:tcPr>
                <w:p w14:paraId="1399D25D">
                  <w:pPr>
                    <w:widowControl w:val="0"/>
                    <w:adjustRightInd w:val="0"/>
                    <w:snapToGrid w:val="0"/>
                    <w:spacing w:before="24" w:beforeLines="10" w:after="24" w:afterLines="10" w:line="259" w:lineRule="auto"/>
                    <w:ind w:firstLine="0" w:firstLineChars="0"/>
                    <w:jc w:val="center"/>
                    <w:textAlignment w:val="baseline"/>
                    <w:rPr>
                      <w:rFonts w:hint="eastAsia" w:ascii="Times New Roman" w:hAnsi="宋体" w:eastAsia="宋体" w:cs="Times New Roman"/>
                      <w:color w:val="auto"/>
                      <w:spacing w:val="-10"/>
                      <w:kern w:val="0"/>
                      <w:sz w:val="21"/>
                      <w:szCs w:val="21"/>
                      <w:highlight w:val="none"/>
                      <w:lang w:val="en-US" w:eastAsia="zh-CN" w:bidi="ar-SA"/>
                    </w:rPr>
                  </w:pPr>
                  <w:r>
                    <w:rPr>
                      <w:rFonts w:hint="eastAsia" w:ascii="Times New Roman" w:hAnsi="宋体" w:eastAsia="宋体" w:cs="Times New Roman"/>
                      <w:color w:val="auto"/>
                      <w:spacing w:val="-10"/>
                      <w:kern w:val="0"/>
                      <w:sz w:val="21"/>
                      <w:szCs w:val="21"/>
                      <w:highlight w:val="none"/>
                      <w:lang w:val="en-US" w:eastAsia="zh-CN" w:bidi="ar-SA"/>
                    </w:rPr>
                    <w:t>4.0</w:t>
                  </w:r>
                </w:p>
              </w:tc>
              <w:tc>
                <w:tcPr>
                  <w:tcW w:w="1018" w:type="pct"/>
                  <w:vMerge w:val="continue"/>
                  <w:tcBorders>
                    <w:tl2br w:val="nil"/>
                    <w:tr2bl w:val="nil"/>
                  </w:tcBorders>
                  <w:vAlign w:val="center"/>
                </w:tcPr>
                <w:p w14:paraId="4B058A7A">
                  <w:pPr>
                    <w:wordWrap w:val="0"/>
                    <w:jc w:val="center"/>
                    <w:rPr>
                      <w:rFonts w:hint="eastAsia"/>
                      <w:color w:val="auto"/>
                      <w:sz w:val="21"/>
                      <w:szCs w:val="21"/>
                    </w:rPr>
                  </w:pPr>
                </w:p>
              </w:tc>
            </w:tr>
            <w:tr w14:paraId="3679438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23" w:hRule="atLeast"/>
                <w:jc w:val="center"/>
              </w:trPr>
              <w:tc>
                <w:tcPr>
                  <w:tcW w:w="413" w:type="pct"/>
                  <w:vMerge w:val="continue"/>
                  <w:tcBorders>
                    <w:tl2br w:val="nil"/>
                    <w:tr2bl w:val="nil"/>
                  </w:tcBorders>
                  <w:vAlign w:val="center"/>
                </w:tcPr>
                <w:p w14:paraId="66A16EA2">
                  <w:pPr>
                    <w:jc w:val="center"/>
                    <w:rPr>
                      <w:color w:val="auto"/>
                      <w:sz w:val="21"/>
                      <w:szCs w:val="21"/>
                    </w:rPr>
                  </w:pPr>
                </w:p>
              </w:tc>
              <w:tc>
                <w:tcPr>
                  <w:tcW w:w="565" w:type="pct"/>
                  <w:vMerge w:val="continue"/>
                  <w:tcBorders>
                    <w:tl2br w:val="nil"/>
                    <w:tr2bl w:val="nil"/>
                  </w:tcBorders>
                  <w:vAlign w:val="center"/>
                </w:tcPr>
                <w:p w14:paraId="455BCC40">
                  <w:pPr>
                    <w:jc w:val="center"/>
                    <w:rPr>
                      <w:color w:val="auto"/>
                      <w:sz w:val="21"/>
                      <w:szCs w:val="21"/>
                    </w:rPr>
                  </w:pPr>
                </w:p>
              </w:tc>
              <w:tc>
                <w:tcPr>
                  <w:tcW w:w="604" w:type="pct"/>
                  <w:tcBorders>
                    <w:tl2br w:val="nil"/>
                    <w:tr2bl w:val="nil"/>
                  </w:tcBorders>
                  <w:shd w:val="clear" w:color="auto" w:fill="auto"/>
                  <w:vAlign w:val="center"/>
                </w:tcPr>
                <w:p w14:paraId="17C9D745">
                  <w:pPr>
                    <w:jc w:val="center"/>
                    <w:rPr>
                      <w:rFonts w:hint="eastAsia" w:ascii="Times New Roman" w:hAnsi="Times New Roman" w:eastAsia="宋体" w:cs="Times New Roman"/>
                      <w:color w:val="auto"/>
                      <w:kern w:val="2"/>
                      <w:sz w:val="21"/>
                      <w:szCs w:val="21"/>
                      <w:lang w:val="en-US" w:eastAsia="zh-CN" w:bidi="ar"/>
                    </w:rPr>
                  </w:pPr>
                  <w:r>
                    <w:rPr>
                      <w:rFonts w:hint="eastAsia" w:eastAsia="宋体"/>
                      <w:color w:val="auto"/>
                      <w:sz w:val="21"/>
                      <w:szCs w:val="21"/>
                      <w:lang w:val="en-US" w:eastAsia="zh-CN"/>
                    </w:rPr>
                    <w:t>臭气浓度</w:t>
                  </w:r>
                </w:p>
              </w:tc>
              <w:tc>
                <w:tcPr>
                  <w:tcW w:w="619" w:type="pct"/>
                  <w:tcBorders>
                    <w:tl2br w:val="nil"/>
                    <w:tr2bl w:val="nil"/>
                  </w:tcBorders>
                  <w:shd w:val="clear" w:color="auto" w:fill="auto"/>
                  <w:vAlign w:val="center"/>
                </w:tcPr>
                <w:p w14:paraId="7280B705">
                  <w:pPr>
                    <w:jc w:val="center"/>
                    <w:rPr>
                      <w:rFonts w:hint="default" w:ascii="Times New Roman" w:hAnsi="Times New Roman" w:eastAsia="宋体" w:cs="Times New Roman"/>
                      <w:color w:val="auto"/>
                      <w:kern w:val="2"/>
                      <w:sz w:val="21"/>
                      <w:szCs w:val="21"/>
                      <w:lang w:val="en-US" w:eastAsia="zh-CN" w:bidi="ar"/>
                    </w:rPr>
                  </w:pPr>
                  <w:r>
                    <w:rPr>
                      <w:color w:val="auto"/>
                      <w:sz w:val="21"/>
                      <w:szCs w:val="21"/>
                    </w:rPr>
                    <w:t>/</w:t>
                  </w:r>
                </w:p>
              </w:tc>
              <w:tc>
                <w:tcPr>
                  <w:tcW w:w="674" w:type="pct"/>
                  <w:tcBorders>
                    <w:tl2br w:val="nil"/>
                    <w:tr2bl w:val="nil"/>
                  </w:tcBorders>
                  <w:shd w:val="clear" w:color="auto" w:fill="auto"/>
                  <w:vAlign w:val="center"/>
                </w:tcPr>
                <w:p w14:paraId="5C89A1A7">
                  <w:pPr>
                    <w:jc w:val="center"/>
                    <w:rPr>
                      <w:rFonts w:hint="default" w:ascii="Times New Roman" w:hAnsi="Times New Roman" w:eastAsia="宋体" w:cs="Times New Roman"/>
                      <w:color w:val="auto"/>
                      <w:kern w:val="2"/>
                      <w:sz w:val="21"/>
                      <w:szCs w:val="21"/>
                      <w:lang w:val="en-US" w:eastAsia="zh-CN" w:bidi="ar"/>
                    </w:rPr>
                  </w:pPr>
                  <w:r>
                    <w:rPr>
                      <w:color w:val="auto"/>
                      <w:sz w:val="21"/>
                      <w:szCs w:val="21"/>
                    </w:rPr>
                    <w:t>/</w:t>
                  </w:r>
                </w:p>
              </w:tc>
              <w:tc>
                <w:tcPr>
                  <w:tcW w:w="464" w:type="pct"/>
                  <w:vMerge w:val="continue"/>
                  <w:tcBorders>
                    <w:tl2br w:val="nil"/>
                    <w:tr2bl w:val="nil"/>
                  </w:tcBorders>
                  <w:shd w:val="clear" w:color="auto" w:fill="auto"/>
                  <w:vAlign w:val="center"/>
                </w:tcPr>
                <w:p w14:paraId="6A6955C7">
                  <w:pPr>
                    <w:jc w:val="center"/>
                    <w:rPr>
                      <w:rFonts w:hint="default" w:ascii="Times New Roman" w:hAnsi="Times New Roman" w:eastAsia="宋体" w:cs="Times New Roman"/>
                      <w:color w:val="auto"/>
                      <w:kern w:val="2"/>
                      <w:sz w:val="21"/>
                      <w:szCs w:val="21"/>
                      <w:lang w:val="en-US" w:eastAsia="zh-CN" w:bidi="ar"/>
                    </w:rPr>
                  </w:pPr>
                </w:p>
              </w:tc>
              <w:tc>
                <w:tcPr>
                  <w:tcW w:w="639" w:type="pct"/>
                  <w:tcBorders>
                    <w:tl2br w:val="nil"/>
                    <w:tr2bl w:val="nil"/>
                  </w:tcBorders>
                  <w:shd w:val="clear" w:color="auto" w:fill="auto"/>
                  <w:vAlign w:val="center"/>
                </w:tcPr>
                <w:p w14:paraId="758B3C9A">
                  <w:pPr>
                    <w:widowControl w:val="0"/>
                    <w:adjustRightInd w:val="0"/>
                    <w:snapToGrid w:val="0"/>
                    <w:spacing w:before="24" w:beforeLines="10" w:after="24" w:afterLines="10" w:line="259" w:lineRule="auto"/>
                    <w:ind w:firstLine="0" w:firstLineChars="0"/>
                    <w:jc w:val="center"/>
                    <w:textAlignment w:val="baseline"/>
                    <w:rPr>
                      <w:rFonts w:hint="default" w:ascii="Times New Roman" w:hAnsi="宋体" w:eastAsia="宋体" w:cs="Times New Roman"/>
                      <w:color w:val="auto"/>
                      <w:spacing w:val="-10"/>
                      <w:kern w:val="0"/>
                      <w:sz w:val="21"/>
                      <w:szCs w:val="21"/>
                      <w:highlight w:val="none"/>
                      <w:lang w:val="en-US" w:eastAsia="zh-CN" w:bidi="ar-SA"/>
                    </w:rPr>
                  </w:pPr>
                  <w:r>
                    <w:rPr>
                      <w:rFonts w:hint="eastAsia" w:ascii="Times New Roman" w:hAnsi="宋体" w:eastAsia="宋体" w:cs="Times New Roman"/>
                      <w:color w:val="auto"/>
                      <w:spacing w:val="-10"/>
                      <w:kern w:val="0"/>
                      <w:sz w:val="21"/>
                      <w:szCs w:val="21"/>
                      <w:highlight w:val="none"/>
                      <w:lang w:val="en-US" w:eastAsia="zh-CN" w:bidi="ar-SA"/>
                    </w:rPr>
                    <w:t>20（无量纲）</w:t>
                  </w:r>
                </w:p>
              </w:tc>
              <w:tc>
                <w:tcPr>
                  <w:tcW w:w="1018" w:type="pct"/>
                  <w:vMerge w:val="restart"/>
                  <w:tcBorders>
                    <w:tl2br w:val="nil"/>
                    <w:tr2bl w:val="nil"/>
                  </w:tcBorders>
                  <w:vAlign w:val="center"/>
                </w:tcPr>
                <w:p w14:paraId="14230D69">
                  <w:pPr>
                    <w:wordWrap w:val="0"/>
                    <w:jc w:val="center"/>
                    <w:rPr>
                      <w:rFonts w:hint="eastAsia"/>
                      <w:color w:val="auto"/>
                      <w:sz w:val="21"/>
                      <w:szCs w:val="21"/>
                    </w:rPr>
                  </w:pPr>
                  <w:r>
                    <w:rPr>
                      <w:rFonts w:hint="eastAsia"/>
                      <w:color w:val="auto"/>
                      <w:sz w:val="21"/>
                      <w:szCs w:val="21"/>
                    </w:rPr>
                    <w:t>《恶臭污染物排放标准》（GB14554-93）表1</w:t>
                  </w:r>
                </w:p>
              </w:tc>
            </w:tr>
            <w:tr w14:paraId="3EFB28E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23" w:hRule="atLeast"/>
                <w:jc w:val="center"/>
              </w:trPr>
              <w:tc>
                <w:tcPr>
                  <w:tcW w:w="413" w:type="pct"/>
                  <w:vMerge w:val="continue"/>
                  <w:tcBorders>
                    <w:tl2br w:val="nil"/>
                    <w:tr2bl w:val="nil"/>
                  </w:tcBorders>
                  <w:vAlign w:val="center"/>
                </w:tcPr>
                <w:p w14:paraId="4A5139C5">
                  <w:pPr>
                    <w:jc w:val="center"/>
                    <w:rPr>
                      <w:color w:val="auto"/>
                      <w:sz w:val="21"/>
                      <w:szCs w:val="21"/>
                    </w:rPr>
                  </w:pPr>
                </w:p>
              </w:tc>
              <w:tc>
                <w:tcPr>
                  <w:tcW w:w="565" w:type="pct"/>
                  <w:vMerge w:val="continue"/>
                  <w:tcBorders>
                    <w:tl2br w:val="nil"/>
                    <w:tr2bl w:val="nil"/>
                  </w:tcBorders>
                  <w:vAlign w:val="center"/>
                </w:tcPr>
                <w:p w14:paraId="65406E64">
                  <w:pPr>
                    <w:jc w:val="center"/>
                    <w:rPr>
                      <w:color w:val="auto"/>
                      <w:sz w:val="21"/>
                      <w:szCs w:val="21"/>
                    </w:rPr>
                  </w:pPr>
                </w:p>
              </w:tc>
              <w:tc>
                <w:tcPr>
                  <w:tcW w:w="604" w:type="pct"/>
                  <w:tcBorders>
                    <w:tl2br w:val="nil"/>
                    <w:tr2bl w:val="nil"/>
                  </w:tcBorders>
                  <w:shd w:val="clear" w:color="auto" w:fill="auto"/>
                  <w:vAlign w:val="center"/>
                </w:tcPr>
                <w:p w14:paraId="1CF6005C">
                  <w:pPr>
                    <w:jc w:val="center"/>
                    <w:rPr>
                      <w:rFonts w:hint="eastAsia" w:eastAsia="宋体"/>
                      <w:color w:val="auto"/>
                      <w:sz w:val="21"/>
                      <w:szCs w:val="21"/>
                      <w:lang w:val="en-US" w:eastAsia="zh-CN"/>
                    </w:rPr>
                  </w:pPr>
                  <w:r>
                    <w:rPr>
                      <w:rFonts w:hint="eastAsia" w:eastAsia="宋体"/>
                      <w:color w:val="auto"/>
                      <w:sz w:val="21"/>
                      <w:szCs w:val="21"/>
                      <w:lang w:val="en-US" w:eastAsia="zh-CN"/>
                    </w:rPr>
                    <w:t>硫化氢</w:t>
                  </w:r>
                </w:p>
              </w:tc>
              <w:tc>
                <w:tcPr>
                  <w:tcW w:w="619" w:type="pct"/>
                  <w:tcBorders>
                    <w:tl2br w:val="nil"/>
                    <w:tr2bl w:val="nil"/>
                  </w:tcBorders>
                  <w:shd w:val="clear" w:color="auto" w:fill="auto"/>
                  <w:vAlign w:val="center"/>
                </w:tcPr>
                <w:p w14:paraId="578DB12E">
                  <w:pPr>
                    <w:jc w:val="center"/>
                    <w:rPr>
                      <w:rFonts w:hint="default" w:ascii="Times New Roman" w:hAnsi="Times New Roman" w:eastAsia="宋体" w:cs="Times New Roman"/>
                      <w:color w:val="auto"/>
                      <w:kern w:val="2"/>
                      <w:sz w:val="21"/>
                      <w:szCs w:val="21"/>
                      <w:lang w:val="en-US" w:eastAsia="zh-CN" w:bidi="ar"/>
                    </w:rPr>
                  </w:pPr>
                  <w:r>
                    <w:rPr>
                      <w:color w:val="auto"/>
                      <w:sz w:val="21"/>
                      <w:szCs w:val="21"/>
                    </w:rPr>
                    <w:t>/</w:t>
                  </w:r>
                </w:p>
              </w:tc>
              <w:tc>
                <w:tcPr>
                  <w:tcW w:w="674" w:type="pct"/>
                  <w:tcBorders>
                    <w:tl2br w:val="nil"/>
                    <w:tr2bl w:val="nil"/>
                  </w:tcBorders>
                  <w:shd w:val="clear" w:color="auto" w:fill="auto"/>
                  <w:vAlign w:val="center"/>
                </w:tcPr>
                <w:p w14:paraId="6AE9C4CD">
                  <w:pPr>
                    <w:jc w:val="center"/>
                    <w:rPr>
                      <w:rFonts w:hint="default" w:ascii="Times New Roman" w:hAnsi="Times New Roman" w:eastAsia="宋体" w:cs="Times New Roman"/>
                      <w:color w:val="auto"/>
                      <w:kern w:val="2"/>
                      <w:sz w:val="21"/>
                      <w:szCs w:val="21"/>
                      <w:lang w:val="en-US" w:eastAsia="zh-CN" w:bidi="ar"/>
                    </w:rPr>
                  </w:pPr>
                  <w:r>
                    <w:rPr>
                      <w:color w:val="auto"/>
                      <w:sz w:val="21"/>
                      <w:szCs w:val="21"/>
                    </w:rPr>
                    <w:t>/</w:t>
                  </w:r>
                </w:p>
              </w:tc>
              <w:tc>
                <w:tcPr>
                  <w:tcW w:w="464" w:type="pct"/>
                  <w:vMerge w:val="continue"/>
                  <w:tcBorders>
                    <w:tl2br w:val="nil"/>
                    <w:tr2bl w:val="nil"/>
                  </w:tcBorders>
                  <w:shd w:val="clear" w:color="auto" w:fill="auto"/>
                  <w:vAlign w:val="center"/>
                </w:tcPr>
                <w:p w14:paraId="0BFF35AF">
                  <w:pPr>
                    <w:jc w:val="center"/>
                    <w:rPr>
                      <w:rFonts w:hint="default" w:ascii="Times New Roman" w:hAnsi="Times New Roman" w:eastAsia="宋体" w:cs="Times New Roman"/>
                      <w:color w:val="auto"/>
                      <w:kern w:val="2"/>
                      <w:sz w:val="21"/>
                      <w:szCs w:val="21"/>
                      <w:lang w:val="en-US" w:eastAsia="zh-CN" w:bidi="ar"/>
                    </w:rPr>
                  </w:pPr>
                </w:p>
              </w:tc>
              <w:tc>
                <w:tcPr>
                  <w:tcW w:w="639" w:type="pct"/>
                  <w:tcBorders>
                    <w:tl2br w:val="nil"/>
                    <w:tr2bl w:val="nil"/>
                  </w:tcBorders>
                  <w:shd w:val="clear" w:color="auto" w:fill="auto"/>
                  <w:vAlign w:val="center"/>
                </w:tcPr>
                <w:p w14:paraId="432CACA5">
                  <w:pPr>
                    <w:widowControl w:val="0"/>
                    <w:adjustRightInd w:val="0"/>
                    <w:snapToGrid w:val="0"/>
                    <w:spacing w:before="24" w:beforeLines="10" w:after="24" w:afterLines="10" w:line="259" w:lineRule="auto"/>
                    <w:ind w:firstLine="0" w:firstLineChars="0"/>
                    <w:jc w:val="center"/>
                    <w:textAlignment w:val="baseline"/>
                    <w:rPr>
                      <w:rFonts w:hint="eastAsia" w:ascii="Times New Roman" w:hAnsi="宋体" w:eastAsia="宋体" w:cs="Times New Roman"/>
                      <w:color w:val="auto"/>
                      <w:spacing w:val="-10"/>
                      <w:kern w:val="0"/>
                      <w:sz w:val="21"/>
                      <w:szCs w:val="21"/>
                      <w:highlight w:val="none"/>
                      <w:lang w:val="en-US" w:eastAsia="zh-CN" w:bidi="ar-SA"/>
                    </w:rPr>
                  </w:pPr>
                  <w:r>
                    <w:rPr>
                      <w:rFonts w:hint="eastAsia" w:ascii="Times New Roman" w:hAnsi="宋体" w:eastAsia="宋体" w:cs="Times New Roman"/>
                      <w:color w:val="auto"/>
                      <w:spacing w:val="-10"/>
                      <w:kern w:val="0"/>
                      <w:sz w:val="21"/>
                      <w:szCs w:val="21"/>
                      <w:highlight w:val="none"/>
                      <w:lang w:val="en-US" w:eastAsia="zh-CN" w:bidi="ar-SA"/>
                    </w:rPr>
                    <w:t>0.06</w:t>
                  </w:r>
                </w:p>
              </w:tc>
              <w:tc>
                <w:tcPr>
                  <w:tcW w:w="1018" w:type="pct"/>
                  <w:vMerge w:val="continue"/>
                  <w:tcBorders>
                    <w:tl2br w:val="nil"/>
                    <w:tr2bl w:val="nil"/>
                  </w:tcBorders>
                  <w:vAlign w:val="center"/>
                </w:tcPr>
                <w:p w14:paraId="7184E44F">
                  <w:pPr>
                    <w:wordWrap w:val="0"/>
                    <w:jc w:val="center"/>
                    <w:rPr>
                      <w:rFonts w:hint="eastAsia"/>
                      <w:color w:val="auto"/>
                      <w:sz w:val="21"/>
                      <w:szCs w:val="21"/>
                    </w:rPr>
                  </w:pPr>
                </w:p>
              </w:tc>
            </w:tr>
            <w:tr w14:paraId="58994BC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23" w:hRule="atLeast"/>
                <w:jc w:val="center"/>
              </w:trPr>
              <w:tc>
                <w:tcPr>
                  <w:tcW w:w="413" w:type="pct"/>
                  <w:vMerge w:val="continue"/>
                  <w:tcBorders>
                    <w:tl2br w:val="nil"/>
                    <w:tr2bl w:val="nil"/>
                  </w:tcBorders>
                  <w:vAlign w:val="center"/>
                </w:tcPr>
                <w:p w14:paraId="0A60017F">
                  <w:pPr>
                    <w:jc w:val="center"/>
                    <w:rPr>
                      <w:color w:val="auto"/>
                      <w:sz w:val="21"/>
                      <w:szCs w:val="21"/>
                    </w:rPr>
                  </w:pPr>
                </w:p>
              </w:tc>
              <w:tc>
                <w:tcPr>
                  <w:tcW w:w="565" w:type="pct"/>
                  <w:vMerge w:val="continue"/>
                  <w:tcBorders>
                    <w:tl2br w:val="nil"/>
                    <w:tr2bl w:val="nil"/>
                  </w:tcBorders>
                  <w:vAlign w:val="center"/>
                </w:tcPr>
                <w:p w14:paraId="6F945CFE">
                  <w:pPr>
                    <w:jc w:val="center"/>
                    <w:rPr>
                      <w:color w:val="auto"/>
                      <w:sz w:val="21"/>
                      <w:szCs w:val="21"/>
                    </w:rPr>
                  </w:pPr>
                </w:p>
              </w:tc>
              <w:tc>
                <w:tcPr>
                  <w:tcW w:w="604" w:type="pct"/>
                  <w:tcBorders>
                    <w:tl2br w:val="nil"/>
                    <w:tr2bl w:val="nil"/>
                  </w:tcBorders>
                  <w:shd w:val="clear" w:color="auto" w:fill="auto"/>
                  <w:vAlign w:val="center"/>
                </w:tcPr>
                <w:p w14:paraId="6485C1A1">
                  <w:pPr>
                    <w:jc w:val="center"/>
                    <w:rPr>
                      <w:rFonts w:hint="eastAsia" w:eastAsia="宋体"/>
                      <w:color w:val="auto"/>
                      <w:sz w:val="21"/>
                      <w:szCs w:val="21"/>
                      <w:lang w:val="en-US" w:eastAsia="zh-CN"/>
                    </w:rPr>
                  </w:pPr>
                  <w:r>
                    <w:rPr>
                      <w:rFonts w:hint="eastAsia" w:eastAsia="宋体"/>
                      <w:color w:val="auto"/>
                      <w:sz w:val="21"/>
                      <w:szCs w:val="21"/>
                      <w:lang w:val="en-US" w:eastAsia="zh-CN"/>
                    </w:rPr>
                    <w:t>氨气</w:t>
                  </w:r>
                </w:p>
              </w:tc>
              <w:tc>
                <w:tcPr>
                  <w:tcW w:w="619" w:type="pct"/>
                  <w:tcBorders>
                    <w:tl2br w:val="nil"/>
                    <w:tr2bl w:val="nil"/>
                  </w:tcBorders>
                  <w:shd w:val="clear" w:color="auto" w:fill="auto"/>
                  <w:vAlign w:val="center"/>
                </w:tcPr>
                <w:p w14:paraId="6E43D5C2">
                  <w:pPr>
                    <w:jc w:val="center"/>
                    <w:rPr>
                      <w:rFonts w:hint="default" w:ascii="Times New Roman" w:hAnsi="Times New Roman" w:eastAsia="宋体" w:cs="Times New Roman"/>
                      <w:color w:val="auto"/>
                      <w:kern w:val="2"/>
                      <w:sz w:val="21"/>
                      <w:szCs w:val="21"/>
                      <w:lang w:val="en-US" w:eastAsia="zh-CN" w:bidi="ar"/>
                    </w:rPr>
                  </w:pPr>
                  <w:r>
                    <w:rPr>
                      <w:color w:val="auto"/>
                      <w:sz w:val="21"/>
                      <w:szCs w:val="21"/>
                    </w:rPr>
                    <w:t>/</w:t>
                  </w:r>
                </w:p>
              </w:tc>
              <w:tc>
                <w:tcPr>
                  <w:tcW w:w="674" w:type="pct"/>
                  <w:tcBorders>
                    <w:tl2br w:val="nil"/>
                    <w:tr2bl w:val="nil"/>
                  </w:tcBorders>
                  <w:shd w:val="clear" w:color="auto" w:fill="auto"/>
                  <w:vAlign w:val="center"/>
                </w:tcPr>
                <w:p w14:paraId="67D8679E">
                  <w:pPr>
                    <w:jc w:val="center"/>
                    <w:rPr>
                      <w:rFonts w:hint="default" w:ascii="Times New Roman" w:hAnsi="Times New Roman" w:eastAsia="宋体" w:cs="Times New Roman"/>
                      <w:color w:val="auto"/>
                      <w:kern w:val="2"/>
                      <w:sz w:val="21"/>
                      <w:szCs w:val="21"/>
                      <w:lang w:val="en-US" w:eastAsia="zh-CN" w:bidi="ar"/>
                    </w:rPr>
                  </w:pPr>
                  <w:r>
                    <w:rPr>
                      <w:color w:val="auto"/>
                      <w:sz w:val="21"/>
                      <w:szCs w:val="21"/>
                    </w:rPr>
                    <w:t>/</w:t>
                  </w:r>
                </w:p>
              </w:tc>
              <w:tc>
                <w:tcPr>
                  <w:tcW w:w="464" w:type="pct"/>
                  <w:vMerge w:val="continue"/>
                  <w:tcBorders>
                    <w:tl2br w:val="nil"/>
                    <w:tr2bl w:val="nil"/>
                  </w:tcBorders>
                  <w:shd w:val="clear" w:color="auto" w:fill="auto"/>
                  <w:vAlign w:val="center"/>
                </w:tcPr>
                <w:p w14:paraId="6D153231">
                  <w:pPr>
                    <w:jc w:val="center"/>
                    <w:rPr>
                      <w:rFonts w:hint="default" w:ascii="Times New Roman" w:hAnsi="Times New Roman" w:eastAsia="宋体" w:cs="Times New Roman"/>
                      <w:color w:val="auto"/>
                      <w:kern w:val="2"/>
                      <w:sz w:val="21"/>
                      <w:szCs w:val="21"/>
                      <w:lang w:val="en-US" w:eastAsia="zh-CN" w:bidi="ar"/>
                    </w:rPr>
                  </w:pPr>
                </w:p>
              </w:tc>
              <w:tc>
                <w:tcPr>
                  <w:tcW w:w="639" w:type="pct"/>
                  <w:tcBorders>
                    <w:tl2br w:val="nil"/>
                    <w:tr2bl w:val="nil"/>
                  </w:tcBorders>
                  <w:shd w:val="clear" w:color="auto" w:fill="auto"/>
                  <w:vAlign w:val="center"/>
                </w:tcPr>
                <w:p w14:paraId="32F9FEAC">
                  <w:pPr>
                    <w:widowControl w:val="0"/>
                    <w:adjustRightInd w:val="0"/>
                    <w:snapToGrid w:val="0"/>
                    <w:spacing w:before="24" w:beforeLines="10" w:after="24" w:afterLines="10" w:line="259" w:lineRule="auto"/>
                    <w:ind w:firstLine="0" w:firstLineChars="0"/>
                    <w:jc w:val="center"/>
                    <w:textAlignment w:val="baseline"/>
                    <w:rPr>
                      <w:rFonts w:hint="eastAsia" w:ascii="Times New Roman" w:hAnsi="宋体" w:eastAsia="宋体" w:cs="Times New Roman"/>
                      <w:color w:val="auto"/>
                      <w:spacing w:val="-10"/>
                      <w:kern w:val="0"/>
                      <w:sz w:val="21"/>
                      <w:szCs w:val="21"/>
                      <w:highlight w:val="none"/>
                      <w:lang w:val="en-US" w:eastAsia="zh-CN" w:bidi="ar-SA"/>
                    </w:rPr>
                  </w:pPr>
                  <w:r>
                    <w:rPr>
                      <w:rFonts w:hint="eastAsia" w:ascii="Times New Roman" w:hAnsi="宋体" w:eastAsia="宋体" w:cs="Times New Roman"/>
                      <w:color w:val="auto"/>
                      <w:spacing w:val="-10"/>
                      <w:kern w:val="0"/>
                      <w:sz w:val="21"/>
                      <w:szCs w:val="21"/>
                      <w:highlight w:val="none"/>
                      <w:lang w:val="en-US" w:eastAsia="zh-CN" w:bidi="ar-SA"/>
                    </w:rPr>
                    <w:t>1.5</w:t>
                  </w:r>
                </w:p>
              </w:tc>
              <w:tc>
                <w:tcPr>
                  <w:tcW w:w="1018" w:type="pct"/>
                  <w:vMerge w:val="continue"/>
                  <w:tcBorders>
                    <w:tl2br w:val="nil"/>
                    <w:tr2bl w:val="nil"/>
                  </w:tcBorders>
                  <w:vAlign w:val="center"/>
                </w:tcPr>
                <w:p w14:paraId="466CF424">
                  <w:pPr>
                    <w:wordWrap w:val="0"/>
                    <w:jc w:val="center"/>
                    <w:rPr>
                      <w:rFonts w:hint="eastAsia"/>
                      <w:color w:val="auto"/>
                      <w:sz w:val="21"/>
                      <w:szCs w:val="21"/>
                    </w:rPr>
                  </w:pPr>
                </w:p>
              </w:tc>
            </w:tr>
            <w:bookmarkEnd w:id="21"/>
          </w:tbl>
          <w:p w14:paraId="7A11443B">
            <w:pPr>
              <w:keepNext w:val="0"/>
              <w:keepLines w:val="0"/>
              <w:pageBreakBefore w:val="0"/>
              <w:widowControl/>
              <w:kinsoku/>
              <w:wordWrap/>
              <w:overflowPunct/>
              <w:topLinePunct w:val="0"/>
              <w:autoSpaceDE/>
              <w:autoSpaceDN/>
              <w:bidi w:val="0"/>
              <w:adjustRightInd/>
              <w:snapToGrid/>
              <w:ind w:firstLine="0"/>
              <w:jc w:val="center"/>
              <w:textAlignment w:val="auto"/>
              <w:rPr>
                <w:b/>
                <w:color w:val="auto"/>
                <w:sz w:val="24"/>
                <w:szCs w:val="24"/>
              </w:rPr>
            </w:pPr>
            <w:r>
              <w:rPr>
                <w:rFonts w:hint="eastAsia" w:ascii="宋体" w:hAnsi="宋体" w:cs="宋体"/>
                <w:b/>
                <w:color w:val="auto"/>
                <w:sz w:val="24"/>
                <w:szCs w:val="24"/>
              </w:rPr>
              <w:t>表</w:t>
            </w:r>
            <w:r>
              <w:rPr>
                <w:b/>
                <w:color w:val="auto"/>
                <w:sz w:val="24"/>
                <w:szCs w:val="24"/>
              </w:rPr>
              <w:t>3-</w:t>
            </w:r>
            <w:r>
              <w:rPr>
                <w:rFonts w:hint="eastAsia"/>
                <w:b/>
                <w:color w:val="auto"/>
                <w:sz w:val="24"/>
                <w:szCs w:val="24"/>
                <w:lang w:val="en-US" w:eastAsia="zh-CN"/>
              </w:rPr>
              <w:t>11</w:t>
            </w:r>
            <w:r>
              <w:rPr>
                <w:b/>
                <w:color w:val="auto"/>
                <w:sz w:val="24"/>
                <w:szCs w:val="24"/>
              </w:rPr>
              <w:t xml:space="preserve"> </w:t>
            </w:r>
            <w:r>
              <w:rPr>
                <w:rFonts w:hint="eastAsia" w:ascii="宋体" w:hAnsi="宋体" w:cs="宋体"/>
                <w:b/>
                <w:color w:val="auto"/>
                <w:sz w:val="24"/>
                <w:szCs w:val="24"/>
              </w:rPr>
              <w:t>厂内挥发性有机物无组织排放限值表</w:t>
            </w:r>
          </w:p>
          <w:tbl>
            <w:tblPr>
              <w:tblStyle w:val="26"/>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57" w:type="dxa"/>
                <w:bottom w:w="0" w:type="dxa"/>
                <w:right w:w="57" w:type="dxa"/>
              </w:tblCellMar>
            </w:tblPr>
            <w:tblGrid>
              <w:gridCol w:w="1326"/>
              <w:gridCol w:w="2066"/>
              <w:gridCol w:w="2634"/>
              <w:gridCol w:w="2151"/>
            </w:tblGrid>
            <w:tr w14:paraId="68654D4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cantSplit/>
                <w:trHeight w:val="283" w:hRule="atLeast"/>
                <w:jc w:val="center"/>
              </w:trPr>
              <w:tc>
                <w:tcPr>
                  <w:tcW w:w="1326" w:type="dxa"/>
                  <w:tcBorders>
                    <w:tl2br w:val="nil"/>
                    <w:tr2bl w:val="nil"/>
                  </w:tcBorders>
                  <w:shd w:val="clear" w:color="auto" w:fill="auto"/>
                  <w:vAlign w:val="center"/>
                </w:tcPr>
                <w:p w14:paraId="307450C6">
                  <w:pPr>
                    <w:widowControl/>
                    <w:adjustRightInd w:val="0"/>
                    <w:snapToGrid w:val="0"/>
                    <w:jc w:val="center"/>
                    <w:textAlignment w:val="baseline"/>
                    <w:rPr>
                      <w:rFonts w:hint="default" w:ascii="Times New Roman" w:hAnsi="Times New Roman" w:eastAsia="宋体" w:cs="Times New Roman"/>
                      <w:b/>
                      <w:color w:val="auto"/>
                      <w:spacing w:val="4"/>
                      <w:kern w:val="0"/>
                      <w:sz w:val="21"/>
                      <w:szCs w:val="21"/>
                    </w:rPr>
                  </w:pPr>
                  <w:r>
                    <w:rPr>
                      <w:rFonts w:hint="default" w:ascii="Times New Roman" w:hAnsi="Times New Roman" w:eastAsia="宋体" w:cs="Times New Roman"/>
                      <w:b/>
                      <w:color w:val="auto"/>
                      <w:spacing w:val="4"/>
                      <w:kern w:val="0"/>
                      <w:sz w:val="21"/>
                      <w:szCs w:val="21"/>
                    </w:rPr>
                    <w:t>污染物指标</w:t>
                  </w:r>
                </w:p>
              </w:tc>
              <w:tc>
                <w:tcPr>
                  <w:tcW w:w="2066" w:type="dxa"/>
                  <w:tcBorders>
                    <w:tl2br w:val="nil"/>
                    <w:tr2bl w:val="nil"/>
                  </w:tcBorders>
                  <w:shd w:val="clear" w:color="auto" w:fill="auto"/>
                  <w:vAlign w:val="center"/>
                </w:tcPr>
                <w:p w14:paraId="234739D7">
                  <w:pPr>
                    <w:widowControl/>
                    <w:adjustRightInd w:val="0"/>
                    <w:snapToGrid w:val="0"/>
                    <w:jc w:val="center"/>
                    <w:textAlignment w:val="baseline"/>
                    <w:rPr>
                      <w:rFonts w:hint="default" w:ascii="Times New Roman" w:hAnsi="Times New Roman" w:eastAsia="宋体" w:cs="Times New Roman"/>
                      <w:b/>
                      <w:color w:val="auto"/>
                      <w:spacing w:val="4"/>
                      <w:kern w:val="0"/>
                      <w:sz w:val="21"/>
                      <w:szCs w:val="21"/>
                    </w:rPr>
                  </w:pPr>
                  <w:r>
                    <w:rPr>
                      <w:rFonts w:hint="default" w:ascii="Times New Roman" w:hAnsi="Times New Roman" w:eastAsia="宋体" w:cs="Times New Roman"/>
                      <w:b/>
                      <w:color w:val="auto"/>
                      <w:spacing w:val="4"/>
                      <w:kern w:val="0"/>
                      <w:sz w:val="21"/>
                      <w:szCs w:val="21"/>
                      <w:lang w:val="en-US" w:eastAsia="zh-CN"/>
                    </w:rPr>
                    <w:t>监控点</w:t>
                  </w:r>
                  <w:r>
                    <w:rPr>
                      <w:rFonts w:hint="default" w:ascii="Times New Roman" w:hAnsi="Times New Roman" w:eastAsia="宋体" w:cs="Times New Roman"/>
                      <w:b/>
                      <w:color w:val="auto"/>
                      <w:spacing w:val="4"/>
                      <w:kern w:val="0"/>
                      <w:sz w:val="21"/>
                      <w:szCs w:val="21"/>
                    </w:rPr>
                    <w:t>限值（mg/m</w:t>
                  </w:r>
                  <w:r>
                    <w:rPr>
                      <w:rFonts w:hint="default" w:ascii="Times New Roman" w:hAnsi="Times New Roman" w:eastAsia="宋体" w:cs="Times New Roman"/>
                      <w:b/>
                      <w:color w:val="auto"/>
                      <w:spacing w:val="4"/>
                      <w:kern w:val="0"/>
                      <w:sz w:val="21"/>
                      <w:szCs w:val="21"/>
                      <w:vertAlign w:val="superscript"/>
                    </w:rPr>
                    <w:t>3</w:t>
                  </w:r>
                  <w:r>
                    <w:rPr>
                      <w:rFonts w:hint="default" w:ascii="Times New Roman" w:hAnsi="Times New Roman" w:eastAsia="宋体" w:cs="Times New Roman"/>
                      <w:b/>
                      <w:color w:val="auto"/>
                      <w:spacing w:val="4"/>
                      <w:kern w:val="0"/>
                      <w:sz w:val="21"/>
                      <w:szCs w:val="21"/>
                    </w:rPr>
                    <w:t>）</w:t>
                  </w:r>
                </w:p>
              </w:tc>
              <w:tc>
                <w:tcPr>
                  <w:tcW w:w="2634" w:type="dxa"/>
                  <w:tcBorders>
                    <w:tl2br w:val="nil"/>
                    <w:tr2bl w:val="nil"/>
                  </w:tcBorders>
                  <w:shd w:val="clear" w:color="auto" w:fill="auto"/>
                  <w:vAlign w:val="center"/>
                </w:tcPr>
                <w:p w14:paraId="3EAA20FA">
                  <w:pPr>
                    <w:widowControl/>
                    <w:adjustRightInd w:val="0"/>
                    <w:snapToGrid w:val="0"/>
                    <w:jc w:val="center"/>
                    <w:textAlignment w:val="baseline"/>
                    <w:rPr>
                      <w:rFonts w:hint="default" w:ascii="Times New Roman" w:hAnsi="Times New Roman" w:eastAsia="宋体" w:cs="Times New Roman"/>
                      <w:b/>
                      <w:color w:val="auto"/>
                      <w:spacing w:val="4"/>
                      <w:kern w:val="0"/>
                      <w:sz w:val="21"/>
                      <w:szCs w:val="21"/>
                    </w:rPr>
                  </w:pPr>
                  <w:r>
                    <w:rPr>
                      <w:rFonts w:hint="default" w:ascii="Times New Roman" w:hAnsi="Times New Roman" w:eastAsia="宋体" w:cs="Times New Roman"/>
                      <w:b/>
                      <w:color w:val="auto"/>
                      <w:spacing w:val="4"/>
                      <w:kern w:val="0"/>
                      <w:sz w:val="21"/>
                      <w:szCs w:val="21"/>
                    </w:rPr>
                    <w:t>限值含义</w:t>
                  </w:r>
                </w:p>
              </w:tc>
              <w:tc>
                <w:tcPr>
                  <w:tcW w:w="2151" w:type="dxa"/>
                  <w:tcBorders>
                    <w:tl2br w:val="nil"/>
                    <w:tr2bl w:val="nil"/>
                  </w:tcBorders>
                  <w:shd w:val="clear" w:color="auto" w:fill="auto"/>
                  <w:vAlign w:val="center"/>
                </w:tcPr>
                <w:p w14:paraId="6D5C4435">
                  <w:pPr>
                    <w:widowControl/>
                    <w:adjustRightInd w:val="0"/>
                    <w:snapToGrid w:val="0"/>
                    <w:jc w:val="center"/>
                    <w:textAlignment w:val="baseline"/>
                    <w:rPr>
                      <w:rFonts w:hint="default" w:ascii="Times New Roman" w:hAnsi="Times New Roman" w:eastAsia="宋体" w:cs="Times New Roman"/>
                      <w:b/>
                      <w:color w:val="auto"/>
                      <w:spacing w:val="4"/>
                      <w:kern w:val="0"/>
                      <w:sz w:val="21"/>
                      <w:szCs w:val="21"/>
                    </w:rPr>
                  </w:pPr>
                  <w:r>
                    <w:rPr>
                      <w:rFonts w:hint="default" w:ascii="Times New Roman" w:hAnsi="Times New Roman" w:eastAsia="宋体" w:cs="Times New Roman"/>
                      <w:b/>
                      <w:color w:val="auto"/>
                      <w:spacing w:val="4"/>
                      <w:kern w:val="0"/>
                      <w:sz w:val="21"/>
                      <w:szCs w:val="21"/>
                    </w:rPr>
                    <w:t>无组织排放监控位置</w:t>
                  </w:r>
                </w:p>
              </w:tc>
            </w:tr>
            <w:tr w14:paraId="6F70611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cantSplit/>
                <w:trHeight w:val="283" w:hRule="atLeast"/>
                <w:jc w:val="center"/>
              </w:trPr>
              <w:tc>
                <w:tcPr>
                  <w:tcW w:w="1326" w:type="dxa"/>
                  <w:vMerge w:val="restart"/>
                  <w:tcBorders>
                    <w:tl2br w:val="nil"/>
                    <w:tr2bl w:val="nil"/>
                  </w:tcBorders>
                  <w:shd w:val="clear" w:color="auto" w:fill="auto"/>
                  <w:vAlign w:val="center"/>
                </w:tcPr>
                <w:p w14:paraId="560F4186">
                  <w:pPr>
                    <w:widowControl/>
                    <w:adjustRightInd w:val="0"/>
                    <w:snapToGrid w:val="0"/>
                    <w:jc w:val="center"/>
                    <w:textAlignment w:val="baseline"/>
                    <w:rPr>
                      <w:rFonts w:hint="default" w:ascii="Times New Roman" w:hAnsi="Times New Roman" w:eastAsia="宋体" w:cs="Times New Roman"/>
                      <w:color w:val="auto"/>
                      <w:spacing w:val="4"/>
                      <w:kern w:val="0"/>
                      <w:sz w:val="21"/>
                      <w:szCs w:val="21"/>
                    </w:rPr>
                  </w:pPr>
                  <w:r>
                    <w:rPr>
                      <w:rFonts w:hint="default" w:ascii="Times New Roman" w:hAnsi="Times New Roman" w:eastAsia="宋体" w:cs="Times New Roman"/>
                      <w:color w:val="auto"/>
                      <w:sz w:val="21"/>
                      <w:szCs w:val="21"/>
                    </w:rPr>
                    <w:t>非甲烷总烃</w:t>
                  </w:r>
                </w:p>
              </w:tc>
              <w:tc>
                <w:tcPr>
                  <w:tcW w:w="2066" w:type="dxa"/>
                  <w:tcBorders>
                    <w:tl2br w:val="nil"/>
                    <w:tr2bl w:val="nil"/>
                  </w:tcBorders>
                  <w:shd w:val="clear" w:color="auto" w:fill="auto"/>
                  <w:vAlign w:val="center"/>
                </w:tcPr>
                <w:p w14:paraId="74063D9D">
                  <w:pPr>
                    <w:widowControl/>
                    <w:adjustRightInd w:val="0"/>
                    <w:snapToGrid w:val="0"/>
                    <w:jc w:val="center"/>
                    <w:textAlignment w:val="baseline"/>
                    <w:rPr>
                      <w:rFonts w:hint="default" w:ascii="Times New Roman" w:hAnsi="Times New Roman" w:eastAsia="宋体" w:cs="Times New Roman"/>
                      <w:color w:val="auto"/>
                      <w:spacing w:val="4"/>
                      <w:kern w:val="0"/>
                      <w:sz w:val="21"/>
                      <w:szCs w:val="21"/>
                    </w:rPr>
                  </w:pPr>
                  <w:r>
                    <w:rPr>
                      <w:rFonts w:hint="default" w:ascii="Times New Roman" w:hAnsi="Times New Roman" w:eastAsia="宋体" w:cs="Times New Roman"/>
                      <w:color w:val="auto"/>
                      <w:spacing w:val="4"/>
                      <w:kern w:val="0"/>
                      <w:sz w:val="21"/>
                      <w:szCs w:val="21"/>
                    </w:rPr>
                    <w:t>6</w:t>
                  </w:r>
                </w:p>
              </w:tc>
              <w:tc>
                <w:tcPr>
                  <w:tcW w:w="2634" w:type="dxa"/>
                  <w:tcBorders>
                    <w:tl2br w:val="nil"/>
                    <w:tr2bl w:val="nil"/>
                  </w:tcBorders>
                  <w:shd w:val="clear" w:color="auto" w:fill="auto"/>
                  <w:vAlign w:val="center"/>
                </w:tcPr>
                <w:p w14:paraId="57793B27">
                  <w:pPr>
                    <w:widowControl/>
                    <w:adjustRightInd w:val="0"/>
                    <w:snapToGrid w:val="0"/>
                    <w:jc w:val="center"/>
                    <w:textAlignment w:val="baseline"/>
                    <w:rPr>
                      <w:rFonts w:hint="default" w:ascii="Times New Roman" w:hAnsi="Times New Roman" w:eastAsia="宋体" w:cs="Times New Roman"/>
                      <w:color w:val="auto"/>
                      <w:spacing w:val="4"/>
                      <w:kern w:val="0"/>
                      <w:sz w:val="21"/>
                      <w:szCs w:val="21"/>
                    </w:rPr>
                  </w:pPr>
                  <w:r>
                    <w:rPr>
                      <w:rFonts w:hint="default" w:ascii="Times New Roman" w:hAnsi="Times New Roman" w:eastAsia="宋体" w:cs="Times New Roman"/>
                      <w:color w:val="auto"/>
                      <w:spacing w:val="4"/>
                      <w:kern w:val="0"/>
                      <w:sz w:val="21"/>
                      <w:szCs w:val="21"/>
                    </w:rPr>
                    <w:t>监控点处1h平均浓度值</w:t>
                  </w:r>
                </w:p>
              </w:tc>
              <w:tc>
                <w:tcPr>
                  <w:tcW w:w="2151" w:type="dxa"/>
                  <w:vMerge w:val="restart"/>
                  <w:tcBorders>
                    <w:tl2br w:val="nil"/>
                    <w:tr2bl w:val="nil"/>
                  </w:tcBorders>
                  <w:shd w:val="clear" w:color="auto" w:fill="auto"/>
                  <w:vAlign w:val="center"/>
                </w:tcPr>
                <w:p w14:paraId="2C8D7437">
                  <w:pPr>
                    <w:widowControl/>
                    <w:adjustRightInd w:val="0"/>
                    <w:snapToGrid w:val="0"/>
                    <w:jc w:val="center"/>
                    <w:textAlignment w:val="baseline"/>
                    <w:rPr>
                      <w:rFonts w:hint="default" w:ascii="Times New Roman" w:hAnsi="Times New Roman" w:eastAsia="宋体" w:cs="Times New Roman"/>
                      <w:color w:val="auto"/>
                      <w:spacing w:val="4"/>
                      <w:kern w:val="0"/>
                      <w:sz w:val="21"/>
                      <w:szCs w:val="21"/>
                    </w:rPr>
                  </w:pPr>
                  <w:r>
                    <w:rPr>
                      <w:rFonts w:hint="default" w:ascii="Times New Roman" w:hAnsi="Times New Roman" w:eastAsia="宋体" w:cs="Times New Roman"/>
                      <w:color w:val="auto"/>
                      <w:spacing w:val="4"/>
                      <w:kern w:val="0"/>
                      <w:sz w:val="21"/>
                      <w:szCs w:val="21"/>
                    </w:rPr>
                    <w:t>在厂房外设置监控点</w:t>
                  </w:r>
                </w:p>
              </w:tc>
            </w:tr>
            <w:tr w14:paraId="5079953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cantSplit/>
                <w:trHeight w:val="283" w:hRule="atLeast"/>
                <w:jc w:val="center"/>
              </w:trPr>
              <w:tc>
                <w:tcPr>
                  <w:tcW w:w="1326" w:type="dxa"/>
                  <w:vMerge w:val="continue"/>
                  <w:tcBorders>
                    <w:tl2br w:val="nil"/>
                    <w:tr2bl w:val="nil"/>
                  </w:tcBorders>
                  <w:shd w:val="clear" w:color="auto" w:fill="auto"/>
                  <w:vAlign w:val="center"/>
                </w:tcPr>
                <w:p w14:paraId="67A8DA00">
                  <w:pPr>
                    <w:rPr>
                      <w:rFonts w:hint="default" w:ascii="Times New Roman" w:hAnsi="Times New Roman" w:eastAsia="宋体" w:cs="Times New Roman"/>
                      <w:color w:val="auto"/>
                      <w:sz w:val="21"/>
                      <w:szCs w:val="21"/>
                    </w:rPr>
                  </w:pPr>
                </w:p>
              </w:tc>
              <w:tc>
                <w:tcPr>
                  <w:tcW w:w="2066" w:type="dxa"/>
                  <w:tcBorders>
                    <w:tl2br w:val="nil"/>
                    <w:tr2bl w:val="nil"/>
                  </w:tcBorders>
                  <w:shd w:val="clear" w:color="auto" w:fill="auto"/>
                  <w:vAlign w:val="center"/>
                </w:tcPr>
                <w:p w14:paraId="1F71EE52">
                  <w:pPr>
                    <w:widowControl/>
                    <w:adjustRightInd w:val="0"/>
                    <w:snapToGrid w:val="0"/>
                    <w:jc w:val="center"/>
                    <w:textAlignment w:val="baseline"/>
                    <w:rPr>
                      <w:rFonts w:hint="default" w:ascii="Times New Roman" w:hAnsi="Times New Roman" w:eastAsia="宋体" w:cs="Times New Roman"/>
                      <w:color w:val="auto"/>
                      <w:spacing w:val="4"/>
                      <w:kern w:val="0"/>
                      <w:sz w:val="21"/>
                      <w:szCs w:val="21"/>
                    </w:rPr>
                  </w:pPr>
                  <w:r>
                    <w:rPr>
                      <w:rFonts w:hint="default" w:ascii="Times New Roman" w:hAnsi="Times New Roman" w:eastAsia="宋体" w:cs="Times New Roman"/>
                      <w:color w:val="auto"/>
                      <w:spacing w:val="4"/>
                      <w:kern w:val="0"/>
                      <w:sz w:val="21"/>
                      <w:szCs w:val="21"/>
                    </w:rPr>
                    <w:t>20</w:t>
                  </w:r>
                </w:p>
              </w:tc>
              <w:tc>
                <w:tcPr>
                  <w:tcW w:w="2634" w:type="dxa"/>
                  <w:tcBorders>
                    <w:tl2br w:val="nil"/>
                    <w:tr2bl w:val="nil"/>
                  </w:tcBorders>
                  <w:shd w:val="clear" w:color="auto" w:fill="auto"/>
                  <w:vAlign w:val="center"/>
                </w:tcPr>
                <w:p w14:paraId="55A2C3C3">
                  <w:pPr>
                    <w:widowControl/>
                    <w:adjustRightInd w:val="0"/>
                    <w:snapToGrid w:val="0"/>
                    <w:jc w:val="center"/>
                    <w:textAlignment w:val="baseline"/>
                    <w:rPr>
                      <w:rFonts w:hint="default" w:ascii="Times New Roman" w:hAnsi="Times New Roman" w:eastAsia="宋体" w:cs="Times New Roman"/>
                      <w:color w:val="auto"/>
                      <w:spacing w:val="4"/>
                      <w:kern w:val="0"/>
                      <w:sz w:val="21"/>
                      <w:szCs w:val="21"/>
                    </w:rPr>
                  </w:pPr>
                  <w:r>
                    <w:rPr>
                      <w:rFonts w:hint="default" w:ascii="Times New Roman" w:hAnsi="Times New Roman" w:eastAsia="宋体" w:cs="Times New Roman"/>
                      <w:color w:val="auto"/>
                      <w:spacing w:val="4"/>
                      <w:kern w:val="0"/>
                      <w:sz w:val="21"/>
                      <w:szCs w:val="21"/>
                    </w:rPr>
                    <w:t>监控点处任意一次浓度值</w:t>
                  </w:r>
                </w:p>
              </w:tc>
              <w:tc>
                <w:tcPr>
                  <w:tcW w:w="2151" w:type="dxa"/>
                  <w:vMerge w:val="continue"/>
                  <w:tcBorders>
                    <w:tl2br w:val="nil"/>
                    <w:tr2bl w:val="nil"/>
                  </w:tcBorders>
                  <w:shd w:val="clear" w:color="auto" w:fill="auto"/>
                  <w:vAlign w:val="center"/>
                </w:tcPr>
                <w:p w14:paraId="2CEAC531">
                  <w:pPr>
                    <w:rPr>
                      <w:rFonts w:hint="default" w:ascii="Times New Roman" w:hAnsi="Times New Roman" w:eastAsia="宋体" w:cs="Times New Roman"/>
                      <w:color w:val="auto"/>
                      <w:sz w:val="21"/>
                      <w:szCs w:val="21"/>
                    </w:rPr>
                  </w:pPr>
                </w:p>
              </w:tc>
            </w:tr>
          </w:tbl>
          <w:p w14:paraId="2EB9661C">
            <w:pPr>
              <w:adjustRightInd w:val="0"/>
              <w:snapToGrid w:val="0"/>
              <w:spacing w:before="120" w:beforeLines="50" w:line="360" w:lineRule="auto"/>
              <w:ind w:firstLine="482" w:firstLineChars="200"/>
              <w:rPr>
                <w:color w:val="auto"/>
                <w:kern w:val="0"/>
                <w:sz w:val="24"/>
                <w:szCs w:val="24"/>
              </w:rPr>
            </w:pPr>
            <w:r>
              <w:rPr>
                <w:b/>
                <w:color w:val="auto"/>
                <w:kern w:val="0"/>
                <w:sz w:val="24"/>
                <w:szCs w:val="24"/>
              </w:rPr>
              <w:t>3、噪声排放标准</w:t>
            </w:r>
          </w:p>
          <w:p w14:paraId="459BF65B">
            <w:pPr>
              <w:widowControl/>
              <w:spacing w:line="360" w:lineRule="auto"/>
              <w:ind w:firstLine="480" w:firstLineChars="200"/>
              <w:rPr>
                <w:rFonts w:hint="eastAsia"/>
                <w:color w:val="auto"/>
                <w:sz w:val="24"/>
                <w:szCs w:val="24"/>
              </w:rPr>
            </w:pPr>
            <w:r>
              <w:rPr>
                <w:rFonts w:hint="eastAsia"/>
                <w:color w:val="auto"/>
                <w:sz w:val="24"/>
                <w:szCs w:val="24"/>
              </w:rPr>
              <w:t>根据《海安市声环境功能区划分方案》，西园大道（黄海路至东海大道</w:t>
            </w:r>
            <w:r>
              <w:rPr>
                <w:rFonts w:hint="eastAsia"/>
                <w:color w:val="auto"/>
                <w:sz w:val="24"/>
                <w:szCs w:val="24"/>
                <w:lang w:eastAsia="zh-CN"/>
              </w:rPr>
              <w:t>（</w:t>
            </w:r>
            <w:r>
              <w:rPr>
                <w:rFonts w:hint="eastAsia"/>
                <w:color w:val="auto"/>
                <w:sz w:val="24"/>
                <w:szCs w:val="24"/>
                <w:lang w:val="en-US" w:eastAsia="zh-CN"/>
              </w:rPr>
              <w:t>G328国道</w:t>
            </w:r>
            <w:r>
              <w:rPr>
                <w:rFonts w:hint="eastAsia"/>
                <w:color w:val="auto"/>
                <w:sz w:val="24"/>
                <w:szCs w:val="24"/>
                <w:lang w:eastAsia="zh-CN"/>
              </w:rPr>
              <w:t>）</w:t>
            </w:r>
            <w:r>
              <w:rPr>
                <w:rFonts w:hint="eastAsia"/>
                <w:color w:val="auto"/>
                <w:sz w:val="24"/>
                <w:szCs w:val="24"/>
              </w:rPr>
              <w:t>段）道路及道路两侧</w:t>
            </w:r>
            <w:r>
              <w:rPr>
                <w:rFonts w:hint="eastAsia"/>
                <w:color w:val="auto"/>
                <w:sz w:val="24"/>
                <w:szCs w:val="24"/>
                <w:lang w:val="en-US" w:eastAsia="zh-CN"/>
              </w:rPr>
              <w:t>30</w:t>
            </w:r>
            <w:r>
              <w:rPr>
                <w:rFonts w:hint="eastAsia"/>
                <w:color w:val="auto"/>
                <w:sz w:val="24"/>
                <w:szCs w:val="24"/>
              </w:rPr>
              <w:t>m为4a类声环境功能区。本项目所在地主要位于</w:t>
            </w:r>
            <w:r>
              <w:rPr>
                <w:rFonts w:hint="eastAsia"/>
                <w:color w:val="auto"/>
                <w:sz w:val="24"/>
                <w:szCs w:val="24"/>
                <w:lang w:val="en-US" w:eastAsia="zh-CN"/>
              </w:rPr>
              <w:t>3</w:t>
            </w:r>
            <w:r>
              <w:rPr>
                <w:rFonts w:hint="eastAsia"/>
                <w:color w:val="auto"/>
                <w:sz w:val="24"/>
                <w:szCs w:val="24"/>
              </w:rPr>
              <w:t>类声环境功能区内，运营期</w:t>
            </w:r>
            <w:r>
              <w:rPr>
                <w:rFonts w:hint="eastAsia"/>
                <w:color w:val="auto"/>
                <w:sz w:val="24"/>
                <w:szCs w:val="24"/>
                <w:lang w:val="en-US" w:eastAsia="zh-CN"/>
              </w:rPr>
              <w:t>东</w:t>
            </w:r>
            <w:r>
              <w:rPr>
                <w:rFonts w:hint="eastAsia"/>
                <w:color w:val="auto"/>
                <w:sz w:val="24"/>
                <w:szCs w:val="24"/>
              </w:rPr>
              <w:t>、南</w:t>
            </w:r>
            <w:r>
              <w:rPr>
                <w:rFonts w:hint="eastAsia"/>
                <w:color w:val="auto"/>
                <w:sz w:val="24"/>
                <w:szCs w:val="24"/>
                <w:lang w:eastAsia="zh-CN"/>
              </w:rPr>
              <w:t>、</w:t>
            </w:r>
            <w:r>
              <w:rPr>
                <w:rFonts w:hint="eastAsia"/>
                <w:color w:val="auto"/>
                <w:sz w:val="24"/>
                <w:szCs w:val="24"/>
                <w:lang w:val="en-US" w:eastAsia="zh-CN"/>
              </w:rPr>
              <w:t>北</w:t>
            </w:r>
            <w:r>
              <w:rPr>
                <w:rFonts w:hint="eastAsia"/>
                <w:color w:val="auto"/>
                <w:sz w:val="24"/>
                <w:szCs w:val="24"/>
              </w:rPr>
              <w:t>侧厂界噪声执行《工业企业厂界环境噪声排放标准》（GB12348-2008）</w:t>
            </w:r>
            <w:r>
              <w:rPr>
                <w:rFonts w:hint="eastAsia"/>
                <w:color w:val="auto"/>
                <w:sz w:val="24"/>
                <w:szCs w:val="24"/>
                <w:lang w:val="en-US" w:eastAsia="zh-CN"/>
              </w:rPr>
              <w:t>3</w:t>
            </w:r>
            <w:r>
              <w:rPr>
                <w:rFonts w:hint="eastAsia"/>
                <w:color w:val="auto"/>
                <w:sz w:val="24"/>
                <w:szCs w:val="24"/>
              </w:rPr>
              <w:t>类标准，</w:t>
            </w:r>
            <w:r>
              <w:rPr>
                <w:rFonts w:hint="eastAsia"/>
                <w:color w:val="auto"/>
                <w:sz w:val="24"/>
                <w:szCs w:val="24"/>
                <w:lang w:val="en-US" w:eastAsia="zh-CN"/>
              </w:rPr>
              <w:t>西</w:t>
            </w:r>
            <w:r>
              <w:rPr>
                <w:rFonts w:hint="eastAsia"/>
                <w:color w:val="auto"/>
                <w:sz w:val="24"/>
                <w:szCs w:val="24"/>
              </w:rPr>
              <w:t>侧厂界在道路</w:t>
            </w:r>
            <w:r>
              <w:rPr>
                <w:rFonts w:hint="eastAsia"/>
                <w:color w:val="auto"/>
                <w:sz w:val="24"/>
                <w:szCs w:val="24"/>
                <w:lang w:val="en-US" w:eastAsia="zh-CN"/>
              </w:rPr>
              <w:t>3</w:t>
            </w:r>
            <w:r>
              <w:rPr>
                <w:rFonts w:hint="eastAsia"/>
                <w:color w:val="auto"/>
                <w:sz w:val="24"/>
                <w:szCs w:val="24"/>
              </w:rPr>
              <w:t>0米范围内，故运营期西侧厂界噪声执行《工业企业厂界环境噪声排放标准》（GB12348-2008）4类标准。</w:t>
            </w:r>
          </w:p>
          <w:p w14:paraId="06318C14">
            <w:pPr>
              <w:pStyle w:val="65"/>
              <w:rPr>
                <w:color w:val="auto"/>
                <w:sz w:val="24"/>
                <w:szCs w:val="24"/>
              </w:rPr>
            </w:pPr>
            <w:bookmarkStart w:id="22" w:name="OLE_LINK48"/>
            <w:r>
              <w:rPr>
                <w:color w:val="auto"/>
                <w:sz w:val="24"/>
                <w:szCs w:val="24"/>
              </w:rPr>
              <w:t>表3-</w:t>
            </w:r>
            <w:r>
              <w:rPr>
                <w:rFonts w:hint="eastAsia"/>
                <w:color w:val="auto"/>
                <w:sz w:val="24"/>
                <w:szCs w:val="24"/>
                <w:lang w:val="en-US" w:eastAsia="zh-CN"/>
              </w:rPr>
              <w:t>12</w:t>
            </w:r>
            <w:r>
              <w:rPr>
                <w:rFonts w:hint="eastAsia"/>
                <w:color w:val="auto"/>
                <w:sz w:val="24"/>
                <w:szCs w:val="24"/>
              </w:rPr>
              <w:t xml:space="preserve"> </w:t>
            </w:r>
            <w:r>
              <w:rPr>
                <w:color w:val="auto"/>
                <w:sz w:val="24"/>
                <w:szCs w:val="24"/>
              </w:rPr>
              <w:t>项目营运期噪声排放标准限值</w:t>
            </w:r>
          </w:p>
          <w:bookmarkEnd w:id="22"/>
          <w:tbl>
            <w:tblPr>
              <w:tblStyle w:val="26"/>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531"/>
              <w:gridCol w:w="2828"/>
              <w:gridCol w:w="939"/>
              <w:gridCol w:w="790"/>
              <w:gridCol w:w="1031"/>
              <w:gridCol w:w="1089"/>
            </w:tblGrid>
            <w:tr w14:paraId="6A42CBB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23" w:hRule="atLeast"/>
                <w:jc w:val="center"/>
              </w:trPr>
              <w:tc>
                <w:tcPr>
                  <w:tcW w:w="932" w:type="pct"/>
                  <w:vAlign w:val="center"/>
                </w:tcPr>
                <w:p w14:paraId="56EC5F0E">
                  <w:pPr>
                    <w:pStyle w:val="34"/>
                    <w:spacing w:before="24" w:after="24" w:line="240" w:lineRule="auto"/>
                    <w:rPr>
                      <w:rFonts w:ascii="Times New Roman" w:eastAsia="宋体"/>
                      <w:b/>
                      <w:bCs/>
                      <w:color w:val="auto"/>
                      <w:sz w:val="21"/>
                      <w:szCs w:val="21"/>
                    </w:rPr>
                  </w:pPr>
                  <w:r>
                    <w:rPr>
                      <w:rFonts w:ascii="Times New Roman" w:eastAsia="宋体"/>
                      <w:b/>
                      <w:bCs/>
                      <w:color w:val="auto"/>
                      <w:sz w:val="21"/>
                      <w:szCs w:val="21"/>
                    </w:rPr>
                    <w:t>厂界</w:t>
                  </w:r>
                </w:p>
              </w:tc>
              <w:tc>
                <w:tcPr>
                  <w:tcW w:w="1722" w:type="pct"/>
                  <w:vAlign w:val="center"/>
                </w:tcPr>
                <w:p w14:paraId="4E8BA5AF">
                  <w:pPr>
                    <w:pStyle w:val="34"/>
                    <w:spacing w:before="24" w:after="24" w:line="240" w:lineRule="auto"/>
                    <w:rPr>
                      <w:rFonts w:ascii="Times New Roman" w:eastAsia="宋体"/>
                      <w:b/>
                      <w:bCs/>
                      <w:color w:val="auto"/>
                      <w:sz w:val="21"/>
                      <w:szCs w:val="21"/>
                    </w:rPr>
                  </w:pPr>
                  <w:r>
                    <w:rPr>
                      <w:rFonts w:ascii="Times New Roman" w:eastAsia="宋体"/>
                      <w:b/>
                      <w:bCs/>
                      <w:color w:val="auto"/>
                      <w:sz w:val="21"/>
                      <w:szCs w:val="21"/>
                    </w:rPr>
                    <w:t>执行标准</w:t>
                  </w:r>
                </w:p>
              </w:tc>
              <w:tc>
                <w:tcPr>
                  <w:tcW w:w="572" w:type="pct"/>
                  <w:vAlign w:val="center"/>
                </w:tcPr>
                <w:p w14:paraId="4735B870">
                  <w:pPr>
                    <w:pStyle w:val="34"/>
                    <w:spacing w:before="24" w:after="24" w:line="240" w:lineRule="auto"/>
                    <w:rPr>
                      <w:rFonts w:ascii="Times New Roman" w:eastAsia="宋体"/>
                      <w:b/>
                      <w:bCs/>
                      <w:color w:val="auto"/>
                      <w:sz w:val="21"/>
                      <w:szCs w:val="21"/>
                    </w:rPr>
                  </w:pPr>
                  <w:r>
                    <w:rPr>
                      <w:rFonts w:ascii="Times New Roman" w:eastAsia="宋体"/>
                      <w:b/>
                      <w:bCs/>
                      <w:color w:val="auto"/>
                      <w:sz w:val="21"/>
                      <w:szCs w:val="21"/>
                    </w:rPr>
                    <w:t>级别</w:t>
                  </w:r>
                </w:p>
              </w:tc>
              <w:tc>
                <w:tcPr>
                  <w:tcW w:w="481" w:type="pct"/>
                  <w:vAlign w:val="center"/>
                </w:tcPr>
                <w:p w14:paraId="6769B4CD">
                  <w:pPr>
                    <w:pStyle w:val="34"/>
                    <w:spacing w:before="24" w:after="24" w:line="240" w:lineRule="auto"/>
                    <w:rPr>
                      <w:rFonts w:ascii="Times New Roman" w:eastAsia="宋体"/>
                      <w:b/>
                      <w:bCs/>
                      <w:color w:val="auto"/>
                      <w:sz w:val="21"/>
                      <w:szCs w:val="21"/>
                    </w:rPr>
                  </w:pPr>
                  <w:r>
                    <w:rPr>
                      <w:rFonts w:ascii="Times New Roman" w:eastAsia="宋体"/>
                      <w:b/>
                      <w:bCs/>
                      <w:color w:val="auto"/>
                      <w:sz w:val="21"/>
                      <w:szCs w:val="21"/>
                    </w:rPr>
                    <w:t>单位</w:t>
                  </w:r>
                </w:p>
              </w:tc>
              <w:tc>
                <w:tcPr>
                  <w:tcW w:w="628" w:type="pct"/>
                  <w:vAlign w:val="center"/>
                </w:tcPr>
                <w:p w14:paraId="77963DA4">
                  <w:pPr>
                    <w:pStyle w:val="34"/>
                    <w:spacing w:before="24" w:after="24" w:line="240" w:lineRule="auto"/>
                    <w:rPr>
                      <w:rFonts w:ascii="Times New Roman" w:eastAsia="宋体"/>
                      <w:b/>
                      <w:bCs/>
                      <w:color w:val="auto"/>
                      <w:sz w:val="21"/>
                      <w:szCs w:val="21"/>
                    </w:rPr>
                  </w:pPr>
                  <w:r>
                    <w:rPr>
                      <w:rFonts w:ascii="Times New Roman" w:eastAsia="宋体"/>
                      <w:b/>
                      <w:bCs/>
                      <w:color w:val="auto"/>
                      <w:sz w:val="21"/>
                      <w:szCs w:val="21"/>
                    </w:rPr>
                    <w:t>昼间</w:t>
                  </w:r>
                </w:p>
              </w:tc>
              <w:tc>
                <w:tcPr>
                  <w:tcW w:w="663" w:type="pct"/>
                  <w:vAlign w:val="center"/>
                </w:tcPr>
                <w:p w14:paraId="5BECD4ED">
                  <w:pPr>
                    <w:pStyle w:val="34"/>
                    <w:spacing w:before="24" w:after="24" w:line="240" w:lineRule="auto"/>
                    <w:rPr>
                      <w:rFonts w:ascii="Times New Roman" w:eastAsia="宋体"/>
                      <w:b/>
                      <w:bCs/>
                      <w:color w:val="auto"/>
                      <w:sz w:val="21"/>
                      <w:szCs w:val="21"/>
                    </w:rPr>
                  </w:pPr>
                  <w:r>
                    <w:rPr>
                      <w:rFonts w:ascii="Times New Roman" w:eastAsia="宋体"/>
                      <w:b/>
                      <w:bCs/>
                      <w:color w:val="auto"/>
                      <w:sz w:val="21"/>
                      <w:szCs w:val="21"/>
                    </w:rPr>
                    <w:t>夜间</w:t>
                  </w:r>
                </w:p>
              </w:tc>
            </w:tr>
            <w:tr w14:paraId="4EF0E86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32" w:type="pct"/>
                  <w:vAlign w:val="center"/>
                </w:tcPr>
                <w:p w14:paraId="452E81EB">
                  <w:pPr>
                    <w:pStyle w:val="34"/>
                    <w:spacing w:before="24" w:after="24" w:line="240" w:lineRule="auto"/>
                    <w:rPr>
                      <w:rFonts w:ascii="Times New Roman" w:eastAsia="宋体"/>
                      <w:color w:val="auto"/>
                      <w:sz w:val="21"/>
                      <w:szCs w:val="21"/>
                    </w:rPr>
                  </w:pPr>
                  <w:r>
                    <w:rPr>
                      <w:rFonts w:hint="eastAsia" w:ascii="Times New Roman" w:eastAsia="宋体"/>
                      <w:color w:val="auto"/>
                      <w:sz w:val="21"/>
                      <w:szCs w:val="21"/>
                    </w:rPr>
                    <w:t>东、南、北</w:t>
                  </w:r>
                  <w:r>
                    <w:rPr>
                      <w:rFonts w:ascii="Times New Roman" w:eastAsia="宋体"/>
                      <w:color w:val="auto"/>
                      <w:sz w:val="21"/>
                      <w:szCs w:val="21"/>
                    </w:rPr>
                    <w:t>厂界</w:t>
                  </w:r>
                </w:p>
              </w:tc>
              <w:tc>
                <w:tcPr>
                  <w:tcW w:w="1722" w:type="pct"/>
                  <w:vMerge w:val="restart"/>
                  <w:vAlign w:val="center"/>
                </w:tcPr>
                <w:p w14:paraId="763A0267">
                  <w:pPr>
                    <w:pStyle w:val="34"/>
                    <w:spacing w:before="24" w:after="24" w:line="240" w:lineRule="auto"/>
                    <w:rPr>
                      <w:rFonts w:ascii="Times New Roman" w:eastAsia="宋体"/>
                      <w:color w:val="auto"/>
                      <w:sz w:val="21"/>
                      <w:szCs w:val="21"/>
                    </w:rPr>
                  </w:pPr>
                  <w:r>
                    <w:rPr>
                      <w:rFonts w:ascii="Times New Roman" w:eastAsia="宋体"/>
                      <w:color w:val="auto"/>
                      <w:sz w:val="21"/>
                      <w:szCs w:val="21"/>
                    </w:rPr>
                    <w:t>《工业企业厂界环境噪声排放标准》（GB12348-2008）</w:t>
                  </w:r>
                </w:p>
              </w:tc>
              <w:tc>
                <w:tcPr>
                  <w:tcW w:w="572" w:type="pct"/>
                  <w:vAlign w:val="center"/>
                </w:tcPr>
                <w:p w14:paraId="17F8FD6A">
                  <w:pPr>
                    <w:pStyle w:val="34"/>
                    <w:spacing w:before="24" w:after="24" w:line="240" w:lineRule="auto"/>
                    <w:rPr>
                      <w:rFonts w:hint="default" w:ascii="Times New Roman" w:eastAsia="宋体"/>
                      <w:color w:val="auto"/>
                      <w:sz w:val="21"/>
                      <w:szCs w:val="21"/>
                      <w:lang w:val="en-US" w:eastAsia="zh-CN"/>
                    </w:rPr>
                  </w:pPr>
                  <w:r>
                    <w:rPr>
                      <w:rFonts w:hint="eastAsia" w:ascii="Times New Roman" w:eastAsia="宋体"/>
                      <w:color w:val="auto"/>
                      <w:sz w:val="21"/>
                      <w:szCs w:val="21"/>
                      <w:lang w:val="en-US" w:eastAsia="zh-CN"/>
                    </w:rPr>
                    <w:t>3</w:t>
                  </w:r>
                  <w:r>
                    <w:rPr>
                      <w:rFonts w:ascii="Times New Roman" w:eastAsia="宋体"/>
                      <w:color w:val="auto"/>
                      <w:sz w:val="21"/>
                      <w:szCs w:val="21"/>
                    </w:rPr>
                    <w:t>类</w:t>
                  </w:r>
                </w:p>
              </w:tc>
              <w:tc>
                <w:tcPr>
                  <w:tcW w:w="481" w:type="pct"/>
                  <w:vMerge w:val="restart"/>
                  <w:vAlign w:val="center"/>
                </w:tcPr>
                <w:p w14:paraId="1AAA3D94">
                  <w:pPr>
                    <w:pStyle w:val="34"/>
                    <w:spacing w:before="24" w:after="24" w:line="240" w:lineRule="auto"/>
                    <w:rPr>
                      <w:rFonts w:ascii="Times New Roman" w:eastAsia="宋体"/>
                      <w:color w:val="auto"/>
                      <w:sz w:val="21"/>
                      <w:szCs w:val="21"/>
                    </w:rPr>
                  </w:pPr>
                  <w:r>
                    <w:rPr>
                      <w:rFonts w:ascii="Times New Roman" w:eastAsia="宋体"/>
                      <w:color w:val="auto"/>
                      <w:sz w:val="21"/>
                      <w:szCs w:val="21"/>
                    </w:rPr>
                    <w:t>dB(A)</w:t>
                  </w:r>
                </w:p>
              </w:tc>
              <w:tc>
                <w:tcPr>
                  <w:tcW w:w="628" w:type="pct"/>
                  <w:shd w:val="clear" w:color="auto" w:fill="auto"/>
                  <w:vAlign w:val="center"/>
                </w:tcPr>
                <w:p w14:paraId="00059D71">
                  <w:pPr>
                    <w:pStyle w:val="34"/>
                    <w:spacing w:before="24" w:after="24" w:line="240" w:lineRule="auto"/>
                    <w:ind w:firstLine="0" w:firstLineChars="0"/>
                    <w:rPr>
                      <w:rFonts w:hint="default" w:ascii="Times New Roman" w:hAnsi="宋体" w:eastAsia="宋体" w:cs="Times New Roman"/>
                      <w:color w:val="auto"/>
                      <w:spacing w:val="-10"/>
                      <w:kern w:val="0"/>
                      <w:sz w:val="21"/>
                      <w:szCs w:val="21"/>
                      <w:lang w:val="en-US" w:eastAsia="zh-CN" w:bidi="ar"/>
                    </w:rPr>
                  </w:pPr>
                  <w:r>
                    <w:rPr>
                      <w:rFonts w:hint="eastAsia" w:ascii="Times New Roman" w:eastAsia="宋体" w:cs="Times New Roman"/>
                      <w:color w:val="auto"/>
                      <w:spacing w:val="-10"/>
                      <w:kern w:val="0"/>
                      <w:sz w:val="21"/>
                      <w:szCs w:val="21"/>
                      <w:lang w:val="en-US" w:eastAsia="zh-CN" w:bidi="ar-SA"/>
                    </w:rPr>
                    <w:t>65</w:t>
                  </w:r>
                </w:p>
              </w:tc>
              <w:tc>
                <w:tcPr>
                  <w:tcW w:w="663" w:type="pct"/>
                  <w:shd w:val="clear" w:color="auto" w:fill="auto"/>
                  <w:vAlign w:val="center"/>
                </w:tcPr>
                <w:p w14:paraId="16E91EC3">
                  <w:pPr>
                    <w:pStyle w:val="34"/>
                    <w:spacing w:before="24" w:after="24" w:line="240" w:lineRule="auto"/>
                    <w:ind w:firstLine="0" w:firstLineChars="0"/>
                    <w:rPr>
                      <w:rFonts w:hint="default" w:ascii="Times New Roman" w:hAnsi="宋体" w:eastAsia="宋体" w:cs="Times New Roman"/>
                      <w:color w:val="auto"/>
                      <w:spacing w:val="-10"/>
                      <w:kern w:val="0"/>
                      <w:sz w:val="21"/>
                      <w:szCs w:val="21"/>
                      <w:lang w:val="en-US" w:eastAsia="zh-CN" w:bidi="ar"/>
                    </w:rPr>
                  </w:pPr>
                  <w:r>
                    <w:rPr>
                      <w:rFonts w:hint="eastAsia" w:ascii="Times New Roman" w:eastAsia="宋体"/>
                      <w:color w:val="auto"/>
                      <w:szCs w:val="21"/>
                    </w:rPr>
                    <w:t>55</w:t>
                  </w:r>
                </w:p>
              </w:tc>
            </w:tr>
            <w:tr w14:paraId="7F1D4C3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32" w:type="pct"/>
                  <w:vAlign w:val="center"/>
                </w:tcPr>
                <w:p w14:paraId="2E7EB9A0">
                  <w:pPr>
                    <w:pStyle w:val="34"/>
                    <w:spacing w:before="24" w:after="24" w:line="240" w:lineRule="auto"/>
                    <w:rPr>
                      <w:rFonts w:hint="eastAsia" w:ascii="Times New Roman" w:eastAsia="宋体"/>
                      <w:color w:val="auto"/>
                      <w:sz w:val="21"/>
                      <w:szCs w:val="21"/>
                    </w:rPr>
                  </w:pPr>
                  <w:r>
                    <w:rPr>
                      <w:rFonts w:hint="eastAsia" w:ascii="Times New Roman" w:eastAsia="宋体"/>
                      <w:color w:val="auto"/>
                      <w:sz w:val="21"/>
                      <w:szCs w:val="21"/>
                    </w:rPr>
                    <w:t>西</w:t>
                  </w:r>
                  <w:r>
                    <w:rPr>
                      <w:rFonts w:ascii="Times New Roman" w:eastAsia="宋体"/>
                      <w:color w:val="auto"/>
                      <w:sz w:val="21"/>
                      <w:szCs w:val="21"/>
                    </w:rPr>
                    <w:t>厂界</w:t>
                  </w:r>
                </w:p>
              </w:tc>
              <w:tc>
                <w:tcPr>
                  <w:tcW w:w="1722" w:type="pct"/>
                  <w:vMerge w:val="continue"/>
                  <w:vAlign w:val="center"/>
                </w:tcPr>
                <w:p w14:paraId="77B6DDD8">
                  <w:pPr>
                    <w:pStyle w:val="34"/>
                    <w:spacing w:before="24" w:after="24" w:line="240" w:lineRule="auto"/>
                    <w:rPr>
                      <w:rFonts w:ascii="Times New Roman" w:eastAsia="宋体"/>
                      <w:color w:val="auto"/>
                      <w:sz w:val="21"/>
                      <w:szCs w:val="21"/>
                    </w:rPr>
                  </w:pPr>
                </w:p>
              </w:tc>
              <w:tc>
                <w:tcPr>
                  <w:tcW w:w="572" w:type="pct"/>
                  <w:vAlign w:val="center"/>
                </w:tcPr>
                <w:p w14:paraId="2D28993C">
                  <w:pPr>
                    <w:pStyle w:val="34"/>
                    <w:spacing w:before="24" w:after="24" w:line="240" w:lineRule="auto"/>
                    <w:rPr>
                      <w:rFonts w:hint="eastAsia" w:ascii="Times New Roman" w:eastAsia="宋体"/>
                      <w:color w:val="auto"/>
                      <w:sz w:val="21"/>
                      <w:szCs w:val="21"/>
                      <w:lang w:val="en-US" w:eastAsia="zh-CN"/>
                    </w:rPr>
                  </w:pPr>
                  <w:r>
                    <w:rPr>
                      <w:rFonts w:hint="eastAsia" w:ascii="Times New Roman" w:eastAsia="宋体"/>
                      <w:color w:val="auto"/>
                      <w:sz w:val="21"/>
                      <w:szCs w:val="21"/>
                      <w:lang w:val="en-US" w:eastAsia="zh-CN"/>
                    </w:rPr>
                    <w:t>4</w:t>
                  </w:r>
                  <w:r>
                    <w:rPr>
                      <w:rFonts w:ascii="Times New Roman" w:eastAsia="宋体"/>
                      <w:color w:val="auto"/>
                      <w:sz w:val="21"/>
                      <w:szCs w:val="21"/>
                    </w:rPr>
                    <w:t>类</w:t>
                  </w:r>
                </w:p>
              </w:tc>
              <w:tc>
                <w:tcPr>
                  <w:tcW w:w="481" w:type="pct"/>
                  <w:vMerge w:val="continue"/>
                  <w:vAlign w:val="center"/>
                </w:tcPr>
                <w:p w14:paraId="7A2C2966">
                  <w:pPr>
                    <w:pStyle w:val="34"/>
                    <w:spacing w:before="24" w:after="24" w:line="240" w:lineRule="auto"/>
                    <w:rPr>
                      <w:rFonts w:ascii="Times New Roman" w:eastAsia="宋体"/>
                      <w:color w:val="auto"/>
                      <w:sz w:val="21"/>
                      <w:szCs w:val="21"/>
                    </w:rPr>
                  </w:pPr>
                </w:p>
              </w:tc>
              <w:tc>
                <w:tcPr>
                  <w:tcW w:w="628" w:type="pct"/>
                  <w:shd w:val="clear" w:color="auto" w:fill="auto"/>
                  <w:vAlign w:val="center"/>
                </w:tcPr>
                <w:p w14:paraId="5C573904">
                  <w:pPr>
                    <w:pStyle w:val="34"/>
                    <w:spacing w:before="24" w:after="24" w:line="240" w:lineRule="auto"/>
                    <w:ind w:firstLine="0" w:firstLineChars="0"/>
                    <w:rPr>
                      <w:rFonts w:hint="default" w:ascii="Times New Roman" w:eastAsia="宋体" w:cs="Times New Roman"/>
                      <w:color w:val="auto"/>
                      <w:spacing w:val="-10"/>
                      <w:kern w:val="0"/>
                      <w:sz w:val="21"/>
                      <w:szCs w:val="21"/>
                      <w:lang w:val="en-US" w:eastAsia="zh-CN" w:bidi="ar-SA"/>
                    </w:rPr>
                  </w:pPr>
                  <w:r>
                    <w:rPr>
                      <w:rFonts w:hint="eastAsia" w:ascii="Times New Roman" w:eastAsia="宋体"/>
                      <w:color w:val="auto"/>
                      <w:szCs w:val="21"/>
                    </w:rPr>
                    <w:t>70</w:t>
                  </w:r>
                </w:p>
              </w:tc>
              <w:tc>
                <w:tcPr>
                  <w:tcW w:w="663" w:type="pct"/>
                  <w:shd w:val="clear" w:color="auto" w:fill="auto"/>
                  <w:vAlign w:val="center"/>
                </w:tcPr>
                <w:p w14:paraId="78B6E646">
                  <w:pPr>
                    <w:pStyle w:val="34"/>
                    <w:spacing w:before="24" w:after="24" w:line="240" w:lineRule="auto"/>
                    <w:ind w:firstLine="0" w:firstLineChars="0"/>
                    <w:rPr>
                      <w:rFonts w:hint="default" w:ascii="Times New Roman" w:eastAsia="宋体" w:cs="Times New Roman"/>
                      <w:color w:val="auto"/>
                      <w:spacing w:val="-10"/>
                      <w:kern w:val="0"/>
                      <w:sz w:val="21"/>
                      <w:szCs w:val="21"/>
                      <w:lang w:val="en-US" w:eastAsia="zh-CN" w:bidi="ar-SA"/>
                    </w:rPr>
                  </w:pPr>
                  <w:r>
                    <w:rPr>
                      <w:rFonts w:hint="eastAsia" w:ascii="Times New Roman" w:eastAsia="宋体" w:cs="Times New Roman"/>
                      <w:color w:val="auto"/>
                      <w:spacing w:val="-10"/>
                      <w:kern w:val="0"/>
                      <w:sz w:val="21"/>
                      <w:szCs w:val="21"/>
                      <w:lang w:val="en-US" w:eastAsia="zh-CN" w:bidi="ar-SA"/>
                    </w:rPr>
                    <w:t>55</w:t>
                  </w:r>
                </w:p>
              </w:tc>
            </w:tr>
          </w:tbl>
          <w:p w14:paraId="79A670CF">
            <w:pPr>
              <w:adjustRightInd w:val="0"/>
              <w:snapToGrid w:val="0"/>
              <w:spacing w:before="120" w:beforeLines="50" w:line="360" w:lineRule="auto"/>
              <w:ind w:firstLine="482" w:firstLineChars="200"/>
              <w:rPr>
                <w:bCs/>
                <w:snapToGrid w:val="0"/>
                <w:color w:val="auto"/>
                <w:kern w:val="0"/>
                <w:sz w:val="24"/>
                <w:szCs w:val="24"/>
              </w:rPr>
            </w:pPr>
            <w:r>
              <w:rPr>
                <w:b/>
                <w:color w:val="auto"/>
                <w:kern w:val="0"/>
                <w:sz w:val="24"/>
                <w:szCs w:val="24"/>
              </w:rPr>
              <w:t>4、固废贮存标准</w:t>
            </w:r>
          </w:p>
          <w:p w14:paraId="5D0B463A">
            <w:pPr>
              <w:spacing w:line="360" w:lineRule="auto"/>
              <w:ind w:firstLine="480" w:firstLineChars="200"/>
              <w:rPr>
                <w:rFonts w:ascii="宋体" w:hAnsi="宋体" w:cs="宋体"/>
                <w:color w:val="auto"/>
                <w:kern w:val="0"/>
                <w:sz w:val="24"/>
                <w:szCs w:val="24"/>
              </w:rPr>
            </w:pPr>
            <w:r>
              <w:rPr>
                <w:rFonts w:hint="eastAsia"/>
                <w:color w:val="auto"/>
                <w:sz w:val="24"/>
                <w:szCs w:val="24"/>
              </w:rPr>
              <w:t>项目产生的一般工业固体废物贮存满足相应的防渗漏、防雨淋、防扬尘</w:t>
            </w:r>
            <w:r>
              <w:rPr>
                <w:rFonts w:hint="eastAsia"/>
                <w:color w:val="auto"/>
                <w:sz w:val="24"/>
                <w:szCs w:val="24"/>
                <w:lang w:val="en-US" w:eastAsia="zh-CN"/>
              </w:rPr>
              <w:t>等</w:t>
            </w:r>
            <w:r>
              <w:rPr>
                <w:rFonts w:hint="eastAsia"/>
                <w:color w:val="auto"/>
                <w:sz w:val="24"/>
                <w:szCs w:val="24"/>
              </w:rPr>
              <w:t>要求；危险废物贮存执行《危险废物贮存污染控制标准》（GB18597-2023）的相关要求。</w:t>
            </w:r>
          </w:p>
        </w:tc>
      </w:tr>
    </w:tbl>
    <w:p w14:paraId="0D671EF2">
      <w:pPr>
        <w:adjustRightInd w:val="0"/>
        <w:snapToGrid w:val="0"/>
        <w:jc w:val="center"/>
        <w:rPr>
          <w:rFonts w:ascii="宋体" w:hAnsi="宋体" w:cs="宋体"/>
          <w:color w:val="auto"/>
          <w:kern w:val="0"/>
        </w:rPr>
        <w:sectPr>
          <w:pgSz w:w="11906" w:h="16838"/>
          <w:pgMar w:top="1701" w:right="1531" w:bottom="1701" w:left="1531" w:header="851" w:footer="851" w:gutter="0"/>
          <w:pgBorders>
            <w:top w:val="none" w:sz="0" w:space="0"/>
            <w:left w:val="none" w:sz="0" w:space="0"/>
            <w:bottom w:val="none" w:sz="0" w:space="0"/>
            <w:right w:val="none" w:sz="0" w:space="0"/>
          </w:pgBorders>
          <w:cols w:space="720" w:num="1"/>
          <w:docGrid w:linePitch="312" w:charSpace="0"/>
        </w:sectPr>
      </w:pPr>
      <w:bookmarkStart w:id="23" w:name="PageNo100410040"/>
    </w:p>
    <w:bookmarkEnd w:id="23"/>
    <w:tbl>
      <w:tblPr>
        <w:tblStyle w:val="26"/>
        <w:tblW w:w="4999"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70"/>
        <w:gridCol w:w="12879"/>
      </w:tblGrid>
      <w:tr w14:paraId="37E6EDD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702" w:hRule="atLeast"/>
          <w:jc w:val="center"/>
        </w:trPr>
        <w:tc>
          <w:tcPr>
            <w:tcW w:w="282" w:type="pct"/>
            <w:vAlign w:val="center"/>
          </w:tcPr>
          <w:p w14:paraId="59A59E96">
            <w:pPr>
              <w:adjustRightInd w:val="0"/>
              <w:snapToGrid w:val="0"/>
              <w:jc w:val="center"/>
              <w:rPr>
                <w:rFonts w:ascii="宋体" w:hAnsi="宋体" w:cs="宋体"/>
                <w:color w:val="auto"/>
                <w:kern w:val="0"/>
                <w:sz w:val="24"/>
                <w:szCs w:val="24"/>
              </w:rPr>
            </w:pPr>
            <w:r>
              <w:rPr>
                <w:rFonts w:hint="eastAsia" w:ascii="宋体" w:hAnsi="宋体" w:cs="宋体"/>
                <w:color w:val="auto"/>
                <w:kern w:val="0"/>
                <w:sz w:val="24"/>
                <w:szCs w:val="24"/>
              </w:rPr>
              <w:t>总量</w:t>
            </w:r>
          </w:p>
          <w:p w14:paraId="30898EB9">
            <w:pPr>
              <w:adjustRightInd w:val="0"/>
              <w:snapToGrid w:val="0"/>
              <w:jc w:val="center"/>
              <w:rPr>
                <w:rFonts w:ascii="宋体" w:hAnsi="宋体" w:cs="宋体"/>
                <w:color w:val="auto"/>
                <w:kern w:val="0"/>
                <w:sz w:val="24"/>
                <w:szCs w:val="24"/>
              </w:rPr>
            </w:pPr>
            <w:r>
              <w:rPr>
                <w:rFonts w:hint="eastAsia" w:ascii="宋体" w:hAnsi="宋体" w:cs="宋体"/>
                <w:color w:val="auto"/>
                <w:kern w:val="0"/>
                <w:sz w:val="24"/>
                <w:szCs w:val="24"/>
              </w:rPr>
              <w:t>控制</w:t>
            </w:r>
          </w:p>
          <w:p w14:paraId="1DB9FDBD">
            <w:pPr>
              <w:adjustRightInd w:val="0"/>
              <w:snapToGrid w:val="0"/>
              <w:jc w:val="center"/>
              <w:rPr>
                <w:rFonts w:ascii="宋体" w:hAnsi="宋体" w:cs="宋体"/>
                <w:color w:val="auto"/>
                <w:kern w:val="0"/>
                <w:sz w:val="24"/>
                <w:szCs w:val="24"/>
              </w:rPr>
            </w:pPr>
            <w:r>
              <w:rPr>
                <w:rFonts w:hint="eastAsia" w:ascii="宋体" w:hAnsi="宋体" w:cs="宋体"/>
                <w:color w:val="auto"/>
                <w:kern w:val="0"/>
                <w:sz w:val="24"/>
                <w:szCs w:val="24"/>
              </w:rPr>
              <w:t>指标</w:t>
            </w:r>
          </w:p>
        </w:tc>
        <w:tc>
          <w:tcPr>
            <w:tcW w:w="4717" w:type="pct"/>
          </w:tcPr>
          <w:p w14:paraId="53D8205F">
            <w:pPr>
              <w:adjustRightInd w:val="0"/>
              <w:snapToGrid w:val="0"/>
              <w:spacing w:before="120" w:beforeLines="50" w:line="360" w:lineRule="auto"/>
              <w:ind w:firstLine="480" w:firstLineChars="200"/>
              <w:rPr>
                <w:color w:val="auto"/>
                <w:sz w:val="24"/>
                <w:szCs w:val="24"/>
              </w:rPr>
            </w:pPr>
            <w:r>
              <w:rPr>
                <w:color w:val="auto"/>
                <w:sz w:val="24"/>
                <w:szCs w:val="24"/>
              </w:rPr>
              <w:t>本项目污染物排放总量见表3-</w:t>
            </w:r>
            <w:r>
              <w:rPr>
                <w:rFonts w:hint="eastAsia"/>
                <w:color w:val="auto"/>
                <w:sz w:val="24"/>
                <w:szCs w:val="24"/>
                <w:lang w:val="en-US" w:eastAsia="zh-CN"/>
              </w:rPr>
              <w:t>13</w:t>
            </w:r>
            <w:r>
              <w:rPr>
                <w:color w:val="auto"/>
                <w:sz w:val="24"/>
                <w:szCs w:val="24"/>
              </w:rPr>
              <w:t>。</w:t>
            </w:r>
          </w:p>
          <w:p w14:paraId="4D10B1E3">
            <w:pPr>
              <w:adjustRightInd w:val="0"/>
              <w:snapToGrid w:val="0"/>
              <w:jc w:val="center"/>
              <w:rPr>
                <w:b/>
                <w:bCs/>
                <w:color w:val="auto"/>
                <w:sz w:val="24"/>
                <w:szCs w:val="24"/>
              </w:rPr>
            </w:pPr>
            <w:r>
              <w:rPr>
                <w:b/>
                <w:bCs/>
                <w:color w:val="auto"/>
                <w:sz w:val="24"/>
                <w:szCs w:val="24"/>
              </w:rPr>
              <w:t>表3-</w:t>
            </w:r>
            <w:r>
              <w:rPr>
                <w:rFonts w:hint="eastAsia"/>
                <w:b/>
                <w:bCs/>
                <w:color w:val="auto"/>
                <w:sz w:val="24"/>
                <w:szCs w:val="24"/>
                <w:lang w:val="en-US" w:eastAsia="zh-CN"/>
              </w:rPr>
              <w:t>13</w:t>
            </w:r>
            <w:r>
              <w:rPr>
                <w:b/>
                <w:bCs/>
                <w:color w:val="auto"/>
                <w:sz w:val="24"/>
                <w:szCs w:val="24"/>
              </w:rPr>
              <w:t xml:space="preserve"> 本项目污染物排放总量表（t/a）</w:t>
            </w:r>
          </w:p>
          <w:tbl>
            <w:tblPr>
              <w:tblStyle w:val="26"/>
              <w:tblW w:w="12663" w:type="dxa"/>
              <w:jc w:val="center"/>
              <w:tblBorders>
                <w:top w:val="single" w:color="auto" w:sz="12" w:space="0"/>
                <w:left w:val="none" w:color="auto" w:sz="6" w:space="0"/>
                <w:bottom w:val="single" w:color="auto" w:sz="12" w:space="0"/>
                <w:right w:val="non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62"/>
              <w:gridCol w:w="643"/>
              <w:gridCol w:w="1180"/>
              <w:gridCol w:w="1040"/>
              <w:gridCol w:w="890"/>
              <w:gridCol w:w="820"/>
              <w:gridCol w:w="1091"/>
              <w:gridCol w:w="1120"/>
              <w:gridCol w:w="916"/>
              <w:gridCol w:w="1200"/>
              <w:gridCol w:w="1160"/>
              <w:gridCol w:w="1128"/>
              <w:gridCol w:w="1113"/>
            </w:tblGrid>
            <w:tr w14:paraId="2B3A83D3">
              <w:tblPrEx>
                <w:tblBorders>
                  <w:top w:val="single" w:color="auto" w:sz="12" w:space="0"/>
                  <w:left w:val="none" w:color="auto" w:sz="6" w:space="0"/>
                  <w:bottom w:val="single" w:color="auto" w:sz="12" w:space="0"/>
                  <w:right w:val="none" w:color="auto" w:sz="6"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1005" w:type="dxa"/>
                  <w:gridSpan w:val="2"/>
                  <w:vMerge w:val="restart"/>
                  <w:tcBorders>
                    <w:top w:val="single" w:color="auto" w:sz="12" w:space="0"/>
                    <w:left w:val="nil"/>
                    <w:bottom w:val="single" w:color="auto" w:sz="4" w:space="0"/>
                    <w:right w:val="single" w:color="auto" w:sz="4" w:space="0"/>
                  </w:tcBorders>
                  <w:vAlign w:val="center"/>
                </w:tcPr>
                <w:p w14:paraId="1C38A03D">
                  <w:pPr>
                    <w:adjustRightInd w:val="0"/>
                    <w:snapToGrid w:val="0"/>
                    <w:jc w:val="center"/>
                    <w:textAlignment w:val="baseline"/>
                    <w:rPr>
                      <w:b/>
                      <w:color w:val="auto"/>
                      <w:spacing w:val="4"/>
                      <w:sz w:val="21"/>
                      <w:szCs w:val="21"/>
                    </w:rPr>
                  </w:pPr>
                  <w:r>
                    <w:rPr>
                      <w:b/>
                      <w:color w:val="auto"/>
                      <w:spacing w:val="4"/>
                      <w:sz w:val="21"/>
                      <w:szCs w:val="21"/>
                    </w:rPr>
                    <w:t>种类</w:t>
                  </w:r>
                </w:p>
              </w:tc>
              <w:tc>
                <w:tcPr>
                  <w:tcW w:w="1180" w:type="dxa"/>
                  <w:vMerge w:val="restart"/>
                  <w:tcBorders>
                    <w:top w:val="single" w:color="auto" w:sz="12" w:space="0"/>
                    <w:left w:val="single" w:color="auto" w:sz="4" w:space="0"/>
                    <w:bottom w:val="single" w:color="auto" w:sz="4" w:space="0"/>
                    <w:right w:val="single" w:color="auto" w:sz="4" w:space="0"/>
                  </w:tcBorders>
                  <w:vAlign w:val="center"/>
                </w:tcPr>
                <w:p w14:paraId="019F6B0F">
                  <w:pPr>
                    <w:adjustRightInd w:val="0"/>
                    <w:snapToGrid w:val="0"/>
                    <w:jc w:val="center"/>
                    <w:textAlignment w:val="baseline"/>
                    <w:rPr>
                      <w:b/>
                      <w:color w:val="auto"/>
                      <w:spacing w:val="4"/>
                      <w:sz w:val="21"/>
                      <w:szCs w:val="21"/>
                    </w:rPr>
                  </w:pPr>
                  <w:r>
                    <w:rPr>
                      <w:b/>
                      <w:color w:val="auto"/>
                      <w:spacing w:val="4"/>
                      <w:sz w:val="21"/>
                      <w:szCs w:val="21"/>
                    </w:rPr>
                    <w:t>名称</w:t>
                  </w:r>
                </w:p>
              </w:tc>
              <w:tc>
                <w:tcPr>
                  <w:tcW w:w="1040" w:type="dxa"/>
                  <w:vMerge w:val="restart"/>
                  <w:tcBorders>
                    <w:top w:val="single" w:color="auto" w:sz="12" w:space="0"/>
                    <w:left w:val="single" w:color="auto" w:sz="4" w:space="0"/>
                    <w:bottom w:val="single" w:color="auto" w:sz="4" w:space="0"/>
                    <w:right w:val="single" w:color="auto" w:sz="4" w:space="0"/>
                  </w:tcBorders>
                  <w:vAlign w:val="center"/>
                </w:tcPr>
                <w:p w14:paraId="3C8E9F3C">
                  <w:pPr>
                    <w:adjustRightInd w:val="0"/>
                    <w:snapToGrid w:val="0"/>
                    <w:jc w:val="center"/>
                    <w:textAlignment w:val="baseline"/>
                    <w:rPr>
                      <w:b/>
                      <w:color w:val="auto"/>
                      <w:spacing w:val="4"/>
                      <w:sz w:val="21"/>
                      <w:szCs w:val="21"/>
                    </w:rPr>
                  </w:pPr>
                  <w:r>
                    <w:rPr>
                      <w:rFonts w:hint="eastAsia"/>
                      <w:b/>
                      <w:color w:val="auto"/>
                      <w:sz w:val="21"/>
                      <w:szCs w:val="21"/>
                    </w:rPr>
                    <w:t>现有项目核定排放量</w:t>
                  </w:r>
                </w:p>
              </w:tc>
              <w:tc>
                <w:tcPr>
                  <w:tcW w:w="3921" w:type="dxa"/>
                  <w:gridSpan w:val="4"/>
                  <w:tcBorders>
                    <w:top w:val="single" w:color="auto" w:sz="12" w:space="0"/>
                    <w:left w:val="single" w:color="auto" w:sz="4" w:space="0"/>
                    <w:bottom w:val="single" w:color="auto" w:sz="4" w:space="0"/>
                    <w:right w:val="single" w:color="auto" w:sz="4" w:space="0"/>
                  </w:tcBorders>
                  <w:vAlign w:val="center"/>
                </w:tcPr>
                <w:p w14:paraId="2BCFE170">
                  <w:pPr>
                    <w:adjustRightInd w:val="0"/>
                    <w:snapToGrid w:val="0"/>
                    <w:jc w:val="center"/>
                    <w:textAlignment w:val="baseline"/>
                    <w:rPr>
                      <w:b/>
                      <w:color w:val="auto"/>
                      <w:spacing w:val="4"/>
                      <w:sz w:val="21"/>
                      <w:szCs w:val="21"/>
                    </w:rPr>
                  </w:pPr>
                  <w:r>
                    <w:rPr>
                      <w:rFonts w:hint="eastAsia"/>
                      <w:b/>
                      <w:color w:val="auto"/>
                      <w:spacing w:val="4"/>
                      <w:sz w:val="21"/>
                      <w:szCs w:val="21"/>
                    </w:rPr>
                    <w:t>本项目</w:t>
                  </w:r>
                </w:p>
              </w:tc>
              <w:tc>
                <w:tcPr>
                  <w:tcW w:w="916" w:type="dxa"/>
                  <w:vMerge w:val="restart"/>
                  <w:tcBorders>
                    <w:top w:val="single" w:color="auto" w:sz="12" w:space="0"/>
                    <w:left w:val="single" w:color="auto" w:sz="4" w:space="0"/>
                    <w:bottom w:val="single" w:color="auto" w:sz="4" w:space="0"/>
                    <w:right w:val="single" w:color="auto" w:sz="4" w:space="0"/>
                  </w:tcBorders>
                  <w:vAlign w:val="center"/>
                </w:tcPr>
                <w:p w14:paraId="7B96E268">
                  <w:pPr>
                    <w:adjustRightInd w:val="0"/>
                    <w:snapToGrid w:val="0"/>
                    <w:jc w:val="center"/>
                    <w:textAlignment w:val="baseline"/>
                    <w:rPr>
                      <w:b/>
                      <w:color w:val="auto"/>
                      <w:spacing w:val="4"/>
                      <w:sz w:val="21"/>
                      <w:szCs w:val="21"/>
                    </w:rPr>
                  </w:pPr>
                  <w:r>
                    <w:rPr>
                      <w:b/>
                      <w:color w:val="auto"/>
                      <w:sz w:val="21"/>
                      <w:szCs w:val="21"/>
                    </w:rPr>
                    <w:t>以新带老削减量</w:t>
                  </w:r>
                </w:p>
              </w:tc>
              <w:tc>
                <w:tcPr>
                  <w:tcW w:w="2360" w:type="dxa"/>
                  <w:gridSpan w:val="2"/>
                  <w:tcBorders>
                    <w:top w:val="single" w:color="auto" w:sz="12" w:space="0"/>
                    <w:left w:val="single" w:color="auto" w:sz="4" w:space="0"/>
                    <w:bottom w:val="single" w:color="auto" w:sz="4" w:space="0"/>
                    <w:right w:val="single" w:color="auto" w:sz="4" w:space="0"/>
                  </w:tcBorders>
                  <w:vAlign w:val="center"/>
                </w:tcPr>
                <w:p w14:paraId="73125E23">
                  <w:pPr>
                    <w:adjustRightInd w:val="0"/>
                    <w:snapToGrid w:val="0"/>
                    <w:jc w:val="center"/>
                    <w:textAlignment w:val="baseline"/>
                    <w:rPr>
                      <w:b/>
                      <w:color w:val="auto"/>
                      <w:sz w:val="21"/>
                      <w:szCs w:val="21"/>
                    </w:rPr>
                  </w:pPr>
                  <w:r>
                    <w:rPr>
                      <w:rFonts w:hint="eastAsia"/>
                      <w:b/>
                      <w:color w:val="auto"/>
                      <w:sz w:val="21"/>
                      <w:szCs w:val="21"/>
                      <w:lang w:val="en-US" w:eastAsia="zh-CN"/>
                    </w:rPr>
                    <w:t>扩建</w:t>
                  </w:r>
                  <w:r>
                    <w:rPr>
                      <w:rFonts w:hint="eastAsia"/>
                      <w:b/>
                      <w:color w:val="auto"/>
                      <w:sz w:val="21"/>
                      <w:szCs w:val="21"/>
                    </w:rPr>
                    <w:t>后全厂排放增减量</w:t>
                  </w:r>
                </w:p>
              </w:tc>
              <w:tc>
                <w:tcPr>
                  <w:tcW w:w="2241" w:type="dxa"/>
                  <w:gridSpan w:val="2"/>
                  <w:tcBorders>
                    <w:top w:val="single" w:color="auto" w:sz="12" w:space="0"/>
                    <w:left w:val="single" w:color="auto" w:sz="4" w:space="0"/>
                    <w:bottom w:val="single" w:color="auto" w:sz="4" w:space="0"/>
                    <w:right w:val="nil"/>
                  </w:tcBorders>
                  <w:vAlign w:val="center"/>
                </w:tcPr>
                <w:p w14:paraId="45C5D8DD">
                  <w:pPr>
                    <w:adjustRightInd w:val="0"/>
                    <w:snapToGrid w:val="0"/>
                    <w:jc w:val="center"/>
                    <w:textAlignment w:val="baseline"/>
                    <w:rPr>
                      <w:b/>
                      <w:color w:val="auto"/>
                      <w:sz w:val="21"/>
                      <w:szCs w:val="21"/>
                    </w:rPr>
                  </w:pPr>
                  <w:r>
                    <w:rPr>
                      <w:rFonts w:hint="eastAsia"/>
                      <w:b/>
                      <w:color w:val="auto"/>
                      <w:sz w:val="21"/>
                      <w:szCs w:val="21"/>
                    </w:rPr>
                    <w:t>全厂排放量</w:t>
                  </w:r>
                </w:p>
              </w:tc>
            </w:tr>
            <w:tr w14:paraId="0D564352">
              <w:tblPrEx>
                <w:tblBorders>
                  <w:top w:val="single" w:color="auto" w:sz="12" w:space="0"/>
                  <w:left w:val="none" w:color="auto" w:sz="6" w:space="0"/>
                  <w:bottom w:val="single" w:color="auto" w:sz="12" w:space="0"/>
                  <w:right w:val="none" w:color="auto" w:sz="6"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1005" w:type="dxa"/>
                  <w:gridSpan w:val="2"/>
                  <w:vMerge w:val="continue"/>
                  <w:tcBorders>
                    <w:top w:val="single" w:color="auto" w:sz="4" w:space="0"/>
                    <w:left w:val="nil"/>
                    <w:bottom w:val="single" w:color="auto" w:sz="4" w:space="0"/>
                    <w:right w:val="single" w:color="auto" w:sz="4" w:space="0"/>
                  </w:tcBorders>
                  <w:vAlign w:val="center"/>
                </w:tcPr>
                <w:p w14:paraId="2E391634">
                  <w:pPr>
                    <w:adjustRightInd w:val="0"/>
                    <w:snapToGrid w:val="0"/>
                    <w:jc w:val="center"/>
                    <w:textAlignment w:val="baseline"/>
                    <w:rPr>
                      <w:color w:val="auto"/>
                    </w:rPr>
                  </w:pPr>
                </w:p>
              </w:tc>
              <w:tc>
                <w:tcPr>
                  <w:tcW w:w="1180" w:type="dxa"/>
                  <w:vMerge w:val="continue"/>
                  <w:tcBorders>
                    <w:top w:val="single" w:color="auto" w:sz="4" w:space="0"/>
                    <w:left w:val="single" w:color="auto" w:sz="4" w:space="0"/>
                    <w:bottom w:val="single" w:color="auto" w:sz="4" w:space="0"/>
                    <w:right w:val="single" w:color="auto" w:sz="4" w:space="0"/>
                  </w:tcBorders>
                  <w:vAlign w:val="center"/>
                </w:tcPr>
                <w:p w14:paraId="31878F5F">
                  <w:pPr>
                    <w:adjustRightInd w:val="0"/>
                    <w:snapToGrid w:val="0"/>
                    <w:jc w:val="center"/>
                    <w:textAlignment w:val="baseline"/>
                    <w:rPr>
                      <w:color w:val="auto"/>
                    </w:rPr>
                  </w:pPr>
                </w:p>
              </w:tc>
              <w:tc>
                <w:tcPr>
                  <w:tcW w:w="1040" w:type="dxa"/>
                  <w:vMerge w:val="continue"/>
                  <w:tcBorders>
                    <w:top w:val="single" w:color="auto" w:sz="4" w:space="0"/>
                    <w:left w:val="single" w:color="auto" w:sz="4" w:space="0"/>
                    <w:bottom w:val="single" w:color="auto" w:sz="4" w:space="0"/>
                    <w:right w:val="single" w:color="auto" w:sz="4" w:space="0"/>
                  </w:tcBorders>
                  <w:vAlign w:val="center"/>
                </w:tcPr>
                <w:p w14:paraId="086E410F">
                  <w:pPr>
                    <w:adjustRightInd w:val="0"/>
                    <w:snapToGrid w:val="0"/>
                    <w:jc w:val="center"/>
                    <w:textAlignment w:val="baseline"/>
                    <w:rPr>
                      <w:color w:val="auto"/>
                    </w:rPr>
                  </w:pPr>
                </w:p>
              </w:tc>
              <w:tc>
                <w:tcPr>
                  <w:tcW w:w="890" w:type="dxa"/>
                  <w:tcBorders>
                    <w:top w:val="single" w:color="auto" w:sz="4" w:space="0"/>
                    <w:left w:val="single" w:color="auto" w:sz="4" w:space="0"/>
                    <w:bottom w:val="single" w:color="auto" w:sz="4" w:space="0"/>
                    <w:right w:val="single" w:color="auto" w:sz="4" w:space="0"/>
                  </w:tcBorders>
                  <w:vAlign w:val="center"/>
                </w:tcPr>
                <w:p w14:paraId="5134EE9E">
                  <w:pPr>
                    <w:adjustRightInd w:val="0"/>
                    <w:snapToGrid w:val="0"/>
                    <w:jc w:val="center"/>
                    <w:textAlignment w:val="baseline"/>
                    <w:rPr>
                      <w:b/>
                      <w:color w:val="auto"/>
                      <w:spacing w:val="4"/>
                      <w:sz w:val="21"/>
                      <w:szCs w:val="21"/>
                    </w:rPr>
                  </w:pPr>
                  <w:r>
                    <w:rPr>
                      <w:b/>
                      <w:color w:val="auto"/>
                      <w:spacing w:val="4"/>
                      <w:sz w:val="21"/>
                      <w:szCs w:val="21"/>
                    </w:rPr>
                    <w:t>产生量</w:t>
                  </w:r>
                </w:p>
              </w:tc>
              <w:tc>
                <w:tcPr>
                  <w:tcW w:w="820" w:type="dxa"/>
                  <w:tcBorders>
                    <w:top w:val="single" w:color="auto" w:sz="4" w:space="0"/>
                    <w:left w:val="single" w:color="auto" w:sz="4" w:space="0"/>
                    <w:bottom w:val="single" w:color="auto" w:sz="4" w:space="0"/>
                    <w:right w:val="single" w:color="auto" w:sz="4" w:space="0"/>
                  </w:tcBorders>
                  <w:vAlign w:val="center"/>
                </w:tcPr>
                <w:p w14:paraId="30CA3FD9">
                  <w:pPr>
                    <w:adjustRightInd w:val="0"/>
                    <w:snapToGrid w:val="0"/>
                    <w:jc w:val="center"/>
                    <w:textAlignment w:val="baseline"/>
                    <w:rPr>
                      <w:b/>
                      <w:color w:val="auto"/>
                      <w:spacing w:val="4"/>
                      <w:sz w:val="21"/>
                      <w:szCs w:val="21"/>
                    </w:rPr>
                  </w:pPr>
                  <w:r>
                    <w:rPr>
                      <w:b/>
                      <w:color w:val="auto"/>
                      <w:spacing w:val="4"/>
                      <w:sz w:val="21"/>
                      <w:szCs w:val="21"/>
                    </w:rPr>
                    <w:t>削减量</w:t>
                  </w:r>
                </w:p>
              </w:tc>
              <w:tc>
                <w:tcPr>
                  <w:tcW w:w="1091" w:type="dxa"/>
                  <w:tcBorders>
                    <w:top w:val="single" w:color="auto" w:sz="4" w:space="0"/>
                    <w:left w:val="single" w:color="auto" w:sz="4" w:space="0"/>
                    <w:bottom w:val="single" w:color="auto" w:sz="4" w:space="0"/>
                    <w:right w:val="single" w:color="auto" w:sz="4" w:space="0"/>
                  </w:tcBorders>
                  <w:vAlign w:val="center"/>
                </w:tcPr>
                <w:p w14:paraId="63F1D84F">
                  <w:pPr>
                    <w:adjustRightInd w:val="0"/>
                    <w:snapToGrid w:val="0"/>
                    <w:jc w:val="center"/>
                    <w:textAlignment w:val="baseline"/>
                    <w:rPr>
                      <w:b/>
                      <w:color w:val="auto"/>
                      <w:spacing w:val="4"/>
                      <w:sz w:val="21"/>
                      <w:szCs w:val="21"/>
                    </w:rPr>
                  </w:pPr>
                  <w:r>
                    <w:rPr>
                      <w:rFonts w:hint="eastAsia"/>
                      <w:b/>
                      <w:color w:val="auto"/>
                      <w:spacing w:val="4"/>
                      <w:sz w:val="21"/>
                      <w:szCs w:val="21"/>
                    </w:rPr>
                    <w:t>接管排放量</w:t>
                  </w:r>
                </w:p>
              </w:tc>
              <w:tc>
                <w:tcPr>
                  <w:tcW w:w="1120" w:type="dxa"/>
                  <w:tcBorders>
                    <w:top w:val="single" w:color="auto" w:sz="4" w:space="0"/>
                    <w:left w:val="single" w:color="auto" w:sz="4" w:space="0"/>
                    <w:bottom w:val="single" w:color="auto" w:sz="4" w:space="0"/>
                    <w:right w:val="single" w:color="auto" w:sz="4" w:space="0"/>
                  </w:tcBorders>
                  <w:vAlign w:val="center"/>
                </w:tcPr>
                <w:p w14:paraId="5296DF9B">
                  <w:pPr>
                    <w:adjustRightInd w:val="0"/>
                    <w:snapToGrid w:val="0"/>
                    <w:jc w:val="center"/>
                    <w:textAlignment w:val="baseline"/>
                    <w:rPr>
                      <w:b/>
                      <w:color w:val="auto"/>
                      <w:spacing w:val="4"/>
                      <w:sz w:val="21"/>
                      <w:szCs w:val="21"/>
                    </w:rPr>
                  </w:pPr>
                  <w:r>
                    <w:rPr>
                      <w:rFonts w:hint="eastAsia"/>
                      <w:b/>
                      <w:color w:val="auto"/>
                      <w:spacing w:val="4"/>
                      <w:sz w:val="21"/>
                      <w:szCs w:val="21"/>
                    </w:rPr>
                    <w:t>排入外环境量</w:t>
                  </w:r>
                </w:p>
              </w:tc>
              <w:tc>
                <w:tcPr>
                  <w:tcW w:w="916" w:type="dxa"/>
                  <w:vMerge w:val="continue"/>
                  <w:tcBorders>
                    <w:top w:val="single" w:color="auto" w:sz="4" w:space="0"/>
                    <w:left w:val="single" w:color="auto" w:sz="4" w:space="0"/>
                    <w:bottom w:val="single" w:color="auto" w:sz="4" w:space="0"/>
                    <w:right w:val="single" w:color="auto" w:sz="4" w:space="0"/>
                  </w:tcBorders>
                  <w:vAlign w:val="center"/>
                </w:tcPr>
                <w:p w14:paraId="36661F34">
                  <w:pPr>
                    <w:adjustRightInd w:val="0"/>
                    <w:snapToGrid w:val="0"/>
                    <w:jc w:val="center"/>
                    <w:textAlignment w:val="baseline"/>
                    <w:rPr>
                      <w:b/>
                      <w:color w:val="auto"/>
                      <w:spacing w:val="4"/>
                      <w:sz w:val="21"/>
                      <w:szCs w:val="21"/>
                    </w:rPr>
                  </w:pPr>
                </w:p>
              </w:tc>
              <w:tc>
                <w:tcPr>
                  <w:tcW w:w="1200" w:type="dxa"/>
                  <w:tcBorders>
                    <w:top w:val="single" w:color="auto" w:sz="4" w:space="0"/>
                    <w:left w:val="single" w:color="auto" w:sz="4" w:space="0"/>
                    <w:bottom w:val="single" w:color="auto" w:sz="4" w:space="0"/>
                    <w:right w:val="single" w:color="auto" w:sz="4" w:space="0"/>
                  </w:tcBorders>
                  <w:vAlign w:val="center"/>
                </w:tcPr>
                <w:p w14:paraId="7E87452D">
                  <w:pPr>
                    <w:adjustRightInd w:val="0"/>
                    <w:snapToGrid w:val="0"/>
                    <w:jc w:val="center"/>
                    <w:textAlignment w:val="baseline"/>
                    <w:rPr>
                      <w:b/>
                      <w:color w:val="auto"/>
                      <w:spacing w:val="4"/>
                      <w:sz w:val="21"/>
                      <w:szCs w:val="21"/>
                    </w:rPr>
                  </w:pPr>
                  <w:r>
                    <w:rPr>
                      <w:rFonts w:hint="eastAsia"/>
                      <w:b/>
                      <w:color w:val="auto"/>
                      <w:spacing w:val="4"/>
                      <w:sz w:val="21"/>
                      <w:szCs w:val="21"/>
                    </w:rPr>
                    <w:t>接管量</w:t>
                  </w:r>
                </w:p>
              </w:tc>
              <w:tc>
                <w:tcPr>
                  <w:tcW w:w="1160" w:type="dxa"/>
                  <w:tcBorders>
                    <w:top w:val="single" w:color="auto" w:sz="4" w:space="0"/>
                    <w:left w:val="single" w:color="auto" w:sz="4" w:space="0"/>
                    <w:bottom w:val="single" w:color="auto" w:sz="4" w:space="0"/>
                    <w:right w:val="single" w:color="auto" w:sz="4" w:space="0"/>
                  </w:tcBorders>
                  <w:vAlign w:val="center"/>
                </w:tcPr>
                <w:p w14:paraId="482E1B58">
                  <w:pPr>
                    <w:adjustRightInd w:val="0"/>
                    <w:snapToGrid w:val="0"/>
                    <w:jc w:val="center"/>
                    <w:textAlignment w:val="baseline"/>
                    <w:rPr>
                      <w:b/>
                      <w:color w:val="auto"/>
                      <w:spacing w:val="4"/>
                      <w:sz w:val="21"/>
                      <w:szCs w:val="21"/>
                    </w:rPr>
                  </w:pPr>
                  <w:r>
                    <w:rPr>
                      <w:rFonts w:hint="eastAsia"/>
                      <w:b/>
                      <w:color w:val="auto"/>
                      <w:spacing w:val="4"/>
                      <w:sz w:val="21"/>
                      <w:szCs w:val="21"/>
                    </w:rPr>
                    <w:t>外排量</w:t>
                  </w:r>
                </w:p>
              </w:tc>
              <w:tc>
                <w:tcPr>
                  <w:tcW w:w="1128" w:type="dxa"/>
                  <w:tcBorders>
                    <w:top w:val="single" w:color="auto" w:sz="4" w:space="0"/>
                    <w:left w:val="single" w:color="auto" w:sz="4" w:space="0"/>
                    <w:bottom w:val="single" w:color="auto" w:sz="4" w:space="0"/>
                    <w:right w:val="single" w:color="auto" w:sz="4" w:space="0"/>
                  </w:tcBorders>
                  <w:vAlign w:val="center"/>
                </w:tcPr>
                <w:p w14:paraId="77E05014">
                  <w:pPr>
                    <w:adjustRightInd w:val="0"/>
                    <w:snapToGrid w:val="0"/>
                    <w:jc w:val="center"/>
                    <w:textAlignment w:val="baseline"/>
                    <w:rPr>
                      <w:b/>
                      <w:color w:val="auto"/>
                      <w:spacing w:val="4"/>
                      <w:sz w:val="21"/>
                      <w:szCs w:val="21"/>
                    </w:rPr>
                  </w:pPr>
                  <w:r>
                    <w:rPr>
                      <w:rFonts w:hint="eastAsia"/>
                      <w:b/>
                      <w:color w:val="auto"/>
                      <w:spacing w:val="4"/>
                      <w:sz w:val="21"/>
                      <w:szCs w:val="21"/>
                    </w:rPr>
                    <w:t>全厂接管量</w:t>
                  </w:r>
                </w:p>
              </w:tc>
              <w:tc>
                <w:tcPr>
                  <w:tcW w:w="1113" w:type="dxa"/>
                  <w:tcBorders>
                    <w:top w:val="single" w:color="auto" w:sz="4" w:space="0"/>
                    <w:left w:val="single" w:color="auto" w:sz="4" w:space="0"/>
                    <w:bottom w:val="single" w:color="auto" w:sz="4" w:space="0"/>
                    <w:right w:val="nil"/>
                  </w:tcBorders>
                  <w:vAlign w:val="center"/>
                </w:tcPr>
                <w:p w14:paraId="435961FB">
                  <w:pPr>
                    <w:adjustRightInd w:val="0"/>
                    <w:snapToGrid w:val="0"/>
                    <w:jc w:val="center"/>
                    <w:textAlignment w:val="baseline"/>
                    <w:rPr>
                      <w:b/>
                      <w:color w:val="auto"/>
                      <w:spacing w:val="4"/>
                      <w:sz w:val="21"/>
                      <w:szCs w:val="21"/>
                    </w:rPr>
                  </w:pPr>
                  <w:r>
                    <w:rPr>
                      <w:rFonts w:hint="eastAsia"/>
                      <w:b/>
                      <w:color w:val="auto"/>
                      <w:spacing w:val="4"/>
                      <w:sz w:val="21"/>
                      <w:szCs w:val="21"/>
                    </w:rPr>
                    <w:t>全厂外排量</w:t>
                  </w:r>
                </w:p>
              </w:tc>
            </w:tr>
            <w:tr w14:paraId="61A628D0">
              <w:tblPrEx>
                <w:tblBorders>
                  <w:top w:val="single" w:color="auto" w:sz="12" w:space="0"/>
                  <w:left w:val="none" w:color="auto" w:sz="6" w:space="0"/>
                  <w:bottom w:val="single" w:color="auto" w:sz="12" w:space="0"/>
                  <w:right w:val="none" w:color="auto" w:sz="6" w:space="0"/>
                  <w:insideH w:val="single" w:color="auto" w:sz="6" w:space="0"/>
                  <w:insideV w:val="single" w:color="auto" w:sz="6" w:space="0"/>
                </w:tblBorders>
                <w:tblCellMar>
                  <w:top w:w="0" w:type="dxa"/>
                  <w:left w:w="108" w:type="dxa"/>
                  <w:bottom w:w="0" w:type="dxa"/>
                  <w:right w:w="108" w:type="dxa"/>
                </w:tblCellMar>
              </w:tblPrEx>
              <w:trPr>
                <w:trHeight w:val="192" w:hRule="atLeast"/>
                <w:jc w:val="center"/>
              </w:trPr>
              <w:tc>
                <w:tcPr>
                  <w:tcW w:w="362" w:type="dxa"/>
                  <w:vMerge w:val="restart"/>
                  <w:tcBorders>
                    <w:top w:val="single" w:color="auto" w:sz="4" w:space="0"/>
                    <w:left w:val="nil"/>
                    <w:right w:val="single" w:color="auto" w:sz="4" w:space="0"/>
                  </w:tcBorders>
                  <w:vAlign w:val="center"/>
                </w:tcPr>
                <w:p w14:paraId="6C6067A5">
                  <w:pPr>
                    <w:jc w:val="center"/>
                    <w:rPr>
                      <w:color w:val="auto"/>
                      <w:spacing w:val="4"/>
                      <w:sz w:val="21"/>
                      <w:szCs w:val="21"/>
                    </w:rPr>
                  </w:pPr>
                  <w:r>
                    <w:rPr>
                      <w:color w:val="auto"/>
                      <w:sz w:val="21"/>
                      <w:szCs w:val="21"/>
                    </w:rPr>
                    <w:t>废气</w:t>
                  </w:r>
                </w:p>
              </w:tc>
              <w:tc>
                <w:tcPr>
                  <w:tcW w:w="643" w:type="dxa"/>
                  <w:tcBorders>
                    <w:top w:val="single" w:color="auto" w:sz="4" w:space="0"/>
                    <w:left w:val="single" w:color="auto" w:sz="4" w:space="0"/>
                    <w:right w:val="single" w:color="auto" w:sz="4" w:space="0"/>
                  </w:tcBorders>
                  <w:vAlign w:val="center"/>
                </w:tcPr>
                <w:p w14:paraId="5620810E">
                  <w:pPr>
                    <w:widowControl/>
                    <w:jc w:val="center"/>
                    <w:textAlignment w:val="center"/>
                    <w:rPr>
                      <w:rFonts w:hint="eastAsia" w:eastAsia="宋体"/>
                      <w:color w:val="auto"/>
                      <w:kern w:val="0"/>
                      <w:sz w:val="21"/>
                      <w:szCs w:val="21"/>
                      <w:lang w:val="en-US" w:eastAsia="zh-CN" w:bidi="ar"/>
                    </w:rPr>
                  </w:pPr>
                  <w:r>
                    <w:rPr>
                      <w:rFonts w:hint="eastAsia"/>
                      <w:color w:val="auto"/>
                      <w:kern w:val="0"/>
                      <w:sz w:val="21"/>
                      <w:szCs w:val="21"/>
                      <w:lang w:val="en-US" w:eastAsia="zh-CN" w:bidi="ar"/>
                    </w:rPr>
                    <w:t>有组织</w:t>
                  </w:r>
                </w:p>
              </w:tc>
              <w:tc>
                <w:tcPr>
                  <w:tcW w:w="1180" w:type="dxa"/>
                  <w:tcBorders>
                    <w:top w:val="single" w:color="auto" w:sz="4" w:space="0"/>
                    <w:left w:val="single" w:color="auto" w:sz="4" w:space="0"/>
                    <w:bottom w:val="single" w:color="auto" w:sz="4" w:space="0"/>
                    <w:right w:val="single" w:color="auto" w:sz="4" w:space="0"/>
                  </w:tcBorders>
                  <w:vAlign w:val="center"/>
                </w:tcPr>
                <w:p w14:paraId="05E90325">
                  <w:pPr>
                    <w:widowControl/>
                    <w:jc w:val="center"/>
                    <w:textAlignment w:val="center"/>
                    <w:rPr>
                      <w:rFonts w:hint="eastAsia"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颗粒物</w:t>
                  </w:r>
                </w:p>
              </w:tc>
              <w:tc>
                <w:tcPr>
                  <w:tcW w:w="1040" w:type="dxa"/>
                  <w:tcBorders>
                    <w:top w:val="single" w:color="auto" w:sz="4" w:space="0"/>
                    <w:left w:val="single" w:color="auto" w:sz="4" w:space="0"/>
                    <w:bottom w:val="single" w:color="auto" w:sz="4" w:space="0"/>
                    <w:right w:val="single" w:color="auto" w:sz="4" w:space="0"/>
                  </w:tcBorders>
                  <w:shd w:val="clear" w:color="auto" w:fill="auto"/>
                  <w:vAlign w:val="center"/>
                </w:tcPr>
                <w:p w14:paraId="16AA1270">
                  <w:pPr>
                    <w:keepNext w:val="0"/>
                    <w:keepLines w:val="0"/>
                    <w:pageBreakBefore w:val="0"/>
                    <w:widowControl/>
                    <w:suppressLineNumbers w:val="0"/>
                    <w:kinsoku/>
                    <w:wordWrap/>
                    <w:overflowPunct/>
                    <w:topLinePunct w:val="0"/>
                    <w:autoSpaceDE/>
                    <w:autoSpaceDN/>
                    <w:bidi w:val="0"/>
                    <w:spacing w:beforeAutospacing="0" w:afterAutospacing="0"/>
                    <w:ind w:left="0" w:leftChars="0" w:right="0" w:rightChars="0"/>
                    <w:jc w:val="center"/>
                    <w:textAlignment w:val="center"/>
                    <w:rPr>
                      <w:rFonts w:hint="eastAsia"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w:t>
                  </w:r>
                </w:p>
              </w:tc>
              <w:tc>
                <w:tcPr>
                  <w:tcW w:w="890" w:type="dxa"/>
                  <w:tcBorders>
                    <w:top w:val="single" w:color="auto" w:sz="4" w:space="0"/>
                    <w:left w:val="single" w:color="auto" w:sz="4" w:space="0"/>
                    <w:bottom w:val="single" w:color="auto" w:sz="4" w:space="0"/>
                    <w:right w:val="single" w:color="auto" w:sz="4" w:space="0"/>
                  </w:tcBorders>
                  <w:shd w:val="clear" w:color="auto" w:fill="auto"/>
                  <w:vAlign w:val="center"/>
                </w:tcPr>
                <w:p w14:paraId="7A5492A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0.172</w:t>
                  </w:r>
                </w:p>
              </w:tc>
              <w:tc>
                <w:tcPr>
                  <w:tcW w:w="820" w:type="dxa"/>
                  <w:tcBorders>
                    <w:top w:val="single" w:color="auto" w:sz="4" w:space="0"/>
                    <w:left w:val="single" w:color="auto" w:sz="4" w:space="0"/>
                    <w:bottom w:val="single" w:color="auto" w:sz="4" w:space="0"/>
                    <w:right w:val="single" w:color="auto" w:sz="4" w:space="0"/>
                  </w:tcBorders>
                  <w:vAlign w:val="center"/>
                </w:tcPr>
                <w:p w14:paraId="40320890">
                  <w:pPr>
                    <w:widowControl/>
                    <w:jc w:val="center"/>
                    <w:textAlignment w:val="center"/>
                    <w:rPr>
                      <w:rFonts w:hint="default"/>
                      <w:color w:val="auto"/>
                      <w:kern w:val="0"/>
                      <w:sz w:val="21"/>
                      <w:szCs w:val="21"/>
                      <w:lang w:val="en-US" w:eastAsia="zh-CN" w:bidi="ar"/>
                    </w:rPr>
                  </w:pPr>
                  <w:r>
                    <w:rPr>
                      <w:rFonts w:hint="eastAsia"/>
                      <w:color w:val="auto"/>
                      <w:kern w:val="0"/>
                      <w:sz w:val="21"/>
                      <w:szCs w:val="21"/>
                      <w:lang w:val="en-US" w:eastAsia="zh-CN" w:bidi="ar"/>
                    </w:rPr>
                    <w:t>0.1634</w:t>
                  </w:r>
                </w:p>
              </w:tc>
              <w:tc>
                <w:tcPr>
                  <w:tcW w:w="1091" w:type="dxa"/>
                  <w:tcBorders>
                    <w:top w:val="single" w:color="auto" w:sz="4" w:space="0"/>
                    <w:left w:val="single" w:color="auto" w:sz="4" w:space="0"/>
                    <w:bottom w:val="single" w:color="auto" w:sz="4" w:space="0"/>
                    <w:right w:val="single" w:color="auto" w:sz="4" w:space="0"/>
                  </w:tcBorders>
                  <w:vAlign w:val="center"/>
                </w:tcPr>
                <w:p w14:paraId="448004BE">
                  <w:pPr>
                    <w:widowControl/>
                    <w:jc w:val="center"/>
                    <w:textAlignment w:val="center"/>
                    <w:rPr>
                      <w:rFonts w:hint="default"/>
                      <w:color w:val="auto"/>
                      <w:sz w:val="21"/>
                      <w:szCs w:val="21"/>
                      <w:lang w:val="en-US" w:eastAsia="zh-CN"/>
                    </w:rPr>
                  </w:pPr>
                  <w:r>
                    <w:rPr>
                      <w:rFonts w:hint="eastAsia"/>
                      <w:color w:val="auto"/>
                      <w:sz w:val="21"/>
                      <w:szCs w:val="21"/>
                      <w:lang w:val="en-US" w:eastAsia="zh-CN"/>
                    </w:rPr>
                    <w:t>/</w:t>
                  </w:r>
                </w:p>
              </w:tc>
              <w:tc>
                <w:tcPr>
                  <w:tcW w:w="1120" w:type="dxa"/>
                  <w:tcBorders>
                    <w:top w:val="single" w:color="auto" w:sz="4" w:space="0"/>
                    <w:left w:val="single" w:color="auto" w:sz="4" w:space="0"/>
                    <w:bottom w:val="single" w:color="auto" w:sz="4" w:space="0"/>
                    <w:right w:val="single" w:color="auto" w:sz="4" w:space="0"/>
                  </w:tcBorders>
                  <w:shd w:val="clear" w:color="auto" w:fill="auto"/>
                  <w:vAlign w:val="center"/>
                </w:tcPr>
                <w:p w14:paraId="4BDC5F5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0.0086</w:t>
                  </w:r>
                </w:p>
              </w:tc>
              <w:tc>
                <w:tcPr>
                  <w:tcW w:w="916" w:type="dxa"/>
                  <w:tcBorders>
                    <w:top w:val="single" w:color="auto" w:sz="4" w:space="0"/>
                    <w:left w:val="single" w:color="auto" w:sz="4" w:space="0"/>
                    <w:bottom w:val="single" w:color="auto" w:sz="4" w:space="0"/>
                    <w:right w:val="single" w:color="auto" w:sz="4" w:space="0"/>
                  </w:tcBorders>
                  <w:vAlign w:val="center"/>
                </w:tcPr>
                <w:p w14:paraId="2F902608">
                  <w:pPr>
                    <w:keepNext w:val="0"/>
                    <w:keepLines w:val="0"/>
                    <w:pageBreakBefore w:val="0"/>
                    <w:widowControl/>
                    <w:suppressLineNumbers w:val="0"/>
                    <w:kinsoku/>
                    <w:wordWrap/>
                    <w:overflowPunct/>
                    <w:topLinePunct w:val="0"/>
                    <w:autoSpaceDE/>
                    <w:autoSpaceDN/>
                    <w:bidi w:val="0"/>
                    <w:spacing w:beforeAutospacing="0" w:afterAutospacing="0"/>
                    <w:ind w:left="0" w:leftChars="0" w:right="0" w:rightChars="0"/>
                    <w:jc w:val="center"/>
                    <w:textAlignment w:val="center"/>
                    <w:rPr>
                      <w:rFonts w:hint="default"/>
                      <w:color w:val="auto"/>
                      <w:sz w:val="21"/>
                      <w:szCs w:val="21"/>
                      <w:lang w:val="en-US" w:eastAsia="zh-CN"/>
                    </w:rPr>
                  </w:pPr>
                  <w:r>
                    <w:rPr>
                      <w:rFonts w:hint="eastAsia"/>
                      <w:color w:val="auto"/>
                      <w:sz w:val="21"/>
                      <w:szCs w:val="21"/>
                      <w:lang w:val="en-US" w:eastAsia="zh-CN"/>
                    </w:rPr>
                    <w:t>/</w:t>
                  </w:r>
                </w:p>
              </w:tc>
              <w:tc>
                <w:tcPr>
                  <w:tcW w:w="1200" w:type="dxa"/>
                  <w:tcBorders>
                    <w:top w:val="single" w:color="auto" w:sz="4" w:space="0"/>
                    <w:left w:val="single" w:color="auto" w:sz="4" w:space="0"/>
                    <w:bottom w:val="single" w:color="auto" w:sz="4" w:space="0"/>
                    <w:right w:val="single" w:color="auto" w:sz="4" w:space="0"/>
                  </w:tcBorders>
                  <w:vAlign w:val="center"/>
                </w:tcPr>
                <w:p w14:paraId="34A1A6C7">
                  <w:pPr>
                    <w:widowControl/>
                    <w:jc w:val="center"/>
                    <w:textAlignment w:val="center"/>
                    <w:rPr>
                      <w:rFonts w:hint="eastAsia" w:eastAsia="宋体"/>
                      <w:color w:val="auto"/>
                      <w:sz w:val="21"/>
                      <w:szCs w:val="21"/>
                      <w:lang w:val="en-US" w:eastAsia="zh-CN"/>
                    </w:rPr>
                  </w:pPr>
                  <w:r>
                    <w:rPr>
                      <w:rFonts w:hint="eastAsia"/>
                      <w:color w:val="auto"/>
                      <w:sz w:val="21"/>
                      <w:szCs w:val="21"/>
                      <w:lang w:val="en-US" w:eastAsia="zh-CN"/>
                    </w:rPr>
                    <w:t>/</w:t>
                  </w:r>
                </w:p>
              </w:tc>
              <w:tc>
                <w:tcPr>
                  <w:tcW w:w="1160" w:type="dxa"/>
                  <w:tcBorders>
                    <w:top w:val="single" w:color="auto" w:sz="4" w:space="0"/>
                    <w:left w:val="single" w:color="auto" w:sz="4" w:space="0"/>
                    <w:bottom w:val="single" w:color="auto" w:sz="4" w:space="0"/>
                    <w:right w:val="single" w:color="auto" w:sz="4" w:space="0"/>
                  </w:tcBorders>
                  <w:shd w:val="clear" w:color="auto" w:fill="auto"/>
                  <w:vAlign w:val="center"/>
                </w:tcPr>
                <w:p w14:paraId="55A1FE7C">
                  <w:pPr>
                    <w:keepNext w:val="0"/>
                    <w:keepLines w:val="0"/>
                    <w:widowControl/>
                    <w:suppressLineNumbers w:val="0"/>
                    <w:jc w:val="center"/>
                    <w:textAlignment w:val="center"/>
                    <w:rPr>
                      <w:rFonts w:hint="eastAsia" w:ascii="Times New Roman" w:hAnsi="Times New Roman"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w:t>
                  </w:r>
                  <w:r>
                    <w:rPr>
                      <w:rFonts w:hint="default" w:ascii="Times New Roman" w:hAnsi="Times New Roman" w:eastAsia="宋体" w:cs="Times New Roman"/>
                      <w:i w:val="0"/>
                      <w:iCs w:val="0"/>
                      <w:color w:val="auto"/>
                      <w:kern w:val="0"/>
                      <w:sz w:val="21"/>
                      <w:szCs w:val="21"/>
                      <w:u w:val="none"/>
                      <w:lang w:val="en-US" w:eastAsia="zh-CN" w:bidi="ar"/>
                    </w:rPr>
                    <w:t>0.0086</w:t>
                  </w:r>
                </w:p>
              </w:tc>
              <w:tc>
                <w:tcPr>
                  <w:tcW w:w="1128" w:type="dxa"/>
                  <w:tcBorders>
                    <w:top w:val="single" w:color="auto" w:sz="4" w:space="0"/>
                    <w:left w:val="single" w:color="auto" w:sz="4" w:space="0"/>
                    <w:bottom w:val="single" w:color="auto" w:sz="4" w:space="0"/>
                    <w:right w:val="single" w:color="auto" w:sz="4" w:space="0"/>
                  </w:tcBorders>
                  <w:vAlign w:val="center"/>
                </w:tcPr>
                <w:p w14:paraId="69CDB639">
                  <w:pPr>
                    <w:widowControl/>
                    <w:jc w:val="center"/>
                    <w:textAlignment w:val="center"/>
                    <w:rPr>
                      <w:rFonts w:hint="eastAsia" w:eastAsia="宋体"/>
                      <w:color w:val="auto"/>
                      <w:sz w:val="21"/>
                      <w:szCs w:val="21"/>
                      <w:lang w:val="en-US" w:eastAsia="zh-CN"/>
                    </w:rPr>
                  </w:pPr>
                  <w:r>
                    <w:rPr>
                      <w:rFonts w:hint="eastAsia"/>
                      <w:color w:val="auto"/>
                      <w:sz w:val="21"/>
                      <w:szCs w:val="21"/>
                      <w:lang w:val="en-US" w:eastAsia="zh-CN"/>
                    </w:rPr>
                    <w:t>/</w:t>
                  </w:r>
                </w:p>
              </w:tc>
              <w:tc>
                <w:tcPr>
                  <w:tcW w:w="1113" w:type="dxa"/>
                  <w:tcBorders>
                    <w:top w:val="single" w:color="auto" w:sz="4" w:space="0"/>
                    <w:left w:val="single" w:color="auto" w:sz="4" w:space="0"/>
                    <w:bottom w:val="single" w:color="auto" w:sz="4" w:space="0"/>
                    <w:right w:val="nil"/>
                  </w:tcBorders>
                  <w:shd w:val="clear" w:color="auto" w:fill="auto"/>
                  <w:vAlign w:val="center"/>
                </w:tcPr>
                <w:p w14:paraId="2FA38C1A">
                  <w:pPr>
                    <w:keepNext w:val="0"/>
                    <w:keepLines w:val="0"/>
                    <w:pageBreakBefore w:val="0"/>
                    <w:kinsoku/>
                    <w:wordWrap/>
                    <w:overflowPunct/>
                    <w:topLinePunct w:val="0"/>
                    <w:autoSpaceDE/>
                    <w:autoSpaceDN/>
                    <w:bidi w:val="0"/>
                    <w:jc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0.0086</w:t>
                  </w:r>
                </w:p>
              </w:tc>
            </w:tr>
            <w:tr w14:paraId="0D98C326">
              <w:tblPrEx>
                <w:tblBorders>
                  <w:top w:val="single" w:color="auto" w:sz="12" w:space="0"/>
                  <w:left w:val="none" w:color="auto" w:sz="6" w:space="0"/>
                  <w:bottom w:val="single" w:color="auto" w:sz="12" w:space="0"/>
                  <w:right w:val="none" w:color="auto" w:sz="6" w:space="0"/>
                  <w:insideH w:val="single" w:color="auto" w:sz="6" w:space="0"/>
                  <w:insideV w:val="single" w:color="auto" w:sz="6" w:space="0"/>
                </w:tblBorders>
                <w:tblCellMar>
                  <w:top w:w="0" w:type="dxa"/>
                  <w:left w:w="108" w:type="dxa"/>
                  <w:bottom w:w="0" w:type="dxa"/>
                  <w:right w:w="108" w:type="dxa"/>
                </w:tblCellMar>
              </w:tblPrEx>
              <w:trPr>
                <w:trHeight w:val="192" w:hRule="atLeast"/>
                <w:jc w:val="center"/>
              </w:trPr>
              <w:tc>
                <w:tcPr>
                  <w:tcW w:w="362" w:type="dxa"/>
                  <w:vMerge w:val="continue"/>
                  <w:tcBorders>
                    <w:left w:val="nil"/>
                    <w:right w:val="single" w:color="auto" w:sz="4" w:space="0"/>
                  </w:tcBorders>
                  <w:vAlign w:val="center"/>
                </w:tcPr>
                <w:p w14:paraId="4F87671D">
                  <w:pPr>
                    <w:jc w:val="center"/>
                    <w:rPr>
                      <w:color w:val="auto"/>
                      <w:spacing w:val="4"/>
                      <w:sz w:val="21"/>
                      <w:szCs w:val="21"/>
                    </w:rPr>
                  </w:pPr>
                </w:p>
              </w:tc>
              <w:tc>
                <w:tcPr>
                  <w:tcW w:w="643" w:type="dxa"/>
                  <w:vMerge w:val="restart"/>
                  <w:tcBorders>
                    <w:top w:val="single" w:color="auto" w:sz="4" w:space="0"/>
                    <w:left w:val="single" w:color="auto" w:sz="4" w:space="0"/>
                    <w:right w:val="single" w:color="auto" w:sz="4" w:space="0"/>
                  </w:tcBorders>
                  <w:vAlign w:val="center"/>
                </w:tcPr>
                <w:p w14:paraId="2D3271D7">
                  <w:pPr>
                    <w:widowControl/>
                    <w:jc w:val="center"/>
                    <w:textAlignment w:val="center"/>
                    <w:rPr>
                      <w:color w:val="auto"/>
                      <w:spacing w:val="4"/>
                      <w:sz w:val="21"/>
                      <w:szCs w:val="21"/>
                    </w:rPr>
                  </w:pPr>
                  <w:r>
                    <w:rPr>
                      <w:color w:val="auto"/>
                      <w:kern w:val="0"/>
                      <w:sz w:val="21"/>
                      <w:szCs w:val="21"/>
                      <w:lang w:bidi="ar"/>
                    </w:rPr>
                    <w:t>无组织</w:t>
                  </w:r>
                </w:p>
              </w:tc>
              <w:tc>
                <w:tcPr>
                  <w:tcW w:w="1180" w:type="dxa"/>
                  <w:tcBorders>
                    <w:top w:val="single" w:color="auto" w:sz="4" w:space="0"/>
                    <w:left w:val="single" w:color="auto" w:sz="4" w:space="0"/>
                    <w:bottom w:val="single" w:color="auto" w:sz="4" w:space="0"/>
                    <w:right w:val="single" w:color="auto" w:sz="4" w:space="0"/>
                  </w:tcBorders>
                  <w:vAlign w:val="center"/>
                </w:tcPr>
                <w:p w14:paraId="627183CC">
                  <w:pPr>
                    <w:widowControl/>
                    <w:jc w:val="center"/>
                    <w:textAlignment w:val="center"/>
                    <w:rPr>
                      <w:rFonts w:hint="eastAsia" w:ascii="Times New Roman" w:hAnsi="Times New Roman" w:cs="Times New Roman"/>
                      <w:color w:val="auto"/>
                      <w:sz w:val="21"/>
                      <w:szCs w:val="21"/>
                    </w:rPr>
                  </w:pPr>
                  <w:r>
                    <w:rPr>
                      <w:rFonts w:hint="eastAsia" w:ascii="Times New Roman" w:hAnsi="Times New Roman" w:cs="Times New Roman"/>
                      <w:color w:val="auto"/>
                      <w:sz w:val="21"/>
                      <w:szCs w:val="21"/>
                      <w:lang w:val="en-US" w:eastAsia="zh-CN"/>
                    </w:rPr>
                    <w:t>颗粒物</w:t>
                  </w:r>
                </w:p>
              </w:tc>
              <w:tc>
                <w:tcPr>
                  <w:tcW w:w="1040" w:type="dxa"/>
                  <w:tcBorders>
                    <w:top w:val="single" w:color="auto" w:sz="4" w:space="0"/>
                    <w:left w:val="single" w:color="auto" w:sz="4" w:space="0"/>
                    <w:bottom w:val="single" w:color="auto" w:sz="4" w:space="0"/>
                    <w:right w:val="single" w:color="auto" w:sz="4" w:space="0"/>
                  </w:tcBorders>
                  <w:shd w:val="clear" w:color="auto" w:fill="auto"/>
                  <w:vAlign w:val="center"/>
                </w:tcPr>
                <w:p w14:paraId="73290DFF">
                  <w:pPr>
                    <w:keepNext w:val="0"/>
                    <w:keepLines w:val="0"/>
                    <w:pageBreakBefore w:val="0"/>
                    <w:widowControl/>
                    <w:suppressLineNumbers w:val="0"/>
                    <w:kinsoku/>
                    <w:wordWrap/>
                    <w:overflowPunct/>
                    <w:topLinePunct w:val="0"/>
                    <w:autoSpaceDE/>
                    <w:autoSpaceDN/>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w:t>
                  </w:r>
                </w:p>
              </w:tc>
              <w:tc>
                <w:tcPr>
                  <w:tcW w:w="890" w:type="dxa"/>
                  <w:tcBorders>
                    <w:top w:val="single" w:color="auto" w:sz="4" w:space="0"/>
                    <w:left w:val="single" w:color="auto" w:sz="4" w:space="0"/>
                    <w:bottom w:val="single" w:color="auto" w:sz="4" w:space="0"/>
                    <w:right w:val="single" w:color="auto" w:sz="4" w:space="0"/>
                  </w:tcBorders>
                  <w:shd w:val="clear" w:color="auto" w:fill="auto"/>
                  <w:vAlign w:val="center"/>
                </w:tcPr>
                <w:p w14:paraId="6AD59375">
                  <w:pPr>
                    <w:keepNext w:val="0"/>
                    <w:keepLines w:val="0"/>
                    <w:widowControl/>
                    <w:suppressLineNumbers w:val="0"/>
                    <w:jc w:val="center"/>
                    <w:textAlignment w:val="center"/>
                    <w:rPr>
                      <w:rFonts w:hint="default" w:ascii="Times New Roman" w:hAnsi="Times New Roman" w:eastAsia="宋体" w:cs="Times New Roman"/>
                      <w:color w:val="auto"/>
                      <w:kern w:val="2"/>
                      <w:sz w:val="21"/>
                      <w:szCs w:val="21"/>
                      <w:lang w:val="en-US" w:eastAsia="zh-CN" w:bidi="ar"/>
                    </w:rPr>
                  </w:pPr>
                  <w:r>
                    <w:rPr>
                      <w:rFonts w:hint="default" w:ascii="Times New Roman" w:hAnsi="Times New Roman" w:eastAsia="宋体" w:cs="Times New Roman"/>
                      <w:color w:val="auto"/>
                      <w:kern w:val="2"/>
                      <w:sz w:val="21"/>
                      <w:szCs w:val="21"/>
                      <w:lang w:val="en-US" w:eastAsia="zh-CN" w:bidi="ar"/>
                    </w:rPr>
                    <w:t>0.0434</w:t>
                  </w:r>
                </w:p>
              </w:tc>
              <w:tc>
                <w:tcPr>
                  <w:tcW w:w="820" w:type="dxa"/>
                  <w:tcBorders>
                    <w:top w:val="single" w:color="auto" w:sz="4" w:space="0"/>
                    <w:left w:val="single" w:color="auto" w:sz="4" w:space="0"/>
                    <w:bottom w:val="single" w:color="auto" w:sz="4" w:space="0"/>
                    <w:right w:val="single" w:color="auto" w:sz="4" w:space="0"/>
                  </w:tcBorders>
                  <w:vAlign w:val="center"/>
                </w:tcPr>
                <w:p w14:paraId="6CC20D20">
                  <w:pPr>
                    <w:widowControl/>
                    <w:jc w:val="center"/>
                    <w:textAlignment w:val="center"/>
                    <w:rPr>
                      <w:rFonts w:hint="default" w:eastAsia="宋体"/>
                      <w:color w:val="auto"/>
                      <w:kern w:val="0"/>
                      <w:sz w:val="21"/>
                      <w:szCs w:val="21"/>
                      <w:lang w:val="en-US" w:eastAsia="zh-CN" w:bidi="ar"/>
                    </w:rPr>
                  </w:pPr>
                  <w:r>
                    <w:rPr>
                      <w:rFonts w:hint="eastAsia"/>
                      <w:color w:val="auto"/>
                      <w:kern w:val="0"/>
                      <w:sz w:val="21"/>
                      <w:szCs w:val="21"/>
                      <w:lang w:val="en-US" w:eastAsia="zh-CN" w:bidi="ar"/>
                    </w:rPr>
                    <w:t>0.0003</w:t>
                  </w:r>
                </w:p>
              </w:tc>
              <w:tc>
                <w:tcPr>
                  <w:tcW w:w="1091" w:type="dxa"/>
                  <w:tcBorders>
                    <w:top w:val="single" w:color="auto" w:sz="4" w:space="0"/>
                    <w:left w:val="single" w:color="auto" w:sz="4" w:space="0"/>
                    <w:bottom w:val="single" w:color="auto" w:sz="4" w:space="0"/>
                    <w:right w:val="single" w:color="auto" w:sz="4" w:space="0"/>
                  </w:tcBorders>
                  <w:vAlign w:val="center"/>
                </w:tcPr>
                <w:p w14:paraId="5B514B60">
                  <w:pPr>
                    <w:widowControl/>
                    <w:jc w:val="center"/>
                    <w:textAlignment w:val="center"/>
                    <w:rPr>
                      <w:rFonts w:hint="eastAsia" w:eastAsia="宋体"/>
                      <w:color w:val="auto"/>
                      <w:sz w:val="21"/>
                      <w:szCs w:val="21"/>
                      <w:lang w:val="en-US" w:eastAsia="zh-CN"/>
                    </w:rPr>
                  </w:pPr>
                  <w:r>
                    <w:rPr>
                      <w:rFonts w:hint="eastAsia"/>
                      <w:color w:val="auto"/>
                      <w:sz w:val="21"/>
                      <w:szCs w:val="21"/>
                      <w:lang w:val="en-US" w:eastAsia="zh-CN"/>
                    </w:rPr>
                    <w:t>/</w:t>
                  </w:r>
                </w:p>
              </w:tc>
              <w:tc>
                <w:tcPr>
                  <w:tcW w:w="1120" w:type="dxa"/>
                  <w:tcBorders>
                    <w:top w:val="single" w:color="auto" w:sz="4" w:space="0"/>
                    <w:left w:val="single" w:color="auto" w:sz="4" w:space="0"/>
                    <w:bottom w:val="single" w:color="auto" w:sz="4" w:space="0"/>
                    <w:right w:val="single" w:color="auto" w:sz="4" w:space="0"/>
                  </w:tcBorders>
                  <w:shd w:val="clear" w:color="auto" w:fill="auto"/>
                  <w:vAlign w:val="center"/>
                </w:tcPr>
                <w:p w14:paraId="63F82F6F">
                  <w:pPr>
                    <w:keepNext w:val="0"/>
                    <w:keepLines w:val="0"/>
                    <w:widowControl/>
                    <w:suppressLineNumbers w:val="0"/>
                    <w:jc w:val="center"/>
                    <w:textAlignment w:val="center"/>
                    <w:rPr>
                      <w:rFonts w:hint="default" w:ascii="Times New Roman" w:hAnsi="Times New Roman" w:eastAsia="宋体" w:cs="Times New Roman"/>
                      <w:color w:val="auto"/>
                      <w:kern w:val="2"/>
                      <w:sz w:val="21"/>
                      <w:szCs w:val="21"/>
                      <w:lang w:val="en-US" w:eastAsia="zh-CN" w:bidi="ar"/>
                    </w:rPr>
                  </w:pPr>
                  <w:r>
                    <w:rPr>
                      <w:rFonts w:hint="default" w:ascii="Times New Roman" w:hAnsi="Times New Roman" w:eastAsia="宋体" w:cs="Times New Roman"/>
                      <w:color w:val="auto"/>
                      <w:kern w:val="2"/>
                      <w:sz w:val="21"/>
                      <w:szCs w:val="21"/>
                      <w:lang w:val="en-US" w:eastAsia="zh-CN" w:bidi="ar"/>
                    </w:rPr>
                    <w:t>0.0431</w:t>
                  </w:r>
                </w:p>
              </w:tc>
              <w:tc>
                <w:tcPr>
                  <w:tcW w:w="916" w:type="dxa"/>
                  <w:tcBorders>
                    <w:top w:val="single" w:color="auto" w:sz="4" w:space="0"/>
                    <w:left w:val="single" w:color="auto" w:sz="4" w:space="0"/>
                    <w:bottom w:val="single" w:color="auto" w:sz="4" w:space="0"/>
                    <w:right w:val="single" w:color="auto" w:sz="4" w:space="0"/>
                  </w:tcBorders>
                  <w:vAlign w:val="center"/>
                </w:tcPr>
                <w:p w14:paraId="74CE541B">
                  <w:pPr>
                    <w:keepNext w:val="0"/>
                    <w:keepLines w:val="0"/>
                    <w:pageBreakBefore w:val="0"/>
                    <w:widowControl/>
                    <w:suppressLineNumbers w:val="0"/>
                    <w:kinsoku/>
                    <w:wordWrap/>
                    <w:overflowPunct/>
                    <w:topLinePunct w:val="0"/>
                    <w:autoSpaceDE/>
                    <w:autoSpaceDN/>
                    <w:bidi w:val="0"/>
                    <w:spacing w:beforeAutospacing="0" w:afterAutospacing="0"/>
                    <w:ind w:left="0" w:leftChars="0" w:right="0" w:rightChars="0"/>
                    <w:jc w:val="center"/>
                    <w:textAlignment w:val="center"/>
                    <w:rPr>
                      <w:rFonts w:hint="default" w:eastAsia="宋体"/>
                      <w:color w:val="auto"/>
                      <w:sz w:val="21"/>
                      <w:szCs w:val="21"/>
                      <w:lang w:val="en-US" w:eastAsia="zh-CN"/>
                    </w:rPr>
                  </w:pPr>
                  <w:r>
                    <w:rPr>
                      <w:rFonts w:hint="eastAsia"/>
                      <w:color w:val="auto"/>
                      <w:sz w:val="21"/>
                      <w:szCs w:val="21"/>
                      <w:lang w:val="en-US" w:eastAsia="zh-CN"/>
                    </w:rPr>
                    <w:t>/</w:t>
                  </w:r>
                </w:p>
              </w:tc>
              <w:tc>
                <w:tcPr>
                  <w:tcW w:w="1200" w:type="dxa"/>
                  <w:tcBorders>
                    <w:top w:val="single" w:color="auto" w:sz="4" w:space="0"/>
                    <w:left w:val="single" w:color="auto" w:sz="4" w:space="0"/>
                    <w:bottom w:val="single" w:color="auto" w:sz="4" w:space="0"/>
                    <w:right w:val="single" w:color="auto" w:sz="4" w:space="0"/>
                  </w:tcBorders>
                  <w:vAlign w:val="center"/>
                </w:tcPr>
                <w:p w14:paraId="0F0EEBF7">
                  <w:pPr>
                    <w:widowControl/>
                    <w:jc w:val="center"/>
                    <w:textAlignment w:val="center"/>
                    <w:rPr>
                      <w:color w:val="auto"/>
                      <w:kern w:val="0"/>
                      <w:sz w:val="21"/>
                      <w:szCs w:val="21"/>
                      <w:lang w:bidi="ar"/>
                    </w:rPr>
                  </w:pPr>
                  <w:r>
                    <w:rPr>
                      <w:rFonts w:hint="eastAsia"/>
                      <w:color w:val="auto"/>
                      <w:sz w:val="21"/>
                      <w:szCs w:val="21"/>
                    </w:rPr>
                    <w:t>/</w:t>
                  </w:r>
                </w:p>
              </w:tc>
              <w:tc>
                <w:tcPr>
                  <w:tcW w:w="1160" w:type="dxa"/>
                  <w:tcBorders>
                    <w:top w:val="single" w:color="auto" w:sz="4" w:space="0"/>
                    <w:left w:val="single" w:color="auto" w:sz="4" w:space="0"/>
                    <w:bottom w:val="single" w:color="auto" w:sz="4" w:space="0"/>
                    <w:right w:val="single" w:color="auto" w:sz="4" w:space="0"/>
                  </w:tcBorders>
                  <w:shd w:val="clear" w:color="auto" w:fill="auto"/>
                  <w:vAlign w:val="center"/>
                </w:tcPr>
                <w:p w14:paraId="79AE27F3">
                  <w:pPr>
                    <w:keepNext w:val="0"/>
                    <w:keepLines w:val="0"/>
                    <w:widowControl/>
                    <w:suppressLineNumbers w:val="0"/>
                    <w:jc w:val="center"/>
                    <w:textAlignment w:val="center"/>
                    <w:rPr>
                      <w:rFonts w:hint="default" w:ascii="Times New Roman" w:hAnsi="Times New Roman" w:eastAsia="宋体" w:cs="Times New Roman"/>
                      <w:color w:val="auto"/>
                      <w:kern w:val="2"/>
                      <w:sz w:val="21"/>
                      <w:szCs w:val="21"/>
                      <w:lang w:val="en-US" w:eastAsia="zh-CN" w:bidi="ar"/>
                    </w:rPr>
                  </w:pPr>
                  <w:r>
                    <w:rPr>
                      <w:rFonts w:hint="eastAsia" w:ascii="Times New Roman" w:hAnsi="Times New Roman" w:cs="Times New Roman"/>
                      <w:i w:val="0"/>
                      <w:iCs w:val="0"/>
                      <w:color w:val="auto"/>
                      <w:kern w:val="0"/>
                      <w:sz w:val="21"/>
                      <w:szCs w:val="21"/>
                      <w:u w:val="none"/>
                      <w:lang w:val="en-US" w:eastAsia="zh-CN" w:bidi="ar"/>
                    </w:rPr>
                    <w:t>+</w:t>
                  </w:r>
                  <w:r>
                    <w:rPr>
                      <w:rFonts w:hint="default" w:ascii="Times New Roman" w:hAnsi="Times New Roman" w:eastAsia="宋体" w:cs="Times New Roman"/>
                      <w:color w:val="auto"/>
                      <w:kern w:val="2"/>
                      <w:sz w:val="21"/>
                      <w:szCs w:val="21"/>
                      <w:lang w:val="en-US" w:eastAsia="zh-CN" w:bidi="ar"/>
                    </w:rPr>
                    <w:t>0.0431</w:t>
                  </w:r>
                </w:p>
              </w:tc>
              <w:tc>
                <w:tcPr>
                  <w:tcW w:w="1128" w:type="dxa"/>
                  <w:tcBorders>
                    <w:top w:val="single" w:color="auto" w:sz="4" w:space="0"/>
                    <w:left w:val="single" w:color="auto" w:sz="4" w:space="0"/>
                    <w:bottom w:val="single" w:color="auto" w:sz="4" w:space="0"/>
                    <w:right w:val="single" w:color="auto" w:sz="4" w:space="0"/>
                  </w:tcBorders>
                  <w:vAlign w:val="center"/>
                </w:tcPr>
                <w:p w14:paraId="2C7B107E">
                  <w:pPr>
                    <w:widowControl/>
                    <w:jc w:val="center"/>
                    <w:textAlignment w:val="center"/>
                    <w:rPr>
                      <w:color w:val="auto"/>
                      <w:kern w:val="0"/>
                      <w:sz w:val="21"/>
                      <w:szCs w:val="21"/>
                      <w:lang w:bidi="ar"/>
                    </w:rPr>
                  </w:pPr>
                  <w:r>
                    <w:rPr>
                      <w:rFonts w:hint="eastAsia"/>
                      <w:color w:val="auto"/>
                      <w:sz w:val="21"/>
                      <w:szCs w:val="21"/>
                    </w:rPr>
                    <w:t>/</w:t>
                  </w:r>
                </w:p>
              </w:tc>
              <w:tc>
                <w:tcPr>
                  <w:tcW w:w="1113" w:type="dxa"/>
                  <w:tcBorders>
                    <w:top w:val="single" w:color="auto" w:sz="4" w:space="0"/>
                    <w:left w:val="single" w:color="auto" w:sz="4" w:space="0"/>
                    <w:bottom w:val="single" w:color="auto" w:sz="4" w:space="0"/>
                    <w:right w:val="nil"/>
                  </w:tcBorders>
                  <w:shd w:val="clear" w:color="auto" w:fill="auto"/>
                  <w:vAlign w:val="center"/>
                </w:tcPr>
                <w:p w14:paraId="5643A65A">
                  <w:pPr>
                    <w:keepNext w:val="0"/>
                    <w:keepLines w:val="0"/>
                    <w:pageBreakBefore w:val="0"/>
                    <w:kinsoku/>
                    <w:wordWrap/>
                    <w:overflowPunct/>
                    <w:topLinePunct w:val="0"/>
                    <w:autoSpaceDE/>
                    <w:autoSpaceDN/>
                    <w:bidi w:val="0"/>
                    <w:jc w:val="center"/>
                    <w:rPr>
                      <w:rFonts w:hint="default" w:ascii="Times New Roman" w:hAnsi="Times New Roman" w:eastAsia="宋体" w:cs="Times New Roman"/>
                      <w:color w:val="auto"/>
                      <w:kern w:val="2"/>
                      <w:sz w:val="21"/>
                      <w:szCs w:val="21"/>
                      <w:lang w:val="en-US" w:eastAsia="zh-CN" w:bidi="ar"/>
                    </w:rPr>
                  </w:pPr>
                  <w:r>
                    <w:rPr>
                      <w:rFonts w:hint="default" w:ascii="Times New Roman" w:hAnsi="Times New Roman" w:eastAsia="宋体" w:cs="Times New Roman"/>
                      <w:color w:val="auto"/>
                      <w:kern w:val="2"/>
                      <w:sz w:val="21"/>
                      <w:szCs w:val="21"/>
                      <w:lang w:val="en-US" w:eastAsia="zh-CN" w:bidi="ar"/>
                    </w:rPr>
                    <w:t>0.0431</w:t>
                  </w:r>
                </w:p>
              </w:tc>
            </w:tr>
            <w:tr w14:paraId="14AB479F">
              <w:tblPrEx>
                <w:tblBorders>
                  <w:top w:val="single" w:color="auto" w:sz="12" w:space="0"/>
                  <w:left w:val="none" w:color="auto" w:sz="6" w:space="0"/>
                  <w:bottom w:val="single" w:color="auto" w:sz="12" w:space="0"/>
                  <w:right w:val="none" w:color="auto" w:sz="6"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362" w:type="dxa"/>
                  <w:vMerge w:val="continue"/>
                  <w:tcBorders>
                    <w:left w:val="nil"/>
                    <w:right w:val="single" w:color="auto" w:sz="4" w:space="0"/>
                  </w:tcBorders>
                  <w:vAlign w:val="center"/>
                </w:tcPr>
                <w:p w14:paraId="56EFD39B">
                  <w:pPr>
                    <w:jc w:val="center"/>
                    <w:rPr>
                      <w:color w:val="auto"/>
                      <w:spacing w:val="4"/>
                      <w:sz w:val="21"/>
                      <w:szCs w:val="21"/>
                    </w:rPr>
                  </w:pPr>
                </w:p>
              </w:tc>
              <w:tc>
                <w:tcPr>
                  <w:tcW w:w="643" w:type="dxa"/>
                  <w:vMerge w:val="continue"/>
                  <w:tcBorders>
                    <w:left w:val="single" w:color="auto" w:sz="4" w:space="0"/>
                    <w:right w:val="single" w:color="auto" w:sz="4" w:space="0"/>
                  </w:tcBorders>
                  <w:vAlign w:val="center"/>
                </w:tcPr>
                <w:p w14:paraId="7C814023">
                  <w:pPr>
                    <w:widowControl/>
                    <w:jc w:val="center"/>
                    <w:textAlignment w:val="center"/>
                    <w:rPr>
                      <w:color w:val="auto"/>
                      <w:spacing w:val="4"/>
                      <w:sz w:val="21"/>
                      <w:szCs w:val="21"/>
                    </w:rPr>
                  </w:pPr>
                </w:p>
              </w:tc>
              <w:tc>
                <w:tcPr>
                  <w:tcW w:w="1180" w:type="dxa"/>
                  <w:tcBorders>
                    <w:top w:val="single" w:color="auto" w:sz="4" w:space="0"/>
                    <w:left w:val="single" w:color="auto" w:sz="4" w:space="0"/>
                    <w:bottom w:val="single" w:color="auto" w:sz="4" w:space="0"/>
                    <w:right w:val="single" w:color="auto" w:sz="4" w:space="0"/>
                  </w:tcBorders>
                  <w:vAlign w:val="center"/>
                </w:tcPr>
                <w:p w14:paraId="195F583A">
                  <w:pPr>
                    <w:widowControl/>
                    <w:jc w:val="center"/>
                    <w:textAlignment w:val="center"/>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非甲烷总烃</w:t>
                  </w:r>
                </w:p>
              </w:tc>
              <w:tc>
                <w:tcPr>
                  <w:tcW w:w="1040" w:type="dxa"/>
                  <w:tcBorders>
                    <w:top w:val="single" w:color="auto" w:sz="4" w:space="0"/>
                    <w:left w:val="single" w:color="auto" w:sz="4" w:space="0"/>
                    <w:bottom w:val="single" w:color="auto" w:sz="4" w:space="0"/>
                    <w:right w:val="single" w:color="auto" w:sz="4" w:space="0"/>
                  </w:tcBorders>
                  <w:shd w:val="clear" w:color="auto" w:fill="auto"/>
                  <w:vAlign w:val="center"/>
                </w:tcPr>
                <w:p w14:paraId="22AB734F">
                  <w:pPr>
                    <w:keepNext w:val="0"/>
                    <w:keepLines w:val="0"/>
                    <w:pageBreakBefore w:val="0"/>
                    <w:widowControl/>
                    <w:suppressLineNumbers w:val="0"/>
                    <w:kinsoku/>
                    <w:wordWrap/>
                    <w:overflowPunct/>
                    <w:topLinePunct w:val="0"/>
                    <w:autoSpaceDE/>
                    <w:autoSpaceDN/>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0.0049</w:t>
                  </w:r>
                </w:p>
              </w:tc>
              <w:tc>
                <w:tcPr>
                  <w:tcW w:w="890" w:type="dxa"/>
                  <w:tcBorders>
                    <w:top w:val="single" w:color="auto" w:sz="4" w:space="0"/>
                    <w:left w:val="single" w:color="auto" w:sz="4" w:space="0"/>
                    <w:bottom w:val="single" w:color="auto" w:sz="4" w:space="0"/>
                    <w:right w:val="single" w:color="auto" w:sz="4" w:space="0"/>
                  </w:tcBorders>
                  <w:shd w:val="clear" w:color="auto" w:fill="auto"/>
                  <w:vAlign w:val="center"/>
                </w:tcPr>
                <w:p w14:paraId="24C8ED89">
                  <w:pPr>
                    <w:keepNext w:val="0"/>
                    <w:keepLines w:val="0"/>
                    <w:pageBreakBefore w:val="0"/>
                    <w:kinsoku/>
                    <w:wordWrap/>
                    <w:overflowPunct/>
                    <w:topLinePunct w:val="0"/>
                    <w:autoSpaceDE/>
                    <w:autoSpaceDN/>
                    <w:bidi w:val="0"/>
                    <w:spacing w:line="240" w:lineRule="auto"/>
                    <w:ind w:left="0" w:leftChars="0"/>
                    <w:jc w:val="center"/>
                    <w:rPr>
                      <w:rFonts w:hint="default" w:ascii="Times New Roman" w:hAnsi="Times New Roman" w:eastAsia="宋体" w:cs="Times New Roman"/>
                      <w:color w:val="auto"/>
                      <w:kern w:val="2"/>
                      <w:sz w:val="21"/>
                      <w:szCs w:val="21"/>
                      <w:lang w:val="en-US" w:eastAsia="zh-CN" w:bidi="ar"/>
                    </w:rPr>
                  </w:pPr>
                  <w:r>
                    <w:rPr>
                      <w:rFonts w:hint="default" w:ascii="Times New Roman" w:hAnsi="Times New Roman" w:eastAsia="宋体" w:cs="Times New Roman"/>
                      <w:color w:val="auto"/>
                      <w:kern w:val="2"/>
                      <w:sz w:val="21"/>
                      <w:szCs w:val="21"/>
                      <w:lang w:val="en-US" w:eastAsia="zh-CN" w:bidi="ar"/>
                    </w:rPr>
                    <w:t>0.0395</w:t>
                  </w:r>
                </w:p>
              </w:tc>
              <w:tc>
                <w:tcPr>
                  <w:tcW w:w="820" w:type="dxa"/>
                  <w:tcBorders>
                    <w:top w:val="single" w:color="auto" w:sz="4" w:space="0"/>
                    <w:left w:val="single" w:color="auto" w:sz="4" w:space="0"/>
                    <w:bottom w:val="single" w:color="auto" w:sz="4" w:space="0"/>
                    <w:right w:val="single" w:color="auto" w:sz="4" w:space="0"/>
                  </w:tcBorders>
                  <w:vAlign w:val="center"/>
                </w:tcPr>
                <w:p w14:paraId="5B542FD6">
                  <w:pPr>
                    <w:widowControl/>
                    <w:jc w:val="center"/>
                    <w:textAlignment w:val="center"/>
                    <w:rPr>
                      <w:rFonts w:hint="default" w:eastAsia="宋体"/>
                      <w:color w:val="auto"/>
                      <w:spacing w:val="4"/>
                      <w:sz w:val="21"/>
                      <w:szCs w:val="21"/>
                      <w:lang w:val="en-US" w:eastAsia="zh-CN"/>
                    </w:rPr>
                  </w:pPr>
                  <w:r>
                    <w:rPr>
                      <w:rFonts w:hint="eastAsia"/>
                      <w:color w:val="auto"/>
                      <w:spacing w:val="4"/>
                      <w:sz w:val="21"/>
                      <w:szCs w:val="21"/>
                      <w:lang w:val="en-US" w:eastAsia="zh-CN"/>
                    </w:rPr>
                    <w:t>0</w:t>
                  </w:r>
                </w:p>
              </w:tc>
              <w:tc>
                <w:tcPr>
                  <w:tcW w:w="1091" w:type="dxa"/>
                  <w:tcBorders>
                    <w:top w:val="single" w:color="auto" w:sz="4" w:space="0"/>
                    <w:left w:val="single" w:color="auto" w:sz="4" w:space="0"/>
                    <w:bottom w:val="single" w:color="auto" w:sz="4" w:space="0"/>
                    <w:right w:val="single" w:color="auto" w:sz="4" w:space="0"/>
                  </w:tcBorders>
                  <w:vAlign w:val="center"/>
                </w:tcPr>
                <w:p w14:paraId="09396783">
                  <w:pPr>
                    <w:widowControl/>
                    <w:jc w:val="center"/>
                    <w:textAlignment w:val="center"/>
                    <w:rPr>
                      <w:color w:val="auto"/>
                      <w:kern w:val="0"/>
                      <w:sz w:val="21"/>
                      <w:szCs w:val="21"/>
                      <w:lang w:bidi="ar"/>
                    </w:rPr>
                  </w:pPr>
                  <w:r>
                    <w:rPr>
                      <w:rFonts w:hint="eastAsia"/>
                      <w:color w:val="auto"/>
                      <w:kern w:val="0"/>
                      <w:sz w:val="21"/>
                      <w:szCs w:val="21"/>
                      <w:lang w:bidi="ar"/>
                    </w:rPr>
                    <w:t>/</w:t>
                  </w:r>
                </w:p>
              </w:tc>
              <w:tc>
                <w:tcPr>
                  <w:tcW w:w="1120" w:type="dxa"/>
                  <w:tcBorders>
                    <w:top w:val="single" w:color="auto" w:sz="4" w:space="0"/>
                    <w:left w:val="single" w:color="auto" w:sz="4" w:space="0"/>
                    <w:bottom w:val="single" w:color="auto" w:sz="4" w:space="0"/>
                    <w:right w:val="single" w:color="auto" w:sz="4" w:space="0"/>
                  </w:tcBorders>
                  <w:shd w:val="clear" w:color="auto" w:fill="auto"/>
                  <w:vAlign w:val="center"/>
                </w:tcPr>
                <w:p w14:paraId="6484050B">
                  <w:pPr>
                    <w:keepNext w:val="0"/>
                    <w:keepLines w:val="0"/>
                    <w:pageBreakBefore w:val="0"/>
                    <w:kinsoku/>
                    <w:wordWrap/>
                    <w:overflowPunct/>
                    <w:topLinePunct w:val="0"/>
                    <w:autoSpaceDE/>
                    <w:autoSpaceDN/>
                    <w:bidi w:val="0"/>
                    <w:spacing w:line="240" w:lineRule="auto"/>
                    <w:ind w:left="0" w:leftChars="0"/>
                    <w:jc w:val="center"/>
                    <w:rPr>
                      <w:rFonts w:hint="default" w:ascii="Times New Roman" w:hAnsi="Times New Roman" w:eastAsia="宋体" w:cs="Times New Roman"/>
                      <w:color w:val="auto"/>
                      <w:kern w:val="2"/>
                      <w:sz w:val="21"/>
                      <w:szCs w:val="21"/>
                      <w:lang w:val="en-US" w:eastAsia="zh-CN" w:bidi="ar"/>
                    </w:rPr>
                  </w:pPr>
                  <w:r>
                    <w:rPr>
                      <w:rFonts w:hint="default" w:ascii="Times New Roman" w:hAnsi="Times New Roman" w:eastAsia="宋体" w:cs="Times New Roman"/>
                      <w:color w:val="auto"/>
                      <w:kern w:val="2"/>
                      <w:sz w:val="21"/>
                      <w:szCs w:val="21"/>
                      <w:lang w:val="en-US" w:eastAsia="zh-CN" w:bidi="ar"/>
                    </w:rPr>
                    <w:t>0.0395</w:t>
                  </w:r>
                </w:p>
              </w:tc>
              <w:tc>
                <w:tcPr>
                  <w:tcW w:w="916" w:type="dxa"/>
                  <w:tcBorders>
                    <w:top w:val="single" w:color="auto" w:sz="4" w:space="0"/>
                    <w:left w:val="single" w:color="auto" w:sz="4" w:space="0"/>
                    <w:bottom w:val="single" w:color="auto" w:sz="4" w:space="0"/>
                    <w:right w:val="single" w:color="auto" w:sz="4" w:space="0"/>
                  </w:tcBorders>
                  <w:vAlign w:val="center"/>
                </w:tcPr>
                <w:p w14:paraId="02E817A7">
                  <w:pPr>
                    <w:keepNext w:val="0"/>
                    <w:keepLines w:val="0"/>
                    <w:pageBreakBefore w:val="0"/>
                    <w:widowControl/>
                    <w:suppressLineNumbers w:val="0"/>
                    <w:kinsoku/>
                    <w:wordWrap/>
                    <w:overflowPunct/>
                    <w:topLinePunct w:val="0"/>
                    <w:autoSpaceDE/>
                    <w:autoSpaceDN/>
                    <w:bidi w:val="0"/>
                    <w:spacing w:beforeAutospacing="0" w:afterAutospacing="0"/>
                    <w:ind w:left="0" w:leftChars="0" w:right="0" w:rightChars="0"/>
                    <w:jc w:val="center"/>
                    <w:textAlignment w:val="center"/>
                    <w:rPr>
                      <w:rFonts w:hint="default" w:eastAsia="宋体"/>
                      <w:color w:val="auto"/>
                      <w:sz w:val="21"/>
                      <w:szCs w:val="21"/>
                      <w:lang w:val="en-US" w:eastAsia="zh-CN"/>
                    </w:rPr>
                  </w:pPr>
                  <w:r>
                    <w:rPr>
                      <w:rFonts w:hint="eastAsia"/>
                      <w:color w:val="auto"/>
                      <w:sz w:val="21"/>
                      <w:szCs w:val="21"/>
                      <w:lang w:val="en-US" w:eastAsia="zh-CN"/>
                    </w:rPr>
                    <w:t>/</w:t>
                  </w:r>
                </w:p>
              </w:tc>
              <w:tc>
                <w:tcPr>
                  <w:tcW w:w="1200" w:type="dxa"/>
                  <w:tcBorders>
                    <w:top w:val="single" w:color="auto" w:sz="4" w:space="0"/>
                    <w:left w:val="single" w:color="auto" w:sz="4" w:space="0"/>
                    <w:bottom w:val="single" w:color="auto" w:sz="4" w:space="0"/>
                    <w:right w:val="single" w:color="auto" w:sz="4" w:space="0"/>
                  </w:tcBorders>
                  <w:vAlign w:val="center"/>
                </w:tcPr>
                <w:p w14:paraId="1FF9B54A">
                  <w:pPr>
                    <w:widowControl/>
                    <w:jc w:val="center"/>
                    <w:textAlignment w:val="center"/>
                    <w:rPr>
                      <w:color w:val="auto"/>
                      <w:kern w:val="0"/>
                      <w:sz w:val="21"/>
                      <w:szCs w:val="21"/>
                      <w:lang w:bidi="ar"/>
                    </w:rPr>
                  </w:pPr>
                  <w:r>
                    <w:rPr>
                      <w:rFonts w:hint="eastAsia"/>
                      <w:color w:val="auto"/>
                      <w:sz w:val="21"/>
                      <w:szCs w:val="21"/>
                    </w:rPr>
                    <w:t>/</w:t>
                  </w:r>
                </w:p>
              </w:tc>
              <w:tc>
                <w:tcPr>
                  <w:tcW w:w="1160" w:type="dxa"/>
                  <w:tcBorders>
                    <w:top w:val="single" w:color="auto" w:sz="4" w:space="0"/>
                    <w:left w:val="single" w:color="auto" w:sz="4" w:space="0"/>
                    <w:bottom w:val="single" w:color="auto" w:sz="4" w:space="0"/>
                    <w:right w:val="single" w:color="auto" w:sz="4" w:space="0"/>
                  </w:tcBorders>
                  <w:shd w:val="clear" w:color="auto" w:fill="auto"/>
                  <w:vAlign w:val="center"/>
                </w:tcPr>
                <w:p w14:paraId="7BA40E2B">
                  <w:pPr>
                    <w:keepNext w:val="0"/>
                    <w:keepLines w:val="0"/>
                    <w:pageBreakBefore w:val="0"/>
                    <w:kinsoku/>
                    <w:wordWrap/>
                    <w:overflowPunct/>
                    <w:topLinePunct w:val="0"/>
                    <w:autoSpaceDE/>
                    <w:autoSpaceDN/>
                    <w:bidi w:val="0"/>
                    <w:spacing w:line="240" w:lineRule="auto"/>
                    <w:ind w:left="0" w:leftChars="0"/>
                    <w:jc w:val="center"/>
                    <w:rPr>
                      <w:rFonts w:hint="default" w:ascii="Times New Roman" w:hAnsi="Times New Roman" w:eastAsia="宋体" w:cs="Times New Roman"/>
                      <w:color w:val="auto"/>
                      <w:kern w:val="2"/>
                      <w:sz w:val="21"/>
                      <w:szCs w:val="21"/>
                      <w:lang w:val="en-US" w:eastAsia="zh-CN" w:bidi="ar"/>
                    </w:rPr>
                  </w:pPr>
                  <w:r>
                    <w:rPr>
                      <w:rFonts w:hint="eastAsia" w:ascii="Times New Roman" w:hAnsi="Times New Roman" w:cs="Times New Roman"/>
                      <w:color w:val="auto"/>
                      <w:kern w:val="2"/>
                      <w:sz w:val="21"/>
                      <w:szCs w:val="21"/>
                      <w:lang w:val="en-US" w:eastAsia="zh-CN" w:bidi="ar"/>
                    </w:rPr>
                    <w:t>+</w:t>
                  </w:r>
                  <w:r>
                    <w:rPr>
                      <w:rFonts w:hint="default" w:ascii="Times New Roman" w:hAnsi="Times New Roman" w:eastAsia="宋体" w:cs="Times New Roman"/>
                      <w:color w:val="auto"/>
                      <w:kern w:val="2"/>
                      <w:sz w:val="21"/>
                      <w:szCs w:val="21"/>
                      <w:lang w:val="en-US" w:eastAsia="zh-CN" w:bidi="ar-SA"/>
                    </w:rPr>
                    <w:t>0.0395</w:t>
                  </w:r>
                </w:p>
              </w:tc>
              <w:tc>
                <w:tcPr>
                  <w:tcW w:w="1128" w:type="dxa"/>
                  <w:tcBorders>
                    <w:top w:val="single" w:color="auto" w:sz="4" w:space="0"/>
                    <w:left w:val="single" w:color="auto" w:sz="4" w:space="0"/>
                    <w:bottom w:val="single" w:color="auto" w:sz="4" w:space="0"/>
                    <w:right w:val="single" w:color="auto" w:sz="4" w:space="0"/>
                  </w:tcBorders>
                  <w:vAlign w:val="center"/>
                </w:tcPr>
                <w:p w14:paraId="2676D2A7">
                  <w:pPr>
                    <w:widowControl/>
                    <w:jc w:val="center"/>
                    <w:textAlignment w:val="center"/>
                    <w:rPr>
                      <w:color w:val="auto"/>
                      <w:kern w:val="0"/>
                      <w:sz w:val="21"/>
                      <w:szCs w:val="21"/>
                      <w:lang w:bidi="ar"/>
                    </w:rPr>
                  </w:pPr>
                  <w:r>
                    <w:rPr>
                      <w:rFonts w:hint="eastAsia"/>
                      <w:color w:val="auto"/>
                      <w:sz w:val="21"/>
                      <w:szCs w:val="21"/>
                    </w:rPr>
                    <w:t>/</w:t>
                  </w:r>
                </w:p>
              </w:tc>
              <w:tc>
                <w:tcPr>
                  <w:tcW w:w="1113" w:type="dxa"/>
                  <w:tcBorders>
                    <w:top w:val="single" w:color="auto" w:sz="4" w:space="0"/>
                    <w:left w:val="single" w:color="auto" w:sz="4" w:space="0"/>
                    <w:bottom w:val="single" w:color="auto" w:sz="4" w:space="0"/>
                    <w:right w:val="nil"/>
                  </w:tcBorders>
                  <w:shd w:val="clear" w:color="auto" w:fill="auto"/>
                  <w:vAlign w:val="center"/>
                </w:tcPr>
                <w:p w14:paraId="0E5FF9F1">
                  <w:pPr>
                    <w:keepNext w:val="0"/>
                    <w:keepLines w:val="0"/>
                    <w:widowControl/>
                    <w:suppressLineNumbers w:val="0"/>
                    <w:jc w:val="center"/>
                    <w:textAlignment w:val="center"/>
                    <w:rPr>
                      <w:rFonts w:hint="default" w:ascii="Times New Roman" w:hAnsi="Times New Roman" w:eastAsia="宋体" w:cs="Times New Roman"/>
                      <w:color w:val="auto"/>
                      <w:kern w:val="2"/>
                      <w:sz w:val="21"/>
                      <w:szCs w:val="21"/>
                      <w:lang w:val="en-US" w:eastAsia="zh-CN" w:bidi="ar"/>
                    </w:rPr>
                  </w:pPr>
                  <w:r>
                    <w:rPr>
                      <w:rFonts w:hint="eastAsia" w:cs="Times New Roman"/>
                      <w:color w:val="auto"/>
                      <w:kern w:val="2"/>
                      <w:sz w:val="21"/>
                      <w:szCs w:val="21"/>
                      <w:lang w:val="en-US" w:eastAsia="zh-CN" w:bidi="ar"/>
                    </w:rPr>
                    <w:t>0.0444</w:t>
                  </w:r>
                </w:p>
              </w:tc>
            </w:tr>
            <w:tr w14:paraId="56FEB501">
              <w:tblPrEx>
                <w:tblBorders>
                  <w:top w:val="single" w:color="auto" w:sz="12" w:space="0"/>
                  <w:left w:val="none" w:color="auto" w:sz="6" w:space="0"/>
                  <w:bottom w:val="single" w:color="auto" w:sz="12" w:space="0"/>
                  <w:right w:val="none" w:color="auto" w:sz="6"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1005" w:type="dxa"/>
                  <w:gridSpan w:val="2"/>
                  <w:vMerge w:val="restart"/>
                  <w:tcBorders>
                    <w:top w:val="single" w:color="auto" w:sz="4" w:space="0"/>
                    <w:left w:val="nil"/>
                    <w:bottom w:val="single" w:color="auto" w:sz="4" w:space="0"/>
                    <w:right w:val="single" w:color="auto" w:sz="4" w:space="0"/>
                  </w:tcBorders>
                  <w:vAlign w:val="center"/>
                </w:tcPr>
                <w:p w14:paraId="6915D63B">
                  <w:pPr>
                    <w:adjustRightInd w:val="0"/>
                    <w:snapToGrid w:val="0"/>
                    <w:jc w:val="center"/>
                    <w:textAlignment w:val="baseline"/>
                    <w:rPr>
                      <w:color w:val="auto"/>
                      <w:spacing w:val="4"/>
                      <w:sz w:val="21"/>
                      <w:szCs w:val="21"/>
                    </w:rPr>
                  </w:pPr>
                  <w:r>
                    <w:rPr>
                      <w:color w:val="auto"/>
                      <w:spacing w:val="4"/>
                      <w:sz w:val="21"/>
                      <w:szCs w:val="21"/>
                    </w:rPr>
                    <w:t>废水</w:t>
                  </w:r>
                </w:p>
              </w:tc>
              <w:tc>
                <w:tcPr>
                  <w:tcW w:w="1180" w:type="dxa"/>
                  <w:tcBorders>
                    <w:top w:val="single" w:color="auto" w:sz="4" w:space="0"/>
                    <w:left w:val="single" w:color="auto" w:sz="4" w:space="0"/>
                    <w:bottom w:val="single" w:color="auto" w:sz="4" w:space="0"/>
                    <w:right w:val="single" w:color="auto" w:sz="4" w:space="0"/>
                  </w:tcBorders>
                  <w:vAlign w:val="center"/>
                </w:tcPr>
                <w:p w14:paraId="3FA6152F">
                  <w:pPr>
                    <w:adjustRightInd w:val="0"/>
                    <w:snapToGrid w:val="0"/>
                    <w:jc w:val="center"/>
                    <w:textAlignment w:val="baseline"/>
                    <w:rPr>
                      <w:color w:val="auto"/>
                      <w:spacing w:val="4"/>
                      <w:sz w:val="21"/>
                      <w:szCs w:val="21"/>
                    </w:rPr>
                  </w:pPr>
                  <w:r>
                    <w:rPr>
                      <w:color w:val="auto"/>
                      <w:spacing w:val="4"/>
                      <w:sz w:val="21"/>
                      <w:szCs w:val="21"/>
                    </w:rPr>
                    <w:t>废水</w:t>
                  </w:r>
                </w:p>
              </w:tc>
              <w:tc>
                <w:tcPr>
                  <w:tcW w:w="1040" w:type="dxa"/>
                  <w:tcBorders>
                    <w:top w:val="single" w:color="auto" w:sz="4" w:space="0"/>
                    <w:left w:val="single" w:color="auto" w:sz="4" w:space="0"/>
                    <w:bottom w:val="single" w:color="auto" w:sz="4" w:space="0"/>
                    <w:right w:val="single" w:color="auto" w:sz="4" w:space="0"/>
                  </w:tcBorders>
                  <w:shd w:val="clear" w:color="auto" w:fill="auto"/>
                  <w:vAlign w:val="center"/>
                </w:tcPr>
                <w:p w14:paraId="6581656D">
                  <w:pPr>
                    <w:pStyle w:val="34"/>
                    <w:spacing w:before="24" w:after="24" w:line="240" w:lineRule="auto"/>
                    <w:ind w:firstLine="0" w:firstLineChars="0"/>
                    <w:jc w:val="center"/>
                    <w:rPr>
                      <w:rFonts w:hint="default" w:ascii="Times New Roman" w:hAnsi="宋体" w:eastAsia="宋体" w:cs="Times New Roman"/>
                      <w:color w:val="auto"/>
                      <w:spacing w:val="-10"/>
                      <w:kern w:val="0"/>
                      <w:sz w:val="21"/>
                      <w:szCs w:val="21"/>
                      <w:lang w:val="en-US" w:eastAsia="zh-CN" w:bidi="ar"/>
                    </w:rPr>
                  </w:pPr>
                  <w:r>
                    <w:rPr>
                      <w:rFonts w:hint="eastAsia" w:ascii="Times New Roman" w:eastAsia="宋体"/>
                      <w:color w:val="auto"/>
                      <w:szCs w:val="21"/>
                      <w:lang w:val="en-US" w:eastAsia="zh-CN"/>
                    </w:rPr>
                    <w:t>1600</w:t>
                  </w:r>
                </w:p>
              </w:tc>
              <w:tc>
                <w:tcPr>
                  <w:tcW w:w="890" w:type="dxa"/>
                  <w:tcBorders>
                    <w:top w:val="single" w:color="auto" w:sz="4" w:space="0"/>
                    <w:left w:val="single" w:color="auto" w:sz="4" w:space="0"/>
                    <w:bottom w:val="single" w:color="auto" w:sz="4" w:space="0"/>
                    <w:right w:val="single" w:color="auto" w:sz="4" w:space="0"/>
                  </w:tcBorders>
                  <w:shd w:val="clear" w:color="auto" w:fill="auto"/>
                  <w:vAlign w:val="center"/>
                </w:tcPr>
                <w:p w14:paraId="4F5E656D">
                  <w:pPr>
                    <w:pStyle w:val="34"/>
                    <w:spacing w:before="24" w:after="24" w:line="240" w:lineRule="auto"/>
                    <w:ind w:firstLine="0" w:firstLineChars="0"/>
                    <w:jc w:val="center"/>
                    <w:rPr>
                      <w:rFonts w:hint="default" w:ascii="Times New Roman" w:hAnsi="宋体" w:eastAsia="宋体" w:cs="Times New Roman"/>
                      <w:color w:val="auto"/>
                      <w:spacing w:val="-10"/>
                      <w:kern w:val="0"/>
                      <w:sz w:val="21"/>
                      <w:szCs w:val="21"/>
                      <w:lang w:val="en-US" w:eastAsia="zh-CN" w:bidi="ar"/>
                    </w:rPr>
                  </w:pPr>
                  <w:r>
                    <w:rPr>
                      <w:rFonts w:hint="default" w:ascii="Times New Roman" w:hAnsi="宋体" w:eastAsia="宋体" w:cs="Times New Roman"/>
                      <w:color w:val="auto"/>
                      <w:spacing w:val="-10"/>
                      <w:kern w:val="0"/>
                      <w:sz w:val="21"/>
                      <w:szCs w:val="21"/>
                      <w:lang w:val="en-US" w:eastAsia="zh-CN" w:bidi="ar"/>
                    </w:rPr>
                    <w:t>558</w:t>
                  </w:r>
                </w:p>
              </w:tc>
              <w:tc>
                <w:tcPr>
                  <w:tcW w:w="820" w:type="dxa"/>
                  <w:tcBorders>
                    <w:top w:val="single" w:color="auto" w:sz="4" w:space="0"/>
                    <w:left w:val="single" w:color="auto" w:sz="4" w:space="0"/>
                    <w:bottom w:val="single" w:color="auto" w:sz="4" w:space="0"/>
                    <w:right w:val="single" w:color="auto" w:sz="4" w:space="0"/>
                  </w:tcBorders>
                  <w:vAlign w:val="center"/>
                </w:tcPr>
                <w:p w14:paraId="20845B78">
                  <w:pPr>
                    <w:jc w:val="center"/>
                    <w:rPr>
                      <w:color w:val="auto"/>
                      <w:spacing w:val="4"/>
                      <w:sz w:val="21"/>
                      <w:szCs w:val="21"/>
                    </w:rPr>
                  </w:pPr>
                  <w:r>
                    <w:rPr>
                      <w:rFonts w:hint="eastAsia"/>
                      <w:color w:val="auto"/>
                      <w:spacing w:val="4"/>
                      <w:sz w:val="21"/>
                      <w:szCs w:val="21"/>
                    </w:rPr>
                    <w:t>0</w:t>
                  </w:r>
                </w:p>
              </w:tc>
              <w:tc>
                <w:tcPr>
                  <w:tcW w:w="1091" w:type="dxa"/>
                  <w:tcBorders>
                    <w:top w:val="single" w:color="auto" w:sz="4" w:space="0"/>
                    <w:left w:val="single" w:color="auto" w:sz="4" w:space="0"/>
                    <w:bottom w:val="single" w:color="auto" w:sz="4" w:space="0"/>
                    <w:right w:val="single" w:color="auto" w:sz="4" w:space="0"/>
                  </w:tcBorders>
                  <w:shd w:val="clear" w:color="auto" w:fill="auto"/>
                  <w:vAlign w:val="center"/>
                </w:tcPr>
                <w:p w14:paraId="18C4F8B7">
                  <w:pPr>
                    <w:keepNext w:val="0"/>
                    <w:keepLines w:val="0"/>
                    <w:pageBreakBefore w:val="0"/>
                    <w:kinsoku/>
                    <w:wordWrap/>
                    <w:overflowPunct/>
                    <w:topLinePunct w:val="0"/>
                    <w:autoSpaceDE/>
                    <w:autoSpaceDN/>
                    <w:bidi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宋体" w:eastAsia="宋体" w:cs="Times New Roman"/>
                      <w:color w:val="auto"/>
                      <w:spacing w:val="-10"/>
                      <w:kern w:val="0"/>
                      <w:sz w:val="21"/>
                      <w:szCs w:val="21"/>
                      <w:lang w:val="en-US" w:eastAsia="zh-CN" w:bidi="ar"/>
                    </w:rPr>
                    <w:t>558</w:t>
                  </w:r>
                </w:p>
              </w:tc>
              <w:tc>
                <w:tcPr>
                  <w:tcW w:w="1120" w:type="dxa"/>
                  <w:tcBorders>
                    <w:top w:val="single" w:color="auto" w:sz="4" w:space="0"/>
                    <w:left w:val="single" w:color="auto" w:sz="4" w:space="0"/>
                    <w:bottom w:val="single" w:color="auto" w:sz="4" w:space="0"/>
                    <w:right w:val="single" w:color="auto" w:sz="4" w:space="0"/>
                  </w:tcBorders>
                  <w:shd w:val="clear" w:color="auto" w:fill="auto"/>
                  <w:vAlign w:val="center"/>
                </w:tcPr>
                <w:p w14:paraId="49E3C94A">
                  <w:pPr>
                    <w:keepNext w:val="0"/>
                    <w:keepLines w:val="0"/>
                    <w:pageBreakBefore w:val="0"/>
                    <w:kinsoku/>
                    <w:wordWrap/>
                    <w:overflowPunct/>
                    <w:topLinePunct w:val="0"/>
                    <w:autoSpaceDE/>
                    <w:autoSpaceDN/>
                    <w:bidi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宋体" w:eastAsia="宋体" w:cs="Times New Roman"/>
                      <w:color w:val="auto"/>
                      <w:spacing w:val="-10"/>
                      <w:kern w:val="0"/>
                      <w:sz w:val="21"/>
                      <w:szCs w:val="21"/>
                      <w:lang w:val="en-US" w:eastAsia="zh-CN" w:bidi="ar"/>
                    </w:rPr>
                    <w:t>558</w:t>
                  </w:r>
                </w:p>
              </w:tc>
              <w:tc>
                <w:tcPr>
                  <w:tcW w:w="916" w:type="dxa"/>
                  <w:tcBorders>
                    <w:top w:val="single" w:color="auto" w:sz="4" w:space="0"/>
                    <w:left w:val="single" w:color="auto" w:sz="4" w:space="0"/>
                    <w:bottom w:val="single" w:color="auto" w:sz="4" w:space="0"/>
                    <w:right w:val="single" w:color="auto" w:sz="4" w:space="0"/>
                  </w:tcBorders>
                  <w:vAlign w:val="center"/>
                </w:tcPr>
                <w:p w14:paraId="2C238922">
                  <w:pPr>
                    <w:keepNext w:val="0"/>
                    <w:keepLines w:val="0"/>
                    <w:pageBreakBefore w:val="0"/>
                    <w:suppressLineNumbers w:val="0"/>
                    <w:kinsoku/>
                    <w:wordWrap/>
                    <w:overflowPunct/>
                    <w:topLinePunct w:val="0"/>
                    <w:autoSpaceDE/>
                    <w:autoSpaceDN/>
                    <w:bidi w:val="0"/>
                    <w:adjustRightInd w:val="0"/>
                    <w:snapToGrid w:val="0"/>
                    <w:spacing w:beforeAutospacing="0" w:afterAutospacing="0"/>
                    <w:ind w:left="0" w:leftChars="0" w:right="0" w:rightChars="0"/>
                    <w:jc w:val="center"/>
                    <w:rPr>
                      <w:rFonts w:hint="default" w:ascii="Times New Roman" w:eastAsia="宋体"/>
                      <w:color w:val="auto"/>
                      <w:szCs w:val="21"/>
                      <w:lang w:val="en-US" w:eastAsia="zh-CN"/>
                    </w:rPr>
                  </w:pPr>
                  <w:r>
                    <w:rPr>
                      <w:rFonts w:hint="eastAsia"/>
                      <w:color w:val="auto"/>
                      <w:szCs w:val="21"/>
                      <w:lang w:val="en-US" w:eastAsia="zh-CN"/>
                    </w:rPr>
                    <w:t>/</w:t>
                  </w:r>
                </w:p>
              </w:tc>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4B5813D7">
                  <w:pPr>
                    <w:keepNext w:val="0"/>
                    <w:keepLines w:val="0"/>
                    <w:pageBreakBefore w:val="0"/>
                    <w:kinsoku/>
                    <w:wordWrap/>
                    <w:overflowPunct/>
                    <w:topLinePunct w:val="0"/>
                    <w:autoSpaceDE/>
                    <w:autoSpaceDN/>
                    <w:bidi w:val="0"/>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宋体" w:eastAsia="宋体" w:cs="Times New Roman"/>
                      <w:color w:val="auto"/>
                      <w:spacing w:val="-10"/>
                      <w:kern w:val="0"/>
                      <w:sz w:val="21"/>
                      <w:szCs w:val="21"/>
                      <w:lang w:val="en-US" w:eastAsia="zh-CN" w:bidi="ar"/>
                    </w:rPr>
                    <w:t>+</w:t>
                  </w:r>
                  <w:r>
                    <w:rPr>
                      <w:rFonts w:hint="default" w:ascii="Times New Roman" w:hAnsi="宋体" w:eastAsia="宋体" w:cs="Times New Roman"/>
                      <w:color w:val="auto"/>
                      <w:spacing w:val="-10"/>
                      <w:kern w:val="0"/>
                      <w:sz w:val="21"/>
                      <w:szCs w:val="21"/>
                      <w:lang w:val="en-US" w:eastAsia="zh-CN" w:bidi="ar"/>
                    </w:rPr>
                    <w:t>558</w:t>
                  </w:r>
                </w:p>
              </w:tc>
              <w:tc>
                <w:tcPr>
                  <w:tcW w:w="1160" w:type="dxa"/>
                  <w:tcBorders>
                    <w:top w:val="single" w:color="auto" w:sz="4" w:space="0"/>
                    <w:left w:val="single" w:color="auto" w:sz="4" w:space="0"/>
                    <w:bottom w:val="single" w:color="auto" w:sz="4" w:space="0"/>
                    <w:right w:val="single" w:color="auto" w:sz="4" w:space="0"/>
                  </w:tcBorders>
                  <w:shd w:val="clear" w:color="auto" w:fill="auto"/>
                  <w:vAlign w:val="center"/>
                </w:tcPr>
                <w:p w14:paraId="1EC7AD17">
                  <w:pPr>
                    <w:keepNext w:val="0"/>
                    <w:keepLines w:val="0"/>
                    <w:pageBreakBefore w:val="0"/>
                    <w:kinsoku/>
                    <w:wordWrap/>
                    <w:overflowPunct/>
                    <w:topLinePunct w:val="0"/>
                    <w:autoSpaceDE/>
                    <w:autoSpaceDN/>
                    <w:bidi w:val="0"/>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宋体" w:eastAsia="宋体" w:cs="Times New Roman"/>
                      <w:color w:val="auto"/>
                      <w:spacing w:val="-10"/>
                      <w:kern w:val="0"/>
                      <w:sz w:val="21"/>
                      <w:szCs w:val="21"/>
                      <w:lang w:val="en-US" w:eastAsia="zh-CN" w:bidi="ar"/>
                    </w:rPr>
                    <w:t>+</w:t>
                  </w:r>
                  <w:r>
                    <w:rPr>
                      <w:rFonts w:hint="default" w:ascii="Times New Roman" w:hAnsi="宋体" w:eastAsia="宋体" w:cs="Times New Roman"/>
                      <w:color w:val="auto"/>
                      <w:spacing w:val="-10"/>
                      <w:kern w:val="0"/>
                      <w:sz w:val="21"/>
                      <w:szCs w:val="21"/>
                      <w:lang w:val="en-US" w:eastAsia="zh-CN" w:bidi="ar"/>
                    </w:rPr>
                    <w:t>558</w:t>
                  </w:r>
                </w:p>
              </w:tc>
              <w:tc>
                <w:tcPr>
                  <w:tcW w:w="1128" w:type="dxa"/>
                  <w:tcBorders>
                    <w:top w:val="single" w:color="auto" w:sz="4" w:space="0"/>
                    <w:left w:val="single" w:color="auto" w:sz="4" w:space="0"/>
                    <w:bottom w:val="single" w:color="auto" w:sz="4" w:space="0"/>
                    <w:right w:val="single" w:color="auto" w:sz="4" w:space="0"/>
                  </w:tcBorders>
                  <w:shd w:val="clear" w:color="auto" w:fill="auto"/>
                  <w:vAlign w:val="center"/>
                </w:tcPr>
                <w:p w14:paraId="2CE597B1">
                  <w:pPr>
                    <w:keepNext w:val="0"/>
                    <w:keepLines w:val="0"/>
                    <w:widowControl/>
                    <w:suppressLineNumbers w:val="0"/>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2158</w:t>
                  </w:r>
                </w:p>
              </w:tc>
              <w:tc>
                <w:tcPr>
                  <w:tcW w:w="1113" w:type="dxa"/>
                  <w:tcBorders>
                    <w:top w:val="single" w:color="auto" w:sz="4" w:space="0"/>
                    <w:left w:val="single" w:color="auto" w:sz="4" w:space="0"/>
                    <w:bottom w:val="single" w:color="auto" w:sz="4" w:space="0"/>
                    <w:right w:val="nil"/>
                  </w:tcBorders>
                  <w:shd w:val="clear" w:color="auto" w:fill="auto"/>
                  <w:vAlign w:val="center"/>
                </w:tcPr>
                <w:p w14:paraId="56E18F78">
                  <w:pPr>
                    <w:keepNext w:val="0"/>
                    <w:keepLines w:val="0"/>
                    <w:widowControl/>
                    <w:suppressLineNumbers w:val="0"/>
                    <w:jc w:val="center"/>
                    <w:textAlignment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2158</w:t>
                  </w:r>
                </w:p>
              </w:tc>
            </w:tr>
            <w:tr w14:paraId="027CC147">
              <w:tblPrEx>
                <w:tblBorders>
                  <w:top w:val="single" w:color="auto" w:sz="12" w:space="0"/>
                  <w:left w:val="none" w:color="auto" w:sz="6" w:space="0"/>
                  <w:bottom w:val="single" w:color="auto" w:sz="12" w:space="0"/>
                  <w:right w:val="none" w:color="auto" w:sz="6" w:space="0"/>
                  <w:insideH w:val="single" w:color="auto" w:sz="6" w:space="0"/>
                  <w:insideV w:val="single" w:color="auto" w:sz="6" w:space="0"/>
                </w:tblBorders>
                <w:tblCellMar>
                  <w:top w:w="0" w:type="dxa"/>
                  <w:left w:w="108" w:type="dxa"/>
                  <w:bottom w:w="0" w:type="dxa"/>
                  <w:right w:w="108" w:type="dxa"/>
                </w:tblCellMar>
              </w:tblPrEx>
              <w:trPr>
                <w:trHeight w:val="155" w:hRule="atLeast"/>
                <w:jc w:val="center"/>
              </w:trPr>
              <w:tc>
                <w:tcPr>
                  <w:tcW w:w="1005" w:type="dxa"/>
                  <w:gridSpan w:val="2"/>
                  <w:vMerge w:val="continue"/>
                  <w:tcBorders>
                    <w:top w:val="single" w:color="auto" w:sz="4" w:space="0"/>
                    <w:left w:val="nil"/>
                    <w:bottom w:val="single" w:color="auto" w:sz="4" w:space="0"/>
                    <w:right w:val="single" w:color="auto" w:sz="4" w:space="0"/>
                  </w:tcBorders>
                  <w:vAlign w:val="center"/>
                </w:tcPr>
                <w:p w14:paraId="36920C89">
                  <w:pPr>
                    <w:rPr>
                      <w:color w:val="auto"/>
                      <w:sz w:val="21"/>
                      <w:szCs w:val="21"/>
                    </w:rPr>
                  </w:pPr>
                </w:p>
              </w:tc>
              <w:tc>
                <w:tcPr>
                  <w:tcW w:w="1180" w:type="dxa"/>
                  <w:tcBorders>
                    <w:top w:val="single" w:color="auto" w:sz="4" w:space="0"/>
                    <w:left w:val="single" w:color="auto" w:sz="4" w:space="0"/>
                    <w:bottom w:val="single" w:color="auto" w:sz="4" w:space="0"/>
                    <w:right w:val="single" w:color="auto" w:sz="4" w:space="0"/>
                  </w:tcBorders>
                  <w:vAlign w:val="center"/>
                </w:tcPr>
                <w:p w14:paraId="5E1BEF7F">
                  <w:pPr>
                    <w:adjustRightInd w:val="0"/>
                    <w:snapToGrid w:val="0"/>
                    <w:jc w:val="center"/>
                    <w:textAlignment w:val="baseline"/>
                    <w:rPr>
                      <w:color w:val="auto"/>
                      <w:spacing w:val="4"/>
                      <w:sz w:val="21"/>
                      <w:szCs w:val="21"/>
                    </w:rPr>
                  </w:pPr>
                  <w:r>
                    <w:rPr>
                      <w:color w:val="auto"/>
                      <w:spacing w:val="4"/>
                      <w:sz w:val="21"/>
                      <w:szCs w:val="21"/>
                    </w:rPr>
                    <w:t>COD</w:t>
                  </w:r>
                </w:p>
              </w:tc>
              <w:tc>
                <w:tcPr>
                  <w:tcW w:w="1040" w:type="dxa"/>
                  <w:tcBorders>
                    <w:top w:val="single" w:color="auto" w:sz="4" w:space="0"/>
                    <w:left w:val="single" w:color="auto" w:sz="4" w:space="0"/>
                    <w:bottom w:val="single" w:color="auto" w:sz="4" w:space="0"/>
                    <w:right w:val="single" w:color="auto" w:sz="4" w:space="0"/>
                  </w:tcBorders>
                  <w:shd w:val="clear" w:color="auto" w:fill="auto"/>
                  <w:vAlign w:val="center"/>
                </w:tcPr>
                <w:p w14:paraId="386A43CE">
                  <w:pPr>
                    <w:keepNext w:val="0"/>
                    <w:keepLines w:val="0"/>
                    <w:widowControl/>
                    <w:suppressLineNumbers w:val="0"/>
                    <w:jc w:val="center"/>
                    <w:textAlignment w:val="center"/>
                    <w:rPr>
                      <w:rFonts w:hint="default" w:ascii="Times New Roman" w:hAnsi="宋体" w:eastAsia="宋体" w:cs="Times New Roman"/>
                      <w:color w:val="auto"/>
                      <w:kern w:val="2"/>
                      <w:sz w:val="21"/>
                      <w:szCs w:val="21"/>
                      <w:lang w:val="en-US" w:eastAsia="zh-CN" w:bidi="ar"/>
                    </w:rPr>
                  </w:pPr>
                  <w:r>
                    <w:rPr>
                      <w:rFonts w:hint="eastAsia" w:cs="Times New Roman"/>
                      <w:i w:val="0"/>
                      <w:iCs w:val="0"/>
                      <w:color w:val="auto"/>
                      <w:kern w:val="0"/>
                      <w:sz w:val="21"/>
                      <w:szCs w:val="21"/>
                      <w:u w:val="none"/>
                      <w:lang w:val="en-US" w:eastAsia="zh-CN" w:bidi="ar"/>
                    </w:rPr>
                    <w:t>0.56</w:t>
                  </w:r>
                </w:p>
              </w:tc>
              <w:tc>
                <w:tcPr>
                  <w:tcW w:w="890" w:type="dxa"/>
                  <w:tcBorders>
                    <w:top w:val="single" w:color="auto" w:sz="4" w:space="0"/>
                    <w:left w:val="single" w:color="auto" w:sz="4" w:space="0"/>
                    <w:bottom w:val="single" w:color="auto" w:sz="4" w:space="0"/>
                    <w:right w:val="single" w:color="auto" w:sz="4" w:space="0"/>
                  </w:tcBorders>
                  <w:shd w:val="clear" w:color="auto" w:fill="auto"/>
                  <w:vAlign w:val="center"/>
                </w:tcPr>
                <w:p w14:paraId="3251D0AE">
                  <w:pPr>
                    <w:keepNext w:val="0"/>
                    <w:keepLines w:val="0"/>
                    <w:widowControl/>
                    <w:suppressLineNumbers w:val="0"/>
                    <w:jc w:val="center"/>
                    <w:textAlignment w:val="center"/>
                    <w:rPr>
                      <w:rFonts w:hint="default" w:ascii="Times New Roman" w:hAnsi="Times New Roman" w:eastAsia="宋体" w:cs="Times New Roman"/>
                      <w:bCs/>
                      <w:color w:val="auto"/>
                      <w:spacing w:val="4"/>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0.1953</w:t>
                  </w:r>
                </w:p>
              </w:tc>
              <w:tc>
                <w:tcPr>
                  <w:tcW w:w="820" w:type="dxa"/>
                  <w:tcBorders>
                    <w:top w:val="single" w:color="auto" w:sz="4" w:space="0"/>
                    <w:left w:val="single" w:color="auto" w:sz="4" w:space="0"/>
                    <w:bottom w:val="single" w:color="auto" w:sz="4" w:space="0"/>
                    <w:right w:val="single" w:color="auto" w:sz="4" w:space="0"/>
                  </w:tcBorders>
                  <w:vAlign w:val="center"/>
                </w:tcPr>
                <w:p w14:paraId="5BA311A1">
                  <w:pPr>
                    <w:jc w:val="center"/>
                    <w:rPr>
                      <w:color w:val="auto"/>
                      <w:kern w:val="0"/>
                      <w:sz w:val="21"/>
                      <w:szCs w:val="21"/>
                    </w:rPr>
                  </w:pPr>
                  <w:r>
                    <w:rPr>
                      <w:rFonts w:hint="eastAsia"/>
                      <w:color w:val="auto"/>
                      <w:spacing w:val="4"/>
                      <w:sz w:val="21"/>
                      <w:szCs w:val="21"/>
                    </w:rPr>
                    <w:t>0</w:t>
                  </w:r>
                </w:p>
              </w:tc>
              <w:tc>
                <w:tcPr>
                  <w:tcW w:w="1091" w:type="dxa"/>
                  <w:tcBorders>
                    <w:top w:val="single" w:color="auto" w:sz="4" w:space="0"/>
                    <w:left w:val="single" w:color="auto" w:sz="4" w:space="0"/>
                    <w:bottom w:val="single" w:color="auto" w:sz="4" w:space="0"/>
                    <w:right w:val="single" w:color="auto" w:sz="4" w:space="0"/>
                  </w:tcBorders>
                  <w:shd w:val="clear" w:color="auto" w:fill="auto"/>
                  <w:vAlign w:val="center"/>
                </w:tcPr>
                <w:p w14:paraId="63D77130">
                  <w:pPr>
                    <w:keepNext w:val="0"/>
                    <w:keepLines w:val="0"/>
                    <w:widowControl/>
                    <w:suppressLineNumbers w:val="0"/>
                    <w:jc w:val="center"/>
                    <w:textAlignment w:val="center"/>
                    <w:rPr>
                      <w:rFonts w:hint="default" w:ascii="Times New Roman" w:hAnsi="Times New Roman" w:eastAsia="宋体" w:cs="Times New Roman"/>
                      <w:bCs/>
                      <w:color w:val="auto"/>
                      <w:spacing w:val="4"/>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0.1953</w:t>
                  </w:r>
                </w:p>
              </w:tc>
              <w:tc>
                <w:tcPr>
                  <w:tcW w:w="1120" w:type="dxa"/>
                  <w:tcBorders>
                    <w:top w:val="single" w:color="auto" w:sz="4" w:space="0"/>
                    <w:left w:val="single" w:color="auto" w:sz="4" w:space="0"/>
                    <w:bottom w:val="single" w:color="auto" w:sz="4" w:space="0"/>
                    <w:right w:val="single" w:color="auto" w:sz="4" w:space="0"/>
                  </w:tcBorders>
                  <w:shd w:val="clear" w:color="auto" w:fill="auto"/>
                  <w:vAlign w:val="center"/>
                </w:tcPr>
                <w:p w14:paraId="659E653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0.0279</w:t>
                  </w:r>
                </w:p>
              </w:tc>
              <w:tc>
                <w:tcPr>
                  <w:tcW w:w="916" w:type="dxa"/>
                  <w:tcBorders>
                    <w:top w:val="single" w:color="auto" w:sz="4" w:space="0"/>
                    <w:left w:val="single" w:color="auto" w:sz="4" w:space="0"/>
                    <w:bottom w:val="single" w:color="auto" w:sz="4" w:space="0"/>
                    <w:right w:val="single" w:color="auto" w:sz="4" w:space="0"/>
                  </w:tcBorders>
                  <w:vAlign w:val="center"/>
                </w:tcPr>
                <w:p w14:paraId="71791BAC">
                  <w:pPr>
                    <w:keepNext w:val="0"/>
                    <w:keepLines w:val="0"/>
                    <w:pageBreakBefore w:val="0"/>
                    <w:suppressLineNumbers w:val="0"/>
                    <w:kinsoku/>
                    <w:wordWrap/>
                    <w:overflowPunct/>
                    <w:topLinePunct w:val="0"/>
                    <w:autoSpaceDE/>
                    <w:autoSpaceDN/>
                    <w:bidi w:val="0"/>
                    <w:adjustRightInd w:val="0"/>
                    <w:snapToGrid w:val="0"/>
                    <w:spacing w:beforeAutospacing="0" w:afterAutospacing="0"/>
                    <w:ind w:left="0" w:leftChars="0" w:right="0" w:rightChars="0"/>
                    <w:jc w:val="center"/>
                    <w:rPr>
                      <w:rFonts w:hint="default" w:ascii="Times New Roman" w:hAnsi="宋体" w:eastAsia="宋体"/>
                      <w:color w:val="auto"/>
                      <w:szCs w:val="21"/>
                      <w:lang w:val="en-US" w:eastAsia="zh-CN"/>
                    </w:rPr>
                  </w:pPr>
                  <w:r>
                    <w:rPr>
                      <w:rFonts w:hint="eastAsia" w:hAnsi="宋体"/>
                      <w:color w:val="auto"/>
                      <w:szCs w:val="21"/>
                      <w:lang w:val="en-US" w:eastAsia="zh-CN"/>
                    </w:rPr>
                    <w:t>/</w:t>
                  </w:r>
                </w:p>
              </w:tc>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5BF0A508">
                  <w:pPr>
                    <w:keepNext w:val="0"/>
                    <w:keepLines w:val="0"/>
                    <w:widowControl/>
                    <w:suppressLineNumbers w:val="0"/>
                    <w:jc w:val="center"/>
                    <w:textAlignment w:val="center"/>
                    <w:rPr>
                      <w:rFonts w:hint="default" w:ascii="Times New Roman" w:hAnsi="Times New Roman" w:eastAsia="宋体" w:cs="Times New Roman"/>
                      <w:bCs/>
                      <w:color w:val="auto"/>
                      <w:spacing w:val="4"/>
                      <w:kern w:val="0"/>
                      <w:sz w:val="21"/>
                      <w:szCs w:val="21"/>
                      <w:lang w:val="en-US" w:eastAsia="zh-CN" w:bidi="ar-SA"/>
                    </w:rPr>
                  </w:pPr>
                  <w:r>
                    <w:rPr>
                      <w:rFonts w:hint="eastAsia" w:ascii="Times New Roman" w:hAnsi="Times New Roman" w:eastAsia="宋体" w:cs="Times New Roman"/>
                      <w:i w:val="0"/>
                      <w:iCs w:val="0"/>
                      <w:color w:val="auto"/>
                      <w:kern w:val="0"/>
                      <w:sz w:val="21"/>
                      <w:szCs w:val="21"/>
                      <w:u w:val="none"/>
                      <w:lang w:val="en-US" w:eastAsia="zh-CN" w:bidi="ar"/>
                    </w:rPr>
                    <w:t>+</w:t>
                  </w:r>
                  <w:r>
                    <w:rPr>
                      <w:rFonts w:hint="default" w:ascii="Times New Roman" w:hAnsi="Times New Roman" w:eastAsia="宋体" w:cs="Times New Roman"/>
                      <w:i w:val="0"/>
                      <w:iCs w:val="0"/>
                      <w:color w:val="auto"/>
                      <w:kern w:val="0"/>
                      <w:sz w:val="21"/>
                      <w:szCs w:val="21"/>
                      <w:u w:val="none"/>
                      <w:lang w:val="en-US" w:eastAsia="zh-CN" w:bidi="ar"/>
                    </w:rPr>
                    <w:t>0.1953</w:t>
                  </w:r>
                </w:p>
              </w:tc>
              <w:tc>
                <w:tcPr>
                  <w:tcW w:w="1160" w:type="dxa"/>
                  <w:tcBorders>
                    <w:top w:val="single" w:color="auto" w:sz="4" w:space="0"/>
                    <w:left w:val="single" w:color="auto" w:sz="4" w:space="0"/>
                    <w:bottom w:val="single" w:color="auto" w:sz="4" w:space="0"/>
                    <w:right w:val="single" w:color="auto" w:sz="4" w:space="0"/>
                  </w:tcBorders>
                  <w:shd w:val="clear" w:color="auto" w:fill="auto"/>
                  <w:vAlign w:val="center"/>
                </w:tcPr>
                <w:p w14:paraId="5615BF7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+0.0279</w:t>
                  </w:r>
                </w:p>
              </w:tc>
              <w:tc>
                <w:tcPr>
                  <w:tcW w:w="1128" w:type="dxa"/>
                  <w:tcBorders>
                    <w:top w:val="single" w:color="auto" w:sz="4" w:space="0"/>
                    <w:left w:val="single" w:color="auto" w:sz="4" w:space="0"/>
                    <w:bottom w:val="single" w:color="auto" w:sz="4" w:space="0"/>
                    <w:right w:val="single" w:color="auto" w:sz="4" w:space="0"/>
                  </w:tcBorders>
                  <w:shd w:val="clear" w:color="auto" w:fill="auto"/>
                  <w:vAlign w:val="center"/>
                </w:tcPr>
                <w:p w14:paraId="7923B185">
                  <w:pPr>
                    <w:keepNext w:val="0"/>
                    <w:keepLines w:val="0"/>
                    <w:widowControl/>
                    <w:suppressLineNumbers w:val="0"/>
                    <w:jc w:val="center"/>
                    <w:textAlignment w:val="center"/>
                    <w:rPr>
                      <w:rFonts w:hint="default" w:ascii="Times New Roman" w:hAnsi="Times New Roman" w:eastAsia="宋体" w:cs="Times New Roman"/>
                      <w:bCs/>
                      <w:color w:val="auto"/>
                      <w:spacing w:val="4"/>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0.7553</w:t>
                  </w:r>
                </w:p>
              </w:tc>
              <w:tc>
                <w:tcPr>
                  <w:tcW w:w="1113" w:type="dxa"/>
                  <w:tcBorders>
                    <w:top w:val="single" w:color="auto" w:sz="4" w:space="0"/>
                    <w:left w:val="single" w:color="auto" w:sz="4" w:space="0"/>
                    <w:bottom w:val="single" w:color="auto" w:sz="4" w:space="0"/>
                    <w:right w:val="nil"/>
                  </w:tcBorders>
                  <w:shd w:val="clear" w:color="auto" w:fill="auto"/>
                  <w:vAlign w:val="center"/>
                </w:tcPr>
                <w:p w14:paraId="6944B5A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0.1079</w:t>
                  </w:r>
                </w:p>
              </w:tc>
            </w:tr>
            <w:tr w14:paraId="6AAF9788">
              <w:tblPrEx>
                <w:tblBorders>
                  <w:top w:val="single" w:color="auto" w:sz="12" w:space="0"/>
                  <w:left w:val="none" w:color="auto" w:sz="6" w:space="0"/>
                  <w:bottom w:val="single" w:color="auto" w:sz="12" w:space="0"/>
                  <w:right w:val="none" w:color="auto" w:sz="6"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1005" w:type="dxa"/>
                  <w:gridSpan w:val="2"/>
                  <w:vMerge w:val="continue"/>
                  <w:tcBorders>
                    <w:top w:val="single" w:color="auto" w:sz="4" w:space="0"/>
                    <w:left w:val="nil"/>
                    <w:bottom w:val="single" w:color="auto" w:sz="4" w:space="0"/>
                    <w:right w:val="single" w:color="auto" w:sz="4" w:space="0"/>
                  </w:tcBorders>
                  <w:vAlign w:val="center"/>
                </w:tcPr>
                <w:p w14:paraId="7AB41CA7">
                  <w:pPr>
                    <w:rPr>
                      <w:color w:val="auto"/>
                      <w:sz w:val="21"/>
                      <w:szCs w:val="21"/>
                    </w:rPr>
                  </w:pPr>
                </w:p>
              </w:tc>
              <w:tc>
                <w:tcPr>
                  <w:tcW w:w="1180" w:type="dxa"/>
                  <w:tcBorders>
                    <w:top w:val="single" w:color="auto" w:sz="4" w:space="0"/>
                    <w:left w:val="single" w:color="auto" w:sz="4" w:space="0"/>
                    <w:bottom w:val="single" w:color="auto" w:sz="4" w:space="0"/>
                    <w:right w:val="single" w:color="auto" w:sz="4" w:space="0"/>
                  </w:tcBorders>
                  <w:vAlign w:val="center"/>
                </w:tcPr>
                <w:p w14:paraId="27E9F376">
                  <w:pPr>
                    <w:adjustRightInd w:val="0"/>
                    <w:snapToGrid w:val="0"/>
                    <w:jc w:val="center"/>
                    <w:textAlignment w:val="baseline"/>
                    <w:rPr>
                      <w:color w:val="auto"/>
                      <w:spacing w:val="4"/>
                      <w:sz w:val="21"/>
                      <w:szCs w:val="21"/>
                    </w:rPr>
                  </w:pPr>
                  <w:r>
                    <w:rPr>
                      <w:color w:val="auto"/>
                      <w:spacing w:val="4"/>
                      <w:sz w:val="21"/>
                      <w:szCs w:val="21"/>
                    </w:rPr>
                    <w:t>SS</w:t>
                  </w:r>
                </w:p>
              </w:tc>
              <w:tc>
                <w:tcPr>
                  <w:tcW w:w="1040" w:type="dxa"/>
                  <w:tcBorders>
                    <w:top w:val="single" w:color="auto" w:sz="4" w:space="0"/>
                    <w:left w:val="single" w:color="auto" w:sz="4" w:space="0"/>
                    <w:bottom w:val="single" w:color="auto" w:sz="4" w:space="0"/>
                    <w:right w:val="single" w:color="auto" w:sz="4" w:space="0"/>
                  </w:tcBorders>
                  <w:shd w:val="clear" w:color="auto" w:fill="auto"/>
                  <w:vAlign w:val="center"/>
                </w:tcPr>
                <w:p w14:paraId="3053C3C2">
                  <w:pPr>
                    <w:keepNext w:val="0"/>
                    <w:keepLines w:val="0"/>
                    <w:widowControl/>
                    <w:suppressLineNumbers w:val="0"/>
                    <w:jc w:val="center"/>
                    <w:textAlignment w:val="center"/>
                    <w:rPr>
                      <w:rFonts w:hint="default" w:ascii="Times New Roman" w:hAnsi="Times New Roman" w:eastAsia="宋体" w:cs="Times New Roman"/>
                      <w:color w:val="auto"/>
                      <w:kern w:val="2"/>
                      <w:sz w:val="21"/>
                      <w:szCs w:val="21"/>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w:t>
                  </w:r>
                  <w:r>
                    <w:rPr>
                      <w:rFonts w:hint="eastAsia" w:cs="Times New Roman"/>
                      <w:i w:val="0"/>
                      <w:iCs w:val="0"/>
                      <w:color w:val="auto"/>
                      <w:kern w:val="0"/>
                      <w:sz w:val="21"/>
                      <w:szCs w:val="21"/>
                      <w:u w:val="none"/>
                      <w:lang w:val="en-US" w:eastAsia="zh-CN" w:bidi="ar"/>
                    </w:rPr>
                    <w:t>4</w:t>
                  </w:r>
                </w:p>
              </w:tc>
              <w:tc>
                <w:tcPr>
                  <w:tcW w:w="890" w:type="dxa"/>
                  <w:tcBorders>
                    <w:top w:val="single" w:color="auto" w:sz="4" w:space="0"/>
                    <w:left w:val="single" w:color="auto" w:sz="4" w:space="0"/>
                    <w:bottom w:val="single" w:color="auto" w:sz="4" w:space="0"/>
                    <w:right w:val="single" w:color="auto" w:sz="4" w:space="0"/>
                  </w:tcBorders>
                  <w:shd w:val="clear" w:color="auto" w:fill="auto"/>
                  <w:vAlign w:val="center"/>
                </w:tcPr>
                <w:p w14:paraId="65D08B99">
                  <w:pPr>
                    <w:keepNext w:val="0"/>
                    <w:keepLines w:val="0"/>
                    <w:widowControl/>
                    <w:suppressLineNumbers w:val="0"/>
                    <w:jc w:val="center"/>
                    <w:textAlignment w:val="center"/>
                    <w:rPr>
                      <w:rFonts w:hint="default" w:ascii="Times New Roman" w:hAnsi="Times New Roman" w:eastAsia="宋体" w:cs="Times New Roman"/>
                      <w:bCs/>
                      <w:color w:val="auto"/>
                      <w:spacing w:val="4"/>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0.1395</w:t>
                  </w:r>
                </w:p>
              </w:tc>
              <w:tc>
                <w:tcPr>
                  <w:tcW w:w="820" w:type="dxa"/>
                  <w:tcBorders>
                    <w:top w:val="single" w:color="auto" w:sz="4" w:space="0"/>
                    <w:left w:val="single" w:color="auto" w:sz="4" w:space="0"/>
                    <w:bottom w:val="single" w:color="auto" w:sz="4" w:space="0"/>
                    <w:right w:val="single" w:color="auto" w:sz="4" w:space="0"/>
                  </w:tcBorders>
                  <w:vAlign w:val="center"/>
                </w:tcPr>
                <w:p w14:paraId="12E7CB88">
                  <w:pPr>
                    <w:jc w:val="center"/>
                    <w:rPr>
                      <w:color w:val="auto"/>
                      <w:kern w:val="0"/>
                      <w:sz w:val="21"/>
                      <w:szCs w:val="21"/>
                    </w:rPr>
                  </w:pPr>
                  <w:r>
                    <w:rPr>
                      <w:rFonts w:hint="eastAsia"/>
                      <w:color w:val="auto"/>
                      <w:spacing w:val="4"/>
                      <w:sz w:val="21"/>
                      <w:szCs w:val="21"/>
                    </w:rPr>
                    <w:t>0</w:t>
                  </w:r>
                </w:p>
              </w:tc>
              <w:tc>
                <w:tcPr>
                  <w:tcW w:w="1091" w:type="dxa"/>
                  <w:tcBorders>
                    <w:top w:val="single" w:color="auto" w:sz="4" w:space="0"/>
                    <w:left w:val="single" w:color="auto" w:sz="4" w:space="0"/>
                    <w:bottom w:val="single" w:color="auto" w:sz="4" w:space="0"/>
                    <w:right w:val="single" w:color="auto" w:sz="4" w:space="0"/>
                  </w:tcBorders>
                  <w:shd w:val="clear" w:color="auto" w:fill="auto"/>
                  <w:vAlign w:val="center"/>
                </w:tcPr>
                <w:p w14:paraId="014496A9">
                  <w:pPr>
                    <w:keepNext w:val="0"/>
                    <w:keepLines w:val="0"/>
                    <w:widowControl/>
                    <w:suppressLineNumbers w:val="0"/>
                    <w:jc w:val="center"/>
                    <w:textAlignment w:val="center"/>
                    <w:rPr>
                      <w:rFonts w:hint="default" w:ascii="Times New Roman" w:hAnsi="Times New Roman" w:eastAsia="宋体" w:cs="Times New Roman"/>
                      <w:bCs/>
                      <w:color w:val="auto"/>
                      <w:spacing w:val="4"/>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0.1395</w:t>
                  </w:r>
                </w:p>
              </w:tc>
              <w:tc>
                <w:tcPr>
                  <w:tcW w:w="1120" w:type="dxa"/>
                  <w:tcBorders>
                    <w:top w:val="single" w:color="auto" w:sz="4" w:space="0"/>
                    <w:left w:val="single" w:color="auto" w:sz="4" w:space="0"/>
                    <w:bottom w:val="single" w:color="auto" w:sz="4" w:space="0"/>
                    <w:right w:val="single" w:color="auto" w:sz="4" w:space="0"/>
                  </w:tcBorders>
                  <w:shd w:val="clear" w:color="auto" w:fill="auto"/>
                  <w:vAlign w:val="center"/>
                </w:tcPr>
                <w:p w14:paraId="5A60E2E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0.0056</w:t>
                  </w:r>
                </w:p>
              </w:tc>
              <w:tc>
                <w:tcPr>
                  <w:tcW w:w="916" w:type="dxa"/>
                  <w:tcBorders>
                    <w:top w:val="single" w:color="auto" w:sz="4" w:space="0"/>
                    <w:left w:val="single" w:color="auto" w:sz="4" w:space="0"/>
                    <w:bottom w:val="single" w:color="auto" w:sz="4" w:space="0"/>
                    <w:right w:val="single" w:color="auto" w:sz="4" w:space="0"/>
                  </w:tcBorders>
                  <w:vAlign w:val="center"/>
                </w:tcPr>
                <w:p w14:paraId="6E689B06">
                  <w:pPr>
                    <w:keepNext w:val="0"/>
                    <w:keepLines w:val="0"/>
                    <w:pageBreakBefore w:val="0"/>
                    <w:suppressLineNumbers w:val="0"/>
                    <w:kinsoku/>
                    <w:wordWrap/>
                    <w:overflowPunct/>
                    <w:topLinePunct w:val="0"/>
                    <w:autoSpaceDE/>
                    <w:autoSpaceDN/>
                    <w:bidi w:val="0"/>
                    <w:adjustRightInd w:val="0"/>
                    <w:snapToGrid w:val="0"/>
                    <w:spacing w:beforeAutospacing="0" w:afterAutospacing="0"/>
                    <w:ind w:left="0" w:leftChars="0" w:right="0" w:rightChars="0"/>
                    <w:jc w:val="center"/>
                    <w:rPr>
                      <w:rFonts w:hint="default" w:ascii="Times New Roman" w:eastAsia="宋体"/>
                      <w:color w:val="auto"/>
                      <w:szCs w:val="21"/>
                      <w:lang w:val="en-US" w:eastAsia="zh-CN"/>
                    </w:rPr>
                  </w:pPr>
                  <w:r>
                    <w:rPr>
                      <w:rFonts w:hint="eastAsia"/>
                      <w:color w:val="auto"/>
                      <w:szCs w:val="21"/>
                      <w:lang w:val="en-US" w:eastAsia="zh-CN"/>
                    </w:rPr>
                    <w:t>/</w:t>
                  </w:r>
                </w:p>
              </w:tc>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06212834">
                  <w:pPr>
                    <w:keepNext w:val="0"/>
                    <w:keepLines w:val="0"/>
                    <w:widowControl/>
                    <w:suppressLineNumbers w:val="0"/>
                    <w:jc w:val="center"/>
                    <w:textAlignment w:val="center"/>
                    <w:rPr>
                      <w:rFonts w:hint="default" w:ascii="Times New Roman" w:hAnsi="Times New Roman" w:eastAsia="宋体" w:cs="Times New Roman"/>
                      <w:bCs/>
                      <w:color w:val="auto"/>
                      <w:spacing w:val="4"/>
                      <w:kern w:val="0"/>
                      <w:sz w:val="21"/>
                      <w:szCs w:val="21"/>
                      <w:lang w:val="en-US" w:eastAsia="zh-CN" w:bidi="ar-SA"/>
                    </w:rPr>
                  </w:pPr>
                  <w:r>
                    <w:rPr>
                      <w:rFonts w:hint="eastAsia" w:ascii="Times New Roman" w:hAnsi="Times New Roman" w:eastAsia="宋体" w:cs="Times New Roman"/>
                      <w:i w:val="0"/>
                      <w:iCs w:val="0"/>
                      <w:color w:val="auto"/>
                      <w:kern w:val="0"/>
                      <w:sz w:val="21"/>
                      <w:szCs w:val="21"/>
                      <w:u w:val="none"/>
                      <w:lang w:val="en-US" w:eastAsia="zh-CN" w:bidi="ar"/>
                    </w:rPr>
                    <w:t>+</w:t>
                  </w:r>
                  <w:r>
                    <w:rPr>
                      <w:rFonts w:hint="default" w:ascii="Times New Roman" w:hAnsi="Times New Roman" w:eastAsia="宋体" w:cs="Times New Roman"/>
                      <w:i w:val="0"/>
                      <w:iCs w:val="0"/>
                      <w:color w:val="auto"/>
                      <w:kern w:val="0"/>
                      <w:sz w:val="21"/>
                      <w:szCs w:val="21"/>
                      <w:u w:val="none"/>
                      <w:lang w:val="en-US" w:eastAsia="zh-CN" w:bidi="ar"/>
                    </w:rPr>
                    <w:t>0.1395</w:t>
                  </w:r>
                </w:p>
              </w:tc>
              <w:tc>
                <w:tcPr>
                  <w:tcW w:w="1160" w:type="dxa"/>
                  <w:tcBorders>
                    <w:top w:val="single" w:color="auto" w:sz="4" w:space="0"/>
                    <w:left w:val="single" w:color="auto" w:sz="4" w:space="0"/>
                    <w:bottom w:val="single" w:color="auto" w:sz="4" w:space="0"/>
                    <w:right w:val="single" w:color="auto" w:sz="4" w:space="0"/>
                  </w:tcBorders>
                  <w:shd w:val="clear" w:color="auto" w:fill="auto"/>
                  <w:vAlign w:val="center"/>
                </w:tcPr>
                <w:p w14:paraId="3A9C43B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+0.0056</w:t>
                  </w:r>
                </w:p>
              </w:tc>
              <w:tc>
                <w:tcPr>
                  <w:tcW w:w="1128" w:type="dxa"/>
                  <w:tcBorders>
                    <w:top w:val="single" w:color="auto" w:sz="4" w:space="0"/>
                    <w:left w:val="single" w:color="auto" w:sz="4" w:space="0"/>
                    <w:bottom w:val="single" w:color="auto" w:sz="4" w:space="0"/>
                    <w:right w:val="single" w:color="auto" w:sz="4" w:space="0"/>
                  </w:tcBorders>
                  <w:shd w:val="clear" w:color="auto" w:fill="auto"/>
                  <w:vAlign w:val="center"/>
                </w:tcPr>
                <w:p w14:paraId="1B0BA3CD">
                  <w:pPr>
                    <w:keepNext w:val="0"/>
                    <w:keepLines w:val="0"/>
                    <w:widowControl/>
                    <w:suppressLineNumbers w:val="0"/>
                    <w:jc w:val="center"/>
                    <w:textAlignment w:val="center"/>
                    <w:rPr>
                      <w:rFonts w:hint="default" w:ascii="Times New Roman" w:hAnsi="Times New Roman" w:eastAsia="宋体" w:cs="Times New Roman"/>
                      <w:bCs/>
                      <w:color w:val="auto"/>
                      <w:spacing w:val="4"/>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0.5395</w:t>
                  </w:r>
                </w:p>
              </w:tc>
              <w:tc>
                <w:tcPr>
                  <w:tcW w:w="1113" w:type="dxa"/>
                  <w:tcBorders>
                    <w:top w:val="single" w:color="auto" w:sz="4" w:space="0"/>
                    <w:left w:val="single" w:color="auto" w:sz="4" w:space="0"/>
                    <w:bottom w:val="single" w:color="auto" w:sz="4" w:space="0"/>
                    <w:right w:val="nil"/>
                  </w:tcBorders>
                  <w:shd w:val="clear" w:color="auto" w:fill="auto"/>
                  <w:vAlign w:val="center"/>
                </w:tcPr>
                <w:p w14:paraId="64114A0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0.0216</w:t>
                  </w:r>
                </w:p>
              </w:tc>
            </w:tr>
            <w:tr w14:paraId="42359588">
              <w:tblPrEx>
                <w:tblBorders>
                  <w:top w:val="single" w:color="auto" w:sz="12" w:space="0"/>
                  <w:left w:val="none" w:color="auto" w:sz="6" w:space="0"/>
                  <w:bottom w:val="single" w:color="auto" w:sz="12" w:space="0"/>
                  <w:right w:val="none" w:color="auto" w:sz="6" w:space="0"/>
                  <w:insideH w:val="single" w:color="auto" w:sz="6" w:space="0"/>
                  <w:insideV w:val="single" w:color="auto" w:sz="6" w:space="0"/>
                </w:tblBorders>
                <w:tblCellMar>
                  <w:top w:w="0" w:type="dxa"/>
                  <w:left w:w="108" w:type="dxa"/>
                  <w:bottom w:w="0" w:type="dxa"/>
                  <w:right w:w="108" w:type="dxa"/>
                </w:tblCellMar>
              </w:tblPrEx>
              <w:trPr>
                <w:trHeight w:val="274" w:hRule="atLeast"/>
                <w:jc w:val="center"/>
              </w:trPr>
              <w:tc>
                <w:tcPr>
                  <w:tcW w:w="1005" w:type="dxa"/>
                  <w:gridSpan w:val="2"/>
                  <w:vMerge w:val="continue"/>
                  <w:tcBorders>
                    <w:top w:val="single" w:color="auto" w:sz="4" w:space="0"/>
                    <w:left w:val="nil"/>
                    <w:bottom w:val="single" w:color="auto" w:sz="4" w:space="0"/>
                    <w:right w:val="single" w:color="auto" w:sz="4" w:space="0"/>
                  </w:tcBorders>
                  <w:vAlign w:val="center"/>
                </w:tcPr>
                <w:p w14:paraId="7D20743B">
                  <w:pPr>
                    <w:rPr>
                      <w:color w:val="auto"/>
                      <w:sz w:val="21"/>
                      <w:szCs w:val="21"/>
                    </w:rPr>
                  </w:pPr>
                </w:p>
              </w:tc>
              <w:tc>
                <w:tcPr>
                  <w:tcW w:w="1180" w:type="dxa"/>
                  <w:tcBorders>
                    <w:top w:val="single" w:color="auto" w:sz="4" w:space="0"/>
                    <w:left w:val="single" w:color="auto" w:sz="4" w:space="0"/>
                    <w:bottom w:val="single" w:color="auto" w:sz="4" w:space="0"/>
                    <w:right w:val="single" w:color="auto" w:sz="4" w:space="0"/>
                  </w:tcBorders>
                  <w:vAlign w:val="center"/>
                </w:tcPr>
                <w:p w14:paraId="771EEFCD">
                  <w:pPr>
                    <w:adjustRightInd w:val="0"/>
                    <w:snapToGrid w:val="0"/>
                    <w:jc w:val="center"/>
                    <w:textAlignment w:val="baseline"/>
                    <w:rPr>
                      <w:color w:val="auto"/>
                      <w:spacing w:val="4"/>
                      <w:sz w:val="21"/>
                      <w:szCs w:val="21"/>
                    </w:rPr>
                  </w:pPr>
                  <w:r>
                    <w:rPr>
                      <w:color w:val="auto"/>
                      <w:spacing w:val="4"/>
                      <w:sz w:val="21"/>
                      <w:szCs w:val="21"/>
                    </w:rPr>
                    <w:t>氨氮</w:t>
                  </w:r>
                </w:p>
              </w:tc>
              <w:tc>
                <w:tcPr>
                  <w:tcW w:w="1040" w:type="dxa"/>
                  <w:tcBorders>
                    <w:top w:val="single" w:color="auto" w:sz="4" w:space="0"/>
                    <w:left w:val="single" w:color="auto" w:sz="4" w:space="0"/>
                    <w:bottom w:val="single" w:color="auto" w:sz="4" w:space="0"/>
                    <w:right w:val="single" w:color="auto" w:sz="4" w:space="0"/>
                  </w:tcBorders>
                  <w:shd w:val="clear" w:color="auto" w:fill="auto"/>
                  <w:vAlign w:val="center"/>
                </w:tcPr>
                <w:p w14:paraId="080C4830">
                  <w:pPr>
                    <w:keepNext w:val="0"/>
                    <w:keepLines w:val="0"/>
                    <w:widowControl/>
                    <w:suppressLineNumbers w:val="0"/>
                    <w:jc w:val="center"/>
                    <w:textAlignment w:val="center"/>
                    <w:rPr>
                      <w:rFonts w:hint="default" w:ascii="Times New Roman" w:hAnsi="Times New Roman" w:eastAsia="宋体" w:cs="Times New Roman"/>
                      <w:color w:val="auto"/>
                      <w:kern w:val="2"/>
                      <w:sz w:val="21"/>
                      <w:szCs w:val="21"/>
                      <w:lang w:val="en-US" w:eastAsia="zh-CN" w:bidi="ar"/>
                    </w:rPr>
                  </w:pPr>
                  <w:r>
                    <w:rPr>
                      <w:rFonts w:hint="eastAsia" w:cs="Times New Roman"/>
                      <w:color w:val="auto"/>
                      <w:kern w:val="2"/>
                      <w:sz w:val="21"/>
                      <w:szCs w:val="21"/>
                      <w:lang w:val="en-US" w:eastAsia="zh-CN" w:bidi="ar"/>
                    </w:rPr>
                    <w:t>0.04</w:t>
                  </w:r>
                </w:p>
              </w:tc>
              <w:tc>
                <w:tcPr>
                  <w:tcW w:w="890" w:type="dxa"/>
                  <w:tcBorders>
                    <w:top w:val="single" w:color="auto" w:sz="4" w:space="0"/>
                    <w:left w:val="single" w:color="auto" w:sz="4" w:space="0"/>
                    <w:bottom w:val="single" w:color="auto" w:sz="4" w:space="0"/>
                    <w:right w:val="single" w:color="auto" w:sz="4" w:space="0"/>
                  </w:tcBorders>
                  <w:shd w:val="clear" w:color="auto" w:fill="auto"/>
                  <w:vAlign w:val="center"/>
                </w:tcPr>
                <w:p w14:paraId="2ADC1DB6">
                  <w:pPr>
                    <w:keepNext w:val="0"/>
                    <w:keepLines w:val="0"/>
                    <w:widowControl/>
                    <w:suppressLineNumbers w:val="0"/>
                    <w:jc w:val="center"/>
                    <w:textAlignment w:val="center"/>
                    <w:rPr>
                      <w:rFonts w:hint="default" w:ascii="Times New Roman" w:hAnsi="Times New Roman" w:eastAsia="宋体" w:cs="Times New Roman"/>
                      <w:bCs/>
                      <w:color w:val="auto"/>
                      <w:spacing w:val="4"/>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0.0140</w:t>
                  </w:r>
                </w:p>
              </w:tc>
              <w:tc>
                <w:tcPr>
                  <w:tcW w:w="820" w:type="dxa"/>
                  <w:tcBorders>
                    <w:top w:val="single" w:color="auto" w:sz="4" w:space="0"/>
                    <w:left w:val="single" w:color="auto" w:sz="4" w:space="0"/>
                    <w:bottom w:val="single" w:color="auto" w:sz="4" w:space="0"/>
                    <w:right w:val="single" w:color="auto" w:sz="4" w:space="0"/>
                  </w:tcBorders>
                  <w:vAlign w:val="center"/>
                </w:tcPr>
                <w:p w14:paraId="58C2552F">
                  <w:pPr>
                    <w:jc w:val="center"/>
                    <w:rPr>
                      <w:color w:val="auto"/>
                      <w:spacing w:val="4"/>
                      <w:sz w:val="21"/>
                      <w:szCs w:val="21"/>
                    </w:rPr>
                  </w:pPr>
                  <w:r>
                    <w:rPr>
                      <w:rFonts w:hint="eastAsia"/>
                      <w:color w:val="auto"/>
                      <w:spacing w:val="4"/>
                      <w:sz w:val="21"/>
                      <w:szCs w:val="21"/>
                    </w:rPr>
                    <w:t>0</w:t>
                  </w:r>
                </w:p>
              </w:tc>
              <w:tc>
                <w:tcPr>
                  <w:tcW w:w="1091" w:type="dxa"/>
                  <w:tcBorders>
                    <w:top w:val="single" w:color="auto" w:sz="4" w:space="0"/>
                    <w:left w:val="single" w:color="auto" w:sz="4" w:space="0"/>
                    <w:bottom w:val="single" w:color="auto" w:sz="4" w:space="0"/>
                    <w:right w:val="single" w:color="auto" w:sz="4" w:space="0"/>
                  </w:tcBorders>
                  <w:shd w:val="clear" w:color="auto" w:fill="auto"/>
                  <w:vAlign w:val="center"/>
                </w:tcPr>
                <w:p w14:paraId="348562FF">
                  <w:pPr>
                    <w:keepNext w:val="0"/>
                    <w:keepLines w:val="0"/>
                    <w:widowControl/>
                    <w:suppressLineNumbers w:val="0"/>
                    <w:jc w:val="center"/>
                    <w:textAlignment w:val="center"/>
                    <w:rPr>
                      <w:rFonts w:hint="default" w:ascii="Times New Roman" w:hAnsi="Times New Roman" w:eastAsia="宋体" w:cs="Times New Roman"/>
                      <w:bCs/>
                      <w:color w:val="auto"/>
                      <w:spacing w:val="4"/>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0.0140</w:t>
                  </w:r>
                </w:p>
              </w:tc>
              <w:tc>
                <w:tcPr>
                  <w:tcW w:w="1120" w:type="dxa"/>
                  <w:tcBorders>
                    <w:top w:val="single" w:color="auto" w:sz="4" w:space="0"/>
                    <w:left w:val="single" w:color="auto" w:sz="4" w:space="0"/>
                    <w:bottom w:val="single" w:color="auto" w:sz="4" w:space="0"/>
                    <w:right w:val="single" w:color="auto" w:sz="4" w:space="0"/>
                  </w:tcBorders>
                  <w:shd w:val="clear" w:color="auto" w:fill="auto"/>
                  <w:vAlign w:val="center"/>
                </w:tcPr>
                <w:p w14:paraId="017A604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0.0033</w:t>
                  </w:r>
                </w:p>
              </w:tc>
              <w:tc>
                <w:tcPr>
                  <w:tcW w:w="916" w:type="dxa"/>
                  <w:tcBorders>
                    <w:top w:val="single" w:color="auto" w:sz="4" w:space="0"/>
                    <w:left w:val="single" w:color="auto" w:sz="4" w:space="0"/>
                    <w:bottom w:val="single" w:color="auto" w:sz="4" w:space="0"/>
                    <w:right w:val="single" w:color="auto" w:sz="4" w:space="0"/>
                  </w:tcBorders>
                  <w:vAlign w:val="center"/>
                </w:tcPr>
                <w:p w14:paraId="7294FE06">
                  <w:pPr>
                    <w:keepNext w:val="0"/>
                    <w:keepLines w:val="0"/>
                    <w:pageBreakBefore w:val="0"/>
                    <w:suppressLineNumbers w:val="0"/>
                    <w:kinsoku/>
                    <w:wordWrap/>
                    <w:overflowPunct/>
                    <w:topLinePunct w:val="0"/>
                    <w:autoSpaceDE/>
                    <w:autoSpaceDN/>
                    <w:bidi w:val="0"/>
                    <w:adjustRightInd w:val="0"/>
                    <w:snapToGrid w:val="0"/>
                    <w:spacing w:beforeAutospacing="0" w:afterAutospacing="0"/>
                    <w:ind w:left="0" w:leftChars="0" w:right="0" w:rightChars="0"/>
                    <w:jc w:val="center"/>
                    <w:rPr>
                      <w:rFonts w:ascii="Times New Roman" w:eastAsia="宋体"/>
                      <w:color w:val="auto"/>
                      <w:szCs w:val="21"/>
                    </w:rPr>
                  </w:pPr>
                  <w:r>
                    <w:rPr>
                      <w:rFonts w:hint="eastAsia"/>
                      <w:color w:val="auto"/>
                      <w:sz w:val="21"/>
                      <w:szCs w:val="21"/>
                      <w:lang w:val="en-US" w:eastAsia="zh-CN"/>
                    </w:rPr>
                    <w:t>/</w:t>
                  </w:r>
                </w:p>
              </w:tc>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18E34D44">
                  <w:pPr>
                    <w:keepNext w:val="0"/>
                    <w:keepLines w:val="0"/>
                    <w:widowControl/>
                    <w:suppressLineNumbers w:val="0"/>
                    <w:jc w:val="center"/>
                    <w:textAlignment w:val="center"/>
                    <w:rPr>
                      <w:rFonts w:hint="default" w:ascii="Times New Roman" w:hAnsi="Times New Roman" w:eastAsia="宋体" w:cs="Times New Roman"/>
                      <w:bCs/>
                      <w:color w:val="auto"/>
                      <w:spacing w:val="4"/>
                      <w:kern w:val="0"/>
                      <w:sz w:val="21"/>
                      <w:szCs w:val="21"/>
                      <w:lang w:val="en-US" w:eastAsia="zh-CN" w:bidi="ar-SA"/>
                    </w:rPr>
                  </w:pPr>
                  <w:r>
                    <w:rPr>
                      <w:rFonts w:hint="eastAsia" w:ascii="Times New Roman" w:hAnsi="Times New Roman" w:eastAsia="宋体" w:cs="Times New Roman"/>
                      <w:i w:val="0"/>
                      <w:iCs w:val="0"/>
                      <w:color w:val="auto"/>
                      <w:kern w:val="0"/>
                      <w:sz w:val="21"/>
                      <w:szCs w:val="21"/>
                      <w:u w:val="none"/>
                      <w:lang w:val="en-US" w:eastAsia="zh-CN" w:bidi="ar"/>
                    </w:rPr>
                    <w:t>+</w:t>
                  </w:r>
                  <w:r>
                    <w:rPr>
                      <w:rFonts w:hint="default" w:ascii="Times New Roman" w:hAnsi="Times New Roman" w:eastAsia="宋体" w:cs="Times New Roman"/>
                      <w:i w:val="0"/>
                      <w:iCs w:val="0"/>
                      <w:color w:val="auto"/>
                      <w:kern w:val="0"/>
                      <w:sz w:val="21"/>
                      <w:szCs w:val="21"/>
                      <w:u w:val="none"/>
                      <w:lang w:val="en-US" w:eastAsia="zh-CN" w:bidi="ar"/>
                    </w:rPr>
                    <w:t>0.0140</w:t>
                  </w:r>
                </w:p>
              </w:tc>
              <w:tc>
                <w:tcPr>
                  <w:tcW w:w="1160" w:type="dxa"/>
                  <w:tcBorders>
                    <w:top w:val="single" w:color="auto" w:sz="4" w:space="0"/>
                    <w:left w:val="single" w:color="auto" w:sz="4" w:space="0"/>
                    <w:bottom w:val="single" w:color="auto" w:sz="4" w:space="0"/>
                    <w:right w:val="single" w:color="auto" w:sz="4" w:space="0"/>
                  </w:tcBorders>
                  <w:shd w:val="clear" w:color="auto" w:fill="auto"/>
                  <w:vAlign w:val="center"/>
                </w:tcPr>
                <w:p w14:paraId="42C0C05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+0.0033</w:t>
                  </w:r>
                </w:p>
              </w:tc>
              <w:tc>
                <w:tcPr>
                  <w:tcW w:w="1128" w:type="dxa"/>
                  <w:tcBorders>
                    <w:top w:val="single" w:color="auto" w:sz="4" w:space="0"/>
                    <w:left w:val="single" w:color="auto" w:sz="4" w:space="0"/>
                    <w:bottom w:val="single" w:color="auto" w:sz="4" w:space="0"/>
                    <w:right w:val="single" w:color="auto" w:sz="4" w:space="0"/>
                  </w:tcBorders>
                  <w:shd w:val="clear" w:color="auto" w:fill="auto"/>
                  <w:vAlign w:val="center"/>
                </w:tcPr>
                <w:p w14:paraId="11B45E3A">
                  <w:pPr>
                    <w:keepNext w:val="0"/>
                    <w:keepLines w:val="0"/>
                    <w:widowControl/>
                    <w:suppressLineNumbers w:val="0"/>
                    <w:jc w:val="center"/>
                    <w:textAlignment w:val="center"/>
                    <w:rPr>
                      <w:rFonts w:hint="default" w:ascii="Times New Roman" w:hAnsi="Times New Roman" w:eastAsia="宋体" w:cs="Times New Roman"/>
                      <w:bCs/>
                      <w:color w:val="auto"/>
                      <w:spacing w:val="4"/>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0.0540</w:t>
                  </w:r>
                </w:p>
              </w:tc>
              <w:tc>
                <w:tcPr>
                  <w:tcW w:w="1113" w:type="dxa"/>
                  <w:tcBorders>
                    <w:top w:val="single" w:color="auto" w:sz="4" w:space="0"/>
                    <w:left w:val="single" w:color="auto" w:sz="4" w:space="0"/>
                    <w:bottom w:val="single" w:color="auto" w:sz="4" w:space="0"/>
                    <w:right w:val="nil"/>
                  </w:tcBorders>
                  <w:shd w:val="clear" w:color="auto" w:fill="auto"/>
                  <w:vAlign w:val="center"/>
                </w:tcPr>
                <w:p w14:paraId="0A0BEC9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0.0129</w:t>
                  </w:r>
                </w:p>
              </w:tc>
            </w:tr>
            <w:tr w14:paraId="258FF135">
              <w:tblPrEx>
                <w:tblBorders>
                  <w:top w:val="single" w:color="auto" w:sz="12" w:space="0"/>
                  <w:left w:val="none" w:color="auto" w:sz="6" w:space="0"/>
                  <w:bottom w:val="single" w:color="auto" w:sz="12" w:space="0"/>
                  <w:right w:val="none" w:color="auto" w:sz="6"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1005" w:type="dxa"/>
                  <w:gridSpan w:val="2"/>
                  <w:vMerge w:val="continue"/>
                  <w:tcBorders>
                    <w:top w:val="single" w:color="auto" w:sz="4" w:space="0"/>
                    <w:left w:val="nil"/>
                    <w:bottom w:val="single" w:color="auto" w:sz="4" w:space="0"/>
                    <w:right w:val="single" w:color="auto" w:sz="4" w:space="0"/>
                  </w:tcBorders>
                  <w:vAlign w:val="center"/>
                </w:tcPr>
                <w:p w14:paraId="302FFF2D">
                  <w:pPr>
                    <w:rPr>
                      <w:color w:val="auto"/>
                      <w:sz w:val="21"/>
                      <w:szCs w:val="21"/>
                    </w:rPr>
                  </w:pPr>
                </w:p>
              </w:tc>
              <w:tc>
                <w:tcPr>
                  <w:tcW w:w="1180" w:type="dxa"/>
                  <w:tcBorders>
                    <w:top w:val="single" w:color="auto" w:sz="4" w:space="0"/>
                    <w:left w:val="single" w:color="auto" w:sz="4" w:space="0"/>
                    <w:bottom w:val="single" w:color="auto" w:sz="4" w:space="0"/>
                    <w:right w:val="single" w:color="auto" w:sz="4" w:space="0"/>
                  </w:tcBorders>
                  <w:vAlign w:val="center"/>
                </w:tcPr>
                <w:p w14:paraId="2382CAD4">
                  <w:pPr>
                    <w:adjustRightInd w:val="0"/>
                    <w:snapToGrid w:val="0"/>
                    <w:jc w:val="center"/>
                    <w:textAlignment w:val="baseline"/>
                    <w:rPr>
                      <w:color w:val="auto"/>
                      <w:spacing w:val="4"/>
                      <w:sz w:val="21"/>
                      <w:szCs w:val="21"/>
                    </w:rPr>
                  </w:pPr>
                  <w:r>
                    <w:rPr>
                      <w:color w:val="auto"/>
                      <w:spacing w:val="4"/>
                      <w:sz w:val="21"/>
                      <w:szCs w:val="21"/>
                    </w:rPr>
                    <w:t>TP</w:t>
                  </w:r>
                </w:p>
              </w:tc>
              <w:tc>
                <w:tcPr>
                  <w:tcW w:w="1040" w:type="dxa"/>
                  <w:tcBorders>
                    <w:top w:val="single" w:color="auto" w:sz="4" w:space="0"/>
                    <w:left w:val="single" w:color="auto" w:sz="4" w:space="0"/>
                    <w:bottom w:val="single" w:color="auto" w:sz="4" w:space="0"/>
                    <w:right w:val="single" w:color="auto" w:sz="4" w:space="0"/>
                  </w:tcBorders>
                  <w:shd w:val="clear" w:color="auto" w:fill="auto"/>
                  <w:vAlign w:val="center"/>
                </w:tcPr>
                <w:p w14:paraId="14BBD49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0.0048</w:t>
                  </w:r>
                </w:p>
              </w:tc>
              <w:tc>
                <w:tcPr>
                  <w:tcW w:w="890" w:type="dxa"/>
                  <w:tcBorders>
                    <w:top w:val="single" w:color="auto" w:sz="4" w:space="0"/>
                    <w:left w:val="single" w:color="auto" w:sz="4" w:space="0"/>
                    <w:bottom w:val="single" w:color="auto" w:sz="4" w:space="0"/>
                    <w:right w:val="single" w:color="auto" w:sz="4" w:space="0"/>
                  </w:tcBorders>
                  <w:shd w:val="clear" w:color="auto" w:fill="auto"/>
                  <w:vAlign w:val="center"/>
                </w:tcPr>
                <w:p w14:paraId="3F6CD5ED">
                  <w:pPr>
                    <w:keepNext w:val="0"/>
                    <w:keepLines w:val="0"/>
                    <w:widowControl/>
                    <w:suppressLineNumbers w:val="0"/>
                    <w:jc w:val="center"/>
                    <w:textAlignment w:val="center"/>
                    <w:rPr>
                      <w:rFonts w:hint="default" w:ascii="Times New Roman" w:hAnsi="Times New Roman" w:eastAsia="宋体" w:cs="Times New Roman"/>
                      <w:bCs/>
                      <w:color w:val="auto"/>
                      <w:spacing w:val="4"/>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0.0017</w:t>
                  </w:r>
                </w:p>
              </w:tc>
              <w:tc>
                <w:tcPr>
                  <w:tcW w:w="820" w:type="dxa"/>
                  <w:tcBorders>
                    <w:top w:val="single" w:color="auto" w:sz="4" w:space="0"/>
                    <w:left w:val="single" w:color="auto" w:sz="4" w:space="0"/>
                    <w:bottom w:val="single" w:color="auto" w:sz="4" w:space="0"/>
                    <w:right w:val="single" w:color="auto" w:sz="4" w:space="0"/>
                  </w:tcBorders>
                  <w:vAlign w:val="center"/>
                </w:tcPr>
                <w:p w14:paraId="58898CAF">
                  <w:pPr>
                    <w:jc w:val="center"/>
                    <w:rPr>
                      <w:color w:val="auto"/>
                      <w:spacing w:val="4"/>
                      <w:sz w:val="21"/>
                      <w:szCs w:val="21"/>
                    </w:rPr>
                  </w:pPr>
                  <w:r>
                    <w:rPr>
                      <w:rFonts w:hint="eastAsia"/>
                      <w:color w:val="auto"/>
                      <w:spacing w:val="4"/>
                      <w:sz w:val="21"/>
                      <w:szCs w:val="21"/>
                    </w:rPr>
                    <w:t>0</w:t>
                  </w:r>
                </w:p>
              </w:tc>
              <w:tc>
                <w:tcPr>
                  <w:tcW w:w="1091" w:type="dxa"/>
                  <w:tcBorders>
                    <w:top w:val="single" w:color="auto" w:sz="4" w:space="0"/>
                    <w:left w:val="single" w:color="auto" w:sz="4" w:space="0"/>
                    <w:bottom w:val="single" w:color="auto" w:sz="4" w:space="0"/>
                    <w:right w:val="single" w:color="auto" w:sz="4" w:space="0"/>
                  </w:tcBorders>
                  <w:shd w:val="clear" w:color="auto" w:fill="auto"/>
                  <w:vAlign w:val="center"/>
                </w:tcPr>
                <w:p w14:paraId="058B4DD1">
                  <w:pPr>
                    <w:keepNext w:val="0"/>
                    <w:keepLines w:val="0"/>
                    <w:widowControl/>
                    <w:suppressLineNumbers w:val="0"/>
                    <w:jc w:val="center"/>
                    <w:textAlignment w:val="center"/>
                    <w:rPr>
                      <w:rFonts w:hint="default" w:ascii="Times New Roman" w:hAnsi="Times New Roman" w:eastAsia="宋体" w:cs="Times New Roman"/>
                      <w:bCs/>
                      <w:color w:val="auto"/>
                      <w:spacing w:val="4"/>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0.0017</w:t>
                  </w:r>
                </w:p>
              </w:tc>
              <w:tc>
                <w:tcPr>
                  <w:tcW w:w="1120" w:type="dxa"/>
                  <w:tcBorders>
                    <w:top w:val="single" w:color="auto" w:sz="4" w:space="0"/>
                    <w:left w:val="single" w:color="auto" w:sz="4" w:space="0"/>
                    <w:bottom w:val="single" w:color="auto" w:sz="4" w:space="0"/>
                    <w:right w:val="single" w:color="auto" w:sz="4" w:space="0"/>
                  </w:tcBorders>
                  <w:shd w:val="clear" w:color="auto" w:fill="auto"/>
                  <w:vAlign w:val="center"/>
                </w:tcPr>
                <w:p w14:paraId="3DF5EA3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0.0003</w:t>
                  </w:r>
                </w:p>
              </w:tc>
              <w:tc>
                <w:tcPr>
                  <w:tcW w:w="916" w:type="dxa"/>
                  <w:tcBorders>
                    <w:top w:val="single" w:color="auto" w:sz="4" w:space="0"/>
                    <w:left w:val="single" w:color="auto" w:sz="4" w:space="0"/>
                    <w:bottom w:val="single" w:color="auto" w:sz="4" w:space="0"/>
                    <w:right w:val="single" w:color="auto" w:sz="4" w:space="0"/>
                  </w:tcBorders>
                  <w:vAlign w:val="center"/>
                </w:tcPr>
                <w:p w14:paraId="58E2DB28">
                  <w:pPr>
                    <w:keepNext w:val="0"/>
                    <w:keepLines w:val="0"/>
                    <w:pageBreakBefore w:val="0"/>
                    <w:suppressLineNumbers w:val="0"/>
                    <w:kinsoku/>
                    <w:wordWrap/>
                    <w:overflowPunct/>
                    <w:topLinePunct w:val="0"/>
                    <w:autoSpaceDE/>
                    <w:autoSpaceDN/>
                    <w:bidi w:val="0"/>
                    <w:adjustRightInd w:val="0"/>
                    <w:snapToGrid w:val="0"/>
                    <w:spacing w:beforeAutospacing="0" w:afterAutospacing="0"/>
                    <w:ind w:left="0" w:leftChars="0" w:right="0" w:rightChars="0"/>
                    <w:jc w:val="center"/>
                    <w:rPr>
                      <w:rFonts w:ascii="Times New Roman" w:eastAsia="宋体"/>
                      <w:color w:val="auto"/>
                      <w:szCs w:val="21"/>
                    </w:rPr>
                  </w:pPr>
                  <w:r>
                    <w:rPr>
                      <w:rFonts w:hint="eastAsia"/>
                      <w:color w:val="auto"/>
                      <w:sz w:val="21"/>
                      <w:szCs w:val="21"/>
                      <w:lang w:val="en-US" w:eastAsia="zh-CN"/>
                    </w:rPr>
                    <w:t>/</w:t>
                  </w:r>
                </w:p>
              </w:tc>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3A633DE5">
                  <w:pPr>
                    <w:keepNext w:val="0"/>
                    <w:keepLines w:val="0"/>
                    <w:widowControl/>
                    <w:suppressLineNumbers w:val="0"/>
                    <w:jc w:val="center"/>
                    <w:textAlignment w:val="center"/>
                    <w:rPr>
                      <w:rFonts w:hint="default" w:ascii="Times New Roman" w:hAnsi="Times New Roman" w:eastAsia="宋体" w:cs="Times New Roman"/>
                      <w:bCs/>
                      <w:color w:val="auto"/>
                      <w:spacing w:val="4"/>
                      <w:kern w:val="0"/>
                      <w:sz w:val="21"/>
                      <w:szCs w:val="21"/>
                      <w:lang w:val="en-US" w:eastAsia="zh-CN" w:bidi="ar-SA"/>
                    </w:rPr>
                  </w:pPr>
                  <w:r>
                    <w:rPr>
                      <w:rFonts w:hint="eastAsia" w:ascii="Times New Roman" w:hAnsi="Times New Roman" w:eastAsia="宋体" w:cs="Times New Roman"/>
                      <w:i w:val="0"/>
                      <w:iCs w:val="0"/>
                      <w:color w:val="auto"/>
                      <w:kern w:val="0"/>
                      <w:sz w:val="21"/>
                      <w:szCs w:val="21"/>
                      <w:u w:val="none"/>
                      <w:lang w:val="en-US" w:eastAsia="zh-CN" w:bidi="ar"/>
                    </w:rPr>
                    <w:t>+</w:t>
                  </w:r>
                  <w:r>
                    <w:rPr>
                      <w:rFonts w:hint="default" w:ascii="Times New Roman" w:hAnsi="Times New Roman" w:eastAsia="宋体" w:cs="Times New Roman"/>
                      <w:i w:val="0"/>
                      <w:iCs w:val="0"/>
                      <w:color w:val="auto"/>
                      <w:kern w:val="0"/>
                      <w:sz w:val="21"/>
                      <w:szCs w:val="21"/>
                      <w:u w:val="none"/>
                      <w:lang w:val="en-US" w:eastAsia="zh-CN" w:bidi="ar"/>
                    </w:rPr>
                    <w:t>0.0017</w:t>
                  </w:r>
                </w:p>
              </w:tc>
              <w:tc>
                <w:tcPr>
                  <w:tcW w:w="1160" w:type="dxa"/>
                  <w:tcBorders>
                    <w:top w:val="single" w:color="auto" w:sz="4" w:space="0"/>
                    <w:left w:val="single" w:color="auto" w:sz="4" w:space="0"/>
                    <w:bottom w:val="single" w:color="auto" w:sz="4" w:space="0"/>
                    <w:right w:val="single" w:color="auto" w:sz="4" w:space="0"/>
                  </w:tcBorders>
                  <w:shd w:val="clear" w:color="auto" w:fill="auto"/>
                  <w:vAlign w:val="center"/>
                </w:tcPr>
                <w:p w14:paraId="796764E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+0.0003</w:t>
                  </w:r>
                </w:p>
              </w:tc>
              <w:tc>
                <w:tcPr>
                  <w:tcW w:w="1128" w:type="dxa"/>
                  <w:tcBorders>
                    <w:top w:val="single" w:color="auto" w:sz="4" w:space="0"/>
                    <w:left w:val="single" w:color="auto" w:sz="4" w:space="0"/>
                    <w:bottom w:val="single" w:color="auto" w:sz="4" w:space="0"/>
                    <w:right w:val="single" w:color="auto" w:sz="4" w:space="0"/>
                  </w:tcBorders>
                  <w:shd w:val="clear" w:color="auto" w:fill="auto"/>
                  <w:vAlign w:val="center"/>
                </w:tcPr>
                <w:p w14:paraId="0E9311AB">
                  <w:pPr>
                    <w:keepNext w:val="0"/>
                    <w:keepLines w:val="0"/>
                    <w:widowControl/>
                    <w:suppressLineNumbers w:val="0"/>
                    <w:jc w:val="center"/>
                    <w:textAlignment w:val="center"/>
                    <w:rPr>
                      <w:rFonts w:hint="default" w:ascii="Times New Roman" w:hAnsi="Times New Roman" w:eastAsia="宋体" w:cs="Times New Roman"/>
                      <w:bCs/>
                      <w:color w:val="auto"/>
                      <w:spacing w:val="4"/>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0.0065</w:t>
                  </w:r>
                </w:p>
              </w:tc>
              <w:tc>
                <w:tcPr>
                  <w:tcW w:w="1113" w:type="dxa"/>
                  <w:tcBorders>
                    <w:top w:val="single" w:color="auto" w:sz="4" w:space="0"/>
                    <w:left w:val="single" w:color="auto" w:sz="4" w:space="0"/>
                    <w:bottom w:val="single" w:color="auto" w:sz="4" w:space="0"/>
                    <w:right w:val="nil"/>
                  </w:tcBorders>
                  <w:shd w:val="clear" w:color="auto" w:fill="auto"/>
                  <w:vAlign w:val="center"/>
                </w:tcPr>
                <w:p w14:paraId="3ABDD37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0.0011</w:t>
                  </w:r>
                </w:p>
              </w:tc>
            </w:tr>
            <w:tr w14:paraId="4BCB24F8">
              <w:tblPrEx>
                <w:tblBorders>
                  <w:top w:val="single" w:color="auto" w:sz="12" w:space="0"/>
                  <w:left w:val="none" w:color="auto" w:sz="6" w:space="0"/>
                  <w:bottom w:val="single" w:color="auto" w:sz="12" w:space="0"/>
                  <w:right w:val="none" w:color="auto" w:sz="6" w:space="0"/>
                  <w:insideH w:val="single" w:color="auto" w:sz="6" w:space="0"/>
                  <w:insideV w:val="single" w:color="auto" w:sz="6" w:space="0"/>
                </w:tblBorders>
                <w:tblCellMar>
                  <w:top w:w="0" w:type="dxa"/>
                  <w:left w:w="108" w:type="dxa"/>
                  <w:bottom w:w="0" w:type="dxa"/>
                  <w:right w:w="108" w:type="dxa"/>
                </w:tblCellMar>
              </w:tblPrEx>
              <w:trPr>
                <w:trHeight w:val="220" w:hRule="atLeast"/>
                <w:jc w:val="center"/>
              </w:trPr>
              <w:tc>
                <w:tcPr>
                  <w:tcW w:w="1005" w:type="dxa"/>
                  <w:gridSpan w:val="2"/>
                  <w:vMerge w:val="continue"/>
                  <w:tcBorders>
                    <w:top w:val="single" w:color="auto" w:sz="4" w:space="0"/>
                    <w:left w:val="nil"/>
                    <w:bottom w:val="single" w:color="auto" w:sz="4" w:space="0"/>
                    <w:right w:val="single" w:color="auto" w:sz="4" w:space="0"/>
                  </w:tcBorders>
                  <w:vAlign w:val="center"/>
                </w:tcPr>
                <w:p w14:paraId="0ECF56F0">
                  <w:pPr>
                    <w:rPr>
                      <w:color w:val="auto"/>
                      <w:sz w:val="21"/>
                      <w:szCs w:val="21"/>
                    </w:rPr>
                  </w:pPr>
                </w:p>
              </w:tc>
              <w:tc>
                <w:tcPr>
                  <w:tcW w:w="1180" w:type="dxa"/>
                  <w:tcBorders>
                    <w:top w:val="single" w:color="auto" w:sz="4" w:space="0"/>
                    <w:left w:val="single" w:color="auto" w:sz="4" w:space="0"/>
                    <w:bottom w:val="single" w:color="auto" w:sz="4" w:space="0"/>
                    <w:right w:val="single" w:color="auto" w:sz="4" w:space="0"/>
                  </w:tcBorders>
                  <w:vAlign w:val="center"/>
                </w:tcPr>
                <w:p w14:paraId="2ED37863">
                  <w:pPr>
                    <w:adjustRightInd w:val="0"/>
                    <w:snapToGrid w:val="0"/>
                    <w:jc w:val="center"/>
                    <w:textAlignment w:val="baseline"/>
                    <w:rPr>
                      <w:color w:val="auto"/>
                      <w:spacing w:val="4"/>
                      <w:sz w:val="21"/>
                      <w:szCs w:val="21"/>
                    </w:rPr>
                  </w:pPr>
                  <w:r>
                    <w:rPr>
                      <w:color w:val="auto"/>
                      <w:spacing w:val="4"/>
                      <w:sz w:val="21"/>
                      <w:szCs w:val="21"/>
                    </w:rPr>
                    <w:t>TN</w:t>
                  </w:r>
                </w:p>
              </w:tc>
              <w:tc>
                <w:tcPr>
                  <w:tcW w:w="1040" w:type="dxa"/>
                  <w:tcBorders>
                    <w:top w:val="single" w:color="auto" w:sz="4" w:space="0"/>
                    <w:left w:val="single" w:color="auto" w:sz="4" w:space="0"/>
                    <w:bottom w:val="single" w:color="auto" w:sz="4" w:space="0"/>
                    <w:right w:val="single" w:color="auto" w:sz="4" w:space="0"/>
                  </w:tcBorders>
                  <w:shd w:val="clear" w:color="auto" w:fill="auto"/>
                  <w:vAlign w:val="center"/>
                </w:tcPr>
                <w:p w14:paraId="7BFC473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0.056</w:t>
                  </w:r>
                </w:p>
              </w:tc>
              <w:tc>
                <w:tcPr>
                  <w:tcW w:w="890" w:type="dxa"/>
                  <w:tcBorders>
                    <w:top w:val="single" w:color="auto" w:sz="4" w:space="0"/>
                    <w:left w:val="single" w:color="auto" w:sz="4" w:space="0"/>
                    <w:bottom w:val="single" w:color="auto" w:sz="4" w:space="0"/>
                    <w:right w:val="single" w:color="auto" w:sz="4" w:space="0"/>
                  </w:tcBorders>
                  <w:shd w:val="clear" w:color="auto" w:fill="auto"/>
                  <w:vAlign w:val="center"/>
                </w:tcPr>
                <w:p w14:paraId="4B2D4F38">
                  <w:pPr>
                    <w:keepNext w:val="0"/>
                    <w:keepLines w:val="0"/>
                    <w:widowControl/>
                    <w:suppressLineNumbers w:val="0"/>
                    <w:jc w:val="center"/>
                    <w:textAlignment w:val="center"/>
                    <w:rPr>
                      <w:rFonts w:hint="default" w:ascii="Times New Roman" w:hAnsi="Times New Roman" w:eastAsia="宋体" w:cs="Times New Roman"/>
                      <w:bCs/>
                      <w:color w:val="auto"/>
                      <w:spacing w:val="4"/>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0.0195</w:t>
                  </w:r>
                </w:p>
              </w:tc>
              <w:tc>
                <w:tcPr>
                  <w:tcW w:w="820" w:type="dxa"/>
                  <w:tcBorders>
                    <w:top w:val="single" w:color="auto" w:sz="4" w:space="0"/>
                    <w:left w:val="single" w:color="auto" w:sz="4" w:space="0"/>
                    <w:bottom w:val="single" w:color="auto" w:sz="4" w:space="0"/>
                    <w:right w:val="single" w:color="auto" w:sz="4" w:space="0"/>
                  </w:tcBorders>
                  <w:vAlign w:val="center"/>
                </w:tcPr>
                <w:p w14:paraId="3A4F72A5">
                  <w:pPr>
                    <w:jc w:val="center"/>
                    <w:rPr>
                      <w:color w:val="auto"/>
                      <w:spacing w:val="4"/>
                      <w:sz w:val="21"/>
                      <w:szCs w:val="21"/>
                    </w:rPr>
                  </w:pPr>
                  <w:r>
                    <w:rPr>
                      <w:rFonts w:hint="eastAsia"/>
                      <w:color w:val="auto"/>
                      <w:spacing w:val="4"/>
                      <w:sz w:val="21"/>
                      <w:szCs w:val="21"/>
                    </w:rPr>
                    <w:t>0</w:t>
                  </w:r>
                </w:p>
              </w:tc>
              <w:tc>
                <w:tcPr>
                  <w:tcW w:w="1091" w:type="dxa"/>
                  <w:tcBorders>
                    <w:top w:val="single" w:color="auto" w:sz="4" w:space="0"/>
                    <w:left w:val="single" w:color="auto" w:sz="4" w:space="0"/>
                    <w:bottom w:val="single" w:color="auto" w:sz="4" w:space="0"/>
                    <w:right w:val="single" w:color="auto" w:sz="4" w:space="0"/>
                  </w:tcBorders>
                  <w:shd w:val="clear" w:color="auto" w:fill="auto"/>
                  <w:vAlign w:val="center"/>
                </w:tcPr>
                <w:p w14:paraId="785DB43A">
                  <w:pPr>
                    <w:keepNext w:val="0"/>
                    <w:keepLines w:val="0"/>
                    <w:widowControl/>
                    <w:suppressLineNumbers w:val="0"/>
                    <w:jc w:val="center"/>
                    <w:textAlignment w:val="center"/>
                    <w:rPr>
                      <w:rFonts w:hint="default" w:ascii="Times New Roman" w:hAnsi="Times New Roman" w:eastAsia="宋体" w:cs="Times New Roman"/>
                      <w:bCs/>
                      <w:color w:val="auto"/>
                      <w:spacing w:val="4"/>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0.0195</w:t>
                  </w:r>
                </w:p>
              </w:tc>
              <w:tc>
                <w:tcPr>
                  <w:tcW w:w="1120" w:type="dxa"/>
                  <w:tcBorders>
                    <w:top w:val="single" w:color="auto" w:sz="4" w:space="0"/>
                    <w:left w:val="single" w:color="auto" w:sz="4" w:space="0"/>
                    <w:bottom w:val="single" w:color="auto" w:sz="4" w:space="0"/>
                    <w:right w:val="single" w:color="auto" w:sz="4" w:space="0"/>
                  </w:tcBorders>
                  <w:shd w:val="clear" w:color="auto" w:fill="auto"/>
                  <w:vAlign w:val="center"/>
                </w:tcPr>
                <w:p w14:paraId="7CB862E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0.0084</w:t>
                  </w:r>
                </w:p>
              </w:tc>
              <w:tc>
                <w:tcPr>
                  <w:tcW w:w="916" w:type="dxa"/>
                  <w:tcBorders>
                    <w:top w:val="single" w:color="auto" w:sz="4" w:space="0"/>
                    <w:left w:val="single" w:color="auto" w:sz="4" w:space="0"/>
                    <w:bottom w:val="single" w:color="auto" w:sz="4" w:space="0"/>
                    <w:right w:val="single" w:color="auto" w:sz="4" w:space="0"/>
                  </w:tcBorders>
                  <w:vAlign w:val="center"/>
                </w:tcPr>
                <w:p w14:paraId="0C826730">
                  <w:pPr>
                    <w:keepNext w:val="0"/>
                    <w:keepLines w:val="0"/>
                    <w:pageBreakBefore w:val="0"/>
                    <w:suppressLineNumbers w:val="0"/>
                    <w:kinsoku/>
                    <w:wordWrap/>
                    <w:overflowPunct/>
                    <w:topLinePunct w:val="0"/>
                    <w:autoSpaceDE/>
                    <w:autoSpaceDN/>
                    <w:bidi w:val="0"/>
                    <w:adjustRightInd w:val="0"/>
                    <w:snapToGrid w:val="0"/>
                    <w:spacing w:beforeAutospacing="0" w:afterAutospacing="0"/>
                    <w:ind w:left="0" w:leftChars="0" w:right="0" w:rightChars="0"/>
                    <w:jc w:val="center"/>
                    <w:rPr>
                      <w:rFonts w:ascii="Times New Roman" w:eastAsia="宋体"/>
                      <w:color w:val="auto"/>
                      <w:spacing w:val="4"/>
                      <w:kern w:val="2"/>
                      <w:szCs w:val="21"/>
                    </w:rPr>
                  </w:pPr>
                  <w:r>
                    <w:rPr>
                      <w:rFonts w:hint="eastAsia"/>
                      <w:color w:val="auto"/>
                      <w:sz w:val="21"/>
                      <w:szCs w:val="21"/>
                      <w:lang w:val="en-US" w:eastAsia="zh-CN"/>
                    </w:rPr>
                    <w:t>/</w:t>
                  </w:r>
                </w:p>
              </w:tc>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0E0700FC">
                  <w:pPr>
                    <w:keepNext w:val="0"/>
                    <w:keepLines w:val="0"/>
                    <w:widowControl/>
                    <w:suppressLineNumbers w:val="0"/>
                    <w:jc w:val="center"/>
                    <w:textAlignment w:val="center"/>
                    <w:rPr>
                      <w:rFonts w:hint="default" w:ascii="Times New Roman" w:hAnsi="Times New Roman" w:eastAsia="宋体" w:cs="Times New Roman"/>
                      <w:bCs/>
                      <w:color w:val="auto"/>
                      <w:spacing w:val="4"/>
                      <w:kern w:val="0"/>
                      <w:sz w:val="21"/>
                      <w:szCs w:val="21"/>
                      <w:lang w:val="en-US" w:eastAsia="zh-CN" w:bidi="ar-SA"/>
                    </w:rPr>
                  </w:pPr>
                  <w:r>
                    <w:rPr>
                      <w:rFonts w:hint="eastAsia" w:ascii="Times New Roman" w:hAnsi="Times New Roman" w:eastAsia="宋体" w:cs="Times New Roman"/>
                      <w:i w:val="0"/>
                      <w:iCs w:val="0"/>
                      <w:color w:val="auto"/>
                      <w:kern w:val="0"/>
                      <w:sz w:val="21"/>
                      <w:szCs w:val="21"/>
                      <w:u w:val="none"/>
                      <w:lang w:val="en-US" w:eastAsia="zh-CN" w:bidi="ar"/>
                    </w:rPr>
                    <w:t>+</w:t>
                  </w:r>
                  <w:r>
                    <w:rPr>
                      <w:rFonts w:hint="default" w:ascii="Times New Roman" w:hAnsi="Times New Roman" w:eastAsia="宋体" w:cs="Times New Roman"/>
                      <w:i w:val="0"/>
                      <w:iCs w:val="0"/>
                      <w:color w:val="auto"/>
                      <w:kern w:val="0"/>
                      <w:sz w:val="21"/>
                      <w:szCs w:val="21"/>
                      <w:u w:val="none"/>
                      <w:lang w:val="en-US" w:eastAsia="zh-CN" w:bidi="ar"/>
                    </w:rPr>
                    <w:t>0.0195</w:t>
                  </w:r>
                </w:p>
              </w:tc>
              <w:tc>
                <w:tcPr>
                  <w:tcW w:w="1160" w:type="dxa"/>
                  <w:tcBorders>
                    <w:top w:val="single" w:color="auto" w:sz="4" w:space="0"/>
                    <w:left w:val="single" w:color="auto" w:sz="4" w:space="0"/>
                    <w:bottom w:val="single" w:color="auto" w:sz="4" w:space="0"/>
                    <w:right w:val="single" w:color="auto" w:sz="4" w:space="0"/>
                  </w:tcBorders>
                  <w:shd w:val="clear" w:color="auto" w:fill="auto"/>
                  <w:vAlign w:val="center"/>
                </w:tcPr>
                <w:p w14:paraId="42F88A8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+0.0084</w:t>
                  </w:r>
                </w:p>
              </w:tc>
              <w:tc>
                <w:tcPr>
                  <w:tcW w:w="1128" w:type="dxa"/>
                  <w:tcBorders>
                    <w:top w:val="single" w:color="auto" w:sz="4" w:space="0"/>
                    <w:left w:val="single" w:color="auto" w:sz="4" w:space="0"/>
                    <w:bottom w:val="single" w:color="auto" w:sz="4" w:space="0"/>
                    <w:right w:val="single" w:color="auto" w:sz="4" w:space="0"/>
                  </w:tcBorders>
                  <w:shd w:val="clear" w:color="auto" w:fill="auto"/>
                  <w:vAlign w:val="center"/>
                </w:tcPr>
                <w:p w14:paraId="04380EAD">
                  <w:pPr>
                    <w:keepNext w:val="0"/>
                    <w:keepLines w:val="0"/>
                    <w:widowControl/>
                    <w:suppressLineNumbers w:val="0"/>
                    <w:jc w:val="center"/>
                    <w:textAlignment w:val="center"/>
                    <w:rPr>
                      <w:rFonts w:hint="default" w:ascii="Times New Roman" w:hAnsi="Times New Roman" w:eastAsia="宋体" w:cs="Times New Roman"/>
                      <w:bCs/>
                      <w:color w:val="auto"/>
                      <w:spacing w:val="4"/>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0.0755</w:t>
                  </w:r>
                </w:p>
              </w:tc>
              <w:tc>
                <w:tcPr>
                  <w:tcW w:w="1113" w:type="dxa"/>
                  <w:tcBorders>
                    <w:top w:val="single" w:color="auto" w:sz="4" w:space="0"/>
                    <w:left w:val="single" w:color="auto" w:sz="4" w:space="0"/>
                    <w:bottom w:val="single" w:color="auto" w:sz="4" w:space="0"/>
                    <w:right w:val="nil"/>
                  </w:tcBorders>
                  <w:shd w:val="clear" w:color="auto" w:fill="auto"/>
                  <w:vAlign w:val="center"/>
                </w:tcPr>
                <w:p w14:paraId="4AD3DB7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0.0324</w:t>
                  </w:r>
                </w:p>
              </w:tc>
            </w:tr>
            <w:tr w14:paraId="1A21C2E1">
              <w:tblPrEx>
                <w:tblBorders>
                  <w:top w:val="single" w:color="auto" w:sz="12" w:space="0"/>
                  <w:left w:val="none" w:color="auto" w:sz="6" w:space="0"/>
                  <w:bottom w:val="single" w:color="auto" w:sz="12" w:space="0"/>
                  <w:right w:val="none" w:color="auto" w:sz="6"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1005" w:type="dxa"/>
                  <w:gridSpan w:val="2"/>
                  <w:vMerge w:val="restart"/>
                  <w:tcBorders>
                    <w:top w:val="single" w:color="auto" w:sz="4" w:space="0"/>
                    <w:left w:val="nil"/>
                    <w:right w:val="single" w:color="auto" w:sz="4" w:space="0"/>
                  </w:tcBorders>
                  <w:vAlign w:val="center"/>
                </w:tcPr>
                <w:p w14:paraId="460BE62A">
                  <w:pPr>
                    <w:adjustRightInd w:val="0"/>
                    <w:snapToGrid w:val="0"/>
                    <w:jc w:val="center"/>
                    <w:textAlignment w:val="baseline"/>
                    <w:rPr>
                      <w:color w:val="auto"/>
                      <w:spacing w:val="4"/>
                      <w:sz w:val="21"/>
                      <w:szCs w:val="21"/>
                    </w:rPr>
                  </w:pPr>
                  <w:r>
                    <w:rPr>
                      <w:color w:val="auto"/>
                      <w:spacing w:val="4"/>
                      <w:sz w:val="21"/>
                      <w:szCs w:val="21"/>
                    </w:rPr>
                    <w:t>固废</w:t>
                  </w:r>
                </w:p>
              </w:tc>
              <w:tc>
                <w:tcPr>
                  <w:tcW w:w="1180" w:type="dxa"/>
                  <w:tcBorders>
                    <w:top w:val="single" w:color="auto" w:sz="4" w:space="0"/>
                    <w:left w:val="single" w:color="auto" w:sz="4" w:space="0"/>
                    <w:bottom w:val="single" w:color="auto" w:sz="4" w:space="0"/>
                    <w:right w:val="single" w:color="auto" w:sz="4" w:space="0"/>
                  </w:tcBorders>
                  <w:vAlign w:val="center"/>
                </w:tcPr>
                <w:p w14:paraId="7E3A63F6">
                  <w:pPr>
                    <w:adjustRightInd w:val="0"/>
                    <w:snapToGrid w:val="0"/>
                    <w:jc w:val="center"/>
                    <w:textAlignment w:val="baseline"/>
                    <w:rPr>
                      <w:color w:val="auto"/>
                      <w:spacing w:val="4"/>
                      <w:sz w:val="21"/>
                      <w:szCs w:val="21"/>
                    </w:rPr>
                  </w:pPr>
                  <w:r>
                    <w:rPr>
                      <w:color w:val="auto"/>
                      <w:sz w:val="21"/>
                      <w:szCs w:val="21"/>
                    </w:rPr>
                    <w:t>生活垃圾</w:t>
                  </w:r>
                </w:p>
              </w:tc>
              <w:tc>
                <w:tcPr>
                  <w:tcW w:w="1040" w:type="dxa"/>
                  <w:tcBorders>
                    <w:top w:val="single" w:color="auto" w:sz="4" w:space="0"/>
                    <w:left w:val="single" w:color="auto" w:sz="4" w:space="0"/>
                    <w:bottom w:val="single" w:color="auto" w:sz="4" w:space="0"/>
                    <w:right w:val="single" w:color="auto" w:sz="4" w:space="0"/>
                  </w:tcBorders>
                  <w:vAlign w:val="center"/>
                </w:tcPr>
                <w:p w14:paraId="520220ED">
                  <w:pPr>
                    <w:adjustRightInd w:val="0"/>
                    <w:snapToGrid w:val="0"/>
                    <w:jc w:val="center"/>
                    <w:textAlignment w:val="baseline"/>
                    <w:rPr>
                      <w:color w:val="auto"/>
                      <w:sz w:val="21"/>
                      <w:szCs w:val="21"/>
                    </w:rPr>
                  </w:pPr>
                  <w:r>
                    <w:rPr>
                      <w:rFonts w:hint="eastAsia"/>
                      <w:color w:val="auto"/>
                      <w:sz w:val="21"/>
                      <w:szCs w:val="21"/>
                    </w:rPr>
                    <w:t>0</w:t>
                  </w:r>
                </w:p>
              </w:tc>
              <w:tc>
                <w:tcPr>
                  <w:tcW w:w="890" w:type="dxa"/>
                  <w:tcBorders>
                    <w:top w:val="single" w:color="auto" w:sz="4" w:space="0"/>
                    <w:left w:val="single" w:color="auto" w:sz="4" w:space="0"/>
                    <w:bottom w:val="single" w:color="auto" w:sz="4" w:space="0"/>
                    <w:right w:val="single" w:color="auto" w:sz="4" w:space="0"/>
                  </w:tcBorders>
                  <w:vAlign w:val="center"/>
                </w:tcPr>
                <w:p w14:paraId="55E62501">
                  <w:pPr>
                    <w:adjustRightInd w:val="0"/>
                    <w:snapToGrid w:val="0"/>
                    <w:jc w:val="center"/>
                    <w:textAlignment w:val="baseline"/>
                    <w:rPr>
                      <w:rFonts w:hint="default" w:eastAsia="宋体"/>
                      <w:color w:val="auto"/>
                      <w:spacing w:val="4"/>
                      <w:sz w:val="21"/>
                      <w:szCs w:val="21"/>
                      <w:lang w:val="en-US" w:eastAsia="zh-CN"/>
                    </w:rPr>
                  </w:pPr>
                  <w:r>
                    <w:rPr>
                      <w:rFonts w:hint="default" w:eastAsia="宋体"/>
                      <w:color w:val="auto"/>
                      <w:spacing w:val="4"/>
                      <w:sz w:val="21"/>
                      <w:szCs w:val="21"/>
                      <w:lang w:val="en-US" w:eastAsia="zh-CN"/>
                    </w:rPr>
                    <w:t>12.39</w:t>
                  </w:r>
                </w:p>
              </w:tc>
              <w:tc>
                <w:tcPr>
                  <w:tcW w:w="820" w:type="dxa"/>
                  <w:tcBorders>
                    <w:top w:val="single" w:color="auto" w:sz="4" w:space="0"/>
                    <w:left w:val="single" w:color="auto" w:sz="4" w:space="0"/>
                    <w:bottom w:val="single" w:color="auto" w:sz="4" w:space="0"/>
                    <w:right w:val="single" w:color="auto" w:sz="4" w:space="0"/>
                  </w:tcBorders>
                  <w:shd w:val="clear" w:color="auto" w:fill="auto"/>
                  <w:vAlign w:val="center"/>
                </w:tcPr>
                <w:p w14:paraId="7B994DD6">
                  <w:pPr>
                    <w:adjustRightInd w:val="0"/>
                    <w:snapToGrid w:val="0"/>
                    <w:jc w:val="center"/>
                    <w:textAlignment w:val="baseline"/>
                    <w:rPr>
                      <w:rFonts w:hint="default" w:ascii="Times New Roman" w:hAnsi="Times New Roman" w:eastAsia="宋体" w:cs="Times New Roman"/>
                      <w:color w:val="auto"/>
                      <w:spacing w:val="4"/>
                      <w:kern w:val="2"/>
                      <w:sz w:val="21"/>
                      <w:szCs w:val="21"/>
                      <w:lang w:val="en-US" w:eastAsia="zh-CN" w:bidi="ar"/>
                    </w:rPr>
                  </w:pPr>
                  <w:r>
                    <w:rPr>
                      <w:rFonts w:hint="default" w:eastAsia="宋体"/>
                      <w:color w:val="auto"/>
                      <w:spacing w:val="4"/>
                      <w:sz w:val="21"/>
                      <w:szCs w:val="21"/>
                      <w:lang w:val="en-US" w:eastAsia="zh-CN"/>
                    </w:rPr>
                    <w:t>12.39</w:t>
                  </w:r>
                </w:p>
              </w:tc>
              <w:tc>
                <w:tcPr>
                  <w:tcW w:w="1091" w:type="dxa"/>
                  <w:tcBorders>
                    <w:top w:val="single" w:color="auto" w:sz="4" w:space="0"/>
                    <w:left w:val="single" w:color="auto" w:sz="4" w:space="0"/>
                    <w:bottom w:val="single" w:color="auto" w:sz="4" w:space="0"/>
                    <w:right w:val="single" w:color="auto" w:sz="4" w:space="0"/>
                  </w:tcBorders>
                  <w:vAlign w:val="center"/>
                </w:tcPr>
                <w:p w14:paraId="70DA5B06">
                  <w:pPr>
                    <w:adjustRightInd w:val="0"/>
                    <w:snapToGrid w:val="0"/>
                    <w:jc w:val="center"/>
                    <w:textAlignment w:val="baseline"/>
                    <w:rPr>
                      <w:color w:val="auto"/>
                      <w:sz w:val="21"/>
                      <w:szCs w:val="21"/>
                    </w:rPr>
                  </w:pPr>
                  <w:r>
                    <w:rPr>
                      <w:rFonts w:hint="eastAsia"/>
                      <w:color w:val="auto"/>
                      <w:sz w:val="21"/>
                      <w:szCs w:val="21"/>
                    </w:rPr>
                    <w:t>0</w:t>
                  </w:r>
                </w:p>
              </w:tc>
              <w:tc>
                <w:tcPr>
                  <w:tcW w:w="1120" w:type="dxa"/>
                  <w:tcBorders>
                    <w:top w:val="single" w:color="auto" w:sz="4" w:space="0"/>
                    <w:left w:val="single" w:color="auto" w:sz="4" w:space="0"/>
                    <w:bottom w:val="single" w:color="auto" w:sz="4" w:space="0"/>
                    <w:right w:val="single" w:color="auto" w:sz="4" w:space="0"/>
                  </w:tcBorders>
                  <w:vAlign w:val="center"/>
                </w:tcPr>
                <w:p w14:paraId="436519C9">
                  <w:pPr>
                    <w:adjustRightInd w:val="0"/>
                    <w:snapToGrid w:val="0"/>
                    <w:jc w:val="center"/>
                    <w:textAlignment w:val="baseline"/>
                    <w:rPr>
                      <w:color w:val="auto"/>
                      <w:spacing w:val="4"/>
                      <w:sz w:val="21"/>
                      <w:szCs w:val="21"/>
                    </w:rPr>
                  </w:pPr>
                  <w:r>
                    <w:rPr>
                      <w:color w:val="auto"/>
                      <w:spacing w:val="4"/>
                      <w:sz w:val="21"/>
                      <w:szCs w:val="21"/>
                    </w:rPr>
                    <w:t>0</w:t>
                  </w:r>
                </w:p>
              </w:tc>
              <w:tc>
                <w:tcPr>
                  <w:tcW w:w="916" w:type="dxa"/>
                  <w:tcBorders>
                    <w:top w:val="single" w:color="auto" w:sz="4" w:space="0"/>
                    <w:left w:val="single" w:color="auto" w:sz="4" w:space="0"/>
                    <w:bottom w:val="single" w:color="auto" w:sz="4" w:space="0"/>
                    <w:right w:val="single" w:color="auto" w:sz="4" w:space="0"/>
                  </w:tcBorders>
                  <w:vAlign w:val="center"/>
                </w:tcPr>
                <w:p w14:paraId="35F46147">
                  <w:pPr>
                    <w:adjustRightInd w:val="0"/>
                    <w:snapToGrid w:val="0"/>
                    <w:jc w:val="center"/>
                    <w:textAlignment w:val="baseline"/>
                    <w:rPr>
                      <w:color w:val="auto"/>
                      <w:spacing w:val="4"/>
                      <w:sz w:val="21"/>
                      <w:szCs w:val="21"/>
                    </w:rPr>
                  </w:pPr>
                  <w:r>
                    <w:rPr>
                      <w:rFonts w:hint="eastAsia"/>
                      <w:color w:val="auto"/>
                      <w:spacing w:val="4"/>
                      <w:sz w:val="21"/>
                      <w:szCs w:val="21"/>
                    </w:rPr>
                    <w:t>0</w:t>
                  </w:r>
                </w:p>
              </w:tc>
              <w:tc>
                <w:tcPr>
                  <w:tcW w:w="1200" w:type="dxa"/>
                  <w:tcBorders>
                    <w:top w:val="single" w:color="auto" w:sz="4" w:space="0"/>
                    <w:left w:val="single" w:color="auto" w:sz="4" w:space="0"/>
                    <w:bottom w:val="single" w:color="auto" w:sz="4" w:space="0"/>
                    <w:right w:val="single" w:color="auto" w:sz="4" w:space="0"/>
                  </w:tcBorders>
                  <w:vAlign w:val="center"/>
                </w:tcPr>
                <w:p w14:paraId="6EAF6829">
                  <w:pPr>
                    <w:adjustRightInd w:val="0"/>
                    <w:snapToGrid w:val="0"/>
                    <w:jc w:val="center"/>
                    <w:textAlignment w:val="baseline"/>
                    <w:rPr>
                      <w:color w:val="auto"/>
                      <w:spacing w:val="4"/>
                      <w:sz w:val="21"/>
                      <w:szCs w:val="21"/>
                    </w:rPr>
                  </w:pPr>
                  <w:r>
                    <w:rPr>
                      <w:rFonts w:hint="eastAsia"/>
                      <w:color w:val="auto"/>
                      <w:spacing w:val="4"/>
                      <w:sz w:val="21"/>
                      <w:szCs w:val="21"/>
                    </w:rPr>
                    <w:t>0</w:t>
                  </w:r>
                </w:p>
              </w:tc>
              <w:tc>
                <w:tcPr>
                  <w:tcW w:w="1160" w:type="dxa"/>
                  <w:tcBorders>
                    <w:top w:val="single" w:color="auto" w:sz="4" w:space="0"/>
                    <w:left w:val="single" w:color="auto" w:sz="4" w:space="0"/>
                    <w:bottom w:val="single" w:color="auto" w:sz="4" w:space="0"/>
                    <w:right w:val="single" w:color="auto" w:sz="4" w:space="0"/>
                  </w:tcBorders>
                  <w:vAlign w:val="center"/>
                </w:tcPr>
                <w:p w14:paraId="535D097E">
                  <w:pPr>
                    <w:adjustRightInd w:val="0"/>
                    <w:snapToGrid w:val="0"/>
                    <w:jc w:val="center"/>
                    <w:textAlignment w:val="baseline"/>
                    <w:rPr>
                      <w:color w:val="auto"/>
                      <w:spacing w:val="4"/>
                      <w:sz w:val="21"/>
                      <w:szCs w:val="21"/>
                    </w:rPr>
                  </w:pPr>
                  <w:r>
                    <w:rPr>
                      <w:rFonts w:hint="eastAsia"/>
                      <w:color w:val="auto"/>
                      <w:spacing w:val="4"/>
                      <w:sz w:val="21"/>
                      <w:szCs w:val="21"/>
                    </w:rPr>
                    <w:t>0</w:t>
                  </w:r>
                </w:p>
              </w:tc>
              <w:tc>
                <w:tcPr>
                  <w:tcW w:w="1128" w:type="dxa"/>
                  <w:tcBorders>
                    <w:top w:val="single" w:color="auto" w:sz="4" w:space="0"/>
                    <w:left w:val="single" w:color="auto" w:sz="4" w:space="0"/>
                    <w:bottom w:val="single" w:color="auto" w:sz="4" w:space="0"/>
                    <w:right w:val="single" w:color="auto" w:sz="4" w:space="0"/>
                  </w:tcBorders>
                  <w:vAlign w:val="center"/>
                </w:tcPr>
                <w:p w14:paraId="7F7E96D4">
                  <w:pPr>
                    <w:adjustRightInd w:val="0"/>
                    <w:snapToGrid w:val="0"/>
                    <w:jc w:val="center"/>
                    <w:textAlignment w:val="baseline"/>
                    <w:rPr>
                      <w:color w:val="auto"/>
                      <w:spacing w:val="4"/>
                      <w:sz w:val="21"/>
                      <w:szCs w:val="21"/>
                    </w:rPr>
                  </w:pPr>
                  <w:r>
                    <w:rPr>
                      <w:rFonts w:hint="eastAsia"/>
                      <w:color w:val="auto"/>
                      <w:spacing w:val="4"/>
                      <w:sz w:val="21"/>
                      <w:szCs w:val="21"/>
                    </w:rPr>
                    <w:t>0</w:t>
                  </w:r>
                </w:p>
              </w:tc>
              <w:tc>
                <w:tcPr>
                  <w:tcW w:w="1113" w:type="dxa"/>
                  <w:tcBorders>
                    <w:top w:val="single" w:color="auto" w:sz="4" w:space="0"/>
                    <w:left w:val="single" w:color="auto" w:sz="4" w:space="0"/>
                    <w:bottom w:val="single" w:color="auto" w:sz="4" w:space="0"/>
                    <w:right w:val="nil"/>
                  </w:tcBorders>
                  <w:vAlign w:val="center"/>
                </w:tcPr>
                <w:p w14:paraId="5B121879">
                  <w:pPr>
                    <w:adjustRightInd w:val="0"/>
                    <w:snapToGrid w:val="0"/>
                    <w:jc w:val="center"/>
                    <w:textAlignment w:val="baseline"/>
                    <w:rPr>
                      <w:color w:val="auto"/>
                      <w:spacing w:val="4"/>
                      <w:sz w:val="21"/>
                      <w:szCs w:val="21"/>
                    </w:rPr>
                  </w:pPr>
                  <w:r>
                    <w:rPr>
                      <w:rFonts w:hint="eastAsia"/>
                      <w:color w:val="auto"/>
                      <w:spacing w:val="4"/>
                      <w:sz w:val="21"/>
                      <w:szCs w:val="21"/>
                    </w:rPr>
                    <w:t>0</w:t>
                  </w:r>
                </w:p>
              </w:tc>
            </w:tr>
            <w:tr w14:paraId="0FE8E2CD">
              <w:tblPrEx>
                <w:tblBorders>
                  <w:top w:val="single" w:color="auto" w:sz="12" w:space="0"/>
                  <w:left w:val="none" w:color="auto" w:sz="6" w:space="0"/>
                  <w:bottom w:val="single" w:color="auto" w:sz="12" w:space="0"/>
                  <w:right w:val="none" w:color="auto" w:sz="6"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1005" w:type="dxa"/>
                  <w:gridSpan w:val="2"/>
                  <w:vMerge w:val="continue"/>
                  <w:tcBorders>
                    <w:left w:val="nil"/>
                    <w:right w:val="single" w:color="auto" w:sz="4" w:space="0"/>
                  </w:tcBorders>
                  <w:vAlign w:val="center"/>
                </w:tcPr>
                <w:p w14:paraId="1C6533E9">
                  <w:pPr>
                    <w:rPr>
                      <w:color w:val="auto"/>
                      <w:sz w:val="21"/>
                      <w:szCs w:val="21"/>
                    </w:rPr>
                  </w:pPr>
                </w:p>
              </w:tc>
              <w:tc>
                <w:tcPr>
                  <w:tcW w:w="1180" w:type="dxa"/>
                  <w:tcBorders>
                    <w:top w:val="single" w:color="auto" w:sz="4" w:space="0"/>
                    <w:left w:val="single" w:color="auto" w:sz="4" w:space="0"/>
                    <w:bottom w:val="single" w:color="auto" w:sz="4" w:space="0"/>
                    <w:right w:val="single" w:color="auto" w:sz="4" w:space="0"/>
                  </w:tcBorders>
                  <w:vAlign w:val="center"/>
                </w:tcPr>
                <w:p w14:paraId="2E562D6D">
                  <w:pPr>
                    <w:adjustRightInd w:val="0"/>
                    <w:snapToGrid w:val="0"/>
                    <w:jc w:val="center"/>
                    <w:textAlignment w:val="baseline"/>
                    <w:rPr>
                      <w:color w:val="auto"/>
                      <w:spacing w:val="4"/>
                      <w:sz w:val="21"/>
                      <w:szCs w:val="21"/>
                    </w:rPr>
                  </w:pPr>
                  <w:r>
                    <w:rPr>
                      <w:color w:val="auto"/>
                      <w:spacing w:val="4"/>
                      <w:sz w:val="21"/>
                      <w:szCs w:val="21"/>
                    </w:rPr>
                    <w:t>一般固废</w:t>
                  </w:r>
                </w:p>
              </w:tc>
              <w:tc>
                <w:tcPr>
                  <w:tcW w:w="1040" w:type="dxa"/>
                  <w:tcBorders>
                    <w:top w:val="single" w:color="auto" w:sz="4" w:space="0"/>
                    <w:left w:val="single" w:color="auto" w:sz="4" w:space="0"/>
                    <w:bottom w:val="single" w:color="auto" w:sz="4" w:space="0"/>
                    <w:right w:val="single" w:color="auto" w:sz="4" w:space="0"/>
                  </w:tcBorders>
                  <w:vAlign w:val="center"/>
                </w:tcPr>
                <w:p w14:paraId="10C44D8D">
                  <w:pPr>
                    <w:adjustRightInd w:val="0"/>
                    <w:snapToGrid w:val="0"/>
                    <w:jc w:val="center"/>
                    <w:textAlignment w:val="baseline"/>
                    <w:rPr>
                      <w:color w:val="auto"/>
                      <w:spacing w:val="4"/>
                      <w:sz w:val="21"/>
                      <w:szCs w:val="21"/>
                    </w:rPr>
                  </w:pPr>
                  <w:r>
                    <w:rPr>
                      <w:rFonts w:hint="eastAsia"/>
                      <w:color w:val="auto"/>
                      <w:spacing w:val="4"/>
                      <w:sz w:val="21"/>
                      <w:szCs w:val="21"/>
                    </w:rPr>
                    <w:t>0</w:t>
                  </w:r>
                </w:p>
              </w:tc>
              <w:tc>
                <w:tcPr>
                  <w:tcW w:w="890" w:type="dxa"/>
                  <w:tcBorders>
                    <w:top w:val="single" w:color="auto" w:sz="4" w:space="0"/>
                    <w:left w:val="single" w:color="auto" w:sz="4" w:space="0"/>
                    <w:bottom w:val="single" w:color="auto" w:sz="4" w:space="0"/>
                    <w:right w:val="single" w:color="auto" w:sz="4" w:space="0"/>
                  </w:tcBorders>
                  <w:vAlign w:val="center"/>
                </w:tcPr>
                <w:p w14:paraId="44FE6AB5">
                  <w:pPr>
                    <w:widowControl/>
                    <w:jc w:val="center"/>
                    <w:textAlignment w:val="center"/>
                    <w:rPr>
                      <w:color w:val="auto"/>
                      <w:spacing w:val="4"/>
                      <w:sz w:val="21"/>
                      <w:szCs w:val="21"/>
                    </w:rPr>
                  </w:pPr>
                  <w:r>
                    <w:rPr>
                      <w:rFonts w:hint="eastAsia"/>
                      <w:color w:val="auto"/>
                      <w:spacing w:val="4"/>
                      <w:sz w:val="21"/>
                      <w:szCs w:val="21"/>
                    </w:rPr>
                    <w:t>101.0137</w:t>
                  </w:r>
                </w:p>
              </w:tc>
              <w:tc>
                <w:tcPr>
                  <w:tcW w:w="820" w:type="dxa"/>
                  <w:tcBorders>
                    <w:top w:val="single" w:color="auto" w:sz="4" w:space="0"/>
                    <w:left w:val="single" w:color="auto" w:sz="4" w:space="0"/>
                    <w:bottom w:val="single" w:color="auto" w:sz="4" w:space="0"/>
                    <w:right w:val="single" w:color="auto" w:sz="4" w:space="0"/>
                  </w:tcBorders>
                  <w:shd w:val="clear" w:color="auto" w:fill="auto"/>
                  <w:vAlign w:val="center"/>
                </w:tcPr>
                <w:p w14:paraId="6D20E583">
                  <w:pPr>
                    <w:widowControl/>
                    <w:jc w:val="center"/>
                    <w:textAlignment w:val="center"/>
                    <w:rPr>
                      <w:rFonts w:hint="default" w:ascii="Times New Roman" w:hAnsi="Times New Roman" w:eastAsia="宋体" w:cs="Times New Roman"/>
                      <w:color w:val="auto"/>
                      <w:spacing w:val="4"/>
                      <w:kern w:val="2"/>
                      <w:sz w:val="21"/>
                      <w:szCs w:val="21"/>
                      <w:lang w:val="en-US" w:eastAsia="zh-CN" w:bidi="ar"/>
                    </w:rPr>
                  </w:pPr>
                  <w:r>
                    <w:rPr>
                      <w:rFonts w:hint="eastAsia"/>
                      <w:color w:val="auto"/>
                      <w:spacing w:val="4"/>
                      <w:sz w:val="21"/>
                      <w:szCs w:val="21"/>
                    </w:rPr>
                    <w:t>101.0137</w:t>
                  </w:r>
                </w:p>
              </w:tc>
              <w:tc>
                <w:tcPr>
                  <w:tcW w:w="1091" w:type="dxa"/>
                  <w:tcBorders>
                    <w:top w:val="single" w:color="auto" w:sz="4" w:space="0"/>
                    <w:left w:val="single" w:color="auto" w:sz="4" w:space="0"/>
                    <w:bottom w:val="single" w:color="auto" w:sz="4" w:space="0"/>
                    <w:right w:val="single" w:color="auto" w:sz="4" w:space="0"/>
                  </w:tcBorders>
                  <w:vAlign w:val="center"/>
                </w:tcPr>
                <w:p w14:paraId="32933EFF">
                  <w:pPr>
                    <w:widowControl/>
                    <w:jc w:val="center"/>
                    <w:textAlignment w:val="center"/>
                    <w:rPr>
                      <w:rFonts w:eastAsia="等线"/>
                      <w:color w:val="auto"/>
                      <w:sz w:val="21"/>
                      <w:szCs w:val="21"/>
                    </w:rPr>
                  </w:pPr>
                  <w:r>
                    <w:rPr>
                      <w:rFonts w:hint="eastAsia" w:eastAsia="等线"/>
                      <w:color w:val="auto"/>
                      <w:sz w:val="21"/>
                      <w:szCs w:val="21"/>
                    </w:rPr>
                    <w:t>0</w:t>
                  </w:r>
                </w:p>
              </w:tc>
              <w:tc>
                <w:tcPr>
                  <w:tcW w:w="1120" w:type="dxa"/>
                  <w:tcBorders>
                    <w:top w:val="single" w:color="auto" w:sz="4" w:space="0"/>
                    <w:left w:val="single" w:color="auto" w:sz="4" w:space="0"/>
                    <w:bottom w:val="single" w:color="auto" w:sz="4" w:space="0"/>
                    <w:right w:val="single" w:color="auto" w:sz="4" w:space="0"/>
                  </w:tcBorders>
                  <w:vAlign w:val="center"/>
                </w:tcPr>
                <w:p w14:paraId="5D7E231E">
                  <w:pPr>
                    <w:adjustRightInd w:val="0"/>
                    <w:snapToGrid w:val="0"/>
                    <w:jc w:val="center"/>
                    <w:textAlignment w:val="baseline"/>
                    <w:rPr>
                      <w:color w:val="auto"/>
                      <w:spacing w:val="4"/>
                      <w:sz w:val="21"/>
                      <w:szCs w:val="21"/>
                    </w:rPr>
                  </w:pPr>
                  <w:r>
                    <w:rPr>
                      <w:color w:val="auto"/>
                      <w:spacing w:val="4"/>
                      <w:sz w:val="21"/>
                      <w:szCs w:val="21"/>
                    </w:rPr>
                    <w:t>0</w:t>
                  </w:r>
                </w:p>
              </w:tc>
              <w:tc>
                <w:tcPr>
                  <w:tcW w:w="916" w:type="dxa"/>
                  <w:tcBorders>
                    <w:top w:val="single" w:color="auto" w:sz="4" w:space="0"/>
                    <w:left w:val="single" w:color="auto" w:sz="4" w:space="0"/>
                    <w:bottom w:val="single" w:color="auto" w:sz="4" w:space="0"/>
                    <w:right w:val="single" w:color="auto" w:sz="4" w:space="0"/>
                  </w:tcBorders>
                  <w:vAlign w:val="center"/>
                </w:tcPr>
                <w:p w14:paraId="779F1BBF">
                  <w:pPr>
                    <w:adjustRightInd w:val="0"/>
                    <w:snapToGrid w:val="0"/>
                    <w:jc w:val="center"/>
                    <w:textAlignment w:val="baseline"/>
                    <w:rPr>
                      <w:color w:val="auto"/>
                      <w:spacing w:val="4"/>
                      <w:sz w:val="21"/>
                      <w:szCs w:val="21"/>
                    </w:rPr>
                  </w:pPr>
                  <w:r>
                    <w:rPr>
                      <w:rFonts w:hint="eastAsia"/>
                      <w:color w:val="auto"/>
                      <w:spacing w:val="4"/>
                      <w:sz w:val="21"/>
                      <w:szCs w:val="21"/>
                    </w:rPr>
                    <w:t>0</w:t>
                  </w:r>
                </w:p>
              </w:tc>
              <w:tc>
                <w:tcPr>
                  <w:tcW w:w="1200" w:type="dxa"/>
                  <w:tcBorders>
                    <w:top w:val="single" w:color="auto" w:sz="4" w:space="0"/>
                    <w:left w:val="single" w:color="auto" w:sz="4" w:space="0"/>
                    <w:bottom w:val="single" w:color="auto" w:sz="4" w:space="0"/>
                    <w:right w:val="single" w:color="auto" w:sz="4" w:space="0"/>
                  </w:tcBorders>
                  <w:vAlign w:val="center"/>
                </w:tcPr>
                <w:p w14:paraId="73F00554">
                  <w:pPr>
                    <w:adjustRightInd w:val="0"/>
                    <w:snapToGrid w:val="0"/>
                    <w:jc w:val="center"/>
                    <w:textAlignment w:val="baseline"/>
                    <w:rPr>
                      <w:color w:val="auto"/>
                      <w:spacing w:val="4"/>
                      <w:sz w:val="21"/>
                      <w:szCs w:val="21"/>
                    </w:rPr>
                  </w:pPr>
                  <w:r>
                    <w:rPr>
                      <w:rFonts w:hint="eastAsia"/>
                      <w:color w:val="auto"/>
                      <w:spacing w:val="4"/>
                      <w:sz w:val="21"/>
                      <w:szCs w:val="21"/>
                    </w:rPr>
                    <w:t>0</w:t>
                  </w:r>
                </w:p>
              </w:tc>
              <w:tc>
                <w:tcPr>
                  <w:tcW w:w="1160" w:type="dxa"/>
                  <w:tcBorders>
                    <w:top w:val="single" w:color="auto" w:sz="4" w:space="0"/>
                    <w:left w:val="single" w:color="auto" w:sz="4" w:space="0"/>
                    <w:bottom w:val="single" w:color="auto" w:sz="4" w:space="0"/>
                    <w:right w:val="single" w:color="auto" w:sz="4" w:space="0"/>
                  </w:tcBorders>
                  <w:vAlign w:val="center"/>
                </w:tcPr>
                <w:p w14:paraId="2057D8AD">
                  <w:pPr>
                    <w:adjustRightInd w:val="0"/>
                    <w:snapToGrid w:val="0"/>
                    <w:jc w:val="center"/>
                    <w:textAlignment w:val="baseline"/>
                    <w:rPr>
                      <w:color w:val="auto"/>
                      <w:spacing w:val="4"/>
                      <w:sz w:val="21"/>
                      <w:szCs w:val="21"/>
                    </w:rPr>
                  </w:pPr>
                  <w:r>
                    <w:rPr>
                      <w:rFonts w:hint="eastAsia"/>
                      <w:color w:val="auto"/>
                      <w:spacing w:val="4"/>
                      <w:sz w:val="21"/>
                      <w:szCs w:val="21"/>
                    </w:rPr>
                    <w:t>0</w:t>
                  </w:r>
                </w:p>
              </w:tc>
              <w:tc>
                <w:tcPr>
                  <w:tcW w:w="1128" w:type="dxa"/>
                  <w:tcBorders>
                    <w:top w:val="single" w:color="auto" w:sz="4" w:space="0"/>
                    <w:left w:val="single" w:color="auto" w:sz="4" w:space="0"/>
                    <w:bottom w:val="single" w:color="auto" w:sz="4" w:space="0"/>
                    <w:right w:val="single" w:color="auto" w:sz="4" w:space="0"/>
                  </w:tcBorders>
                  <w:vAlign w:val="center"/>
                </w:tcPr>
                <w:p w14:paraId="7C3BE090">
                  <w:pPr>
                    <w:adjustRightInd w:val="0"/>
                    <w:snapToGrid w:val="0"/>
                    <w:jc w:val="center"/>
                    <w:textAlignment w:val="baseline"/>
                    <w:rPr>
                      <w:color w:val="auto"/>
                      <w:spacing w:val="4"/>
                      <w:sz w:val="21"/>
                      <w:szCs w:val="21"/>
                    </w:rPr>
                  </w:pPr>
                  <w:r>
                    <w:rPr>
                      <w:rFonts w:hint="eastAsia"/>
                      <w:color w:val="auto"/>
                      <w:spacing w:val="4"/>
                      <w:sz w:val="21"/>
                      <w:szCs w:val="21"/>
                    </w:rPr>
                    <w:t>0</w:t>
                  </w:r>
                </w:p>
              </w:tc>
              <w:tc>
                <w:tcPr>
                  <w:tcW w:w="1113" w:type="dxa"/>
                  <w:tcBorders>
                    <w:top w:val="single" w:color="auto" w:sz="4" w:space="0"/>
                    <w:left w:val="single" w:color="auto" w:sz="4" w:space="0"/>
                    <w:bottom w:val="single" w:color="auto" w:sz="4" w:space="0"/>
                    <w:right w:val="nil"/>
                  </w:tcBorders>
                  <w:vAlign w:val="center"/>
                </w:tcPr>
                <w:p w14:paraId="5B9180C1">
                  <w:pPr>
                    <w:adjustRightInd w:val="0"/>
                    <w:snapToGrid w:val="0"/>
                    <w:jc w:val="center"/>
                    <w:textAlignment w:val="baseline"/>
                    <w:rPr>
                      <w:color w:val="auto"/>
                      <w:spacing w:val="4"/>
                      <w:sz w:val="21"/>
                      <w:szCs w:val="21"/>
                    </w:rPr>
                  </w:pPr>
                  <w:r>
                    <w:rPr>
                      <w:rFonts w:hint="eastAsia"/>
                      <w:color w:val="auto"/>
                      <w:spacing w:val="4"/>
                      <w:sz w:val="21"/>
                      <w:szCs w:val="21"/>
                    </w:rPr>
                    <w:t>0</w:t>
                  </w:r>
                </w:p>
              </w:tc>
            </w:tr>
            <w:tr w14:paraId="223A4007">
              <w:tblPrEx>
                <w:tblBorders>
                  <w:top w:val="single" w:color="auto" w:sz="12" w:space="0"/>
                  <w:left w:val="none" w:color="auto" w:sz="6" w:space="0"/>
                  <w:bottom w:val="single" w:color="auto" w:sz="12" w:space="0"/>
                  <w:right w:val="none" w:color="auto" w:sz="6"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1005" w:type="dxa"/>
                  <w:gridSpan w:val="2"/>
                  <w:vMerge w:val="continue"/>
                  <w:tcBorders>
                    <w:left w:val="nil"/>
                    <w:right w:val="single" w:color="auto" w:sz="4" w:space="0"/>
                  </w:tcBorders>
                  <w:vAlign w:val="center"/>
                </w:tcPr>
                <w:p w14:paraId="3CF723DF">
                  <w:pPr>
                    <w:rPr>
                      <w:color w:val="auto"/>
                      <w:sz w:val="21"/>
                      <w:szCs w:val="21"/>
                    </w:rPr>
                  </w:pPr>
                </w:p>
              </w:tc>
              <w:tc>
                <w:tcPr>
                  <w:tcW w:w="1180" w:type="dxa"/>
                  <w:tcBorders>
                    <w:top w:val="single" w:color="auto" w:sz="4" w:space="0"/>
                    <w:left w:val="single" w:color="auto" w:sz="4" w:space="0"/>
                    <w:bottom w:val="single" w:color="auto" w:sz="4" w:space="0"/>
                    <w:right w:val="single" w:color="auto" w:sz="4" w:space="0"/>
                  </w:tcBorders>
                  <w:vAlign w:val="center"/>
                </w:tcPr>
                <w:p w14:paraId="052141F1">
                  <w:pPr>
                    <w:adjustRightInd w:val="0"/>
                    <w:snapToGrid w:val="0"/>
                    <w:jc w:val="center"/>
                    <w:textAlignment w:val="baseline"/>
                    <w:rPr>
                      <w:color w:val="auto"/>
                      <w:spacing w:val="4"/>
                      <w:sz w:val="21"/>
                      <w:szCs w:val="21"/>
                    </w:rPr>
                  </w:pPr>
                  <w:r>
                    <w:rPr>
                      <w:color w:val="auto"/>
                      <w:spacing w:val="4"/>
                      <w:sz w:val="21"/>
                      <w:szCs w:val="21"/>
                    </w:rPr>
                    <w:t>危险废物</w:t>
                  </w:r>
                </w:p>
              </w:tc>
              <w:tc>
                <w:tcPr>
                  <w:tcW w:w="1040" w:type="dxa"/>
                  <w:tcBorders>
                    <w:top w:val="single" w:color="auto" w:sz="4" w:space="0"/>
                    <w:left w:val="single" w:color="auto" w:sz="4" w:space="0"/>
                    <w:bottom w:val="single" w:color="auto" w:sz="4" w:space="0"/>
                    <w:right w:val="single" w:color="auto" w:sz="4" w:space="0"/>
                  </w:tcBorders>
                  <w:vAlign w:val="center"/>
                </w:tcPr>
                <w:p w14:paraId="5E4D8CCC">
                  <w:pPr>
                    <w:adjustRightInd w:val="0"/>
                    <w:snapToGrid w:val="0"/>
                    <w:jc w:val="center"/>
                    <w:textAlignment w:val="baseline"/>
                    <w:rPr>
                      <w:color w:val="auto"/>
                      <w:spacing w:val="4"/>
                      <w:sz w:val="21"/>
                      <w:szCs w:val="21"/>
                    </w:rPr>
                  </w:pPr>
                  <w:r>
                    <w:rPr>
                      <w:rFonts w:hint="eastAsia"/>
                      <w:color w:val="auto"/>
                      <w:spacing w:val="4"/>
                      <w:sz w:val="21"/>
                      <w:szCs w:val="21"/>
                    </w:rPr>
                    <w:t>0</w:t>
                  </w:r>
                </w:p>
              </w:tc>
              <w:tc>
                <w:tcPr>
                  <w:tcW w:w="890" w:type="dxa"/>
                  <w:tcBorders>
                    <w:top w:val="single" w:color="auto" w:sz="4" w:space="0"/>
                    <w:left w:val="single" w:color="auto" w:sz="4" w:space="0"/>
                    <w:bottom w:val="single" w:color="auto" w:sz="4" w:space="0"/>
                    <w:right w:val="single" w:color="auto" w:sz="4" w:space="0"/>
                  </w:tcBorders>
                  <w:vAlign w:val="center"/>
                </w:tcPr>
                <w:p w14:paraId="3665BC78">
                  <w:pPr>
                    <w:widowControl/>
                    <w:jc w:val="center"/>
                    <w:textAlignment w:val="center"/>
                    <w:rPr>
                      <w:rFonts w:hint="default" w:eastAsia="宋体"/>
                      <w:color w:val="auto"/>
                      <w:spacing w:val="4"/>
                      <w:sz w:val="21"/>
                      <w:szCs w:val="21"/>
                      <w:lang w:val="en-US" w:eastAsia="zh-CN"/>
                    </w:rPr>
                  </w:pPr>
                  <w:r>
                    <w:rPr>
                      <w:rFonts w:hint="default" w:eastAsia="宋体"/>
                      <w:color w:val="auto"/>
                      <w:spacing w:val="4"/>
                      <w:sz w:val="21"/>
                      <w:szCs w:val="21"/>
                      <w:lang w:val="en-US" w:eastAsia="zh-CN"/>
                    </w:rPr>
                    <w:t>67.596</w:t>
                  </w:r>
                </w:p>
              </w:tc>
              <w:tc>
                <w:tcPr>
                  <w:tcW w:w="820" w:type="dxa"/>
                  <w:tcBorders>
                    <w:top w:val="single" w:color="auto" w:sz="4" w:space="0"/>
                    <w:left w:val="single" w:color="auto" w:sz="4" w:space="0"/>
                    <w:bottom w:val="single" w:color="auto" w:sz="4" w:space="0"/>
                    <w:right w:val="single" w:color="auto" w:sz="4" w:space="0"/>
                  </w:tcBorders>
                  <w:shd w:val="clear" w:color="auto" w:fill="auto"/>
                  <w:vAlign w:val="center"/>
                </w:tcPr>
                <w:p w14:paraId="5A510D1F">
                  <w:pPr>
                    <w:widowControl/>
                    <w:jc w:val="center"/>
                    <w:textAlignment w:val="center"/>
                    <w:rPr>
                      <w:rFonts w:hint="default" w:ascii="Times New Roman" w:hAnsi="Times New Roman" w:eastAsia="宋体" w:cs="Times New Roman"/>
                      <w:color w:val="auto"/>
                      <w:spacing w:val="4"/>
                      <w:kern w:val="2"/>
                      <w:sz w:val="21"/>
                      <w:szCs w:val="21"/>
                      <w:lang w:val="en-US" w:eastAsia="zh-CN" w:bidi="ar"/>
                    </w:rPr>
                  </w:pPr>
                  <w:r>
                    <w:rPr>
                      <w:rFonts w:hint="default" w:eastAsia="宋体"/>
                      <w:color w:val="auto"/>
                      <w:spacing w:val="4"/>
                      <w:sz w:val="21"/>
                      <w:szCs w:val="21"/>
                      <w:lang w:val="en-US" w:eastAsia="zh-CN"/>
                    </w:rPr>
                    <w:t>67.596</w:t>
                  </w:r>
                </w:p>
              </w:tc>
              <w:tc>
                <w:tcPr>
                  <w:tcW w:w="1091" w:type="dxa"/>
                  <w:tcBorders>
                    <w:top w:val="single" w:color="auto" w:sz="4" w:space="0"/>
                    <w:left w:val="single" w:color="auto" w:sz="4" w:space="0"/>
                    <w:bottom w:val="single" w:color="auto" w:sz="4" w:space="0"/>
                    <w:right w:val="single" w:color="auto" w:sz="4" w:space="0"/>
                  </w:tcBorders>
                  <w:vAlign w:val="center"/>
                </w:tcPr>
                <w:p w14:paraId="15F0BA5A">
                  <w:pPr>
                    <w:widowControl/>
                    <w:jc w:val="center"/>
                    <w:textAlignment w:val="center"/>
                    <w:rPr>
                      <w:rFonts w:eastAsia="等线"/>
                      <w:color w:val="auto"/>
                      <w:sz w:val="21"/>
                      <w:szCs w:val="21"/>
                    </w:rPr>
                  </w:pPr>
                  <w:r>
                    <w:rPr>
                      <w:rFonts w:hint="eastAsia" w:eastAsia="等线"/>
                      <w:color w:val="auto"/>
                      <w:sz w:val="21"/>
                      <w:szCs w:val="21"/>
                    </w:rPr>
                    <w:t>0</w:t>
                  </w:r>
                </w:p>
              </w:tc>
              <w:tc>
                <w:tcPr>
                  <w:tcW w:w="1120" w:type="dxa"/>
                  <w:tcBorders>
                    <w:top w:val="single" w:color="auto" w:sz="4" w:space="0"/>
                    <w:left w:val="single" w:color="auto" w:sz="4" w:space="0"/>
                    <w:bottom w:val="single" w:color="auto" w:sz="4" w:space="0"/>
                    <w:right w:val="single" w:color="auto" w:sz="4" w:space="0"/>
                  </w:tcBorders>
                  <w:vAlign w:val="center"/>
                </w:tcPr>
                <w:p w14:paraId="67E8BA2D">
                  <w:pPr>
                    <w:adjustRightInd w:val="0"/>
                    <w:snapToGrid w:val="0"/>
                    <w:jc w:val="center"/>
                    <w:textAlignment w:val="baseline"/>
                    <w:rPr>
                      <w:color w:val="auto"/>
                      <w:spacing w:val="4"/>
                      <w:sz w:val="21"/>
                      <w:szCs w:val="21"/>
                    </w:rPr>
                  </w:pPr>
                  <w:r>
                    <w:rPr>
                      <w:color w:val="auto"/>
                      <w:spacing w:val="4"/>
                      <w:sz w:val="21"/>
                      <w:szCs w:val="21"/>
                    </w:rPr>
                    <w:t>0</w:t>
                  </w:r>
                </w:p>
              </w:tc>
              <w:tc>
                <w:tcPr>
                  <w:tcW w:w="916" w:type="dxa"/>
                  <w:tcBorders>
                    <w:top w:val="single" w:color="auto" w:sz="4" w:space="0"/>
                    <w:left w:val="single" w:color="auto" w:sz="4" w:space="0"/>
                    <w:bottom w:val="single" w:color="auto" w:sz="4" w:space="0"/>
                    <w:right w:val="single" w:color="auto" w:sz="4" w:space="0"/>
                  </w:tcBorders>
                  <w:vAlign w:val="center"/>
                </w:tcPr>
                <w:p w14:paraId="6CB2417E">
                  <w:pPr>
                    <w:adjustRightInd w:val="0"/>
                    <w:snapToGrid w:val="0"/>
                    <w:jc w:val="center"/>
                    <w:textAlignment w:val="baseline"/>
                    <w:rPr>
                      <w:color w:val="auto"/>
                      <w:spacing w:val="4"/>
                      <w:sz w:val="21"/>
                      <w:szCs w:val="21"/>
                    </w:rPr>
                  </w:pPr>
                  <w:r>
                    <w:rPr>
                      <w:rFonts w:hint="eastAsia"/>
                      <w:color w:val="auto"/>
                      <w:spacing w:val="4"/>
                      <w:sz w:val="21"/>
                      <w:szCs w:val="21"/>
                    </w:rPr>
                    <w:t>0</w:t>
                  </w:r>
                </w:p>
              </w:tc>
              <w:tc>
                <w:tcPr>
                  <w:tcW w:w="1200" w:type="dxa"/>
                  <w:tcBorders>
                    <w:top w:val="single" w:color="auto" w:sz="4" w:space="0"/>
                    <w:left w:val="single" w:color="auto" w:sz="4" w:space="0"/>
                    <w:bottom w:val="single" w:color="auto" w:sz="4" w:space="0"/>
                    <w:right w:val="single" w:color="auto" w:sz="4" w:space="0"/>
                  </w:tcBorders>
                  <w:vAlign w:val="center"/>
                </w:tcPr>
                <w:p w14:paraId="12555772">
                  <w:pPr>
                    <w:adjustRightInd w:val="0"/>
                    <w:snapToGrid w:val="0"/>
                    <w:jc w:val="center"/>
                    <w:textAlignment w:val="baseline"/>
                    <w:rPr>
                      <w:color w:val="auto"/>
                      <w:spacing w:val="4"/>
                      <w:sz w:val="21"/>
                      <w:szCs w:val="21"/>
                    </w:rPr>
                  </w:pPr>
                  <w:r>
                    <w:rPr>
                      <w:rFonts w:hint="eastAsia"/>
                      <w:color w:val="auto"/>
                      <w:spacing w:val="4"/>
                      <w:sz w:val="21"/>
                      <w:szCs w:val="21"/>
                    </w:rPr>
                    <w:t>0</w:t>
                  </w:r>
                </w:p>
              </w:tc>
              <w:tc>
                <w:tcPr>
                  <w:tcW w:w="1160" w:type="dxa"/>
                  <w:tcBorders>
                    <w:top w:val="single" w:color="auto" w:sz="4" w:space="0"/>
                    <w:left w:val="single" w:color="auto" w:sz="4" w:space="0"/>
                    <w:bottom w:val="single" w:color="auto" w:sz="4" w:space="0"/>
                    <w:right w:val="single" w:color="auto" w:sz="4" w:space="0"/>
                  </w:tcBorders>
                  <w:vAlign w:val="center"/>
                </w:tcPr>
                <w:p w14:paraId="25E98A60">
                  <w:pPr>
                    <w:adjustRightInd w:val="0"/>
                    <w:snapToGrid w:val="0"/>
                    <w:jc w:val="center"/>
                    <w:textAlignment w:val="baseline"/>
                    <w:rPr>
                      <w:color w:val="auto"/>
                      <w:spacing w:val="4"/>
                      <w:sz w:val="21"/>
                      <w:szCs w:val="21"/>
                    </w:rPr>
                  </w:pPr>
                  <w:r>
                    <w:rPr>
                      <w:rFonts w:hint="eastAsia"/>
                      <w:color w:val="auto"/>
                      <w:spacing w:val="4"/>
                      <w:sz w:val="21"/>
                      <w:szCs w:val="21"/>
                    </w:rPr>
                    <w:t>0</w:t>
                  </w:r>
                </w:p>
              </w:tc>
              <w:tc>
                <w:tcPr>
                  <w:tcW w:w="1128" w:type="dxa"/>
                  <w:tcBorders>
                    <w:top w:val="single" w:color="auto" w:sz="4" w:space="0"/>
                    <w:left w:val="single" w:color="auto" w:sz="4" w:space="0"/>
                    <w:bottom w:val="single" w:color="auto" w:sz="4" w:space="0"/>
                    <w:right w:val="single" w:color="auto" w:sz="4" w:space="0"/>
                  </w:tcBorders>
                  <w:vAlign w:val="center"/>
                </w:tcPr>
                <w:p w14:paraId="1CB4A6C5">
                  <w:pPr>
                    <w:adjustRightInd w:val="0"/>
                    <w:snapToGrid w:val="0"/>
                    <w:jc w:val="center"/>
                    <w:textAlignment w:val="baseline"/>
                    <w:rPr>
                      <w:color w:val="auto"/>
                      <w:spacing w:val="4"/>
                      <w:sz w:val="21"/>
                      <w:szCs w:val="21"/>
                    </w:rPr>
                  </w:pPr>
                  <w:r>
                    <w:rPr>
                      <w:rFonts w:hint="eastAsia"/>
                      <w:color w:val="auto"/>
                      <w:spacing w:val="4"/>
                      <w:sz w:val="21"/>
                      <w:szCs w:val="21"/>
                    </w:rPr>
                    <w:t>0</w:t>
                  </w:r>
                </w:p>
              </w:tc>
              <w:tc>
                <w:tcPr>
                  <w:tcW w:w="1113" w:type="dxa"/>
                  <w:tcBorders>
                    <w:top w:val="single" w:color="auto" w:sz="4" w:space="0"/>
                    <w:left w:val="single" w:color="auto" w:sz="4" w:space="0"/>
                    <w:bottom w:val="single" w:color="auto" w:sz="4" w:space="0"/>
                    <w:right w:val="nil"/>
                  </w:tcBorders>
                  <w:vAlign w:val="center"/>
                </w:tcPr>
                <w:p w14:paraId="3E1B1E13">
                  <w:pPr>
                    <w:adjustRightInd w:val="0"/>
                    <w:snapToGrid w:val="0"/>
                    <w:jc w:val="center"/>
                    <w:textAlignment w:val="baseline"/>
                    <w:rPr>
                      <w:color w:val="auto"/>
                      <w:spacing w:val="4"/>
                      <w:sz w:val="21"/>
                      <w:szCs w:val="21"/>
                    </w:rPr>
                  </w:pPr>
                  <w:r>
                    <w:rPr>
                      <w:rFonts w:hint="eastAsia"/>
                      <w:color w:val="auto"/>
                      <w:spacing w:val="4"/>
                      <w:sz w:val="21"/>
                      <w:szCs w:val="21"/>
                    </w:rPr>
                    <w:t>0</w:t>
                  </w:r>
                </w:p>
              </w:tc>
            </w:tr>
            <w:tr w14:paraId="5AD8D634">
              <w:tblPrEx>
                <w:tblBorders>
                  <w:top w:val="single" w:color="auto" w:sz="12" w:space="0"/>
                  <w:left w:val="none" w:color="auto" w:sz="6" w:space="0"/>
                  <w:bottom w:val="single" w:color="auto" w:sz="12" w:space="0"/>
                  <w:right w:val="none" w:color="auto" w:sz="6"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1005" w:type="dxa"/>
                  <w:gridSpan w:val="2"/>
                  <w:vMerge w:val="continue"/>
                  <w:tcBorders>
                    <w:left w:val="nil"/>
                    <w:bottom w:val="single" w:color="auto" w:sz="12" w:space="0"/>
                    <w:right w:val="single" w:color="auto" w:sz="4" w:space="0"/>
                  </w:tcBorders>
                  <w:vAlign w:val="center"/>
                </w:tcPr>
                <w:p w14:paraId="1BA32A9D">
                  <w:pPr>
                    <w:rPr>
                      <w:color w:val="auto"/>
                      <w:sz w:val="21"/>
                      <w:szCs w:val="21"/>
                    </w:rPr>
                  </w:pPr>
                </w:p>
              </w:tc>
              <w:tc>
                <w:tcPr>
                  <w:tcW w:w="1180" w:type="dxa"/>
                  <w:tcBorders>
                    <w:top w:val="single" w:color="auto" w:sz="4" w:space="0"/>
                    <w:left w:val="single" w:color="auto" w:sz="4" w:space="0"/>
                    <w:bottom w:val="single" w:color="auto" w:sz="12" w:space="0"/>
                    <w:right w:val="single" w:color="auto" w:sz="4" w:space="0"/>
                  </w:tcBorders>
                  <w:vAlign w:val="center"/>
                </w:tcPr>
                <w:p w14:paraId="2321361E">
                  <w:pPr>
                    <w:adjustRightInd w:val="0"/>
                    <w:snapToGrid w:val="0"/>
                    <w:jc w:val="center"/>
                    <w:textAlignment w:val="baseline"/>
                    <w:rPr>
                      <w:rFonts w:hint="eastAsia" w:eastAsia="宋体"/>
                      <w:color w:val="auto"/>
                      <w:spacing w:val="4"/>
                      <w:sz w:val="21"/>
                      <w:szCs w:val="21"/>
                      <w:lang w:eastAsia="zh-CN"/>
                    </w:rPr>
                  </w:pPr>
                  <w:r>
                    <w:rPr>
                      <w:rFonts w:hint="eastAsia"/>
                      <w:bCs/>
                      <w:snapToGrid w:val="0"/>
                      <w:color w:val="auto"/>
                      <w:spacing w:val="6"/>
                    </w:rPr>
                    <w:t>金属屑</w:t>
                  </w:r>
                  <w:r>
                    <w:rPr>
                      <w:rFonts w:hint="eastAsia"/>
                      <w:bCs/>
                      <w:snapToGrid w:val="0"/>
                      <w:color w:val="auto"/>
                      <w:spacing w:val="6"/>
                      <w:lang w:eastAsia="zh-CN"/>
                    </w:rPr>
                    <w:t>（</w:t>
                  </w:r>
                  <w:r>
                    <w:rPr>
                      <w:rFonts w:hint="eastAsia"/>
                      <w:bCs/>
                      <w:snapToGrid w:val="0"/>
                      <w:color w:val="auto"/>
                      <w:spacing w:val="6"/>
                      <w:lang w:val="en-US" w:eastAsia="zh-CN"/>
                    </w:rPr>
                    <w:t>待鉴别</w:t>
                  </w:r>
                  <w:r>
                    <w:rPr>
                      <w:rFonts w:hint="eastAsia"/>
                      <w:bCs/>
                      <w:snapToGrid w:val="0"/>
                      <w:color w:val="auto"/>
                      <w:spacing w:val="6"/>
                      <w:lang w:eastAsia="zh-CN"/>
                    </w:rPr>
                    <w:t>）</w:t>
                  </w:r>
                </w:p>
              </w:tc>
              <w:tc>
                <w:tcPr>
                  <w:tcW w:w="1040" w:type="dxa"/>
                  <w:tcBorders>
                    <w:top w:val="single" w:color="auto" w:sz="4" w:space="0"/>
                    <w:left w:val="single" w:color="auto" w:sz="4" w:space="0"/>
                    <w:bottom w:val="single" w:color="auto" w:sz="12" w:space="0"/>
                    <w:right w:val="single" w:color="auto" w:sz="4" w:space="0"/>
                  </w:tcBorders>
                  <w:vAlign w:val="center"/>
                </w:tcPr>
                <w:p w14:paraId="738809FC">
                  <w:pPr>
                    <w:adjustRightInd w:val="0"/>
                    <w:snapToGrid w:val="0"/>
                    <w:jc w:val="center"/>
                    <w:textAlignment w:val="baseline"/>
                    <w:rPr>
                      <w:rFonts w:hint="eastAsia" w:eastAsia="宋体"/>
                      <w:color w:val="auto"/>
                      <w:spacing w:val="4"/>
                      <w:sz w:val="21"/>
                      <w:szCs w:val="21"/>
                      <w:lang w:val="en-US" w:eastAsia="zh-CN"/>
                    </w:rPr>
                  </w:pPr>
                  <w:r>
                    <w:rPr>
                      <w:rFonts w:hint="eastAsia"/>
                      <w:color w:val="auto"/>
                      <w:spacing w:val="4"/>
                      <w:sz w:val="21"/>
                      <w:szCs w:val="21"/>
                      <w:lang w:val="en-US" w:eastAsia="zh-CN"/>
                    </w:rPr>
                    <w:t>0</w:t>
                  </w:r>
                </w:p>
              </w:tc>
              <w:tc>
                <w:tcPr>
                  <w:tcW w:w="890" w:type="dxa"/>
                  <w:tcBorders>
                    <w:top w:val="single" w:color="auto" w:sz="4" w:space="0"/>
                    <w:left w:val="single" w:color="auto" w:sz="4" w:space="0"/>
                    <w:bottom w:val="single" w:color="auto" w:sz="12" w:space="0"/>
                    <w:right w:val="single" w:color="auto" w:sz="4" w:space="0"/>
                  </w:tcBorders>
                  <w:vAlign w:val="center"/>
                </w:tcPr>
                <w:p w14:paraId="35815010">
                  <w:pPr>
                    <w:widowControl/>
                    <w:jc w:val="center"/>
                    <w:textAlignment w:val="center"/>
                    <w:rPr>
                      <w:rFonts w:hint="default" w:eastAsia="宋体"/>
                      <w:color w:val="auto"/>
                      <w:spacing w:val="4"/>
                      <w:sz w:val="21"/>
                      <w:szCs w:val="21"/>
                      <w:lang w:val="en-US" w:eastAsia="zh-CN"/>
                    </w:rPr>
                  </w:pPr>
                  <w:r>
                    <w:rPr>
                      <w:rFonts w:hint="default" w:eastAsia="宋体"/>
                      <w:color w:val="auto"/>
                      <w:spacing w:val="4"/>
                      <w:sz w:val="21"/>
                      <w:szCs w:val="21"/>
                      <w:lang w:val="en-US" w:eastAsia="zh-CN"/>
                    </w:rPr>
                    <w:t>650</w:t>
                  </w:r>
                </w:p>
              </w:tc>
              <w:tc>
                <w:tcPr>
                  <w:tcW w:w="820" w:type="dxa"/>
                  <w:tcBorders>
                    <w:top w:val="single" w:color="auto" w:sz="4" w:space="0"/>
                    <w:left w:val="single" w:color="auto" w:sz="4" w:space="0"/>
                    <w:bottom w:val="single" w:color="auto" w:sz="12" w:space="0"/>
                    <w:right w:val="single" w:color="auto" w:sz="4" w:space="0"/>
                  </w:tcBorders>
                  <w:shd w:val="clear" w:color="auto" w:fill="auto"/>
                  <w:vAlign w:val="center"/>
                </w:tcPr>
                <w:p w14:paraId="09CABE8B">
                  <w:pPr>
                    <w:widowControl/>
                    <w:jc w:val="center"/>
                    <w:textAlignment w:val="center"/>
                    <w:rPr>
                      <w:rFonts w:hint="default" w:eastAsia="宋体"/>
                      <w:color w:val="auto"/>
                      <w:spacing w:val="4"/>
                      <w:sz w:val="21"/>
                      <w:szCs w:val="21"/>
                      <w:lang w:val="en-US" w:eastAsia="zh-CN"/>
                    </w:rPr>
                  </w:pPr>
                  <w:r>
                    <w:rPr>
                      <w:rFonts w:hint="default" w:eastAsia="宋体"/>
                      <w:color w:val="auto"/>
                      <w:spacing w:val="4"/>
                      <w:sz w:val="21"/>
                      <w:szCs w:val="21"/>
                      <w:lang w:val="en-US" w:eastAsia="zh-CN"/>
                    </w:rPr>
                    <w:t>650</w:t>
                  </w:r>
                </w:p>
              </w:tc>
              <w:tc>
                <w:tcPr>
                  <w:tcW w:w="1091" w:type="dxa"/>
                  <w:tcBorders>
                    <w:top w:val="single" w:color="auto" w:sz="4" w:space="0"/>
                    <w:left w:val="single" w:color="auto" w:sz="4" w:space="0"/>
                    <w:bottom w:val="single" w:color="auto" w:sz="12" w:space="0"/>
                    <w:right w:val="single" w:color="auto" w:sz="4" w:space="0"/>
                  </w:tcBorders>
                  <w:vAlign w:val="center"/>
                </w:tcPr>
                <w:p w14:paraId="4CA03FAA">
                  <w:pPr>
                    <w:widowControl/>
                    <w:jc w:val="center"/>
                    <w:textAlignment w:val="center"/>
                    <w:rPr>
                      <w:rFonts w:hint="eastAsia" w:eastAsia="等线"/>
                      <w:color w:val="auto"/>
                      <w:sz w:val="21"/>
                      <w:szCs w:val="21"/>
                    </w:rPr>
                  </w:pPr>
                  <w:r>
                    <w:rPr>
                      <w:rFonts w:hint="eastAsia" w:eastAsia="等线"/>
                      <w:color w:val="auto"/>
                      <w:sz w:val="21"/>
                      <w:szCs w:val="21"/>
                    </w:rPr>
                    <w:t>0</w:t>
                  </w:r>
                </w:p>
              </w:tc>
              <w:tc>
                <w:tcPr>
                  <w:tcW w:w="1120" w:type="dxa"/>
                  <w:tcBorders>
                    <w:top w:val="single" w:color="auto" w:sz="4" w:space="0"/>
                    <w:left w:val="single" w:color="auto" w:sz="4" w:space="0"/>
                    <w:bottom w:val="single" w:color="auto" w:sz="12" w:space="0"/>
                    <w:right w:val="single" w:color="auto" w:sz="4" w:space="0"/>
                  </w:tcBorders>
                  <w:vAlign w:val="center"/>
                </w:tcPr>
                <w:p w14:paraId="60C57752">
                  <w:pPr>
                    <w:adjustRightInd w:val="0"/>
                    <w:snapToGrid w:val="0"/>
                    <w:jc w:val="center"/>
                    <w:textAlignment w:val="baseline"/>
                    <w:rPr>
                      <w:color w:val="auto"/>
                      <w:spacing w:val="4"/>
                      <w:sz w:val="21"/>
                      <w:szCs w:val="21"/>
                    </w:rPr>
                  </w:pPr>
                  <w:r>
                    <w:rPr>
                      <w:color w:val="auto"/>
                      <w:spacing w:val="4"/>
                      <w:sz w:val="21"/>
                      <w:szCs w:val="21"/>
                    </w:rPr>
                    <w:t>0</w:t>
                  </w:r>
                </w:p>
              </w:tc>
              <w:tc>
                <w:tcPr>
                  <w:tcW w:w="916" w:type="dxa"/>
                  <w:tcBorders>
                    <w:top w:val="single" w:color="auto" w:sz="4" w:space="0"/>
                    <w:left w:val="single" w:color="auto" w:sz="4" w:space="0"/>
                    <w:bottom w:val="single" w:color="auto" w:sz="12" w:space="0"/>
                    <w:right w:val="single" w:color="auto" w:sz="4" w:space="0"/>
                  </w:tcBorders>
                  <w:vAlign w:val="center"/>
                </w:tcPr>
                <w:p w14:paraId="0CEF7623">
                  <w:pPr>
                    <w:adjustRightInd w:val="0"/>
                    <w:snapToGrid w:val="0"/>
                    <w:jc w:val="center"/>
                    <w:textAlignment w:val="baseline"/>
                    <w:rPr>
                      <w:rFonts w:hint="eastAsia"/>
                      <w:color w:val="auto"/>
                      <w:spacing w:val="4"/>
                      <w:sz w:val="21"/>
                      <w:szCs w:val="21"/>
                    </w:rPr>
                  </w:pPr>
                  <w:r>
                    <w:rPr>
                      <w:rFonts w:hint="eastAsia"/>
                      <w:color w:val="auto"/>
                      <w:spacing w:val="4"/>
                      <w:sz w:val="21"/>
                      <w:szCs w:val="21"/>
                    </w:rPr>
                    <w:t>0</w:t>
                  </w:r>
                </w:p>
              </w:tc>
              <w:tc>
                <w:tcPr>
                  <w:tcW w:w="1200" w:type="dxa"/>
                  <w:tcBorders>
                    <w:top w:val="single" w:color="auto" w:sz="4" w:space="0"/>
                    <w:left w:val="single" w:color="auto" w:sz="4" w:space="0"/>
                    <w:bottom w:val="single" w:color="auto" w:sz="12" w:space="0"/>
                    <w:right w:val="single" w:color="auto" w:sz="4" w:space="0"/>
                  </w:tcBorders>
                  <w:vAlign w:val="center"/>
                </w:tcPr>
                <w:p w14:paraId="4FA1C66E">
                  <w:pPr>
                    <w:adjustRightInd w:val="0"/>
                    <w:snapToGrid w:val="0"/>
                    <w:jc w:val="center"/>
                    <w:textAlignment w:val="baseline"/>
                    <w:rPr>
                      <w:rFonts w:hint="eastAsia"/>
                      <w:color w:val="auto"/>
                      <w:spacing w:val="4"/>
                      <w:sz w:val="21"/>
                      <w:szCs w:val="21"/>
                    </w:rPr>
                  </w:pPr>
                  <w:r>
                    <w:rPr>
                      <w:rFonts w:hint="eastAsia"/>
                      <w:color w:val="auto"/>
                      <w:spacing w:val="4"/>
                      <w:sz w:val="21"/>
                      <w:szCs w:val="21"/>
                    </w:rPr>
                    <w:t>0</w:t>
                  </w:r>
                </w:p>
              </w:tc>
              <w:tc>
                <w:tcPr>
                  <w:tcW w:w="1160" w:type="dxa"/>
                  <w:tcBorders>
                    <w:top w:val="single" w:color="auto" w:sz="4" w:space="0"/>
                    <w:left w:val="single" w:color="auto" w:sz="4" w:space="0"/>
                    <w:bottom w:val="single" w:color="auto" w:sz="12" w:space="0"/>
                    <w:right w:val="single" w:color="auto" w:sz="4" w:space="0"/>
                  </w:tcBorders>
                  <w:vAlign w:val="center"/>
                </w:tcPr>
                <w:p w14:paraId="76CE7F18">
                  <w:pPr>
                    <w:adjustRightInd w:val="0"/>
                    <w:snapToGrid w:val="0"/>
                    <w:jc w:val="center"/>
                    <w:textAlignment w:val="baseline"/>
                    <w:rPr>
                      <w:rFonts w:hint="eastAsia"/>
                      <w:color w:val="auto"/>
                      <w:spacing w:val="4"/>
                      <w:sz w:val="21"/>
                      <w:szCs w:val="21"/>
                    </w:rPr>
                  </w:pPr>
                  <w:r>
                    <w:rPr>
                      <w:rFonts w:hint="eastAsia"/>
                      <w:color w:val="auto"/>
                      <w:spacing w:val="4"/>
                      <w:sz w:val="21"/>
                      <w:szCs w:val="21"/>
                    </w:rPr>
                    <w:t>0</w:t>
                  </w:r>
                </w:p>
              </w:tc>
              <w:tc>
                <w:tcPr>
                  <w:tcW w:w="1128" w:type="dxa"/>
                  <w:tcBorders>
                    <w:top w:val="single" w:color="auto" w:sz="4" w:space="0"/>
                    <w:left w:val="single" w:color="auto" w:sz="4" w:space="0"/>
                    <w:bottom w:val="single" w:color="auto" w:sz="12" w:space="0"/>
                    <w:right w:val="single" w:color="auto" w:sz="4" w:space="0"/>
                  </w:tcBorders>
                  <w:vAlign w:val="center"/>
                </w:tcPr>
                <w:p w14:paraId="1109CBC1">
                  <w:pPr>
                    <w:adjustRightInd w:val="0"/>
                    <w:snapToGrid w:val="0"/>
                    <w:jc w:val="center"/>
                    <w:textAlignment w:val="baseline"/>
                    <w:rPr>
                      <w:rFonts w:hint="eastAsia"/>
                      <w:color w:val="auto"/>
                      <w:spacing w:val="4"/>
                      <w:sz w:val="21"/>
                      <w:szCs w:val="21"/>
                    </w:rPr>
                  </w:pPr>
                  <w:r>
                    <w:rPr>
                      <w:rFonts w:hint="eastAsia"/>
                      <w:color w:val="auto"/>
                      <w:spacing w:val="4"/>
                      <w:sz w:val="21"/>
                      <w:szCs w:val="21"/>
                    </w:rPr>
                    <w:t>0</w:t>
                  </w:r>
                </w:p>
              </w:tc>
              <w:tc>
                <w:tcPr>
                  <w:tcW w:w="1113" w:type="dxa"/>
                  <w:tcBorders>
                    <w:top w:val="single" w:color="auto" w:sz="4" w:space="0"/>
                    <w:left w:val="single" w:color="auto" w:sz="4" w:space="0"/>
                    <w:bottom w:val="single" w:color="auto" w:sz="12" w:space="0"/>
                    <w:right w:val="nil"/>
                  </w:tcBorders>
                  <w:vAlign w:val="center"/>
                </w:tcPr>
                <w:p w14:paraId="3FD70469">
                  <w:pPr>
                    <w:adjustRightInd w:val="0"/>
                    <w:snapToGrid w:val="0"/>
                    <w:jc w:val="center"/>
                    <w:textAlignment w:val="baseline"/>
                    <w:rPr>
                      <w:rFonts w:hint="eastAsia"/>
                      <w:color w:val="auto"/>
                      <w:spacing w:val="4"/>
                      <w:sz w:val="21"/>
                      <w:szCs w:val="21"/>
                    </w:rPr>
                  </w:pPr>
                  <w:r>
                    <w:rPr>
                      <w:rFonts w:hint="eastAsia"/>
                      <w:color w:val="auto"/>
                      <w:spacing w:val="4"/>
                      <w:sz w:val="21"/>
                      <w:szCs w:val="21"/>
                    </w:rPr>
                    <w:t>0</w:t>
                  </w:r>
                </w:p>
              </w:tc>
            </w:tr>
          </w:tbl>
          <w:p w14:paraId="6F509FAD">
            <w:pPr>
              <w:spacing w:line="240" w:lineRule="auto"/>
              <w:ind w:firstLine="422" w:firstLineChars="200"/>
              <w:rPr>
                <w:rFonts w:hint="default" w:ascii="Times New Roman" w:hAnsi="Times New Roman" w:eastAsia="宋体" w:cs="宋体"/>
                <w:color w:val="auto"/>
                <w:sz w:val="24"/>
                <w:szCs w:val="24"/>
                <w:lang w:val="en-US"/>
              </w:rPr>
            </w:pPr>
            <w:r>
              <w:rPr>
                <w:rFonts w:hint="eastAsia"/>
                <w:b/>
                <w:bCs w:val="0"/>
                <w:color w:val="auto"/>
                <w:sz w:val="21"/>
                <w:szCs w:val="21"/>
                <w:lang w:val="en-US" w:eastAsia="zh-CN"/>
              </w:rPr>
              <w:t>注：现有项目环评未对</w:t>
            </w:r>
            <w:r>
              <w:rPr>
                <w:rFonts w:ascii="Times New Roman" w:eastAsia="宋体"/>
                <w:b/>
                <w:bCs w:val="0"/>
                <w:color w:val="auto"/>
                <w:sz w:val="21"/>
                <w:szCs w:val="21"/>
              </w:rPr>
              <w:t>NH</w:t>
            </w:r>
            <w:r>
              <w:rPr>
                <w:rFonts w:hint="eastAsia" w:ascii="Times New Roman" w:eastAsia="宋体"/>
                <w:b/>
                <w:bCs w:val="0"/>
                <w:color w:val="auto"/>
                <w:sz w:val="21"/>
                <w:szCs w:val="21"/>
                <w:vertAlign w:val="subscript"/>
              </w:rPr>
              <w:t>3</w:t>
            </w:r>
            <w:r>
              <w:rPr>
                <w:rFonts w:ascii="Times New Roman" w:eastAsia="宋体"/>
                <w:b/>
                <w:bCs w:val="0"/>
                <w:color w:val="auto"/>
                <w:sz w:val="21"/>
                <w:szCs w:val="21"/>
              </w:rPr>
              <w:t>-N</w:t>
            </w:r>
            <w:r>
              <w:rPr>
                <w:rFonts w:hint="eastAsia" w:ascii="Times New Roman"/>
                <w:b/>
                <w:bCs w:val="0"/>
                <w:color w:val="auto"/>
                <w:sz w:val="21"/>
                <w:szCs w:val="21"/>
                <w:lang w:eastAsia="zh-CN"/>
              </w:rPr>
              <w:t>、</w:t>
            </w:r>
            <w:r>
              <w:rPr>
                <w:rFonts w:ascii="Times New Roman" w:eastAsia="宋体"/>
                <w:b/>
                <w:bCs w:val="0"/>
                <w:color w:val="auto"/>
                <w:sz w:val="21"/>
                <w:szCs w:val="21"/>
              </w:rPr>
              <w:t>TP</w:t>
            </w:r>
            <w:r>
              <w:rPr>
                <w:rFonts w:hint="eastAsia" w:ascii="Times New Roman"/>
                <w:b/>
                <w:bCs w:val="0"/>
                <w:color w:val="auto"/>
                <w:sz w:val="21"/>
                <w:szCs w:val="21"/>
                <w:lang w:eastAsia="zh-CN"/>
              </w:rPr>
              <w:t>、</w:t>
            </w:r>
            <w:r>
              <w:rPr>
                <w:rFonts w:hint="eastAsia" w:ascii="Times New Roman"/>
                <w:b/>
                <w:bCs w:val="0"/>
                <w:color w:val="auto"/>
                <w:sz w:val="21"/>
                <w:szCs w:val="21"/>
                <w:lang w:val="en-US" w:eastAsia="zh-CN"/>
              </w:rPr>
              <w:t>TN、非甲烷总烃进行核算，本次补充核算。污水处理厂排放标准更新，本次重新核算全厂外排量。</w:t>
            </w:r>
          </w:p>
          <w:p w14:paraId="04E54FE5">
            <w:pPr>
              <w:spacing w:line="360" w:lineRule="auto"/>
              <w:ind w:firstLine="480" w:firstLineChars="200"/>
              <w:rPr>
                <w:rFonts w:hint="eastAsia" w:ascii="Times New Roman" w:hAnsi="Times New Roman" w:eastAsia="宋体" w:cs="宋体"/>
                <w:color w:val="auto"/>
                <w:sz w:val="24"/>
                <w:szCs w:val="24"/>
              </w:rPr>
            </w:pPr>
            <w:r>
              <w:rPr>
                <w:rFonts w:hint="eastAsia" w:ascii="Times New Roman" w:hAnsi="Times New Roman" w:eastAsia="宋体" w:cs="宋体"/>
                <w:color w:val="auto"/>
                <w:sz w:val="24"/>
                <w:szCs w:val="24"/>
              </w:rPr>
              <w:t>根据南通市生态环境局、南通市行政审批局文件《关于印发〈关于进一步优化建设项目排污总量指标管理提升环评审批效能的意见（试行）〉的通知》（通环办〔2023〕132号），</w:t>
            </w:r>
            <w:r>
              <w:rPr>
                <w:rFonts w:hint="eastAsia" w:cs="宋体"/>
                <w:color w:val="auto"/>
                <w:sz w:val="24"/>
                <w:szCs w:val="24"/>
                <w:lang w:val="en-US" w:eastAsia="zh-CN"/>
              </w:rPr>
              <w:t>扩建</w:t>
            </w:r>
            <w:r>
              <w:rPr>
                <w:rFonts w:hint="eastAsia" w:ascii="Times New Roman" w:hAnsi="Times New Roman" w:eastAsia="宋体" w:cs="宋体"/>
                <w:color w:val="auto"/>
                <w:sz w:val="24"/>
                <w:szCs w:val="24"/>
              </w:rPr>
              <w:t>项目属于《固定污染源排污许可分类管理名录》中的简化管理项目，建设项目总量控制因子为非甲烷总烃</w:t>
            </w:r>
            <w:r>
              <w:rPr>
                <w:rFonts w:hint="eastAsia" w:cs="宋体"/>
                <w:color w:val="auto"/>
                <w:sz w:val="24"/>
                <w:szCs w:val="24"/>
                <w:lang w:eastAsia="zh-CN"/>
              </w:rPr>
              <w:t>、</w:t>
            </w:r>
            <w:r>
              <w:rPr>
                <w:rFonts w:hint="eastAsia" w:cs="宋体"/>
                <w:color w:val="auto"/>
                <w:sz w:val="24"/>
                <w:szCs w:val="24"/>
                <w:lang w:val="en-US" w:eastAsia="zh-CN"/>
              </w:rPr>
              <w:t>颗粒物</w:t>
            </w:r>
            <w:r>
              <w:rPr>
                <w:rFonts w:hint="eastAsia" w:ascii="Times New Roman" w:hAnsi="Times New Roman" w:eastAsia="宋体" w:cs="宋体"/>
                <w:color w:val="auto"/>
                <w:sz w:val="24"/>
                <w:szCs w:val="24"/>
              </w:rPr>
              <w:t>。</w:t>
            </w:r>
          </w:p>
          <w:p w14:paraId="187C7DC3">
            <w:pPr>
              <w:spacing w:line="360" w:lineRule="auto"/>
              <w:ind w:firstLine="480" w:firstLineChars="200"/>
              <w:rPr>
                <w:rFonts w:hint="eastAsia" w:cs="宋体"/>
                <w:color w:val="auto"/>
                <w:sz w:val="24"/>
                <w:szCs w:val="24"/>
                <w:lang w:val="en-US" w:eastAsia="zh-CN"/>
              </w:rPr>
            </w:pPr>
            <w:r>
              <w:rPr>
                <w:rFonts w:hint="eastAsia" w:cs="宋体"/>
                <w:color w:val="auto"/>
                <w:sz w:val="24"/>
                <w:szCs w:val="24"/>
              </w:rPr>
              <w:t>根据《关于做好建设项目挥发性有机物排放管理工作的意见</w:t>
            </w:r>
            <w:r>
              <w:rPr>
                <w:rFonts w:hint="eastAsia" w:cs="宋体"/>
                <w:color w:val="auto"/>
                <w:sz w:val="24"/>
                <w:szCs w:val="24"/>
                <w:lang w:eastAsia="zh-CN"/>
              </w:rPr>
              <w:t>（</w:t>
            </w:r>
            <w:r>
              <w:rPr>
                <w:rFonts w:hint="eastAsia" w:cs="宋体"/>
                <w:color w:val="auto"/>
                <w:sz w:val="24"/>
                <w:szCs w:val="24"/>
              </w:rPr>
              <w:t>试行</w:t>
            </w:r>
            <w:r>
              <w:rPr>
                <w:rFonts w:hint="eastAsia" w:cs="宋体"/>
                <w:color w:val="auto"/>
                <w:sz w:val="24"/>
                <w:szCs w:val="24"/>
                <w:lang w:eastAsia="zh-CN"/>
              </w:rPr>
              <w:t>）</w:t>
            </w:r>
            <w:r>
              <w:rPr>
                <w:rFonts w:hint="eastAsia" w:cs="宋体"/>
                <w:color w:val="auto"/>
                <w:sz w:val="24"/>
                <w:szCs w:val="24"/>
              </w:rPr>
              <w:t>》（通环办〔2025〕32号），需编制报批环境影响报告书</w:t>
            </w:r>
            <w:r>
              <w:rPr>
                <w:rFonts w:hint="eastAsia" w:cs="宋体"/>
                <w:color w:val="auto"/>
                <w:sz w:val="24"/>
                <w:szCs w:val="24"/>
                <w:lang w:eastAsia="zh-CN"/>
              </w:rPr>
              <w:t>（</w:t>
            </w:r>
            <w:r>
              <w:rPr>
                <w:rFonts w:hint="eastAsia" w:cs="宋体"/>
                <w:color w:val="auto"/>
                <w:sz w:val="24"/>
                <w:szCs w:val="24"/>
              </w:rPr>
              <w:t>表</w:t>
            </w:r>
            <w:r>
              <w:rPr>
                <w:rFonts w:hint="eastAsia" w:cs="宋体"/>
                <w:color w:val="auto"/>
                <w:sz w:val="24"/>
                <w:szCs w:val="24"/>
                <w:lang w:eastAsia="zh-CN"/>
              </w:rPr>
              <w:t>）</w:t>
            </w:r>
            <w:r>
              <w:rPr>
                <w:rFonts w:hint="eastAsia" w:cs="宋体"/>
                <w:color w:val="auto"/>
                <w:sz w:val="24"/>
                <w:szCs w:val="24"/>
              </w:rPr>
              <w:t>的建设项目且排污单位为排污许可登记管理的、限值限量园区内排污许可重点管理或简化管理的排污单位新增VOCs年排放量小于0.1吨的，新增VOCs排污总量指标由所在园区或县</w:t>
            </w:r>
            <w:r>
              <w:rPr>
                <w:rFonts w:hint="eastAsia" w:cs="宋体"/>
                <w:color w:val="auto"/>
                <w:sz w:val="24"/>
                <w:szCs w:val="24"/>
                <w:lang w:eastAsia="zh-CN"/>
              </w:rPr>
              <w:t>（</w:t>
            </w:r>
            <w:r>
              <w:rPr>
                <w:rFonts w:hint="eastAsia" w:cs="宋体"/>
                <w:color w:val="auto"/>
                <w:sz w:val="24"/>
                <w:szCs w:val="24"/>
              </w:rPr>
              <w:t>市、区</w:t>
            </w:r>
            <w:r>
              <w:rPr>
                <w:rFonts w:hint="eastAsia" w:cs="宋体"/>
                <w:color w:val="auto"/>
                <w:sz w:val="24"/>
                <w:szCs w:val="24"/>
                <w:lang w:eastAsia="zh-CN"/>
              </w:rPr>
              <w:t>）</w:t>
            </w:r>
            <w:r>
              <w:rPr>
                <w:rFonts w:hint="eastAsia" w:cs="宋体"/>
                <w:color w:val="auto"/>
                <w:sz w:val="24"/>
                <w:szCs w:val="24"/>
              </w:rPr>
              <w:t>储备库每季度集中供给平衡，无需提交总量预报单，仅限于排污指标核减。本项目属于限值限量园区内排污许可简化管理</w:t>
            </w:r>
            <w:r>
              <w:rPr>
                <w:rFonts w:hint="eastAsia" w:cs="宋体"/>
                <w:color w:val="auto"/>
                <w:sz w:val="24"/>
                <w:szCs w:val="24"/>
                <w:lang w:val="en-US" w:eastAsia="zh-CN"/>
              </w:rPr>
              <w:t>项目</w:t>
            </w:r>
            <w:r>
              <w:rPr>
                <w:rFonts w:hint="eastAsia" w:cs="宋体"/>
                <w:color w:val="auto"/>
                <w:sz w:val="24"/>
                <w:szCs w:val="24"/>
              </w:rPr>
              <w:t>，且新增VOCs年排放量为0.0395吨，小于0.1吨，故本项目新增VOCs排放量可由所在园区储备库集中供给，无需提交总量预报单。</w:t>
            </w:r>
          </w:p>
          <w:p w14:paraId="4A30EA77">
            <w:pPr>
              <w:spacing w:line="360" w:lineRule="auto"/>
              <w:ind w:firstLine="480" w:firstLineChars="200"/>
              <w:rPr>
                <w:color w:val="auto"/>
                <w:sz w:val="24"/>
                <w:szCs w:val="24"/>
              </w:rPr>
            </w:pPr>
            <w:r>
              <w:rPr>
                <w:rFonts w:hint="eastAsia" w:cs="宋体"/>
                <w:color w:val="auto"/>
                <w:sz w:val="24"/>
                <w:szCs w:val="24"/>
                <w:lang w:val="en-US" w:eastAsia="zh-CN"/>
              </w:rPr>
              <w:t>扩建</w:t>
            </w:r>
            <w:r>
              <w:rPr>
                <w:rFonts w:hint="eastAsia" w:ascii="Times New Roman" w:hAnsi="Times New Roman" w:eastAsia="宋体" w:cs="宋体"/>
                <w:color w:val="auto"/>
                <w:sz w:val="24"/>
                <w:szCs w:val="24"/>
              </w:rPr>
              <w:t>项目新增污染物排放量已在海安市范围内平衡，经生态环境部门核定的新增总量控制指标为：大气污染物排放量为：颗粒物0.0517t/a</w:t>
            </w:r>
            <w:r>
              <w:rPr>
                <w:rFonts w:hint="eastAsia" w:cs="宋体"/>
                <w:color w:val="auto"/>
                <w:sz w:val="24"/>
                <w:szCs w:val="24"/>
                <w:lang w:eastAsia="zh-CN"/>
              </w:rPr>
              <w:t>（</w:t>
            </w:r>
            <w:r>
              <w:rPr>
                <w:rFonts w:hint="eastAsia" w:ascii="Times New Roman" w:hAnsi="Times New Roman" w:eastAsia="宋体" w:cs="宋体"/>
                <w:color w:val="auto"/>
                <w:sz w:val="24"/>
                <w:szCs w:val="24"/>
              </w:rPr>
              <w:t>有组织、无组织</w:t>
            </w:r>
            <w:r>
              <w:rPr>
                <w:rFonts w:hint="eastAsia" w:cs="宋体"/>
                <w:color w:val="auto"/>
                <w:sz w:val="24"/>
                <w:szCs w:val="24"/>
                <w:lang w:eastAsia="zh-CN"/>
              </w:rPr>
              <w:t>）、</w:t>
            </w:r>
            <w:r>
              <w:rPr>
                <w:rFonts w:hint="eastAsia" w:ascii="Times New Roman" w:hAnsi="Times New Roman" w:eastAsia="宋体" w:cs="宋体"/>
                <w:color w:val="auto"/>
                <w:sz w:val="24"/>
                <w:szCs w:val="24"/>
              </w:rPr>
              <w:t>非甲烷总烃0.0395t/a（无组织）。</w:t>
            </w:r>
          </w:p>
        </w:tc>
      </w:tr>
    </w:tbl>
    <w:p w14:paraId="66526591">
      <w:pPr>
        <w:pStyle w:val="22"/>
        <w:jc w:val="center"/>
        <w:outlineLvl w:val="0"/>
        <w:rPr>
          <w:rFonts w:ascii="黑体" w:hAnsi="黑体" w:eastAsia="黑体"/>
          <w:snapToGrid w:val="0"/>
          <w:color w:val="auto"/>
          <w:sz w:val="36"/>
          <w:szCs w:val="36"/>
        </w:rPr>
        <w:sectPr>
          <w:pgSz w:w="16838" w:h="11906" w:orient="landscape"/>
          <w:pgMar w:top="1531" w:right="1701" w:bottom="1531" w:left="1701" w:header="851" w:footer="851" w:gutter="0"/>
          <w:pgBorders>
            <w:top w:val="none" w:sz="0" w:space="0"/>
            <w:left w:val="none" w:sz="0" w:space="0"/>
            <w:bottom w:val="none" w:sz="0" w:space="0"/>
            <w:right w:val="none" w:sz="0" w:space="0"/>
          </w:pgBorders>
          <w:cols w:space="720" w:num="1"/>
          <w:docGrid w:linePitch="312" w:charSpace="0"/>
        </w:sectPr>
      </w:pPr>
      <w:bookmarkStart w:id="24" w:name="PageNo100420041"/>
    </w:p>
    <w:bookmarkEnd w:id="24"/>
    <w:p w14:paraId="43319017">
      <w:pPr>
        <w:pStyle w:val="22"/>
        <w:jc w:val="center"/>
        <w:outlineLvl w:val="0"/>
        <w:rPr>
          <w:rFonts w:ascii="黑体" w:hAnsi="黑体" w:eastAsia="黑体"/>
          <w:snapToGrid w:val="0"/>
          <w:color w:val="auto"/>
          <w:sz w:val="30"/>
          <w:szCs w:val="30"/>
        </w:rPr>
      </w:pPr>
      <w:r>
        <w:rPr>
          <w:rFonts w:hint="eastAsia" w:ascii="黑体" w:hAnsi="黑体" w:eastAsia="黑体"/>
          <w:snapToGrid w:val="0"/>
          <w:color w:val="auto"/>
          <w:sz w:val="30"/>
          <w:szCs w:val="30"/>
        </w:rPr>
        <w:t>四</w:t>
      </w:r>
      <w:bookmarkEnd w:id="18"/>
      <w:r>
        <w:rPr>
          <w:rFonts w:hint="eastAsia" w:ascii="黑体" w:hAnsi="黑体" w:eastAsia="黑体"/>
          <w:snapToGrid w:val="0"/>
          <w:color w:val="auto"/>
          <w:sz w:val="30"/>
          <w:szCs w:val="30"/>
        </w:rPr>
        <w:t>、主要环境影响和保护措施</w:t>
      </w:r>
    </w:p>
    <w:tbl>
      <w:tblPr>
        <w:tblStyle w:val="26"/>
        <w:tblW w:w="906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11"/>
        <w:gridCol w:w="8449"/>
      </w:tblGrid>
      <w:tr w14:paraId="35DEB9F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11" w:type="dxa"/>
            <w:tcMar>
              <w:left w:w="28" w:type="dxa"/>
              <w:right w:w="28" w:type="dxa"/>
            </w:tcMar>
            <w:vAlign w:val="center"/>
          </w:tcPr>
          <w:p w14:paraId="783D0D99">
            <w:pPr>
              <w:pStyle w:val="22"/>
              <w:adjustRightInd w:val="0"/>
              <w:snapToGrid w:val="0"/>
              <w:spacing w:before="0" w:beforeAutospacing="0" w:after="0" w:afterAutospacing="0"/>
              <w:jc w:val="center"/>
              <w:rPr>
                <w:rFonts w:ascii="Times New Roman" w:hAnsi="Times New Roman"/>
                <w:bCs/>
                <w:color w:val="auto"/>
                <w:kern w:val="2"/>
                <w:sz w:val="24"/>
                <w:szCs w:val="24"/>
              </w:rPr>
            </w:pPr>
            <w:r>
              <w:rPr>
                <w:rFonts w:ascii="Times New Roman" w:hAnsi="Times New Roman"/>
                <w:color w:val="auto"/>
                <w:kern w:val="2"/>
                <w:sz w:val="24"/>
                <w:szCs w:val="24"/>
              </w:rPr>
              <w:t>施工期环境保护措施</w:t>
            </w:r>
          </w:p>
        </w:tc>
        <w:tc>
          <w:tcPr>
            <w:tcW w:w="8449" w:type="dxa"/>
            <w:vAlign w:val="center"/>
          </w:tcPr>
          <w:p w14:paraId="0C6D7DF9">
            <w:pPr>
              <w:adjustRightInd w:val="0"/>
              <w:snapToGrid w:val="0"/>
              <w:spacing w:line="360" w:lineRule="auto"/>
              <w:ind w:firstLine="480"/>
              <w:rPr>
                <w:color w:val="auto"/>
                <w:sz w:val="24"/>
                <w:szCs w:val="24"/>
              </w:rPr>
            </w:pPr>
            <w:r>
              <w:rPr>
                <w:rFonts w:hint="eastAsia"/>
                <w:color w:val="auto"/>
                <w:sz w:val="24"/>
                <w:szCs w:val="24"/>
              </w:rPr>
              <w:t>本项目利用现有厂房建设，施工期仅为设备安装与调试等，施工期较短，影响较小，不做详细分析。</w:t>
            </w:r>
          </w:p>
        </w:tc>
      </w:tr>
      <w:tr w14:paraId="00BFEB0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136" w:hRule="atLeast"/>
          <w:jc w:val="center"/>
        </w:trPr>
        <w:tc>
          <w:tcPr>
            <w:tcW w:w="611" w:type="dxa"/>
            <w:tcMar>
              <w:left w:w="28" w:type="dxa"/>
              <w:right w:w="28" w:type="dxa"/>
            </w:tcMar>
            <w:vAlign w:val="center"/>
          </w:tcPr>
          <w:p w14:paraId="6944BC8A">
            <w:pPr>
              <w:adjustRightInd w:val="0"/>
              <w:snapToGrid w:val="0"/>
              <w:jc w:val="center"/>
              <w:rPr>
                <w:bCs/>
                <w:color w:val="auto"/>
                <w:sz w:val="24"/>
                <w:szCs w:val="24"/>
              </w:rPr>
            </w:pPr>
            <w:r>
              <w:rPr>
                <w:bCs/>
                <w:color w:val="auto"/>
                <w:sz w:val="24"/>
                <w:szCs w:val="24"/>
              </w:rPr>
              <w:t>运营</w:t>
            </w:r>
          </w:p>
          <w:p w14:paraId="51D96762">
            <w:pPr>
              <w:adjustRightInd w:val="0"/>
              <w:snapToGrid w:val="0"/>
              <w:jc w:val="center"/>
              <w:rPr>
                <w:bCs/>
                <w:color w:val="auto"/>
                <w:sz w:val="24"/>
                <w:szCs w:val="24"/>
              </w:rPr>
            </w:pPr>
            <w:r>
              <w:rPr>
                <w:bCs/>
                <w:color w:val="auto"/>
                <w:sz w:val="24"/>
                <w:szCs w:val="24"/>
              </w:rPr>
              <w:t>期环</w:t>
            </w:r>
          </w:p>
          <w:p w14:paraId="2EE74D27">
            <w:pPr>
              <w:adjustRightInd w:val="0"/>
              <w:snapToGrid w:val="0"/>
              <w:jc w:val="center"/>
              <w:rPr>
                <w:bCs/>
                <w:color w:val="auto"/>
                <w:sz w:val="24"/>
                <w:szCs w:val="24"/>
              </w:rPr>
            </w:pPr>
            <w:r>
              <w:rPr>
                <w:bCs/>
                <w:color w:val="auto"/>
                <w:sz w:val="24"/>
                <w:szCs w:val="24"/>
              </w:rPr>
              <w:t>境影</w:t>
            </w:r>
          </w:p>
          <w:p w14:paraId="28207D52">
            <w:pPr>
              <w:adjustRightInd w:val="0"/>
              <w:snapToGrid w:val="0"/>
              <w:jc w:val="center"/>
              <w:rPr>
                <w:bCs/>
                <w:color w:val="auto"/>
                <w:sz w:val="24"/>
                <w:szCs w:val="24"/>
              </w:rPr>
            </w:pPr>
            <w:r>
              <w:rPr>
                <w:bCs/>
                <w:color w:val="auto"/>
                <w:sz w:val="24"/>
                <w:szCs w:val="24"/>
              </w:rPr>
              <w:t>响和</w:t>
            </w:r>
          </w:p>
          <w:p w14:paraId="135C1612">
            <w:pPr>
              <w:adjustRightInd w:val="0"/>
              <w:snapToGrid w:val="0"/>
              <w:jc w:val="center"/>
              <w:rPr>
                <w:bCs/>
                <w:color w:val="auto"/>
                <w:sz w:val="24"/>
                <w:szCs w:val="24"/>
              </w:rPr>
            </w:pPr>
            <w:r>
              <w:rPr>
                <w:bCs/>
                <w:color w:val="auto"/>
                <w:sz w:val="24"/>
                <w:szCs w:val="24"/>
              </w:rPr>
              <w:t>保护</w:t>
            </w:r>
          </w:p>
          <w:p w14:paraId="6A80B1A5">
            <w:pPr>
              <w:adjustRightInd w:val="0"/>
              <w:snapToGrid w:val="0"/>
              <w:jc w:val="center"/>
              <w:rPr>
                <w:bCs/>
                <w:color w:val="auto"/>
                <w:sz w:val="24"/>
                <w:szCs w:val="24"/>
              </w:rPr>
            </w:pPr>
            <w:r>
              <w:rPr>
                <w:bCs/>
                <w:color w:val="auto"/>
                <w:sz w:val="24"/>
                <w:szCs w:val="24"/>
              </w:rPr>
              <w:t>措施</w:t>
            </w:r>
          </w:p>
        </w:tc>
        <w:tc>
          <w:tcPr>
            <w:tcW w:w="8449" w:type="dxa"/>
            <w:vAlign w:val="center"/>
          </w:tcPr>
          <w:p w14:paraId="0D94A83D">
            <w:pPr>
              <w:spacing w:before="120" w:beforeLines="50" w:line="360" w:lineRule="auto"/>
              <w:ind w:firstLine="482" w:firstLineChars="200"/>
              <w:rPr>
                <w:b/>
                <w:bCs/>
                <w:color w:val="auto"/>
                <w:sz w:val="24"/>
                <w:szCs w:val="24"/>
              </w:rPr>
            </w:pPr>
            <w:r>
              <w:rPr>
                <w:b/>
                <w:bCs/>
                <w:color w:val="auto"/>
                <w:sz w:val="24"/>
                <w:szCs w:val="24"/>
              </w:rPr>
              <w:t>1、废气</w:t>
            </w:r>
            <w:r>
              <w:rPr>
                <w:rFonts w:hint="eastAsia"/>
                <w:b/>
                <w:bCs/>
                <w:color w:val="auto"/>
                <w:sz w:val="24"/>
                <w:szCs w:val="24"/>
              </w:rPr>
              <w:t>环境影响及保护措施</w:t>
            </w:r>
          </w:p>
          <w:p w14:paraId="744A79F8">
            <w:pPr>
              <w:adjustRightInd w:val="0"/>
              <w:snapToGrid w:val="0"/>
              <w:spacing w:line="360" w:lineRule="auto"/>
              <w:ind w:firstLine="480"/>
              <w:rPr>
                <w:b/>
                <w:bCs/>
                <w:color w:val="auto"/>
                <w:sz w:val="24"/>
                <w:szCs w:val="24"/>
              </w:rPr>
            </w:pPr>
            <w:r>
              <w:rPr>
                <w:rFonts w:hint="eastAsia"/>
                <w:b/>
                <w:bCs/>
                <w:color w:val="auto"/>
                <w:sz w:val="24"/>
                <w:szCs w:val="24"/>
              </w:rPr>
              <w:t>1.1</w:t>
            </w:r>
            <w:r>
              <w:rPr>
                <w:b/>
                <w:bCs/>
                <w:color w:val="auto"/>
                <w:sz w:val="24"/>
                <w:szCs w:val="24"/>
              </w:rPr>
              <w:t>废气产排污环节及污染物种类</w:t>
            </w:r>
          </w:p>
          <w:p w14:paraId="4ADB1515">
            <w:pPr>
              <w:spacing w:line="360" w:lineRule="auto"/>
              <w:ind w:firstLine="480" w:firstLineChars="200"/>
              <w:rPr>
                <w:color w:val="auto"/>
                <w:sz w:val="24"/>
                <w:szCs w:val="24"/>
              </w:rPr>
            </w:pPr>
            <w:r>
              <w:rPr>
                <w:rFonts w:hint="eastAsia"/>
                <w:color w:val="auto"/>
                <w:sz w:val="24"/>
                <w:szCs w:val="24"/>
              </w:rPr>
              <w:t>本项目运营期产生的废气主要为制粒粉尘</w:t>
            </w:r>
            <w:r>
              <w:rPr>
                <w:rFonts w:hint="eastAsia"/>
                <w:color w:val="auto"/>
                <w:sz w:val="24"/>
                <w:szCs w:val="24"/>
                <w:lang w:val="en-US" w:eastAsia="zh-CN"/>
              </w:rPr>
              <w:t>G4</w:t>
            </w:r>
            <w:r>
              <w:rPr>
                <w:rFonts w:hint="eastAsia"/>
                <w:color w:val="auto"/>
                <w:sz w:val="24"/>
                <w:szCs w:val="24"/>
                <w:lang w:eastAsia="zh-CN"/>
              </w:rPr>
              <w:t>、</w:t>
            </w:r>
            <w:r>
              <w:rPr>
                <w:rFonts w:hint="eastAsia"/>
                <w:color w:val="auto"/>
                <w:sz w:val="24"/>
                <w:szCs w:val="24"/>
              </w:rPr>
              <w:t>配料粉尘G</w:t>
            </w:r>
            <w:r>
              <w:rPr>
                <w:rFonts w:hint="eastAsia"/>
                <w:color w:val="auto"/>
                <w:sz w:val="24"/>
                <w:szCs w:val="24"/>
                <w:lang w:val="en-US" w:eastAsia="zh-CN"/>
              </w:rPr>
              <w:t>3</w:t>
            </w:r>
            <w:r>
              <w:rPr>
                <w:rFonts w:hint="eastAsia"/>
                <w:color w:val="auto"/>
                <w:sz w:val="24"/>
                <w:szCs w:val="24"/>
                <w:lang w:eastAsia="zh-CN"/>
              </w:rPr>
              <w:t>、</w:t>
            </w:r>
            <w:r>
              <w:rPr>
                <w:rFonts w:hint="eastAsia"/>
                <w:color w:val="auto"/>
                <w:sz w:val="24"/>
                <w:szCs w:val="24"/>
              </w:rPr>
              <w:t>切削液废气</w:t>
            </w:r>
            <w:r>
              <w:rPr>
                <w:rFonts w:hint="eastAsia"/>
                <w:color w:val="auto"/>
                <w:sz w:val="24"/>
                <w:szCs w:val="24"/>
                <w:lang w:eastAsia="zh-CN"/>
              </w:rPr>
              <w:t>（</w:t>
            </w:r>
            <w:r>
              <w:rPr>
                <w:rFonts w:hint="eastAsia"/>
                <w:color w:val="auto"/>
                <w:sz w:val="24"/>
                <w:szCs w:val="24"/>
              </w:rPr>
              <w:t>G1、G2</w:t>
            </w:r>
            <w:r>
              <w:rPr>
                <w:rFonts w:hint="eastAsia"/>
                <w:color w:val="auto"/>
                <w:sz w:val="24"/>
                <w:szCs w:val="24"/>
                <w:lang w:eastAsia="zh-CN"/>
              </w:rPr>
              <w:t>）、</w:t>
            </w:r>
            <w:r>
              <w:rPr>
                <w:rFonts w:hint="eastAsia"/>
                <w:color w:val="auto"/>
                <w:sz w:val="24"/>
                <w:szCs w:val="24"/>
              </w:rPr>
              <w:t>危废贮存废气G</w:t>
            </w:r>
            <w:r>
              <w:rPr>
                <w:rFonts w:hint="eastAsia"/>
                <w:color w:val="auto"/>
                <w:sz w:val="24"/>
                <w:szCs w:val="24"/>
                <w:lang w:val="en-US" w:eastAsia="zh-CN"/>
              </w:rPr>
              <w:t>5</w:t>
            </w:r>
            <w:r>
              <w:rPr>
                <w:rFonts w:hint="eastAsia"/>
                <w:color w:val="auto"/>
                <w:sz w:val="24"/>
                <w:szCs w:val="24"/>
                <w:lang w:eastAsia="zh-CN"/>
              </w:rPr>
              <w:t>、</w:t>
            </w:r>
            <w:r>
              <w:rPr>
                <w:rFonts w:hint="eastAsia"/>
                <w:color w:val="auto"/>
                <w:sz w:val="24"/>
                <w:szCs w:val="24"/>
              </w:rPr>
              <w:t>废水处理废气G</w:t>
            </w:r>
            <w:r>
              <w:rPr>
                <w:rFonts w:hint="eastAsia"/>
                <w:color w:val="auto"/>
                <w:sz w:val="24"/>
                <w:szCs w:val="24"/>
                <w:lang w:val="en-US" w:eastAsia="zh-CN"/>
              </w:rPr>
              <w:t>6</w:t>
            </w:r>
            <w:r>
              <w:rPr>
                <w:rFonts w:hint="eastAsia"/>
                <w:color w:val="auto"/>
                <w:sz w:val="24"/>
                <w:szCs w:val="24"/>
                <w:lang w:eastAsia="zh-CN"/>
              </w:rPr>
              <w:t>。</w:t>
            </w:r>
          </w:p>
          <w:p w14:paraId="3374BA4B">
            <w:pPr>
              <w:adjustRightInd w:val="0"/>
              <w:snapToGrid w:val="0"/>
              <w:spacing w:line="360" w:lineRule="auto"/>
              <w:ind w:firstLine="480"/>
              <w:rPr>
                <w:b/>
                <w:bCs/>
                <w:color w:val="auto"/>
                <w:sz w:val="24"/>
                <w:szCs w:val="24"/>
              </w:rPr>
            </w:pPr>
            <w:r>
              <w:rPr>
                <w:rFonts w:hint="eastAsia"/>
                <w:b/>
                <w:bCs/>
                <w:color w:val="auto"/>
                <w:sz w:val="24"/>
                <w:szCs w:val="24"/>
              </w:rPr>
              <w:t>1.2</w:t>
            </w:r>
            <w:r>
              <w:rPr>
                <w:b/>
                <w:bCs/>
                <w:color w:val="auto"/>
                <w:sz w:val="24"/>
                <w:szCs w:val="24"/>
              </w:rPr>
              <w:t>废气污染物</w:t>
            </w:r>
            <w:r>
              <w:rPr>
                <w:rFonts w:hint="eastAsia"/>
                <w:b/>
                <w:bCs/>
                <w:color w:val="auto"/>
                <w:sz w:val="24"/>
                <w:szCs w:val="24"/>
              </w:rPr>
              <w:t>产生、收集处理和排放情况</w:t>
            </w:r>
          </w:p>
          <w:p w14:paraId="3CA3E3EF">
            <w:pPr>
              <w:snapToGrid w:val="0"/>
              <w:spacing w:line="360" w:lineRule="auto"/>
              <w:ind w:firstLine="480" w:firstLineChars="200"/>
              <w:rPr>
                <w:rFonts w:hint="eastAsia" w:eastAsia="宋体"/>
                <w:color w:val="auto"/>
                <w:sz w:val="24"/>
                <w:szCs w:val="24"/>
                <w:lang w:eastAsia="zh-CN" w:bidi="ar-SA"/>
              </w:rPr>
            </w:pPr>
            <w:r>
              <w:rPr>
                <w:rFonts w:hint="eastAsia"/>
                <w:color w:val="auto"/>
                <w:sz w:val="24"/>
                <w:szCs w:val="24"/>
                <w:lang w:bidi="ar-SA"/>
              </w:rPr>
              <w:t>（1）制粒粉尘G</w:t>
            </w:r>
            <w:r>
              <w:rPr>
                <w:rFonts w:hint="eastAsia"/>
                <w:color w:val="auto"/>
                <w:sz w:val="24"/>
                <w:szCs w:val="24"/>
                <w:lang w:val="en-US" w:eastAsia="zh-CN" w:bidi="ar-SA"/>
              </w:rPr>
              <w:t>4</w:t>
            </w:r>
          </w:p>
          <w:p w14:paraId="5A788009">
            <w:pPr>
              <w:spacing w:line="360" w:lineRule="auto"/>
              <w:ind w:firstLine="480"/>
              <w:rPr>
                <w:rFonts w:hint="default" w:ascii="Times New Roman" w:hAnsi="Times New Roman" w:eastAsia="宋体" w:cs="Times New Roman"/>
                <w:color w:val="auto"/>
                <w:sz w:val="24"/>
                <w:szCs w:val="24"/>
                <w:lang w:val="en-US" w:eastAsia="zh-CN" w:bidi="ar-SA"/>
              </w:rPr>
            </w:pPr>
            <w:r>
              <w:rPr>
                <w:rFonts w:hint="eastAsia"/>
                <w:color w:val="auto"/>
                <w:sz w:val="24"/>
                <w:szCs w:val="24"/>
                <w:lang w:bidi="ar-SA"/>
              </w:rPr>
              <w:t>本项目</w:t>
            </w:r>
            <w:r>
              <w:rPr>
                <w:rFonts w:hint="eastAsia"/>
                <w:color w:val="auto"/>
                <w:sz w:val="24"/>
                <w:szCs w:val="24"/>
                <w:lang w:val="en-US" w:eastAsia="zh-CN" w:bidi="ar-SA"/>
              </w:rPr>
              <w:t>抛光测试</w:t>
            </w:r>
            <w:r>
              <w:rPr>
                <w:rFonts w:hint="eastAsia"/>
                <w:color w:val="auto"/>
                <w:sz w:val="24"/>
                <w:szCs w:val="24"/>
                <w:lang w:bidi="ar-SA"/>
              </w:rPr>
              <w:t>工序混合料</w:t>
            </w:r>
            <w:r>
              <w:rPr>
                <w:rFonts w:hint="eastAsia"/>
                <w:color w:val="auto"/>
                <w:sz w:val="24"/>
                <w:szCs w:val="24"/>
                <w:lang w:val="en-US" w:eastAsia="zh-CN" w:bidi="ar-SA"/>
              </w:rPr>
              <w:t>被挤出切断过程产生制粒粉尘，</w:t>
            </w:r>
            <w:r>
              <w:rPr>
                <w:rFonts w:hint="eastAsia" w:ascii="Times New Roman" w:hAnsi="Times New Roman" w:eastAsia="宋体" w:cs="Times New Roman"/>
                <w:color w:val="auto"/>
                <w:sz w:val="24"/>
                <w:szCs w:val="24"/>
                <w:lang w:bidi="ar-SA"/>
              </w:rPr>
              <w:t>主要污染物为颗粒物。参照《排放源统计调查产排污核算方法和系数手册》（2021年版）饲料加工行业系数手册，配合饲料</w:t>
            </w:r>
            <w:r>
              <w:rPr>
                <w:rFonts w:hint="eastAsia" w:ascii="Times New Roman" w:hAnsi="Times New Roman" w:eastAsia="宋体" w:cs="Times New Roman"/>
                <w:color w:val="auto"/>
                <w:sz w:val="24"/>
                <w:szCs w:val="24"/>
                <w:lang w:val="en-US" w:eastAsia="zh-CN" w:bidi="ar-SA"/>
              </w:rPr>
              <w:t>生产</w:t>
            </w:r>
            <w:r>
              <w:rPr>
                <w:rFonts w:hint="eastAsia" w:ascii="Times New Roman" w:hAnsi="Times New Roman" w:eastAsia="宋体" w:cs="Times New Roman"/>
                <w:color w:val="auto"/>
                <w:sz w:val="24"/>
                <w:szCs w:val="24"/>
                <w:lang w:bidi="ar-SA"/>
              </w:rPr>
              <w:t>制粒</w:t>
            </w:r>
            <w:r>
              <w:rPr>
                <w:rFonts w:hint="eastAsia" w:ascii="Times New Roman" w:hAnsi="Times New Roman" w:eastAsia="宋体" w:cs="Times New Roman"/>
                <w:color w:val="auto"/>
                <w:sz w:val="24"/>
                <w:szCs w:val="24"/>
                <w:lang w:val="en-US" w:eastAsia="zh-CN" w:bidi="ar-SA"/>
              </w:rPr>
              <w:t>工序</w:t>
            </w:r>
            <w:r>
              <w:rPr>
                <w:rFonts w:hint="eastAsia" w:ascii="Times New Roman" w:hAnsi="Times New Roman" w:eastAsia="宋体" w:cs="Times New Roman"/>
                <w:color w:val="auto"/>
                <w:sz w:val="24"/>
                <w:szCs w:val="24"/>
                <w:lang w:bidi="ar-SA"/>
              </w:rPr>
              <w:t>颗粒物的产污系数为0.043千克/吨</w:t>
            </w:r>
            <w:r>
              <w:rPr>
                <w:rFonts w:hint="eastAsia" w:ascii="Times New Roman" w:hAnsi="Times New Roman" w:eastAsia="宋体" w:cs="Times New Roman"/>
                <w:color w:val="auto"/>
                <w:sz w:val="24"/>
                <w:szCs w:val="24"/>
                <w:lang w:val="en-US" w:eastAsia="zh-CN" w:bidi="ar-SA"/>
              </w:rPr>
              <w:t>产品</w:t>
            </w:r>
            <w:r>
              <w:rPr>
                <w:rFonts w:hint="eastAsia" w:ascii="Times New Roman" w:hAnsi="Times New Roman" w:eastAsia="宋体" w:cs="Times New Roman"/>
                <w:color w:val="auto"/>
                <w:sz w:val="24"/>
                <w:szCs w:val="24"/>
                <w:lang w:bidi="ar-SA"/>
              </w:rPr>
              <w:t>。根据建设单位提供资料，本项目</w:t>
            </w:r>
            <w:r>
              <w:rPr>
                <w:rFonts w:hint="eastAsia" w:ascii="Times New Roman" w:hAnsi="Times New Roman" w:eastAsia="宋体" w:cs="Times New Roman"/>
                <w:color w:val="auto"/>
                <w:sz w:val="24"/>
                <w:szCs w:val="24"/>
                <w:lang w:val="en-US" w:eastAsia="zh-CN" w:bidi="ar-SA"/>
              </w:rPr>
              <w:t>抛光测试工序混合料循环使用，年测试制粒约5000</w:t>
            </w:r>
            <w:r>
              <w:rPr>
                <w:rFonts w:hint="eastAsia" w:ascii="Times New Roman" w:hAnsi="Times New Roman" w:eastAsia="宋体" w:cs="宋体"/>
                <w:color w:val="auto"/>
                <w:kern w:val="0"/>
                <w:sz w:val="24"/>
                <w:szCs w:val="24"/>
                <w:lang w:bidi="ar-SA"/>
              </w:rPr>
              <w:t>t/a，</w:t>
            </w:r>
            <w:r>
              <w:rPr>
                <w:rFonts w:hint="eastAsia" w:cs="宋体"/>
                <w:color w:val="auto"/>
                <w:kern w:val="0"/>
                <w:sz w:val="24"/>
                <w:szCs w:val="24"/>
                <w:lang w:val="en-US" w:eastAsia="zh-CN" w:bidi="ar-SA"/>
              </w:rPr>
              <w:t>金刚砂含量仅占15%，含量较少，原理与下游饲料行业制粒相似，故可参考饲料加工行业产污系数，</w:t>
            </w:r>
            <w:r>
              <w:rPr>
                <w:rFonts w:hint="eastAsia" w:ascii="Times New Roman" w:hAnsi="Times New Roman" w:eastAsia="宋体" w:cs="宋体"/>
                <w:color w:val="auto"/>
                <w:kern w:val="0"/>
                <w:sz w:val="24"/>
                <w:szCs w:val="24"/>
                <w:lang w:bidi="ar-SA"/>
              </w:rPr>
              <w:t>则制粒粉尘产生量为</w:t>
            </w:r>
            <w:r>
              <w:rPr>
                <w:rFonts w:hint="eastAsia" w:ascii="Times New Roman" w:hAnsi="Times New Roman" w:eastAsia="宋体" w:cs="宋体"/>
                <w:color w:val="auto"/>
                <w:kern w:val="0"/>
                <w:sz w:val="24"/>
                <w:szCs w:val="24"/>
                <w:lang w:val="en-US" w:eastAsia="zh-CN" w:bidi="ar-SA"/>
              </w:rPr>
              <w:t>0.215</w:t>
            </w:r>
            <w:r>
              <w:rPr>
                <w:rFonts w:hint="eastAsia" w:ascii="Times New Roman" w:hAnsi="Times New Roman" w:eastAsia="宋体" w:cs="宋体"/>
                <w:color w:val="auto"/>
                <w:kern w:val="0"/>
                <w:sz w:val="24"/>
                <w:szCs w:val="24"/>
                <w:lang w:bidi="ar-SA"/>
              </w:rPr>
              <w:t>t/a，设置</w:t>
            </w:r>
            <w:r>
              <w:rPr>
                <w:rFonts w:hint="eastAsia" w:ascii="Times New Roman" w:hAnsi="Times New Roman" w:eastAsia="宋体" w:cs="宋体"/>
                <w:color w:val="auto"/>
                <w:kern w:val="0"/>
                <w:sz w:val="24"/>
                <w:szCs w:val="24"/>
                <w:lang w:val="en-US" w:eastAsia="zh-CN" w:bidi="ar-SA"/>
              </w:rPr>
              <w:t>集气罩</w:t>
            </w:r>
            <w:r>
              <w:rPr>
                <w:rFonts w:hint="eastAsia" w:ascii="Times New Roman" w:hAnsi="Times New Roman" w:eastAsia="宋体" w:cs="宋体"/>
                <w:color w:val="auto"/>
                <w:kern w:val="0"/>
                <w:sz w:val="24"/>
                <w:szCs w:val="24"/>
                <w:lang w:bidi="ar-SA"/>
              </w:rPr>
              <w:t>收集，收集后的粉尘通过布袋除尘器+15m高排气筒排放（DA001），收集效率为</w:t>
            </w:r>
            <w:r>
              <w:rPr>
                <w:rFonts w:hint="eastAsia" w:ascii="Times New Roman" w:hAnsi="Times New Roman" w:eastAsia="宋体" w:cs="宋体"/>
                <w:color w:val="auto"/>
                <w:kern w:val="0"/>
                <w:sz w:val="24"/>
                <w:szCs w:val="24"/>
                <w:lang w:val="en-US" w:eastAsia="zh-CN" w:bidi="ar-SA"/>
              </w:rPr>
              <w:t>80</w:t>
            </w:r>
            <w:r>
              <w:rPr>
                <w:rFonts w:hint="eastAsia" w:ascii="Times New Roman" w:hAnsi="Times New Roman" w:eastAsia="宋体" w:cs="宋体"/>
                <w:color w:val="auto"/>
                <w:kern w:val="0"/>
                <w:sz w:val="24"/>
                <w:szCs w:val="24"/>
                <w:lang w:bidi="ar-SA"/>
              </w:rPr>
              <w:t>%，处理效率为95%。则制粒粉尘有组织废气产生量为</w:t>
            </w:r>
            <w:r>
              <w:rPr>
                <w:rFonts w:hint="eastAsia" w:cs="宋体"/>
                <w:color w:val="auto"/>
                <w:kern w:val="0"/>
                <w:sz w:val="24"/>
                <w:szCs w:val="24"/>
                <w:lang w:val="en-US" w:eastAsia="zh-CN" w:bidi="ar-SA"/>
              </w:rPr>
              <w:t>0.172</w:t>
            </w:r>
            <w:r>
              <w:rPr>
                <w:rFonts w:hint="eastAsia" w:ascii="Times New Roman" w:hAnsi="Times New Roman" w:eastAsia="宋体" w:cs="宋体"/>
                <w:color w:val="auto"/>
                <w:kern w:val="0"/>
                <w:sz w:val="24"/>
                <w:szCs w:val="24"/>
                <w:lang w:bidi="ar-SA"/>
              </w:rPr>
              <w:t>t/a，有组织排放量为</w:t>
            </w:r>
            <w:r>
              <w:rPr>
                <w:rFonts w:hint="eastAsia" w:cs="宋体"/>
                <w:color w:val="auto"/>
                <w:kern w:val="0"/>
                <w:sz w:val="24"/>
                <w:szCs w:val="24"/>
                <w:lang w:val="en-US" w:eastAsia="zh-CN" w:bidi="ar-SA"/>
              </w:rPr>
              <w:t>0.0086</w:t>
            </w:r>
            <w:r>
              <w:rPr>
                <w:rFonts w:hint="eastAsia" w:ascii="Times New Roman" w:hAnsi="Times New Roman" w:eastAsia="宋体" w:cs="宋体"/>
                <w:color w:val="auto"/>
                <w:kern w:val="0"/>
                <w:sz w:val="24"/>
                <w:szCs w:val="24"/>
                <w:lang w:bidi="ar-SA"/>
              </w:rPr>
              <w:t>t/a，无组织排放量为</w:t>
            </w:r>
            <w:r>
              <w:rPr>
                <w:rFonts w:hint="eastAsia" w:cs="宋体"/>
                <w:color w:val="auto"/>
                <w:kern w:val="0"/>
                <w:sz w:val="24"/>
                <w:szCs w:val="24"/>
                <w:lang w:val="en-US" w:eastAsia="zh-CN" w:bidi="ar-SA"/>
              </w:rPr>
              <w:t>0.043</w:t>
            </w:r>
            <w:r>
              <w:rPr>
                <w:rFonts w:hint="eastAsia" w:ascii="Times New Roman" w:hAnsi="Times New Roman" w:eastAsia="宋体" w:cs="宋体"/>
                <w:color w:val="auto"/>
                <w:kern w:val="0"/>
                <w:sz w:val="24"/>
                <w:szCs w:val="24"/>
                <w:lang w:bidi="ar-SA"/>
              </w:rPr>
              <w:t>t/a。根据建设单位提供资料，抛丸</w:t>
            </w:r>
            <w:r>
              <w:rPr>
                <w:rFonts w:hint="eastAsia" w:ascii="Times New Roman" w:hAnsi="Times New Roman" w:eastAsia="宋体" w:cs="宋体"/>
                <w:color w:val="auto"/>
                <w:kern w:val="0"/>
                <w:sz w:val="24"/>
                <w:szCs w:val="24"/>
                <w:lang w:val="en-US" w:eastAsia="zh-CN" w:bidi="ar-SA"/>
              </w:rPr>
              <w:t>测试</w:t>
            </w:r>
            <w:r>
              <w:rPr>
                <w:rFonts w:hint="eastAsia" w:ascii="Times New Roman" w:hAnsi="Times New Roman" w:eastAsia="宋体" w:cs="宋体"/>
                <w:color w:val="auto"/>
                <w:kern w:val="0"/>
                <w:sz w:val="24"/>
                <w:szCs w:val="24"/>
                <w:lang w:bidi="ar-SA"/>
              </w:rPr>
              <w:t>工序工作时长为</w:t>
            </w:r>
            <w:r>
              <w:rPr>
                <w:rFonts w:hint="eastAsia" w:ascii="Times New Roman" w:hAnsi="Times New Roman" w:eastAsia="宋体" w:cs="宋体"/>
                <w:color w:val="auto"/>
                <w:kern w:val="0"/>
                <w:sz w:val="24"/>
                <w:szCs w:val="24"/>
                <w:lang w:val="en-US" w:eastAsia="zh-CN" w:bidi="ar-SA"/>
              </w:rPr>
              <w:t>2832</w:t>
            </w:r>
            <w:r>
              <w:rPr>
                <w:rFonts w:hint="eastAsia" w:ascii="Times New Roman" w:hAnsi="Times New Roman" w:eastAsia="宋体" w:cs="宋体"/>
                <w:color w:val="auto"/>
                <w:kern w:val="0"/>
                <w:sz w:val="24"/>
                <w:szCs w:val="24"/>
                <w:lang w:bidi="ar-SA"/>
              </w:rPr>
              <w:t>h/a，则废气排放时长为</w:t>
            </w:r>
            <w:r>
              <w:rPr>
                <w:rFonts w:hint="eastAsia" w:ascii="Times New Roman" w:hAnsi="Times New Roman" w:eastAsia="宋体" w:cs="宋体"/>
                <w:color w:val="auto"/>
                <w:kern w:val="0"/>
                <w:sz w:val="24"/>
                <w:szCs w:val="24"/>
                <w:lang w:val="en-US" w:eastAsia="zh-CN" w:bidi="ar-SA"/>
              </w:rPr>
              <w:t>2832</w:t>
            </w:r>
            <w:r>
              <w:rPr>
                <w:rFonts w:hint="eastAsia" w:ascii="Times New Roman" w:hAnsi="Times New Roman" w:eastAsia="宋体" w:cs="宋体"/>
                <w:color w:val="auto"/>
                <w:kern w:val="0"/>
                <w:sz w:val="24"/>
                <w:szCs w:val="24"/>
                <w:lang w:bidi="ar-SA"/>
              </w:rPr>
              <w:t>h/a。</w:t>
            </w:r>
          </w:p>
          <w:p w14:paraId="1D12AE56">
            <w:pPr>
              <w:spacing w:line="360" w:lineRule="auto"/>
              <w:ind w:firstLine="480" w:firstLineChars="200"/>
              <w:rPr>
                <w:rFonts w:hint="eastAsia" w:eastAsia="宋体"/>
                <w:color w:val="auto"/>
                <w:sz w:val="24"/>
                <w:szCs w:val="24"/>
                <w:lang w:eastAsia="zh-CN" w:bidi="ar-SA"/>
              </w:rPr>
            </w:pPr>
            <w:r>
              <w:rPr>
                <w:rFonts w:hint="eastAsia"/>
                <w:color w:val="auto"/>
                <w:sz w:val="24"/>
                <w:szCs w:val="24"/>
                <w:lang w:bidi="ar-SA"/>
              </w:rPr>
              <w:t>（2）配料粉尘G</w:t>
            </w:r>
            <w:r>
              <w:rPr>
                <w:rFonts w:hint="eastAsia"/>
                <w:color w:val="auto"/>
                <w:sz w:val="24"/>
                <w:szCs w:val="24"/>
                <w:lang w:val="en-US" w:eastAsia="zh-CN" w:bidi="ar-SA"/>
              </w:rPr>
              <w:t>3</w:t>
            </w:r>
          </w:p>
          <w:p w14:paraId="4B10B365">
            <w:pPr>
              <w:spacing w:line="360" w:lineRule="auto"/>
              <w:ind w:firstLine="480" w:firstLineChars="200"/>
              <w:rPr>
                <w:rFonts w:hint="default"/>
                <w:color w:val="auto"/>
                <w:lang w:val="en-US" w:eastAsia="zh-CN"/>
              </w:rPr>
            </w:pPr>
            <w:r>
              <w:rPr>
                <w:rFonts w:hint="eastAsia"/>
                <w:color w:val="auto"/>
                <w:sz w:val="24"/>
                <w:szCs w:val="24"/>
                <w:lang w:bidi="ar-SA"/>
              </w:rPr>
              <w:t>本项目</w:t>
            </w:r>
            <w:r>
              <w:rPr>
                <w:rFonts w:hint="eastAsia"/>
                <w:color w:val="auto"/>
                <w:sz w:val="24"/>
                <w:szCs w:val="24"/>
                <w:lang w:val="en-US" w:eastAsia="zh-CN" w:bidi="ar-SA"/>
              </w:rPr>
              <w:t>抛光测试</w:t>
            </w:r>
            <w:r>
              <w:rPr>
                <w:rFonts w:hint="eastAsia"/>
                <w:color w:val="auto"/>
                <w:sz w:val="24"/>
                <w:szCs w:val="24"/>
                <w:lang w:bidi="ar-SA"/>
              </w:rPr>
              <w:t>工序金刚砂</w:t>
            </w:r>
            <w:r>
              <w:rPr>
                <w:rFonts w:hint="eastAsia"/>
                <w:color w:val="auto"/>
                <w:sz w:val="24"/>
                <w:szCs w:val="24"/>
                <w:lang w:eastAsia="zh-CN" w:bidi="ar-SA"/>
              </w:rPr>
              <w:t>、</w:t>
            </w:r>
            <w:r>
              <w:rPr>
                <w:rFonts w:hint="eastAsia"/>
                <w:color w:val="auto"/>
                <w:sz w:val="24"/>
                <w:szCs w:val="24"/>
                <w:lang w:bidi="ar-SA"/>
              </w:rPr>
              <w:t>米糠</w:t>
            </w:r>
            <w:r>
              <w:rPr>
                <w:rFonts w:hint="eastAsia"/>
                <w:color w:val="auto"/>
                <w:sz w:val="24"/>
                <w:szCs w:val="24"/>
                <w:lang w:val="en-US" w:eastAsia="zh-CN" w:bidi="ar-SA"/>
              </w:rPr>
              <w:t>配料过程拆包、投料、搅拌产生配料粉尘，</w:t>
            </w:r>
            <w:r>
              <w:rPr>
                <w:rFonts w:hint="eastAsia" w:ascii="Times New Roman" w:hAnsi="Times New Roman" w:eastAsia="宋体" w:cs="Times New Roman"/>
                <w:color w:val="auto"/>
                <w:sz w:val="24"/>
                <w:szCs w:val="24"/>
                <w:lang w:bidi="ar-SA"/>
              </w:rPr>
              <w:t>主要污染物为颗粒物</w:t>
            </w:r>
            <w:r>
              <w:rPr>
                <w:rFonts w:hint="eastAsia" w:cs="Times New Roman"/>
                <w:color w:val="auto"/>
                <w:sz w:val="24"/>
                <w:szCs w:val="24"/>
                <w:lang w:eastAsia="zh-CN" w:bidi="ar-SA"/>
              </w:rPr>
              <w:t>；小麦、豆粕</w:t>
            </w:r>
            <w:r>
              <w:rPr>
                <w:rFonts w:hint="eastAsia" w:cs="Times New Roman"/>
                <w:color w:val="auto"/>
                <w:sz w:val="24"/>
                <w:szCs w:val="24"/>
                <w:lang w:val="en-US" w:eastAsia="zh-CN" w:bidi="ar-SA"/>
              </w:rPr>
              <w:t>粒径较大，且配料过程加入轻质白油，故不考虑粉尘产生</w:t>
            </w:r>
            <w:r>
              <w:rPr>
                <w:rFonts w:hint="eastAsia" w:ascii="Times New Roman" w:hAnsi="Times New Roman" w:eastAsia="宋体" w:cs="Times New Roman"/>
                <w:color w:val="auto"/>
                <w:sz w:val="24"/>
                <w:szCs w:val="24"/>
                <w:lang w:bidi="ar-SA"/>
              </w:rPr>
              <w:t>。参照《排放源统计调查产排污核算方法和系数手册》（2021年版）饲料加工行业系数手册，配合饲料</w:t>
            </w:r>
            <w:r>
              <w:rPr>
                <w:rFonts w:hint="eastAsia" w:ascii="Times New Roman" w:hAnsi="Times New Roman" w:eastAsia="宋体" w:cs="Times New Roman"/>
                <w:color w:val="auto"/>
                <w:sz w:val="24"/>
                <w:szCs w:val="24"/>
                <w:lang w:val="en-US" w:eastAsia="zh-CN" w:bidi="ar-SA"/>
              </w:rPr>
              <w:t>生产粉碎+混合+制粒（可不制粒）工序</w:t>
            </w:r>
            <w:r>
              <w:rPr>
                <w:rFonts w:hint="eastAsia" w:ascii="Times New Roman" w:hAnsi="Times New Roman" w:eastAsia="宋体" w:cs="Times New Roman"/>
                <w:color w:val="auto"/>
                <w:sz w:val="24"/>
                <w:szCs w:val="24"/>
                <w:lang w:bidi="ar-SA"/>
              </w:rPr>
              <w:t>颗粒物的产污系数为0.043千克/吨</w:t>
            </w:r>
            <w:r>
              <w:rPr>
                <w:rFonts w:hint="eastAsia" w:ascii="Times New Roman" w:hAnsi="Times New Roman" w:eastAsia="宋体" w:cs="Times New Roman"/>
                <w:color w:val="auto"/>
                <w:sz w:val="24"/>
                <w:szCs w:val="24"/>
                <w:lang w:val="en-US" w:eastAsia="zh-CN" w:bidi="ar-SA"/>
              </w:rPr>
              <w:t>产品</w:t>
            </w:r>
            <w:r>
              <w:rPr>
                <w:rFonts w:hint="eastAsia" w:ascii="Times New Roman" w:hAnsi="Times New Roman" w:eastAsia="宋体" w:cs="Times New Roman"/>
                <w:color w:val="auto"/>
                <w:sz w:val="24"/>
                <w:szCs w:val="24"/>
                <w:lang w:bidi="ar-SA"/>
              </w:rPr>
              <w:t>。根据建设单位提供资料，本项目</w:t>
            </w:r>
            <w:r>
              <w:rPr>
                <w:rFonts w:hint="eastAsia" w:ascii="Times New Roman" w:hAnsi="Times New Roman" w:eastAsia="宋体" w:cs="Times New Roman"/>
                <w:color w:val="auto"/>
                <w:sz w:val="24"/>
                <w:szCs w:val="24"/>
                <w:lang w:val="en-US" w:eastAsia="zh-CN" w:bidi="ar-SA"/>
              </w:rPr>
              <w:t>抛光测试工序金刚砂、米糠</w:t>
            </w:r>
            <w:r>
              <w:rPr>
                <w:rFonts w:hint="eastAsia" w:cs="Times New Roman"/>
                <w:color w:val="auto"/>
                <w:sz w:val="24"/>
                <w:szCs w:val="24"/>
                <w:lang w:val="en-US" w:eastAsia="zh-CN" w:bidi="ar-SA"/>
              </w:rPr>
              <w:t>使用量合计为10</w:t>
            </w:r>
            <w:r>
              <w:rPr>
                <w:rFonts w:hint="eastAsia" w:ascii="Times New Roman" w:hAnsi="Times New Roman" w:eastAsia="宋体" w:cs="宋体"/>
                <w:color w:val="auto"/>
                <w:kern w:val="0"/>
                <w:sz w:val="24"/>
                <w:szCs w:val="24"/>
                <w:lang w:bidi="ar-SA"/>
              </w:rPr>
              <w:t>t/a，</w:t>
            </w:r>
            <w:r>
              <w:rPr>
                <w:rFonts w:hint="eastAsia" w:cs="宋体"/>
                <w:color w:val="auto"/>
                <w:kern w:val="0"/>
                <w:sz w:val="24"/>
                <w:szCs w:val="24"/>
                <w:lang w:val="en-US" w:eastAsia="zh-CN" w:bidi="ar-SA"/>
              </w:rPr>
              <w:t>配料</w:t>
            </w:r>
            <w:r>
              <w:rPr>
                <w:rFonts w:hint="eastAsia" w:ascii="Times New Roman" w:hAnsi="Times New Roman" w:eastAsia="宋体" w:cs="宋体"/>
                <w:color w:val="auto"/>
                <w:kern w:val="0"/>
                <w:sz w:val="24"/>
                <w:szCs w:val="24"/>
                <w:lang w:bidi="ar-SA"/>
              </w:rPr>
              <w:t>时长为3</w:t>
            </w:r>
            <w:r>
              <w:rPr>
                <w:rFonts w:hint="eastAsia" w:cs="宋体"/>
                <w:color w:val="auto"/>
                <w:kern w:val="0"/>
                <w:sz w:val="24"/>
                <w:szCs w:val="24"/>
                <w:lang w:val="en-US" w:eastAsia="zh-CN" w:bidi="ar-SA"/>
              </w:rPr>
              <w:t>54</w:t>
            </w:r>
            <w:r>
              <w:rPr>
                <w:rFonts w:hint="eastAsia" w:ascii="Times New Roman" w:hAnsi="Times New Roman" w:eastAsia="宋体" w:cs="宋体"/>
                <w:color w:val="auto"/>
                <w:kern w:val="0"/>
                <w:sz w:val="24"/>
                <w:szCs w:val="24"/>
                <w:lang w:bidi="ar-SA"/>
              </w:rPr>
              <w:t>h/a，则</w:t>
            </w:r>
            <w:r>
              <w:rPr>
                <w:rFonts w:hint="eastAsia"/>
                <w:color w:val="auto"/>
                <w:sz w:val="24"/>
                <w:szCs w:val="24"/>
                <w:lang w:bidi="ar-SA"/>
              </w:rPr>
              <w:t>配料粉尘</w:t>
            </w:r>
            <w:r>
              <w:rPr>
                <w:rFonts w:hint="eastAsia" w:ascii="Times New Roman" w:hAnsi="Times New Roman" w:eastAsia="宋体" w:cs="宋体"/>
                <w:color w:val="auto"/>
                <w:kern w:val="0"/>
                <w:sz w:val="24"/>
                <w:szCs w:val="24"/>
                <w:lang w:bidi="ar-SA"/>
              </w:rPr>
              <w:t>产生量为</w:t>
            </w:r>
            <w:r>
              <w:rPr>
                <w:rFonts w:hint="eastAsia" w:cs="宋体"/>
                <w:color w:val="auto"/>
                <w:kern w:val="0"/>
                <w:sz w:val="24"/>
                <w:szCs w:val="24"/>
                <w:lang w:val="en-US" w:eastAsia="zh-CN" w:bidi="ar-SA"/>
              </w:rPr>
              <w:t>0.0004</w:t>
            </w:r>
            <w:r>
              <w:rPr>
                <w:rFonts w:hint="eastAsia" w:ascii="Times New Roman" w:hAnsi="Times New Roman" w:eastAsia="宋体" w:cs="宋体"/>
                <w:color w:val="auto"/>
                <w:kern w:val="0"/>
                <w:sz w:val="24"/>
                <w:szCs w:val="24"/>
                <w:lang w:bidi="ar-SA"/>
              </w:rPr>
              <w:t>t/a，</w:t>
            </w:r>
            <w:r>
              <w:rPr>
                <w:rFonts w:hint="eastAsia" w:ascii="Times New Roman" w:hAnsi="Times New Roman" w:eastAsia="宋体" w:cs="Times New Roman"/>
                <w:color w:val="auto"/>
                <w:sz w:val="24"/>
                <w:szCs w:val="24"/>
                <w:lang w:bidi="ar-SA"/>
              </w:rPr>
              <w:t>经移动式</w:t>
            </w:r>
            <w:r>
              <w:rPr>
                <w:rFonts w:hint="eastAsia" w:cs="Times New Roman"/>
                <w:color w:val="auto"/>
                <w:sz w:val="24"/>
                <w:szCs w:val="24"/>
                <w:lang w:val="en-US" w:eastAsia="zh-CN" w:bidi="ar-SA"/>
              </w:rPr>
              <w:t>布袋除尘</w:t>
            </w:r>
            <w:r>
              <w:rPr>
                <w:rFonts w:hint="eastAsia" w:ascii="Times New Roman" w:hAnsi="Times New Roman" w:eastAsia="宋体" w:cs="Times New Roman"/>
                <w:color w:val="auto"/>
                <w:sz w:val="24"/>
                <w:szCs w:val="24"/>
                <w:lang w:bidi="ar-SA"/>
              </w:rPr>
              <w:t>器处理后无组织排放，收集效率以80%计，处理效率以9</w:t>
            </w:r>
            <w:r>
              <w:rPr>
                <w:rFonts w:hint="eastAsia" w:cs="Times New Roman"/>
                <w:color w:val="auto"/>
                <w:sz w:val="24"/>
                <w:szCs w:val="24"/>
                <w:lang w:val="en-US" w:eastAsia="zh-CN" w:bidi="ar-SA"/>
              </w:rPr>
              <w:t>5</w:t>
            </w:r>
            <w:r>
              <w:rPr>
                <w:rFonts w:hint="eastAsia" w:ascii="Times New Roman" w:hAnsi="Times New Roman" w:eastAsia="宋体" w:cs="Times New Roman"/>
                <w:color w:val="auto"/>
                <w:sz w:val="24"/>
                <w:szCs w:val="24"/>
                <w:lang w:bidi="ar-SA"/>
              </w:rPr>
              <w:t>%计，则配料粉尘无组织排放量为</w:t>
            </w:r>
            <w:r>
              <w:rPr>
                <w:rFonts w:hint="eastAsia" w:cs="Times New Roman"/>
                <w:color w:val="auto"/>
                <w:sz w:val="24"/>
                <w:szCs w:val="24"/>
                <w:lang w:val="en-US" w:eastAsia="zh-CN" w:bidi="ar-SA"/>
              </w:rPr>
              <w:t>0.0001</w:t>
            </w:r>
            <w:r>
              <w:rPr>
                <w:rFonts w:hint="eastAsia" w:ascii="Times New Roman" w:hAnsi="Times New Roman" w:eastAsia="宋体" w:cs="Times New Roman"/>
                <w:color w:val="auto"/>
                <w:sz w:val="24"/>
                <w:szCs w:val="24"/>
                <w:lang w:bidi="ar-SA"/>
              </w:rPr>
              <w:t>t/a。</w:t>
            </w:r>
          </w:p>
          <w:p w14:paraId="2288B1F8">
            <w:pPr>
              <w:spacing w:line="360" w:lineRule="auto"/>
              <w:ind w:firstLine="480" w:firstLineChars="200"/>
              <w:rPr>
                <w:rFonts w:hint="default" w:ascii="Times New Roman" w:hAnsi="Times New Roman" w:eastAsia="宋体" w:cs="Times New Roman"/>
                <w:color w:val="auto"/>
                <w:sz w:val="24"/>
                <w:szCs w:val="24"/>
                <w:lang w:bidi="ar-SA"/>
              </w:rPr>
            </w:pPr>
            <w:r>
              <w:rPr>
                <w:rFonts w:hint="eastAsia" w:ascii="Times New Roman" w:hAnsi="Times New Roman" w:eastAsia="宋体" w:cs="Times New Roman"/>
                <w:color w:val="auto"/>
                <w:sz w:val="24"/>
                <w:szCs w:val="24"/>
                <w:lang w:bidi="ar-SA"/>
              </w:rPr>
              <w:t>（</w:t>
            </w:r>
            <w:r>
              <w:rPr>
                <w:rFonts w:hint="eastAsia" w:cs="Times New Roman"/>
                <w:color w:val="auto"/>
                <w:sz w:val="24"/>
                <w:szCs w:val="24"/>
                <w:lang w:val="en-US" w:eastAsia="zh-CN" w:bidi="ar-SA"/>
              </w:rPr>
              <w:t>3</w:t>
            </w:r>
            <w:r>
              <w:rPr>
                <w:rFonts w:hint="eastAsia" w:ascii="Times New Roman" w:hAnsi="Times New Roman" w:eastAsia="宋体" w:cs="Times New Roman"/>
                <w:color w:val="auto"/>
                <w:sz w:val="24"/>
                <w:szCs w:val="24"/>
                <w:lang w:bidi="ar-SA"/>
              </w:rPr>
              <w:t>）切削液废气（G1、G2）</w:t>
            </w:r>
          </w:p>
          <w:p w14:paraId="1F355C29">
            <w:pPr>
              <w:spacing w:line="360" w:lineRule="auto"/>
              <w:ind w:firstLine="480" w:firstLineChars="200"/>
              <w:rPr>
                <w:color w:val="auto"/>
                <w:sz w:val="24"/>
                <w:szCs w:val="24"/>
              </w:rPr>
            </w:pPr>
            <w:r>
              <w:rPr>
                <w:rFonts w:hint="eastAsia"/>
                <w:color w:val="auto"/>
                <w:sz w:val="24"/>
                <w:szCs w:val="24"/>
              </w:rPr>
              <w:t>本项目精加工工序使用切削液，产生少量切削液废气，主要污染物为非甲烷总烃。参照《排放源统计调查产排污核算方法和系数手册》（2021年版）机械行业系数手册中“07 机械加工”，使用切削液加工非甲烷总烃产污系数5.64kg/t-原料。本项目切削液使用量为7t/a，则切削液废气的产生量为</w:t>
            </w:r>
            <w:r>
              <w:rPr>
                <w:rFonts w:hint="eastAsia"/>
                <w:color w:val="auto"/>
                <w:sz w:val="24"/>
                <w:szCs w:val="24"/>
                <w:lang w:val="en-US" w:eastAsia="zh-CN"/>
              </w:rPr>
              <w:t>0.0395</w:t>
            </w:r>
            <w:r>
              <w:rPr>
                <w:rFonts w:hint="eastAsia"/>
                <w:color w:val="auto"/>
                <w:sz w:val="24"/>
                <w:szCs w:val="24"/>
              </w:rPr>
              <w:t>t/a，精加工工序作业时长为</w:t>
            </w:r>
            <w:r>
              <w:rPr>
                <w:rFonts w:hint="eastAsia"/>
                <w:color w:val="auto"/>
                <w:sz w:val="24"/>
                <w:szCs w:val="24"/>
                <w:lang w:val="en-US" w:eastAsia="zh-CN"/>
              </w:rPr>
              <w:t>3540</w:t>
            </w:r>
            <w:r>
              <w:rPr>
                <w:rFonts w:hint="eastAsia"/>
                <w:color w:val="auto"/>
                <w:sz w:val="24"/>
                <w:szCs w:val="24"/>
              </w:rPr>
              <w:t>h/a，切削液废气产生速率约为</w:t>
            </w:r>
            <w:r>
              <w:rPr>
                <w:rFonts w:hint="eastAsia"/>
                <w:color w:val="auto"/>
                <w:sz w:val="24"/>
                <w:szCs w:val="24"/>
                <w:lang w:val="en-US" w:eastAsia="zh-CN"/>
              </w:rPr>
              <w:t>0.0112</w:t>
            </w:r>
            <w:r>
              <w:rPr>
                <w:rFonts w:hint="eastAsia"/>
                <w:color w:val="auto"/>
                <w:sz w:val="24"/>
                <w:szCs w:val="24"/>
              </w:rPr>
              <w:t>kg/h，产生量极小且不易收集，故无组织排放在车间内。</w:t>
            </w:r>
          </w:p>
          <w:p w14:paraId="7F0B3799">
            <w:pPr>
              <w:adjustRightInd w:val="0"/>
              <w:snapToGrid w:val="0"/>
              <w:spacing w:line="360" w:lineRule="auto"/>
              <w:ind w:firstLine="480" w:firstLineChars="200"/>
              <w:rPr>
                <w:rFonts w:hint="eastAsia" w:ascii="Times New Roman" w:hAnsi="Times New Roman" w:eastAsia="宋体" w:cs="Times New Roman"/>
                <w:color w:val="auto"/>
                <w:sz w:val="24"/>
                <w:szCs w:val="24"/>
                <w:highlight w:val="none"/>
                <w:lang w:val="en-US" w:eastAsia="zh-CN"/>
              </w:rPr>
            </w:pPr>
            <w:r>
              <w:rPr>
                <w:rFonts w:hint="eastAsia" w:cs="Times New Roman"/>
                <w:color w:val="auto"/>
                <w:sz w:val="24"/>
                <w:szCs w:val="24"/>
                <w:highlight w:val="none"/>
                <w:lang w:val="en-US" w:eastAsia="zh-CN"/>
              </w:rPr>
              <w:t>（4）</w:t>
            </w:r>
            <w:r>
              <w:rPr>
                <w:rFonts w:hint="eastAsia"/>
                <w:color w:val="auto"/>
                <w:sz w:val="24"/>
                <w:szCs w:val="24"/>
              </w:rPr>
              <w:t>危废贮存废气G</w:t>
            </w:r>
            <w:r>
              <w:rPr>
                <w:rFonts w:hint="eastAsia"/>
                <w:color w:val="auto"/>
                <w:sz w:val="24"/>
                <w:szCs w:val="24"/>
                <w:lang w:val="en-US" w:eastAsia="zh-CN"/>
              </w:rPr>
              <w:t>5</w:t>
            </w:r>
          </w:p>
          <w:p w14:paraId="62585599">
            <w:pPr>
              <w:widowControl w:val="0"/>
              <w:adjustRightInd w:val="0"/>
              <w:snapToGrid w:val="0"/>
              <w:spacing w:line="360" w:lineRule="auto"/>
              <w:ind w:firstLine="480" w:firstLineChars="200"/>
              <w:jc w:val="both"/>
              <w:rPr>
                <w:rFonts w:hint="default" w:ascii="Times New Roman" w:hAnsi="Times New Roman" w:eastAsia="宋体" w:cs="Times New Roman"/>
                <w:bCs/>
                <w:caps w:val="0"/>
                <w:smallCaps w:val="0"/>
                <w:color w:val="auto"/>
                <w:kern w:val="2"/>
                <w:sz w:val="24"/>
                <w:szCs w:val="24"/>
                <w:highlight w:val="none"/>
                <w:lang w:val="en-US" w:eastAsia="zh-CN" w:bidi="ar-SA"/>
              </w:rPr>
            </w:pPr>
            <w:r>
              <w:rPr>
                <w:rFonts w:hint="eastAsia"/>
                <w:color w:val="auto"/>
                <w:sz w:val="24"/>
                <w:szCs w:val="24"/>
              </w:rPr>
              <w:t>本项目危废</w:t>
            </w:r>
            <w:r>
              <w:rPr>
                <w:rFonts w:hint="eastAsia"/>
                <w:color w:val="auto"/>
                <w:sz w:val="24"/>
                <w:szCs w:val="24"/>
                <w:lang w:val="en-US" w:eastAsia="zh-CN"/>
              </w:rPr>
              <w:t>仓库贮存</w:t>
            </w:r>
            <w:r>
              <w:rPr>
                <w:rFonts w:hint="eastAsia"/>
                <w:color w:val="auto"/>
                <w:sz w:val="24"/>
                <w:szCs w:val="24"/>
              </w:rPr>
              <w:t>有废含油</w:t>
            </w:r>
            <w:r>
              <w:rPr>
                <w:rFonts w:hint="eastAsia"/>
                <w:color w:val="auto"/>
                <w:sz w:val="24"/>
                <w:szCs w:val="24"/>
                <w:lang w:val="en-US" w:eastAsia="zh-CN"/>
              </w:rPr>
              <w:t>废</w:t>
            </w:r>
            <w:r>
              <w:rPr>
                <w:rFonts w:hint="eastAsia"/>
                <w:color w:val="auto"/>
                <w:sz w:val="24"/>
                <w:szCs w:val="24"/>
              </w:rPr>
              <w:t>屑、废切削液、废抹布及手套、废包装桶、废油桶等，分别采用包装袋或包装桶密封存储，并分区存放，这些危废均属于不易产生气体的物质，故不再进行废气的定量计算。根据《危险废物贮存污染控制标准》（GB18597-2023），暂不要求对其进行废气收集和净化，微量的废气自然通风排放。</w:t>
            </w:r>
          </w:p>
          <w:p w14:paraId="55A37B37">
            <w:pPr>
              <w:keepNext w:val="0"/>
              <w:keepLines w:val="0"/>
              <w:pageBreakBefore w:val="0"/>
              <w:widowControl w:val="0"/>
              <w:numPr>
                <w:ilvl w:val="0"/>
                <w:numId w:val="8"/>
              </w:numPr>
              <w:kinsoku/>
              <w:wordWrap/>
              <w:overflowPunct/>
              <w:topLinePunct w:val="0"/>
              <w:autoSpaceDE/>
              <w:autoSpaceDN/>
              <w:bidi w:val="0"/>
              <w:adjustRightInd/>
              <w:snapToGrid/>
              <w:spacing w:line="360" w:lineRule="auto"/>
              <w:ind w:firstLine="480" w:firstLineChars="200"/>
              <w:textAlignment w:val="auto"/>
              <w:rPr>
                <w:rFonts w:hint="eastAsia"/>
                <w:color w:val="auto"/>
                <w:sz w:val="24"/>
                <w:szCs w:val="24"/>
                <w:lang w:eastAsia="zh-CN"/>
              </w:rPr>
            </w:pPr>
            <w:r>
              <w:rPr>
                <w:rFonts w:hint="eastAsia"/>
                <w:color w:val="auto"/>
                <w:sz w:val="24"/>
                <w:szCs w:val="24"/>
              </w:rPr>
              <w:t>废水处理废气G</w:t>
            </w:r>
            <w:r>
              <w:rPr>
                <w:rFonts w:hint="eastAsia"/>
                <w:color w:val="auto"/>
                <w:sz w:val="24"/>
                <w:szCs w:val="24"/>
                <w:lang w:val="en-US" w:eastAsia="zh-CN"/>
              </w:rPr>
              <w:t>6</w:t>
            </w:r>
          </w:p>
          <w:p w14:paraId="74AD8B63">
            <w:pPr>
              <w:snapToGrid w:val="0"/>
              <w:spacing w:line="360" w:lineRule="auto"/>
              <w:ind w:firstLine="480" w:firstLineChars="200"/>
              <w:rPr>
                <w:rFonts w:hint="default" w:eastAsia="宋体"/>
                <w:color w:val="auto"/>
                <w:sz w:val="24"/>
                <w:szCs w:val="24"/>
                <w:lang w:val="en-US" w:eastAsia="zh-CN" w:bidi="ar"/>
              </w:rPr>
            </w:pPr>
            <w:r>
              <w:rPr>
                <w:rFonts w:hint="eastAsia" w:eastAsia="宋体"/>
                <w:color w:val="auto"/>
                <w:sz w:val="24"/>
                <w:szCs w:val="24"/>
                <w:lang w:val="en-US" w:eastAsia="zh-CN" w:bidi="ar-SA"/>
              </w:rPr>
              <w:t>本项目废水处理采用预过滤+三相分离器+低温蒸发器+陶瓷膜过滤工艺，处理过程会有极少量恶臭气体产生，主要为NH</w:t>
            </w:r>
            <w:r>
              <w:rPr>
                <w:rFonts w:hint="eastAsia" w:eastAsia="宋体"/>
                <w:color w:val="auto"/>
                <w:sz w:val="24"/>
                <w:szCs w:val="24"/>
                <w:vertAlign w:val="subscript"/>
                <w:lang w:val="en-US" w:eastAsia="zh-CN" w:bidi="ar-SA"/>
              </w:rPr>
              <w:t>3</w:t>
            </w:r>
            <w:r>
              <w:rPr>
                <w:rFonts w:hint="eastAsia" w:eastAsia="宋体"/>
                <w:color w:val="auto"/>
                <w:sz w:val="24"/>
                <w:szCs w:val="24"/>
                <w:lang w:val="en-US" w:eastAsia="zh-CN" w:bidi="ar-SA"/>
              </w:rPr>
              <w:t>、H</w:t>
            </w:r>
            <w:r>
              <w:rPr>
                <w:rFonts w:hint="eastAsia" w:eastAsia="宋体"/>
                <w:color w:val="auto"/>
                <w:sz w:val="24"/>
                <w:szCs w:val="24"/>
                <w:vertAlign w:val="subscript"/>
                <w:lang w:val="en-US" w:eastAsia="zh-CN" w:bidi="ar-SA"/>
              </w:rPr>
              <w:t>2</w:t>
            </w:r>
            <w:r>
              <w:rPr>
                <w:rFonts w:hint="eastAsia" w:eastAsia="宋体"/>
                <w:color w:val="auto"/>
                <w:sz w:val="24"/>
                <w:szCs w:val="24"/>
                <w:lang w:val="en-US" w:eastAsia="zh-CN" w:bidi="ar-SA"/>
              </w:rPr>
              <w:t>S，对环境影响极小，本项目不进行定量分析。</w:t>
            </w:r>
          </w:p>
          <w:p w14:paraId="4EA7BAE5">
            <w:pPr>
              <w:numPr>
                <w:ilvl w:val="0"/>
                <w:numId w:val="0"/>
              </w:numPr>
              <w:bidi w:val="0"/>
              <w:rPr>
                <w:rFonts w:hint="eastAsia"/>
                <w:color w:val="auto"/>
                <w:lang w:eastAsia="zh-CN"/>
              </w:rPr>
            </w:pPr>
          </w:p>
        </w:tc>
      </w:tr>
    </w:tbl>
    <w:p w14:paraId="73410C23">
      <w:pPr>
        <w:pStyle w:val="22"/>
        <w:jc w:val="center"/>
        <w:outlineLvl w:val="0"/>
        <w:rPr>
          <w:rFonts w:ascii="黑体" w:hAnsi="黑体" w:eastAsia="黑体"/>
          <w:snapToGrid w:val="0"/>
          <w:color w:val="auto"/>
          <w:sz w:val="30"/>
          <w:szCs w:val="30"/>
        </w:rPr>
        <w:sectPr>
          <w:pgSz w:w="11906" w:h="16838"/>
          <w:pgMar w:top="1701" w:right="1531" w:bottom="1701" w:left="1531" w:header="851" w:footer="851" w:gutter="0"/>
          <w:pgBorders>
            <w:top w:val="none" w:sz="0" w:space="0"/>
            <w:left w:val="none" w:sz="0" w:space="0"/>
            <w:bottom w:val="none" w:sz="0" w:space="0"/>
            <w:right w:val="none" w:sz="0" w:space="0"/>
          </w:pgBorders>
          <w:cols w:space="720" w:num="1"/>
          <w:docGrid w:linePitch="312" w:charSpace="0"/>
        </w:sectPr>
      </w:pPr>
      <w:bookmarkStart w:id="25" w:name="PageNo100440043"/>
    </w:p>
    <w:bookmarkEnd w:id="25"/>
    <w:tbl>
      <w:tblPr>
        <w:tblStyle w:val="26"/>
        <w:tblW w:w="4999"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397"/>
        <w:gridCol w:w="13172"/>
      </w:tblGrid>
      <w:tr w14:paraId="2DCA950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878" w:hRule="atLeast"/>
          <w:jc w:val="center"/>
        </w:trPr>
        <w:tc>
          <w:tcPr>
            <w:tcW w:w="146" w:type="pct"/>
            <w:tcMar>
              <w:left w:w="28" w:type="dxa"/>
              <w:right w:w="28" w:type="dxa"/>
            </w:tcMar>
            <w:vAlign w:val="center"/>
          </w:tcPr>
          <w:p w14:paraId="10FCAAC1">
            <w:pPr>
              <w:adjustRightInd w:val="0"/>
              <w:snapToGrid w:val="0"/>
              <w:jc w:val="center"/>
              <w:rPr>
                <w:bCs/>
                <w:color w:val="auto"/>
                <w:sz w:val="24"/>
                <w:szCs w:val="24"/>
              </w:rPr>
            </w:pPr>
            <w:r>
              <w:rPr>
                <w:bCs/>
                <w:color w:val="auto"/>
                <w:sz w:val="24"/>
                <w:szCs w:val="24"/>
              </w:rPr>
              <w:t>运营</w:t>
            </w:r>
          </w:p>
          <w:p w14:paraId="16ABC34D">
            <w:pPr>
              <w:adjustRightInd w:val="0"/>
              <w:snapToGrid w:val="0"/>
              <w:jc w:val="center"/>
              <w:rPr>
                <w:bCs/>
                <w:color w:val="auto"/>
                <w:sz w:val="24"/>
                <w:szCs w:val="24"/>
              </w:rPr>
            </w:pPr>
            <w:r>
              <w:rPr>
                <w:bCs/>
                <w:color w:val="auto"/>
                <w:sz w:val="24"/>
                <w:szCs w:val="24"/>
              </w:rPr>
              <w:t>期环</w:t>
            </w:r>
          </w:p>
          <w:p w14:paraId="0E49462E">
            <w:pPr>
              <w:adjustRightInd w:val="0"/>
              <w:snapToGrid w:val="0"/>
              <w:jc w:val="center"/>
              <w:rPr>
                <w:bCs/>
                <w:color w:val="auto"/>
                <w:sz w:val="24"/>
                <w:szCs w:val="24"/>
              </w:rPr>
            </w:pPr>
            <w:r>
              <w:rPr>
                <w:bCs/>
                <w:color w:val="auto"/>
                <w:sz w:val="24"/>
                <w:szCs w:val="24"/>
              </w:rPr>
              <w:t>境影</w:t>
            </w:r>
          </w:p>
          <w:p w14:paraId="3CFFAA23">
            <w:pPr>
              <w:adjustRightInd w:val="0"/>
              <w:snapToGrid w:val="0"/>
              <w:jc w:val="center"/>
              <w:rPr>
                <w:bCs/>
                <w:color w:val="auto"/>
                <w:sz w:val="24"/>
                <w:szCs w:val="24"/>
              </w:rPr>
            </w:pPr>
            <w:r>
              <w:rPr>
                <w:bCs/>
                <w:color w:val="auto"/>
                <w:sz w:val="24"/>
                <w:szCs w:val="24"/>
              </w:rPr>
              <w:t>响和</w:t>
            </w:r>
          </w:p>
          <w:p w14:paraId="54E9F3A6">
            <w:pPr>
              <w:adjustRightInd w:val="0"/>
              <w:snapToGrid w:val="0"/>
              <w:jc w:val="center"/>
              <w:rPr>
                <w:bCs/>
                <w:color w:val="auto"/>
                <w:sz w:val="24"/>
                <w:szCs w:val="24"/>
              </w:rPr>
            </w:pPr>
            <w:r>
              <w:rPr>
                <w:bCs/>
                <w:color w:val="auto"/>
                <w:sz w:val="24"/>
                <w:szCs w:val="24"/>
              </w:rPr>
              <w:t>保护</w:t>
            </w:r>
          </w:p>
          <w:p w14:paraId="6CA8ACE9">
            <w:pPr>
              <w:pStyle w:val="22"/>
              <w:adjustRightInd w:val="0"/>
              <w:snapToGrid w:val="0"/>
              <w:spacing w:before="0" w:beforeAutospacing="0" w:after="0" w:afterAutospacing="0"/>
              <w:jc w:val="center"/>
              <w:rPr>
                <w:rFonts w:ascii="Times New Roman" w:hAnsi="Times New Roman"/>
                <w:bCs/>
                <w:color w:val="auto"/>
                <w:kern w:val="2"/>
                <w:sz w:val="24"/>
                <w:szCs w:val="24"/>
              </w:rPr>
            </w:pPr>
            <w:r>
              <w:rPr>
                <w:rFonts w:ascii="Times New Roman" w:hAnsi="Times New Roman"/>
                <w:bCs/>
                <w:color w:val="auto"/>
                <w:sz w:val="24"/>
                <w:szCs w:val="24"/>
              </w:rPr>
              <w:t>措施</w:t>
            </w:r>
          </w:p>
        </w:tc>
        <w:tc>
          <w:tcPr>
            <w:tcW w:w="4853" w:type="pct"/>
          </w:tcPr>
          <w:p w14:paraId="7CF3D221">
            <w:pPr>
              <w:spacing w:before="120" w:beforeLines="50" w:line="360" w:lineRule="auto"/>
              <w:ind w:firstLine="480" w:firstLineChars="200"/>
              <w:rPr>
                <w:b/>
                <w:bCs/>
                <w:color w:val="auto"/>
                <w:sz w:val="24"/>
                <w:szCs w:val="24"/>
              </w:rPr>
            </w:pPr>
            <w:r>
              <w:rPr>
                <w:color w:val="auto"/>
                <w:sz w:val="24"/>
                <w:szCs w:val="24"/>
              </w:rPr>
              <w:t>本项目废气收集、处理及排放方式见表4-</w:t>
            </w:r>
            <w:r>
              <w:rPr>
                <w:rFonts w:hint="eastAsia"/>
                <w:color w:val="auto"/>
                <w:sz w:val="24"/>
                <w:szCs w:val="24"/>
                <w:lang w:val="en-US" w:eastAsia="zh-CN"/>
              </w:rPr>
              <w:t>1</w:t>
            </w:r>
            <w:r>
              <w:rPr>
                <w:rFonts w:hint="eastAsia"/>
                <w:color w:val="auto"/>
                <w:sz w:val="24"/>
                <w:szCs w:val="24"/>
              </w:rPr>
              <w:t>。</w:t>
            </w:r>
          </w:p>
          <w:p w14:paraId="229D97BE">
            <w:pPr>
              <w:jc w:val="center"/>
              <w:rPr>
                <w:b/>
                <w:bCs/>
                <w:color w:val="auto"/>
                <w:sz w:val="24"/>
                <w:szCs w:val="24"/>
              </w:rPr>
            </w:pPr>
            <w:r>
              <w:rPr>
                <w:rFonts w:hint="eastAsia"/>
                <w:b/>
                <w:bCs/>
                <w:color w:val="auto"/>
                <w:sz w:val="24"/>
                <w:szCs w:val="24"/>
              </w:rPr>
              <w:t>表4-</w:t>
            </w:r>
            <w:r>
              <w:rPr>
                <w:rFonts w:hint="eastAsia"/>
                <w:b/>
                <w:bCs/>
                <w:color w:val="auto"/>
                <w:sz w:val="24"/>
                <w:szCs w:val="24"/>
                <w:lang w:val="en-US" w:eastAsia="zh-CN"/>
              </w:rPr>
              <w:t>1</w:t>
            </w:r>
            <w:r>
              <w:rPr>
                <w:rFonts w:hint="eastAsia"/>
                <w:b/>
                <w:bCs/>
                <w:color w:val="auto"/>
                <w:sz w:val="24"/>
                <w:szCs w:val="24"/>
              </w:rPr>
              <w:t xml:space="preserve"> </w:t>
            </w:r>
            <w:r>
              <w:rPr>
                <w:b/>
                <w:bCs/>
                <w:color w:val="auto"/>
                <w:sz w:val="24"/>
                <w:szCs w:val="24"/>
              </w:rPr>
              <w:t>本项目废气源强核算、收集、处理、排放方式情况一览表</w:t>
            </w:r>
          </w:p>
          <w:tbl>
            <w:tblPr>
              <w:tblStyle w:val="26"/>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863"/>
              <w:gridCol w:w="938"/>
              <w:gridCol w:w="1411"/>
              <w:gridCol w:w="963"/>
              <w:gridCol w:w="1776"/>
              <w:gridCol w:w="912"/>
              <w:gridCol w:w="600"/>
              <w:gridCol w:w="1737"/>
              <w:gridCol w:w="1000"/>
              <w:gridCol w:w="1062"/>
              <w:gridCol w:w="1001"/>
              <w:gridCol w:w="688"/>
            </w:tblGrid>
            <w:tr w14:paraId="0A8A008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33" w:type="pct"/>
                  <w:vMerge w:val="restart"/>
                  <w:tcBorders>
                    <w:tl2br w:val="nil"/>
                    <w:tr2bl w:val="nil"/>
                  </w:tcBorders>
                  <w:vAlign w:val="center"/>
                </w:tcPr>
                <w:p w14:paraId="1BDC8A2D">
                  <w:pPr>
                    <w:jc w:val="center"/>
                    <w:rPr>
                      <w:b/>
                      <w:bCs/>
                      <w:color w:val="auto"/>
                      <w:sz w:val="21"/>
                      <w:szCs w:val="21"/>
                    </w:rPr>
                  </w:pPr>
                  <w:r>
                    <w:rPr>
                      <w:b/>
                      <w:bCs/>
                      <w:color w:val="auto"/>
                      <w:sz w:val="21"/>
                      <w:szCs w:val="21"/>
                    </w:rPr>
                    <w:t>产污环节</w:t>
                  </w:r>
                </w:p>
              </w:tc>
              <w:tc>
                <w:tcPr>
                  <w:tcW w:w="362" w:type="pct"/>
                  <w:vMerge w:val="restart"/>
                  <w:tcBorders>
                    <w:tl2br w:val="nil"/>
                    <w:tr2bl w:val="nil"/>
                  </w:tcBorders>
                  <w:vAlign w:val="center"/>
                </w:tcPr>
                <w:p w14:paraId="13BCC5D2">
                  <w:pPr>
                    <w:jc w:val="center"/>
                    <w:rPr>
                      <w:b/>
                      <w:bCs/>
                      <w:color w:val="auto"/>
                      <w:sz w:val="21"/>
                      <w:szCs w:val="21"/>
                    </w:rPr>
                  </w:pPr>
                  <w:r>
                    <w:rPr>
                      <w:b/>
                      <w:bCs/>
                      <w:color w:val="auto"/>
                      <w:sz w:val="21"/>
                      <w:szCs w:val="21"/>
                    </w:rPr>
                    <w:t>污染源编号</w:t>
                  </w:r>
                </w:p>
              </w:tc>
              <w:tc>
                <w:tcPr>
                  <w:tcW w:w="545" w:type="pct"/>
                  <w:vMerge w:val="restart"/>
                  <w:tcBorders>
                    <w:tl2br w:val="nil"/>
                    <w:tr2bl w:val="nil"/>
                  </w:tcBorders>
                  <w:vAlign w:val="center"/>
                </w:tcPr>
                <w:p w14:paraId="52E4826E">
                  <w:pPr>
                    <w:jc w:val="center"/>
                    <w:rPr>
                      <w:b/>
                      <w:bCs/>
                      <w:color w:val="auto"/>
                      <w:sz w:val="21"/>
                      <w:szCs w:val="21"/>
                    </w:rPr>
                  </w:pPr>
                  <w:r>
                    <w:rPr>
                      <w:b/>
                      <w:bCs/>
                      <w:color w:val="auto"/>
                      <w:sz w:val="21"/>
                      <w:szCs w:val="21"/>
                    </w:rPr>
                    <w:t>污染源种类</w:t>
                  </w:r>
                </w:p>
              </w:tc>
              <w:tc>
                <w:tcPr>
                  <w:tcW w:w="371" w:type="pct"/>
                  <w:vMerge w:val="restart"/>
                  <w:tcBorders>
                    <w:tl2br w:val="nil"/>
                    <w:tr2bl w:val="nil"/>
                  </w:tcBorders>
                  <w:vAlign w:val="center"/>
                </w:tcPr>
                <w:p w14:paraId="6B1479DD">
                  <w:pPr>
                    <w:jc w:val="center"/>
                    <w:rPr>
                      <w:b/>
                      <w:bCs/>
                      <w:color w:val="auto"/>
                      <w:sz w:val="21"/>
                      <w:szCs w:val="21"/>
                    </w:rPr>
                  </w:pPr>
                  <w:r>
                    <w:rPr>
                      <w:b/>
                      <w:bCs/>
                      <w:color w:val="auto"/>
                      <w:sz w:val="21"/>
                      <w:szCs w:val="21"/>
                    </w:rPr>
                    <w:t>污染源源强核算t/a</w:t>
                  </w:r>
                </w:p>
              </w:tc>
              <w:tc>
                <w:tcPr>
                  <w:tcW w:w="685" w:type="pct"/>
                  <w:vMerge w:val="restart"/>
                  <w:tcBorders>
                    <w:tl2br w:val="nil"/>
                    <w:tr2bl w:val="nil"/>
                  </w:tcBorders>
                  <w:vAlign w:val="center"/>
                </w:tcPr>
                <w:p w14:paraId="3FB8E492">
                  <w:pPr>
                    <w:jc w:val="center"/>
                    <w:rPr>
                      <w:b/>
                      <w:bCs/>
                      <w:color w:val="auto"/>
                      <w:sz w:val="21"/>
                      <w:szCs w:val="21"/>
                    </w:rPr>
                  </w:pPr>
                  <w:r>
                    <w:rPr>
                      <w:b/>
                      <w:bCs/>
                      <w:color w:val="auto"/>
                      <w:sz w:val="21"/>
                      <w:szCs w:val="21"/>
                    </w:rPr>
                    <w:t>源强核算依据</w:t>
                  </w:r>
                </w:p>
              </w:tc>
              <w:tc>
                <w:tcPr>
                  <w:tcW w:w="352" w:type="pct"/>
                  <w:vMerge w:val="restart"/>
                  <w:tcBorders>
                    <w:tl2br w:val="nil"/>
                    <w:tr2bl w:val="nil"/>
                  </w:tcBorders>
                  <w:vAlign w:val="center"/>
                </w:tcPr>
                <w:p w14:paraId="5FD72507">
                  <w:pPr>
                    <w:jc w:val="center"/>
                    <w:rPr>
                      <w:b/>
                      <w:bCs/>
                      <w:color w:val="auto"/>
                      <w:sz w:val="21"/>
                      <w:szCs w:val="21"/>
                    </w:rPr>
                  </w:pPr>
                  <w:r>
                    <w:rPr>
                      <w:b/>
                      <w:bCs/>
                      <w:color w:val="auto"/>
                      <w:sz w:val="21"/>
                      <w:szCs w:val="21"/>
                    </w:rPr>
                    <w:t>废气收集方式</w:t>
                  </w:r>
                </w:p>
              </w:tc>
              <w:tc>
                <w:tcPr>
                  <w:tcW w:w="231" w:type="pct"/>
                  <w:vMerge w:val="restart"/>
                  <w:tcBorders>
                    <w:tl2br w:val="nil"/>
                    <w:tr2bl w:val="nil"/>
                  </w:tcBorders>
                  <w:vAlign w:val="center"/>
                </w:tcPr>
                <w:p w14:paraId="53C571AE">
                  <w:pPr>
                    <w:ind w:left="-42" w:leftChars="-20" w:right="-42" w:rightChars="-20"/>
                    <w:jc w:val="center"/>
                    <w:rPr>
                      <w:b/>
                      <w:bCs/>
                      <w:color w:val="auto"/>
                      <w:sz w:val="21"/>
                      <w:szCs w:val="21"/>
                    </w:rPr>
                  </w:pPr>
                  <w:r>
                    <w:rPr>
                      <w:b/>
                      <w:bCs/>
                      <w:color w:val="auto"/>
                      <w:sz w:val="21"/>
                      <w:szCs w:val="21"/>
                    </w:rPr>
                    <w:t>收集效率</w:t>
                  </w:r>
                  <w:r>
                    <w:rPr>
                      <w:rFonts w:hint="eastAsia"/>
                      <w:b/>
                      <w:bCs/>
                      <w:color w:val="auto"/>
                      <w:sz w:val="21"/>
                      <w:szCs w:val="21"/>
                    </w:rPr>
                    <w:t>%</w:t>
                  </w:r>
                </w:p>
              </w:tc>
              <w:tc>
                <w:tcPr>
                  <w:tcW w:w="1466" w:type="pct"/>
                  <w:gridSpan w:val="3"/>
                  <w:tcBorders>
                    <w:tl2br w:val="nil"/>
                    <w:tr2bl w:val="nil"/>
                  </w:tcBorders>
                  <w:vAlign w:val="center"/>
                </w:tcPr>
                <w:p w14:paraId="46CB0E19">
                  <w:pPr>
                    <w:jc w:val="center"/>
                    <w:rPr>
                      <w:b/>
                      <w:bCs/>
                      <w:color w:val="auto"/>
                      <w:sz w:val="21"/>
                      <w:szCs w:val="21"/>
                    </w:rPr>
                  </w:pPr>
                  <w:r>
                    <w:rPr>
                      <w:b/>
                      <w:bCs/>
                      <w:color w:val="auto"/>
                      <w:sz w:val="21"/>
                      <w:szCs w:val="21"/>
                    </w:rPr>
                    <w:t>治理措施</w:t>
                  </w:r>
                </w:p>
              </w:tc>
              <w:tc>
                <w:tcPr>
                  <w:tcW w:w="386" w:type="pct"/>
                  <w:vMerge w:val="restart"/>
                  <w:tcBorders>
                    <w:tl2br w:val="nil"/>
                    <w:tr2bl w:val="nil"/>
                  </w:tcBorders>
                  <w:vAlign w:val="center"/>
                </w:tcPr>
                <w:p w14:paraId="14222CEB">
                  <w:pPr>
                    <w:jc w:val="center"/>
                    <w:rPr>
                      <w:b/>
                      <w:bCs/>
                      <w:color w:val="auto"/>
                      <w:sz w:val="21"/>
                      <w:szCs w:val="21"/>
                    </w:rPr>
                  </w:pPr>
                  <w:r>
                    <w:rPr>
                      <w:b/>
                      <w:bCs/>
                      <w:color w:val="auto"/>
                      <w:sz w:val="21"/>
                      <w:szCs w:val="21"/>
                    </w:rPr>
                    <w:t>排放形式</w:t>
                  </w:r>
                </w:p>
              </w:tc>
              <w:tc>
                <w:tcPr>
                  <w:tcW w:w="265" w:type="pct"/>
                  <w:vMerge w:val="restart"/>
                  <w:tcBorders>
                    <w:tl2br w:val="nil"/>
                    <w:tr2bl w:val="nil"/>
                  </w:tcBorders>
                  <w:vAlign w:val="center"/>
                </w:tcPr>
                <w:p w14:paraId="35B480A2">
                  <w:pPr>
                    <w:jc w:val="center"/>
                    <w:rPr>
                      <w:b/>
                      <w:bCs/>
                      <w:color w:val="auto"/>
                      <w:sz w:val="21"/>
                      <w:szCs w:val="21"/>
                    </w:rPr>
                  </w:pPr>
                  <w:r>
                    <w:rPr>
                      <w:b/>
                      <w:bCs/>
                      <w:color w:val="auto"/>
                      <w:sz w:val="21"/>
                      <w:szCs w:val="21"/>
                    </w:rPr>
                    <w:t>排放时长h</w:t>
                  </w:r>
                </w:p>
              </w:tc>
            </w:tr>
            <w:tr w14:paraId="28B1EE6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33" w:type="pct"/>
                  <w:vMerge w:val="continue"/>
                  <w:tcBorders>
                    <w:tl2br w:val="nil"/>
                    <w:tr2bl w:val="nil"/>
                  </w:tcBorders>
                  <w:vAlign w:val="center"/>
                </w:tcPr>
                <w:p w14:paraId="7494738C">
                  <w:pPr>
                    <w:jc w:val="center"/>
                    <w:rPr>
                      <w:color w:val="auto"/>
                      <w:sz w:val="21"/>
                      <w:szCs w:val="21"/>
                    </w:rPr>
                  </w:pPr>
                </w:p>
              </w:tc>
              <w:tc>
                <w:tcPr>
                  <w:tcW w:w="362" w:type="pct"/>
                  <w:vMerge w:val="continue"/>
                  <w:tcBorders>
                    <w:tl2br w:val="nil"/>
                    <w:tr2bl w:val="nil"/>
                  </w:tcBorders>
                  <w:vAlign w:val="center"/>
                </w:tcPr>
                <w:p w14:paraId="1C65B992">
                  <w:pPr>
                    <w:jc w:val="center"/>
                    <w:rPr>
                      <w:color w:val="auto"/>
                      <w:sz w:val="21"/>
                      <w:szCs w:val="21"/>
                    </w:rPr>
                  </w:pPr>
                </w:p>
              </w:tc>
              <w:tc>
                <w:tcPr>
                  <w:tcW w:w="545" w:type="pct"/>
                  <w:vMerge w:val="continue"/>
                  <w:tcBorders>
                    <w:tl2br w:val="nil"/>
                    <w:tr2bl w:val="nil"/>
                  </w:tcBorders>
                  <w:vAlign w:val="center"/>
                </w:tcPr>
                <w:p w14:paraId="0CB9EF0C">
                  <w:pPr>
                    <w:jc w:val="center"/>
                    <w:rPr>
                      <w:color w:val="auto"/>
                      <w:sz w:val="21"/>
                      <w:szCs w:val="21"/>
                    </w:rPr>
                  </w:pPr>
                </w:p>
              </w:tc>
              <w:tc>
                <w:tcPr>
                  <w:tcW w:w="371" w:type="pct"/>
                  <w:vMerge w:val="continue"/>
                  <w:tcBorders>
                    <w:tl2br w:val="nil"/>
                    <w:tr2bl w:val="nil"/>
                  </w:tcBorders>
                  <w:vAlign w:val="center"/>
                </w:tcPr>
                <w:p w14:paraId="6E281508">
                  <w:pPr>
                    <w:jc w:val="center"/>
                    <w:rPr>
                      <w:color w:val="auto"/>
                      <w:sz w:val="21"/>
                      <w:szCs w:val="21"/>
                    </w:rPr>
                  </w:pPr>
                </w:p>
              </w:tc>
              <w:tc>
                <w:tcPr>
                  <w:tcW w:w="685" w:type="pct"/>
                  <w:vMerge w:val="continue"/>
                  <w:tcBorders>
                    <w:tl2br w:val="nil"/>
                    <w:tr2bl w:val="nil"/>
                  </w:tcBorders>
                  <w:vAlign w:val="center"/>
                </w:tcPr>
                <w:p w14:paraId="6040D58D">
                  <w:pPr>
                    <w:jc w:val="center"/>
                    <w:rPr>
                      <w:color w:val="auto"/>
                      <w:sz w:val="21"/>
                      <w:szCs w:val="21"/>
                    </w:rPr>
                  </w:pPr>
                </w:p>
              </w:tc>
              <w:tc>
                <w:tcPr>
                  <w:tcW w:w="352" w:type="pct"/>
                  <w:vMerge w:val="continue"/>
                  <w:tcBorders>
                    <w:tl2br w:val="nil"/>
                    <w:tr2bl w:val="nil"/>
                  </w:tcBorders>
                  <w:vAlign w:val="center"/>
                </w:tcPr>
                <w:p w14:paraId="1F51B813">
                  <w:pPr>
                    <w:jc w:val="center"/>
                    <w:rPr>
                      <w:color w:val="auto"/>
                      <w:sz w:val="21"/>
                      <w:szCs w:val="21"/>
                    </w:rPr>
                  </w:pPr>
                </w:p>
              </w:tc>
              <w:tc>
                <w:tcPr>
                  <w:tcW w:w="231" w:type="pct"/>
                  <w:vMerge w:val="continue"/>
                  <w:tcBorders>
                    <w:tl2br w:val="nil"/>
                    <w:tr2bl w:val="nil"/>
                  </w:tcBorders>
                  <w:vAlign w:val="center"/>
                </w:tcPr>
                <w:p w14:paraId="66E09D90">
                  <w:pPr>
                    <w:jc w:val="center"/>
                    <w:rPr>
                      <w:color w:val="auto"/>
                      <w:sz w:val="21"/>
                      <w:szCs w:val="21"/>
                    </w:rPr>
                  </w:pPr>
                </w:p>
              </w:tc>
              <w:tc>
                <w:tcPr>
                  <w:tcW w:w="670" w:type="pct"/>
                  <w:tcBorders>
                    <w:tl2br w:val="nil"/>
                    <w:tr2bl w:val="nil"/>
                  </w:tcBorders>
                  <w:vAlign w:val="center"/>
                </w:tcPr>
                <w:p w14:paraId="687EC996">
                  <w:pPr>
                    <w:jc w:val="center"/>
                    <w:rPr>
                      <w:b/>
                      <w:bCs/>
                      <w:color w:val="auto"/>
                      <w:sz w:val="21"/>
                      <w:szCs w:val="21"/>
                    </w:rPr>
                  </w:pPr>
                  <w:r>
                    <w:rPr>
                      <w:b/>
                      <w:bCs/>
                      <w:color w:val="auto"/>
                      <w:sz w:val="21"/>
                      <w:szCs w:val="21"/>
                    </w:rPr>
                    <w:t>治理工艺</w:t>
                  </w:r>
                </w:p>
              </w:tc>
              <w:tc>
                <w:tcPr>
                  <w:tcW w:w="386" w:type="pct"/>
                  <w:tcBorders>
                    <w:tl2br w:val="nil"/>
                    <w:tr2bl w:val="nil"/>
                  </w:tcBorders>
                  <w:vAlign w:val="center"/>
                </w:tcPr>
                <w:p w14:paraId="468C0942">
                  <w:pPr>
                    <w:jc w:val="center"/>
                    <w:rPr>
                      <w:b/>
                      <w:bCs/>
                      <w:color w:val="auto"/>
                      <w:sz w:val="21"/>
                      <w:szCs w:val="21"/>
                    </w:rPr>
                  </w:pPr>
                  <w:r>
                    <w:rPr>
                      <w:b/>
                      <w:bCs/>
                      <w:color w:val="auto"/>
                      <w:sz w:val="21"/>
                      <w:szCs w:val="21"/>
                    </w:rPr>
                    <w:t>去除效率</w:t>
                  </w:r>
                  <w:r>
                    <w:rPr>
                      <w:rFonts w:hint="eastAsia"/>
                      <w:b/>
                      <w:bCs/>
                      <w:color w:val="auto"/>
                      <w:sz w:val="21"/>
                      <w:szCs w:val="21"/>
                    </w:rPr>
                    <w:t>%</w:t>
                  </w:r>
                </w:p>
              </w:tc>
              <w:tc>
                <w:tcPr>
                  <w:tcW w:w="409" w:type="pct"/>
                  <w:tcBorders>
                    <w:tl2br w:val="nil"/>
                    <w:tr2bl w:val="nil"/>
                  </w:tcBorders>
                  <w:vAlign w:val="center"/>
                </w:tcPr>
                <w:p w14:paraId="4CBC001F">
                  <w:pPr>
                    <w:jc w:val="center"/>
                    <w:rPr>
                      <w:b/>
                      <w:bCs/>
                      <w:color w:val="auto"/>
                      <w:sz w:val="21"/>
                      <w:szCs w:val="21"/>
                    </w:rPr>
                  </w:pPr>
                  <w:r>
                    <w:rPr>
                      <w:b/>
                      <w:bCs/>
                      <w:color w:val="auto"/>
                      <w:sz w:val="21"/>
                      <w:szCs w:val="21"/>
                    </w:rPr>
                    <w:t>是否为可行技术</w:t>
                  </w:r>
                </w:p>
              </w:tc>
              <w:tc>
                <w:tcPr>
                  <w:tcW w:w="386" w:type="pct"/>
                  <w:vMerge w:val="continue"/>
                  <w:tcBorders>
                    <w:tl2br w:val="nil"/>
                    <w:tr2bl w:val="nil"/>
                  </w:tcBorders>
                  <w:vAlign w:val="center"/>
                </w:tcPr>
                <w:p w14:paraId="2AC7AC5C">
                  <w:pPr>
                    <w:jc w:val="center"/>
                    <w:rPr>
                      <w:color w:val="auto"/>
                      <w:sz w:val="21"/>
                      <w:szCs w:val="21"/>
                    </w:rPr>
                  </w:pPr>
                </w:p>
              </w:tc>
              <w:tc>
                <w:tcPr>
                  <w:tcW w:w="265" w:type="pct"/>
                  <w:vMerge w:val="continue"/>
                  <w:tcBorders>
                    <w:tl2br w:val="nil"/>
                    <w:tr2bl w:val="nil"/>
                  </w:tcBorders>
                  <w:vAlign w:val="center"/>
                </w:tcPr>
                <w:p w14:paraId="69B2173E">
                  <w:pPr>
                    <w:jc w:val="center"/>
                    <w:rPr>
                      <w:color w:val="auto"/>
                      <w:sz w:val="21"/>
                      <w:szCs w:val="21"/>
                    </w:rPr>
                  </w:pPr>
                </w:p>
              </w:tc>
            </w:tr>
            <w:tr w14:paraId="626AEF0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33" w:type="pct"/>
                  <w:tcBorders>
                    <w:tl2br w:val="nil"/>
                    <w:tr2bl w:val="nil"/>
                  </w:tcBorders>
                  <w:shd w:val="clear" w:color="auto" w:fill="auto"/>
                  <w:vAlign w:val="center"/>
                </w:tcPr>
                <w:p w14:paraId="6CA1FDAA">
                  <w:pPr>
                    <w:pStyle w:val="38"/>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baseline"/>
                    <w:rPr>
                      <w:rFonts w:hint="default" w:ascii="Times New Roman" w:hAnsi="Times New Roman" w:eastAsia="宋体" w:cs="Times New Roman"/>
                      <w:b w:val="0"/>
                      <w:bCs/>
                      <w:color w:val="auto"/>
                      <w:spacing w:val="-10"/>
                      <w:kern w:val="2"/>
                      <w:sz w:val="21"/>
                      <w:szCs w:val="21"/>
                      <w:highlight w:val="none"/>
                      <w:vertAlign w:val="baseline"/>
                      <w:lang w:val="en-US" w:eastAsia="zh-CN" w:bidi="ar"/>
                    </w:rPr>
                  </w:pPr>
                  <w:bookmarkStart w:id="26" w:name="OLE_LINK95" w:colFirst="0" w:colLast="0"/>
                  <w:r>
                    <w:rPr>
                      <w:rFonts w:hint="default" w:ascii="Times New Roman" w:hAnsi="Times New Roman" w:eastAsia="宋体" w:cs="Times New Roman"/>
                      <w:b w:val="0"/>
                      <w:bCs/>
                      <w:color w:val="auto"/>
                      <w:spacing w:val="-10"/>
                      <w:kern w:val="2"/>
                      <w:sz w:val="21"/>
                      <w:szCs w:val="21"/>
                      <w:highlight w:val="none"/>
                      <w:vertAlign w:val="baseline"/>
                      <w:lang w:val="en-US" w:eastAsia="zh-CN" w:bidi="ar"/>
                    </w:rPr>
                    <w:t>抛光测试</w:t>
                  </w:r>
                </w:p>
              </w:tc>
              <w:tc>
                <w:tcPr>
                  <w:tcW w:w="362" w:type="pct"/>
                  <w:tcBorders>
                    <w:tl2br w:val="nil"/>
                    <w:tr2bl w:val="nil"/>
                  </w:tcBorders>
                  <w:vAlign w:val="center"/>
                </w:tcPr>
                <w:p w14:paraId="2E042865">
                  <w:pPr>
                    <w:jc w:val="center"/>
                    <w:rPr>
                      <w:rFonts w:hint="eastAsia" w:eastAsia="宋体"/>
                      <w:color w:val="auto"/>
                      <w:sz w:val="21"/>
                      <w:szCs w:val="21"/>
                      <w:lang w:eastAsia="zh-CN"/>
                    </w:rPr>
                  </w:pPr>
                  <w:r>
                    <w:rPr>
                      <w:rFonts w:hint="eastAsia" w:eastAsia="宋体"/>
                      <w:color w:val="auto"/>
                      <w:sz w:val="21"/>
                      <w:szCs w:val="21"/>
                      <w:lang w:eastAsia="zh-CN"/>
                    </w:rPr>
                    <w:t>G</w:t>
                  </w:r>
                  <w:r>
                    <w:rPr>
                      <w:rFonts w:hint="eastAsia"/>
                      <w:color w:val="auto"/>
                      <w:sz w:val="21"/>
                      <w:szCs w:val="21"/>
                      <w:lang w:val="en-US" w:eastAsia="zh-CN"/>
                    </w:rPr>
                    <w:t>4</w:t>
                  </w:r>
                </w:p>
              </w:tc>
              <w:tc>
                <w:tcPr>
                  <w:tcW w:w="545" w:type="pct"/>
                  <w:tcBorders>
                    <w:tl2br w:val="nil"/>
                    <w:tr2bl w:val="nil"/>
                  </w:tcBorders>
                  <w:vAlign w:val="center"/>
                </w:tcPr>
                <w:p w14:paraId="330991E4">
                  <w:pPr>
                    <w:jc w:val="center"/>
                    <w:rPr>
                      <w:rFonts w:hint="default" w:eastAsia="宋体"/>
                      <w:color w:val="auto"/>
                      <w:sz w:val="21"/>
                      <w:szCs w:val="21"/>
                      <w:lang w:val="en-US" w:eastAsia="zh-CN"/>
                    </w:rPr>
                  </w:pPr>
                  <w:r>
                    <w:rPr>
                      <w:rFonts w:hint="eastAsia"/>
                      <w:color w:val="auto"/>
                      <w:sz w:val="21"/>
                      <w:szCs w:val="21"/>
                      <w:lang w:val="en-US" w:eastAsia="zh-CN"/>
                    </w:rPr>
                    <w:t>颗粒物</w:t>
                  </w:r>
                </w:p>
              </w:tc>
              <w:tc>
                <w:tcPr>
                  <w:tcW w:w="371" w:type="pct"/>
                  <w:tcBorders>
                    <w:tl2br w:val="nil"/>
                    <w:tr2bl w:val="nil"/>
                  </w:tcBorders>
                  <w:shd w:val="clear" w:color="auto" w:fill="auto"/>
                  <w:vAlign w:val="center"/>
                </w:tcPr>
                <w:p w14:paraId="30CC8AB1">
                  <w:pPr>
                    <w:keepNext w:val="0"/>
                    <w:keepLines w:val="0"/>
                    <w:widowControl/>
                    <w:suppressLineNumbers w:val="0"/>
                    <w:jc w:val="center"/>
                    <w:textAlignment w:val="center"/>
                    <w:rPr>
                      <w:rFonts w:hint="default" w:ascii="Times New Roman" w:hAnsi="Times New Roman" w:eastAsia="宋体" w:cs="Times New Roman"/>
                      <w:b w:val="0"/>
                      <w:bCs/>
                      <w:color w:val="auto"/>
                      <w:kern w:val="2"/>
                      <w:sz w:val="21"/>
                      <w:szCs w:val="21"/>
                      <w:highlight w:val="none"/>
                      <w:vertAlign w:val="baseline"/>
                      <w:lang w:val="en-US" w:eastAsia="zh-CN" w:bidi="ar"/>
                    </w:rPr>
                  </w:pPr>
                  <w:r>
                    <w:rPr>
                      <w:rFonts w:hint="default" w:ascii="Times New Roman" w:hAnsi="Times New Roman" w:eastAsia="宋体" w:cs="Times New Roman"/>
                      <w:b w:val="0"/>
                      <w:bCs/>
                      <w:color w:val="auto"/>
                      <w:kern w:val="2"/>
                      <w:sz w:val="21"/>
                      <w:szCs w:val="21"/>
                      <w:highlight w:val="none"/>
                      <w:vertAlign w:val="baseline"/>
                      <w:lang w:val="en-US" w:eastAsia="zh-CN" w:bidi="ar"/>
                    </w:rPr>
                    <w:t>0.215</w:t>
                  </w:r>
                </w:p>
              </w:tc>
              <w:tc>
                <w:tcPr>
                  <w:tcW w:w="685" w:type="pct"/>
                  <w:vMerge w:val="restart"/>
                  <w:tcBorders>
                    <w:tl2br w:val="nil"/>
                    <w:tr2bl w:val="nil"/>
                  </w:tcBorders>
                  <w:vAlign w:val="center"/>
                </w:tcPr>
                <w:p w14:paraId="5A483F8F">
                  <w:pPr>
                    <w:jc w:val="center"/>
                    <w:rPr>
                      <w:rFonts w:hint="default" w:eastAsia="宋体"/>
                      <w:color w:val="auto"/>
                      <w:sz w:val="21"/>
                      <w:szCs w:val="21"/>
                      <w:lang w:val="en-US" w:eastAsia="zh-CN"/>
                    </w:rPr>
                  </w:pPr>
                  <w:r>
                    <w:rPr>
                      <w:rFonts w:hint="eastAsia"/>
                      <w:color w:val="auto"/>
                      <w:sz w:val="21"/>
                      <w:szCs w:val="21"/>
                    </w:rPr>
                    <w:t>《排放源统计调查产排污核算方法和系数手册》</w:t>
                  </w:r>
                </w:p>
              </w:tc>
              <w:tc>
                <w:tcPr>
                  <w:tcW w:w="352" w:type="pct"/>
                  <w:tcBorders>
                    <w:tl2br w:val="nil"/>
                    <w:tr2bl w:val="nil"/>
                  </w:tcBorders>
                  <w:shd w:val="clear" w:color="auto" w:fill="auto"/>
                  <w:vAlign w:val="center"/>
                </w:tcPr>
                <w:p w14:paraId="6B44E7CE">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集气罩</w:t>
                  </w:r>
                </w:p>
              </w:tc>
              <w:tc>
                <w:tcPr>
                  <w:tcW w:w="231" w:type="pct"/>
                  <w:tcBorders>
                    <w:tl2br w:val="nil"/>
                    <w:tr2bl w:val="nil"/>
                  </w:tcBorders>
                  <w:shd w:val="clear" w:color="auto" w:fill="auto"/>
                  <w:vAlign w:val="center"/>
                </w:tcPr>
                <w:p w14:paraId="0F663DA5">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80</w:t>
                  </w:r>
                </w:p>
              </w:tc>
              <w:tc>
                <w:tcPr>
                  <w:tcW w:w="670" w:type="pct"/>
                  <w:tcBorders>
                    <w:tl2br w:val="nil"/>
                    <w:tr2bl w:val="nil"/>
                  </w:tcBorders>
                  <w:vAlign w:val="center"/>
                </w:tcPr>
                <w:p w14:paraId="4C5D4472">
                  <w:pPr>
                    <w:jc w:val="center"/>
                    <w:rPr>
                      <w:rFonts w:hint="eastAsia" w:eastAsia="宋体"/>
                      <w:color w:val="auto"/>
                      <w:sz w:val="21"/>
                      <w:szCs w:val="21"/>
                      <w:lang w:val="en-US" w:eastAsia="zh-CN"/>
                    </w:rPr>
                  </w:pPr>
                  <w:r>
                    <w:rPr>
                      <w:rFonts w:hint="eastAsia" w:eastAsia="宋体"/>
                      <w:color w:val="auto"/>
                      <w:sz w:val="21"/>
                      <w:szCs w:val="21"/>
                      <w:lang w:val="en-US" w:eastAsia="zh-CN"/>
                    </w:rPr>
                    <w:t>布袋除尘器</w:t>
                  </w:r>
                </w:p>
              </w:tc>
              <w:tc>
                <w:tcPr>
                  <w:tcW w:w="386" w:type="pct"/>
                  <w:tcBorders>
                    <w:tl2br w:val="nil"/>
                    <w:tr2bl w:val="nil"/>
                  </w:tcBorders>
                  <w:vAlign w:val="center"/>
                </w:tcPr>
                <w:p w14:paraId="35CF8555">
                  <w:pPr>
                    <w:jc w:val="center"/>
                    <w:rPr>
                      <w:rFonts w:hint="default" w:eastAsia="宋体"/>
                      <w:color w:val="auto"/>
                      <w:sz w:val="21"/>
                      <w:szCs w:val="21"/>
                      <w:lang w:val="en-US" w:eastAsia="zh-CN"/>
                    </w:rPr>
                  </w:pPr>
                  <w:r>
                    <w:rPr>
                      <w:rFonts w:hint="eastAsia"/>
                      <w:color w:val="auto"/>
                      <w:sz w:val="21"/>
                      <w:szCs w:val="21"/>
                      <w:lang w:val="en-US" w:eastAsia="zh-CN"/>
                    </w:rPr>
                    <w:t>95</w:t>
                  </w:r>
                </w:p>
              </w:tc>
              <w:tc>
                <w:tcPr>
                  <w:tcW w:w="409" w:type="pct"/>
                  <w:vMerge w:val="restart"/>
                  <w:tcBorders>
                    <w:tl2br w:val="nil"/>
                    <w:tr2bl w:val="nil"/>
                  </w:tcBorders>
                  <w:vAlign w:val="center"/>
                </w:tcPr>
                <w:p w14:paraId="45BFFC1F">
                  <w:pPr>
                    <w:jc w:val="center"/>
                    <w:rPr>
                      <w:color w:val="auto"/>
                      <w:sz w:val="21"/>
                      <w:szCs w:val="21"/>
                    </w:rPr>
                  </w:pPr>
                  <w:r>
                    <w:rPr>
                      <w:rFonts w:hint="eastAsia"/>
                      <w:color w:val="auto"/>
                      <w:sz w:val="21"/>
                      <w:szCs w:val="21"/>
                    </w:rPr>
                    <w:t>是</w:t>
                  </w:r>
                </w:p>
              </w:tc>
              <w:tc>
                <w:tcPr>
                  <w:tcW w:w="386" w:type="pct"/>
                  <w:tcBorders>
                    <w:tl2br w:val="nil"/>
                    <w:tr2bl w:val="nil"/>
                  </w:tcBorders>
                  <w:vAlign w:val="center"/>
                </w:tcPr>
                <w:p w14:paraId="771E59C7">
                  <w:pPr>
                    <w:jc w:val="center"/>
                    <w:rPr>
                      <w:rFonts w:hint="default" w:eastAsia="宋体"/>
                      <w:color w:val="auto"/>
                      <w:sz w:val="21"/>
                      <w:szCs w:val="21"/>
                      <w:lang w:val="en-US" w:eastAsia="zh-CN"/>
                    </w:rPr>
                  </w:pPr>
                  <w:r>
                    <w:rPr>
                      <w:rFonts w:hint="eastAsia"/>
                      <w:color w:val="auto"/>
                      <w:sz w:val="21"/>
                      <w:szCs w:val="21"/>
                      <w:lang w:val="en-US" w:eastAsia="zh-CN"/>
                    </w:rPr>
                    <w:t>DA001</w:t>
                  </w:r>
                </w:p>
              </w:tc>
              <w:tc>
                <w:tcPr>
                  <w:tcW w:w="265" w:type="pct"/>
                  <w:tcBorders>
                    <w:tl2br w:val="nil"/>
                    <w:tr2bl w:val="nil"/>
                  </w:tcBorders>
                  <w:shd w:val="clear" w:color="auto" w:fill="auto"/>
                  <w:vAlign w:val="center"/>
                </w:tcPr>
                <w:p w14:paraId="437AE40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2832</w:t>
                  </w:r>
                </w:p>
              </w:tc>
            </w:tr>
            <w:tr w14:paraId="1E54F1A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33" w:type="pct"/>
                  <w:tcBorders>
                    <w:tl2br w:val="nil"/>
                    <w:tr2bl w:val="nil"/>
                  </w:tcBorders>
                  <w:shd w:val="clear" w:color="auto" w:fill="auto"/>
                  <w:vAlign w:val="center"/>
                </w:tcPr>
                <w:p w14:paraId="0C947205">
                  <w:pPr>
                    <w:pStyle w:val="38"/>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baseline"/>
                    <w:rPr>
                      <w:rFonts w:hint="default" w:ascii="Times New Roman" w:hAnsi="Times New Roman" w:eastAsia="宋体" w:cs="Times New Roman"/>
                      <w:b w:val="0"/>
                      <w:bCs/>
                      <w:color w:val="auto"/>
                      <w:spacing w:val="-10"/>
                      <w:kern w:val="2"/>
                      <w:sz w:val="21"/>
                      <w:szCs w:val="21"/>
                      <w:highlight w:val="none"/>
                      <w:vertAlign w:val="baseline"/>
                      <w:lang w:val="en-US" w:eastAsia="zh-CN" w:bidi="ar"/>
                    </w:rPr>
                  </w:pPr>
                  <w:r>
                    <w:rPr>
                      <w:rFonts w:hint="default" w:ascii="Times New Roman" w:hAnsi="Times New Roman" w:eastAsia="宋体" w:cs="Times New Roman"/>
                      <w:b w:val="0"/>
                      <w:bCs/>
                      <w:color w:val="auto"/>
                      <w:spacing w:val="-10"/>
                      <w:kern w:val="2"/>
                      <w:sz w:val="21"/>
                      <w:szCs w:val="21"/>
                      <w:highlight w:val="none"/>
                      <w:vertAlign w:val="baseline"/>
                      <w:lang w:val="en-US" w:eastAsia="zh-CN" w:bidi="ar"/>
                    </w:rPr>
                    <w:t>抛光测试</w:t>
                  </w:r>
                  <w:r>
                    <w:rPr>
                      <w:rFonts w:hint="eastAsia" w:ascii="Times New Roman" w:hAnsi="Times New Roman" w:eastAsia="宋体" w:cs="Times New Roman"/>
                      <w:b w:val="0"/>
                      <w:bCs/>
                      <w:color w:val="auto"/>
                      <w:spacing w:val="-10"/>
                      <w:kern w:val="2"/>
                      <w:sz w:val="21"/>
                      <w:szCs w:val="21"/>
                      <w:highlight w:val="none"/>
                      <w:vertAlign w:val="baseline"/>
                      <w:lang w:val="en-US" w:eastAsia="zh-CN" w:bidi="ar"/>
                    </w:rPr>
                    <w:t>配料</w:t>
                  </w:r>
                </w:p>
              </w:tc>
              <w:tc>
                <w:tcPr>
                  <w:tcW w:w="362" w:type="pct"/>
                  <w:tcBorders>
                    <w:tl2br w:val="nil"/>
                    <w:tr2bl w:val="nil"/>
                  </w:tcBorders>
                  <w:vAlign w:val="center"/>
                </w:tcPr>
                <w:p w14:paraId="5BF4755F">
                  <w:pPr>
                    <w:jc w:val="center"/>
                    <w:rPr>
                      <w:rFonts w:hint="eastAsia" w:eastAsia="宋体"/>
                      <w:color w:val="auto"/>
                      <w:sz w:val="21"/>
                      <w:szCs w:val="21"/>
                      <w:lang w:val="en-US" w:eastAsia="zh-CN"/>
                    </w:rPr>
                  </w:pPr>
                  <w:r>
                    <w:rPr>
                      <w:rFonts w:hint="eastAsia" w:eastAsia="宋体"/>
                      <w:color w:val="auto"/>
                      <w:sz w:val="21"/>
                      <w:szCs w:val="21"/>
                      <w:lang w:val="en-US" w:eastAsia="zh-CN"/>
                    </w:rPr>
                    <w:t>G</w:t>
                  </w:r>
                  <w:r>
                    <w:rPr>
                      <w:rFonts w:hint="eastAsia"/>
                      <w:color w:val="auto"/>
                      <w:sz w:val="21"/>
                      <w:szCs w:val="21"/>
                      <w:lang w:val="en-US" w:eastAsia="zh-CN"/>
                    </w:rPr>
                    <w:t>3</w:t>
                  </w:r>
                </w:p>
              </w:tc>
              <w:tc>
                <w:tcPr>
                  <w:tcW w:w="545" w:type="pct"/>
                  <w:tcBorders>
                    <w:tl2br w:val="nil"/>
                    <w:tr2bl w:val="nil"/>
                  </w:tcBorders>
                  <w:vAlign w:val="center"/>
                </w:tcPr>
                <w:p w14:paraId="124D25D6">
                  <w:pPr>
                    <w:jc w:val="center"/>
                    <w:rPr>
                      <w:rFonts w:hint="eastAsia"/>
                      <w:color w:val="auto"/>
                      <w:sz w:val="21"/>
                      <w:szCs w:val="21"/>
                    </w:rPr>
                  </w:pPr>
                  <w:r>
                    <w:rPr>
                      <w:rFonts w:hint="eastAsia"/>
                      <w:color w:val="auto"/>
                      <w:sz w:val="21"/>
                      <w:szCs w:val="21"/>
                      <w:lang w:val="en-US" w:eastAsia="zh-CN"/>
                    </w:rPr>
                    <w:t>颗粒物</w:t>
                  </w:r>
                </w:p>
              </w:tc>
              <w:tc>
                <w:tcPr>
                  <w:tcW w:w="371" w:type="pct"/>
                  <w:tcBorders>
                    <w:tl2br w:val="nil"/>
                    <w:tr2bl w:val="nil"/>
                  </w:tcBorders>
                  <w:shd w:val="clear" w:color="auto" w:fill="auto"/>
                  <w:vAlign w:val="center"/>
                </w:tcPr>
                <w:p w14:paraId="0B047749">
                  <w:pPr>
                    <w:keepNext w:val="0"/>
                    <w:keepLines w:val="0"/>
                    <w:widowControl/>
                    <w:suppressLineNumbers w:val="0"/>
                    <w:jc w:val="center"/>
                    <w:textAlignment w:val="center"/>
                    <w:rPr>
                      <w:rFonts w:hint="default" w:ascii="Times New Roman" w:hAnsi="Times New Roman" w:eastAsia="宋体" w:cs="Times New Roman"/>
                      <w:b w:val="0"/>
                      <w:bCs/>
                      <w:color w:val="auto"/>
                      <w:kern w:val="2"/>
                      <w:sz w:val="21"/>
                      <w:szCs w:val="21"/>
                      <w:highlight w:val="none"/>
                      <w:vertAlign w:val="baseline"/>
                      <w:lang w:val="en-US" w:eastAsia="zh-CN" w:bidi="ar"/>
                    </w:rPr>
                  </w:pPr>
                  <w:r>
                    <w:rPr>
                      <w:rFonts w:hint="default" w:ascii="Times New Roman" w:hAnsi="Times New Roman" w:eastAsia="宋体" w:cs="Times New Roman"/>
                      <w:b w:val="0"/>
                      <w:bCs/>
                      <w:color w:val="auto"/>
                      <w:kern w:val="2"/>
                      <w:sz w:val="21"/>
                      <w:szCs w:val="21"/>
                      <w:highlight w:val="none"/>
                      <w:vertAlign w:val="baseline"/>
                      <w:lang w:val="en-US" w:eastAsia="zh-CN" w:bidi="ar"/>
                    </w:rPr>
                    <w:t>0.0004</w:t>
                  </w:r>
                </w:p>
              </w:tc>
              <w:tc>
                <w:tcPr>
                  <w:tcW w:w="685" w:type="pct"/>
                  <w:vMerge w:val="continue"/>
                  <w:tcBorders>
                    <w:tl2br w:val="nil"/>
                    <w:tr2bl w:val="nil"/>
                  </w:tcBorders>
                  <w:vAlign w:val="center"/>
                </w:tcPr>
                <w:p w14:paraId="5415A06C">
                  <w:pPr>
                    <w:jc w:val="center"/>
                    <w:rPr>
                      <w:rFonts w:hint="default" w:eastAsia="宋体"/>
                      <w:color w:val="auto"/>
                      <w:sz w:val="21"/>
                      <w:szCs w:val="21"/>
                      <w:lang w:val="en-US" w:eastAsia="zh-CN"/>
                    </w:rPr>
                  </w:pPr>
                </w:p>
              </w:tc>
              <w:tc>
                <w:tcPr>
                  <w:tcW w:w="352" w:type="pct"/>
                  <w:tcBorders>
                    <w:tl2br w:val="nil"/>
                    <w:tr2bl w:val="nil"/>
                  </w:tcBorders>
                  <w:shd w:val="clear" w:color="auto" w:fill="auto"/>
                  <w:vAlign w:val="center"/>
                </w:tcPr>
                <w:p w14:paraId="403A2A9F">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集气罩</w:t>
                  </w:r>
                </w:p>
              </w:tc>
              <w:tc>
                <w:tcPr>
                  <w:tcW w:w="231" w:type="pct"/>
                  <w:tcBorders>
                    <w:tl2br w:val="nil"/>
                    <w:tr2bl w:val="nil"/>
                  </w:tcBorders>
                  <w:shd w:val="clear" w:color="auto" w:fill="auto"/>
                  <w:vAlign w:val="center"/>
                </w:tcPr>
                <w:p w14:paraId="17021786">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80</w:t>
                  </w:r>
                </w:p>
              </w:tc>
              <w:tc>
                <w:tcPr>
                  <w:tcW w:w="670" w:type="pct"/>
                  <w:tcBorders>
                    <w:tl2br w:val="nil"/>
                    <w:tr2bl w:val="nil"/>
                  </w:tcBorders>
                  <w:shd w:val="clear" w:color="auto" w:fill="auto"/>
                  <w:vAlign w:val="center"/>
                </w:tcPr>
                <w:p w14:paraId="5D2B5458">
                  <w:pPr>
                    <w:jc w:val="center"/>
                    <w:rPr>
                      <w:rFonts w:hint="default" w:ascii="Times New Roman" w:hAnsi="Times New Roman" w:eastAsia="宋体" w:cs="Times New Roman"/>
                      <w:color w:val="auto"/>
                      <w:kern w:val="2"/>
                      <w:sz w:val="21"/>
                      <w:szCs w:val="21"/>
                      <w:lang w:val="en-US" w:eastAsia="zh-CN" w:bidi="ar"/>
                    </w:rPr>
                  </w:pPr>
                  <w:r>
                    <w:rPr>
                      <w:rFonts w:hint="default" w:ascii="Times New Roman" w:hAnsi="Times New Roman" w:eastAsia="宋体" w:cs="Times New Roman"/>
                      <w:color w:val="auto"/>
                      <w:kern w:val="2"/>
                      <w:sz w:val="21"/>
                      <w:szCs w:val="21"/>
                      <w:lang w:val="en-US" w:eastAsia="zh-CN" w:bidi="ar"/>
                    </w:rPr>
                    <w:t>移动式布袋除尘器</w:t>
                  </w:r>
                </w:p>
              </w:tc>
              <w:tc>
                <w:tcPr>
                  <w:tcW w:w="386" w:type="pct"/>
                  <w:tcBorders>
                    <w:tl2br w:val="nil"/>
                    <w:tr2bl w:val="nil"/>
                  </w:tcBorders>
                  <w:shd w:val="clear" w:color="auto" w:fill="auto"/>
                  <w:vAlign w:val="center"/>
                </w:tcPr>
                <w:p w14:paraId="32A4F18B">
                  <w:pPr>
                    <w:jc w:val="center"/>
                    <w:rPr>
                      <w:rFonts w:hint="default" w:ascii="Times New Roman" w:hAnsi="Times New Roman" w:eastAsia="宋体" w:cs="Times New Roman"/>
                      <w:color w:val="auto"/>
                      <w:kern w:val="2"/>
                      <w:sz w:val="21"/>
                      <w:szCs w:val="21"/>
                      <w:lang w:val="en-US" w:eastAsia="zh-CN" w:bidi="ar"/>
                    </w:rPr>
                  </w:pPr>
                  <w:r>
                    <w:rPr>
                      <w:rFonts w:hint="eastAsia"/>
                      <w:color w:val="auto"/>
                      <w:sz w:val="21"/>
                      <w:szCs w:val="21"/>
                      <w:lang w:val="en-US" w:eastAsia="zh-CN"/>
                    </w:rPr>
                    <w:t>95</w:t>
                  </w:r>
                </w:p>
              </w:tc>
              <w:tc>
                <w:tcPr>
                  <w:tcW w:w="409" w:type="pct"/>
                  <w:vMerge w:val="continue"/>
                  <w:tcBorders>
                    <w:tl2br w:val="nil"/>
                    <w:tr2bl w:val="nil"/>
                  </w:tcBorders>
                  <w:shd w:val="clear" w:color="auto" w:fill="auto"/>
                  <w:vAlign w:val="center"/>
                </w:tcPr>
                <w:p w14:paraId="4BD20CE5">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color w:val="auto"/>
                      <w:kern w:val="2"/>
                      <w:sz w:val="21"/>
                      <w:szCs w:val="21"/>
                      <w:highlight w:val="none"/>
                      <w:lang w:val="en-US" w:eastAsia="zh-CN" w:bidi="ar-SA"/>
                    </w:rPr>
                  </w:pPr>
                </w:p>
              </w:tc>
              <w:tc>
                <w:tcPr>
                  <w:tcW w:w="386" w:type="pct"/>
                  <w:tcBorders>
                    <w:tl2br w:val="nil"/>
                    <w:tr2bl w:val="nil"/>
                  </w:tcBorders>
                  <w:vAlign w:val="center"/>
                </w:tcPr>
                <w:p w14:paraId="07316B13">
                  <w:pPr>
                    <w:jc w:val="center"/>
                    <w:rPr>
                      <w:rFonts w:hint="eastAsia" w:eastAsia="宋体"/>
                      <w:color w:val="auto"/>
                      <w:sz w:val="21"/>
                      <w:szCs w:val="21"/>
                      <w:lang w:eastAsia="zh-CN"/>
                    </w:rPr>
                  </w:pPr>
                  <w:r>
                    <w:rPr>
                      <w:rFonts w:hint="eastAsia" w:eastAsia="宋体"/>
                      <w:color w:val="auto"/>
                      <w:sz w:val="21"/>
                      <w:szCs w:val="21"/>
                      <w:lang w:val="en-US" w:eastAsia="zh-CN"/>
                    </w:rPr>
                    <w:t>车间排放</w:t>
                  </w:r>
                </w:p>
              </w:tc>
              <w:tc>
                <w:tcPr>
                  <w:tcW w:w="265" w:type="pct"/>
                  <w:tcBorders>
                    <w:tl2br w:val="nil"/>
                    <w:tr2bl w:val="nil"/>
                  </w:tcBorders>
                  <w:shd w:val="clear" w:color="auto" w:fill="auto"/>
                  <w:vAlign w:val="center"/>
                </w:tcPr>
                <w:p w14:paraId="66E3E64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354</w:t>
                  </w:r>
                </w:p>
              </w:tc>
            </w:tr>
            <w:bookmarkEnd w:id="26"/>
            <w:tr w14:paraId="5194815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33" w:type="pct"/>
                  <w:tcBorders>
                    <w:tl2br w:val="nil"/>
                    <w:tr2bl w:val="nil"/>
                  </w:tcBorders>
                  <w:vAlign w:val="center"/>
                </w:tcPr>
                <w:p w14:paraId="7F99938B">
                  <w:pPr>
                    <w:jc w:val="center"/>
                    <w:rPr>
                      <w:rFonts w:hint="default" w:eastAsia="宋体"/>
                      <w:color w:val="auto"/>
                      <w:sz w:val="21"/>
                      <w:szCs w:val="21"/>
                      <w:lang w:val="en-US" w:eastAsia="zh-CN"/>
                    </w:rPr>
                  </w:pPr>
                  <w:r>
                    <w:rPr>
                      <w:rFonts w:hint="default" w:eastAsia="宋体"/>
                      <w:color w:val="auto"/>
                      <w:sz w:val="21"/>
                      <w:szCs w:val="21"/>
                      <w:lang w:val="en-US" w:eastAsia="zh-CN"/>
                    </w:rPr>
                    <w:t>CNC加工、精加工</w:t>
                  </w:r>
                </w:p>
              </w:tc>
              <w:tc>
                <w:tcPr>
                  <w:tcW w:w="362" w:type="pct"/>
                  <w:tcBorders>
                    <w:tl2br w:val="nil"/>
                    <w:tr2bl w:val="nil"/>
                  </w:tcBorders>
                  <w:vAlign w:val="center"/>
                </w:tcPr>
                <w:p w14:paraId="134C7721">
                  <w:pPr>
                    <w:jc w:val="center"/>
                    <w:rPr>
                      <w:rFonts w:hint="default"/>
                      <w:color w:val="auto"/>
                      <w:sz w:val="21"/>
                      <w:szCs w:val="21"/>
                      <w:lang w:val="en-US"/>
                    </w:rPr>
                  </w:pPr>
                  <w:r>
                    <w:rPr>
                      <w:rFonts w:hint="default"/>
                      <w:color w:val="auto"/>
                      <w:sz w:val="21"/>
                      <w:szCs w:val="21"/>
                      <w:lang w:val="en-US"/>
                    </w:rPr>
                    <w:t>G1、G2</w:t>
                  </w:r>
                </w:p>
              </w:tc>
              <w:tc>
                <w:tcPr>
                  <w:tcW w:w="545" w:type="pct"/>
                  <w:tcBorders>
                    <w:tl2br w:val="nil"/>
                    <w:tr2bl w:val="nil"/>
                  </w:tcBorders>
                  <w:vAlign w:val="center"/>
                </w:tcPr>
                <w:p w14:paraId="2CFBA509">
                  <w:pPr>
                    <w:widowControl/>
                    <w:wordWrap w:val="0"/>
                    <w:adjustRightInd w:val="0"/>
                    <w:snapToGrid w:val="0"/>
                    <w:jc w:val="center"/>
                    <w:textAlignment w:val="baseline"/>
                    <w:rPr>
                      <w:rFonts w:hint="eastAsia" w:ascii="Times New Roman" w:hAnsi="Times New Roman" w:eastAsia="宋体" w:cs="Times New Roman"/>
                      <w:color w:val="auto"/>
                      <w:spacing w:val="4"/>
                      <w:kern w:val="0"/>
                      <w:sz w:val="21"/>
                      <w:szCs w:val="21"/>
                      <w:lang w:val="en-US" w:eastAsia="zh-CN" w:bidi="ar"/>
                    </w:rPr>
                  </w:pPr>
                  <w:r>
                    <w:rPr>
                      <w:rFonts w:hint="eastAsia"/>
                      <w:color w:val="auto"/>
                      <w:sz w:val="21"/>
                      <w:szCs w:val="21"/>
                      <w:lang w:val="en-US" w:eastAsia="zh-CN"/>
                    </w:rPr>
                    <w:t>非甲烷总烃</w:t>
                  </w:r>
                </w:p>
              </w:tc>
              <w:tc>
                <w:tcPr>
                  <w:tcW w:w="371" w:type="pct"/>
                  <w:tcBorders>
                    <w:tl2br w:val="nil"/>
                    <w:tr2bl w:val="nil"/>
                  </w:tcBorders>
                  <w:vAlign w:val="center"/>
                </w:tcPr>
                <w:p w14:paraId="4CA33283">
                  <w:pPr>
                    <w:jc w:val="center"/>
                    <w:rPr>
                      <w:rFonts w:hint="default" w:eastAsia="宋体"/>
                      <w:color w:val="auto"/>
                      <w:sz w:val="21"/>
                      <w:szCs w:val="21"/>
                      <w:lang w:val="en-US" w:eastAsia="zh-CN"/>
                    </w:rPr>
                  </w:pPr>
                  <w:r>
                    <w:rPr>
                      <w:rFonts w:hint="default" w:eastAsia="宋体"/>
                      <w:color w:val="auto"/>
                      <w:sz w:val="21"/>
                      <w:szCs w:val="21"/>
                      <w:lang w:val="en-US" w:eastAsia="zh-CN"/>
                    </w:rPr>
                    <w:t>0.0395</w:t>
                  </w:r>
                </w:p>
              </w:tc>
              <w:tc>
                <w:tcPr>
                  <w:tcW w:w="685" w:type="pct"/>
                  <w:vMerge w:val="continue"/>
                  <w:tcBorders>
                    <w:tl2br w:val="nil"/>
                    <w:tr2bl w:val="nil"/>
                  </w:tcBorders>
                  <w:shd w:val="clear" w:color="auto" w:fill="auto"/>
                  <w:vAlign w:val="center"/>
                </w:tcPr>
                <w:p w14:paraId="6AFBFC6A">
                  <w:pPr>
                    <w:jc w:val="center"/>
                    <w:rPr>
                      <w:rFonts w:hint="eastAsia" w:ascii="Times New Roman" w:hAnsi="Times New Roman" w:eastAsia="宋体" w:cs="Times New Roman"/>
                      <w:color w:val="auto"/>
                      <w:kern w:val="2"/>
                      <w:sz w:val="21"/>
                      <w:szCs w:val="21"/>
                      <w:lang w:val="en-US" w:eastAsia="zh-CN" w:bidi="ar"/>
                    </w:rPr>
                  </w:pPr>
                </w:p>
              </w:tc>
              <w:tc>
                <w:tcPr>
                  <w:tcW w:w="352" w:type="pct"/>
                  <w:tcBorders>
                    <w:tl2br w:val="nil"/>
                    <w:tr2bl w:val="nil"/>
                  </w:tcBorders>
                  <w:shd w:val="clear" w:color="auto" w:fill="auto"/>
                  <w:vAlign w:val="center"/>
                </w:tcPr>
                <w:p w14:paraId="079635D7">
                  <w:pPr>
                    <w:jc w:val="center"/>
                    <w:rPr>
                      <w:rFonts w:hint="eastAsia" w:ascii="Times New Roman" w:hAnsi="Times New Roman" w:eastAsia="宋体" w:cs="Times New Roman"/>
                      <w:color w:val="auto"/>
                      <w:kern w:val="2"/>
                      <w:sz w:val="21"/>
                      <w:szCs w:val="21"/>
                      <w:lang w:val="en-US" w:eastAsia="zh-CN" w:bidi="ar"/>
                    </w:rPr>
                  </w:pPr>
                  <w:r>
                    <w:rPr>
                      <w:rFonts w:hint="eastAsia"/>
                      <w:color w:val="auto"/>
                      <w:sz w:val="21"/>
                      <w:szCs w:val="21"/>
                    </w:rPr>
                    <w:t>/</w:t>
                  </w:r>
                </w:p>
              </w:tc>
              <w:tc>
                <w:tcPr>
                  <w:tcW w:w="231" w:type="pct"/>
                  <w:tcBorders>
                    <w:tl2br w:val="nil"/>
                    <w:tr2bl w:val="nil"/>
                  </w:tcBorders>
                  <w:shd w:val="clear" w:color="auto" w:fill="auto"/>
                  <w:vAlign w:val="center"/>
                </w:tcPr>
                <w:p w14:paraId="6D5ABF6F">
                  <w:pPr>
                    <w:jc w:val="center"/>
                    <w:rPr>
                      <w:rFonts w:hint="eastAsia" w:ascii="Times New Roman" w:hAnsi="Times New Roman" w:eastAsia="宋体" w:cs="Times New Roman"/>
                      <w:color w:val="auto"/>
                      <w:kern w:val="2"/>
                      <w:sz w:val="21"/>
                      <w:szCs w:val="21"/>
                      <w:lang w:val="en-US" w:eastAsia="zh-CN" w:bidi="ar"/>
                    </w:rPr>
                  </w:pPr>
                  <w:r>
                    <w:rPr>
                      <w:rFonts w:hint="eastAsia"/>
                      <w:color w:val="auto"/>
                      <w:sz w:val="21"/>
                      <w:szCs w:val="21"/>
                    </w:rPr>
                    <w:t>/</w:t>
                  </w:r>
                </w:p>
              </w:tc>
              <w:tc>
                <w:tcPr>
                  <w:tcW w:w="670" w:type="pct"/>
                  <w:tcBorders>
                    <w:tl2br w:val="nil"/>
                    <w:tr2bl w:val="nil"/>
                  </w:tcBorders>
                  <w:shd w:val="clear" w:color="auto" w:fill="auto"/>
                  <w:vAlign w:val="center"/>
                </w:tcPr>
                <w:p w14:paraId="663BF0A2">
                  <w:pPr>
                    <w:jc w:val="center"/>
                    <w:rPr>
                      <w:rFonts w:hint="eastAsia" w:ascii="Times New Roman" w:hAnsi="Times New Roman" w:eastAsia="宋体" w:cs="Times New Roman"/>
                      <w:color w:val="auto"/>
                      <w:kern w:val="2"/>
                      <w:sz w:val="21"/>
                      <w:szCs w:val="21"/>
                      <w:lang w:val="en-US" w:eastAsia="zh-CN" w:bidi="ar"/>
                    </w:rPr>
                  </w:pPr>
                  <w:r>
                    <w:rPr>
                      <w:rFonts w:hint="eastAsia"/>
                      <w:color w:val="auto"/>
                      <w:sz w:val="21"/>
                      <w:szCs w:val="21"/>
                    </w:rPr>
                    <w:t>/</w:t>
                  </w:r>
                </w:p>
              </w:tc>
              <w:tc>
                <w:tcPr>
                  <w:tcW w:w="386" w:type="pct"/>
                  <w:tcBorders>
                    <w:tl2br w:val="nil"/>
                    <w:tr2bl w:val="nil"/>
                  </w:tcBorders>
                  <w:shd w:val="clear" w:color="auto" w:fill="auto"/>
                  <w:vAlign w:val="center"/>
                </w:tcPr>
                <w:p w14:paraId="0A9E7941">
                  <w:pPr>
                    <w:jc w:val="center"/>
                    <w:rPr>
                      <w:rFonts w:hint="default" w:ascii="Times New Roman" w:hAnsi="Times New Roman" w:eastAsia="宋体" w:cs="Times New Roman"/>
                      <w:color w:val="auto"/>
                      <w:kern w:val="2"/>
                      <w:sz w:val="21"/>
                      <w:szCs w:val="21"/>
                      <w:lang w:val="en-US" w:eastAsia="zh-CN" w:bidi="ar"/>
                    </w:rPr>
                  </w:pPr>
                  <w:r>
                    <w:rPr>
                      <w:rFonts w:hint="eastAsia"/>
                      <w:color w:val="auto"/>
                      <w:sz w:val="21"/>
                      <w:szCs w:val="21"/>
                    </w:rPr>
                    <w:t>/</w:t>
                  </w:r>
                </w:p>
              </w:tc>
              <w:tc>
                <w:tcPr>
                  <w:tcW w:w="409" w:type="pct"/>
                  <w:tcBorders>
                    <w:tl2br w:val="nil"/>
                    <w:tr2bl w:val="nil"/>
                  </w:tcBorders>
                  <w:shd w:val="clear" w:color="auto" w:fill="auto"/>
                  <w:vAlign w:val="center"/>
                </w:tcPr>
                <w:p w14:paraId="4536469E">
                  <w:pPr>
                    <w:jc w:val="center"/>
                    <w:rPr>
                      <w:rFonts w:hint="eastAsia" w:ascii="Times New Roman" w:hAnsi="Times New Roman" w:eastAsia="宋体" w:cs="Times New Roman"/>
                      <w:color w:val="auto"/>
                      <w:kern w:val="2"/>
                      <w:sz w:val="21"/>
                      <w:szCs w:val="21"/>
                      <w:lang w:val="en-US" w:eastAsia="zh-CN" w:bidi="ar"/>
                    </w:rPr>
                  </w:pPr>
                  <w:r>
                    <w:rPr>
                      <w:rFonts w:hint="eastAsia"/>
                      <w:color w:val="auto"/>
                      <w:sz w:val="21"/>
                      <w:szCs w:val="21"/>
                    </w:rPr>
                    <w:t>是</w:t>
                  </w:r>
                </w:p>
              </w:tc>
              <w:tc>
                <w:tcPr>
                  <w:tcW w:w="386" w:type="pct"/>
                  <w:tcBorders>
                    <w:tl2br w:val="nil"/>
                    <w:tr2bl w:val="nil"/>
                  </w:tcBorders>
                  <w:shd w:val="clear" w:color="auto" w:fill="auto"/>
                  <w:vAlign w:val="center"/>
                </w:tcPr>
                <w:p w14:paraId="1A34CFFD">
                  <w:pPr>
                    <w:jc w:val="center"/>
                    <w:rPr>
                      <w:rFonts w:hint="default" w:ascii="Times New Roman" w:hAnsi="Times New Roman" w:eastAsia="宋体" w:cs="Times New Roman"/>
                      <w:color w:val="auto"/>
                      <w:kern w:val="2"/>
                      <w:sz w:val="21"/>
                      <w:szCs w:val="21"/>
                      <w:lang w:val="en-US" w:eastAsia="zh-CN" w:bidi="ar"/>
                    </w:rPr>
                  </w:pPr>
                  <w:r>
                    <w:rPr>
                      <w:rFonts w:hint="eastAsia"/>
                      <w:color w:val="auto"/>
                      <w:sz w:val="21"/>
                      <w:szCs w:val="21"/>
                    </w:rPr>
                    <w:t>车间排放</w:t>
                  </w:r>
                </w:p>
              </w:tc>
              <w:tc>
                <w:tcPr>
                  <w:tcW w:w="265" w:type="pct"/>
                  <w:tcBorders>
                    <w:tl2br w:val="nil"/>
                    <w:tr2bl w:val="nil"/>
                  </w:tcBorders>
                  <w:vAlign w:val="center"/>
                </w:tcPr>
                <w:p w14:paraId="0877DED1">
                  <w:pPr>
                    <w:jc w:val="center"/>
                    <w:rPr>
                      <w:rFonts w:hint="default" w:eastAsia="宋体"/>
                      <w:color w:val="auto"/>
                      <w:sz w:val="21"/>
                      <w:szCs w:val="21"/>
                      <w:lang w:val="en-US" w:eastAsia="zh-CN"/>
                    </w:rPr>
                  </w:pPr>
                  <w:r>
                    <w:rPr>
                      <w:rFonts w:hint="default" w:eastAsia="宋体"/>
                      <w:color w:val="auto"/>
                      <w:sz w:val="21"/>
                      <w:szCs w:val="21"/>
                      <w:lang w:val="en-US" w:eastAsia="zh-CN"/>
                    </w:rPr>
                    <w:t>3540</w:t>
                  </w:r>
                </w:p>
              </w:tc>
            </w:tr>
          </w:tbl>
          <w:p w14:paraId="24B2DA55">
            <w:pPr>
              <w:spacing w:before="120" w:beforeLines="50" w:line="360" w:lineRule="auto"/>
              <w:ind w:firstLine="480" w:firstLineChars="200"/>
              <w:rPr>
                <w:color w:val="auto"/>
                <w:sz w:val="24"/>
                <w:szCs w:val="24"/>
              </w:rPr>
            </w:pPr>
            <w:r>
              <w:rPr>
                <w:rFonts w:hint="eastAsia"/>
                <w:color w:val="auto"/>
                <w:sz w:val="24"/>
                <w:szCs w:val="24"/>
              </w:rPr>
              <w:t>有组织废气产生及排放情况一览表见表4-</w:t>
            </w:r>
            <w:r>
              <w:rPr>
                <w:rFonts w:hint="eastAsia"/>
                <w:color w:val="auto"/>
                <w:sz w:val="24"/>
                <w:szCs w:val="24"/>
                <w:lang w:val="en-US" w:eastAsia="zh-CN"/>
              </w:rPr>
              <w:t>2</w:t>
            </w:r>
            <w:r>
              <w:rPr>
                <w:rFonts w:hint="eastAsia"/>
                <w:color w:val="auto"/>
                <w:sz w:val="24"/>
                <w:szCs w:val="24"/>
              </w:rPr>
              <w:t>：</w:t>
            </w:r>
          </w:p>
          <w:p w14:paraId="7C6EC80A">
            <w:pPr>
              <w:jc w:val="center"/>
              <w:rPr>
                <w:b/>
                <w:bCs/>
                <w:color w:val="auto"/>
              </w:rPr>
            </w:pPr>
            <w:r>
              <w:rPr>
                <w:rFonts w:hint="eastAsia"/>
                <w:b/>
                <w:bCs/>
                <w:color w:val="auto"/>
                <w:sz w:val="24"/>
                <w:szCs w:val="24"/>
              </w:rPr>
              <w:t>表4-</w:t>
            </w:r>
            <w:r>
              <w:rPr>
                <w:rFonts w:hint="eastAsia"/>
                <w:b/>
                <w:bCs/>
                <w:color w:val="auto"/>
                <w:sz w:val="24"/>
                <w:szCs w:val="24"/>
                <w:lang w:val="en-US" w:eastAsia="zh-CN"/>
              </w:rPr>
              <w:t>2</w:t>
            </w:r>
            <w:r>
              <w:rPr>
                <w:rFonts w:hint="eastAsia"/>
                <w:b/>
                <w:bCs/>
                <w:color w:val="auto"/>
                <w:sz w:val="24"/>
                <w:szCs w:val="24"/>
              </w:rPr>
              <w:t xml:space="preserve"> 本</w:t>
            </w:r>
            <w:r>
              <w:rPr>
                <w:b/>
                <w:bCs/>
                <w:color w:val="auto"/>
                <w:sz w:val="24"/>
                <w:szCs w:val="24"/>
              </w:rPr>
              <w:t>项目有组织废气</w:t>
            </w:r>
            <w:r>
              <w:rPr>
                <w:rFonts w:hint="eastAsia"/>
                <w:b/>
                <w:bCs/>
                <w:color w:val="auto"/>
                <w:sz w:val="24"/>
                <w:szCs w:val="24"/>
              </w:rPr>
              <w:t>排放</w:t>
            </w:r>
            <w:r>
              <w:rPr>
                <w:b/>
                <w:bCs/>
                <w:color w:val="auto"/>
                <w:sz w:val="24"/>
                <w:szCs w:val="24"/>
              </w:rPr>
              <w:t>情况表</w:t>
            </w:r>
          </w:p>
          <w:tbl>
            <w:tblPr>
              <w:tblStyle w:val="27"/>
              <w:tblW w:w="12909"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785"/>
              <w:gridCol w:w="670"/>
              <w:gridCol w:w="980"/>
              <w:gridCol w:w="844"/>
              <w:gridCol w:w="795"/>
              <w:gridCol w:w="714"/>
              <w:gridCol w:w="951"/>
              <w:gridCol w:w="805"/>
              <w:gridCol w:w="710"/>
              <w:gridCol w:w="416"/>
              <w:gridCol w:w="525"/>
              <w:gridCol w:w="480"/>
              <w:gridCol w:w="600"/>
              <w:gridCol w:w="920"/>
              <w:gridCol w:w="1245"/>
              <w:gridCol w:w="790"/>
              <w:gridCol w:w="679"/>
            </w:tblGrid>
            <w:tr w14:paraId="58DAEC1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785" w:type="dxa"/>
                  <w:vMerge w:val="restart"/>
                  <w:tcBorders>
                    <w:tl2br w:val="nil"/>
                    <w:tr2bl w:val="nil"/>
                  </w:tcBorders>
                  <w:vAlign w:val="center"/>
                </w:tcPr>
                <w:p w14:paraId="40FD2DAE">
                  <w:pPr>
                    <w:jc w:val="center"/>
                    <w:rPr>
                      <w:b/>
                      <w:bCs/>
                      <w:color w:val="auto"/>
                    </w:rPr>
                  </w:pPr>
                  <w:r>
                    <w:rPr>
                      <w:b/>
                      <w:bCs/>
                      <w:color w:val="auto"/>
                    </w:rPr>
                    <w:t>产污环节</w:t>
                  </w:r>
                </w:p>
              </w:tc>
              <w:tc>
                <w:tcPr>
                  <w:tcW w:w="670" w:type="dxa"/>
                  <w:vMerge w:val="restart"/>
                  <w:tcBorders>
                    <w:tl2br w:val="nil"/>
                    <w:tr2bl w:val="nil"/>
                  </w:tcBorders>
                  <w:vAlign w:val="center"/>
                </w:tcPr>
                <w:p w14:paraId="4BCE4467">
                  <w:pPr>
                    <w:jc w:val="center"/>
                    <w:rPr>
                      <w:b/>
                      <w:bCs/>
                      <w:color w:val="auto"/>
                    </w:rPr>
                  </w:pPr>
                  <w:r>
                    <w:rPr>
                      <w:b/>
                      <w:bCs/>
                      <w:color w:val="auto"/>
                    </w:rPr>
                    <w:t>风量m</w:t>
                  </w:r>
                  <w:r>
                    <w:rPr>
                      <w:b/>
                      <w:bCs/>
                      <w:color w:val="auto"/>
                      <w:vertAlign w:val="superscript"/>
                    </w:rPr>
                    <w:t>3</w:t>
                  </w:r>
                  <w:r>
                    <w:rPr>
                      <w:b/>
                      <w:bCs/>
                      <w:color w:val="auto"/>
                    </w:rPr>
                    <w:t>/h</w:t>
                  </w:r>
                </w:p>
              </w:tc>
              <w:tc>
                <w:tcPr>
                  <w:tcW w:w="980" w:type="dxa"/>
                  <w:vMerge w:val="restart"/>
                  <w:tcBorders>
                    <w:tl2br w:val="nil"/>
                    <w:tr2bl w:val="nil"/>
                  </w:tcBorders>
                  <w:vAlign w:val="center"/>
                </w:tcPr>
                <w:p w14:paraId="4322F53D">
                  <w:pPr>
                    <w:jc w:val="center"/>
                    <w:rPr>
                      <w:b/>
                      <w:bCs/>
                      <w:color w:val="auto"/>
                    </w:rPr>
                  </w:pPr>
                  <w:r>
                    <w:rPr>
                      <w:b/>
                      <w:bCs/>
                      <w:color w:val="auto"/>
                    </w:rPr>
                    <w:t>污染物种类</w:t>
                  </w:r>
                </w:p>
              </w:tc>
              <w:tc>
                <w:tcPr>
                  <w:tcW w:w="2353" w:type="dxa"/>
                  <w:gridSpan w:val="3"/>
                  <w:tcBorders>
                    <w:tl2br w:val="nil"/>
                    <w:tr2bl w:val="nil"/>
                  </w:tcBorders>
                  <w:vAlign w:val="center"/>
                </w:tcPr>
                <w:p w14:paraId="2F270C7D">
                  <w:pPr>
                    <w:jc w:val="center"/>
                    <w:rPr>
                      <w:b/>
                      <w:bCs/>
                      <w:color w:val="auto"/>
                    </w:rPr>
                  </w:pPr>
                  <w:r>
                    <w:rPr>
                      <w:b/>
                      <w:bCs/>
                      <w:color w:val="auto"/>
                    </w:rPr>
                    <w:t>产生情况</w:t>
                  </w:r>
                </w:p>
              </w:tc>
              <w:tc>
                <w:tcPr>
                  <w:tcW w:w="2466" w:type="dxa"/>
                  <w:gridSpan w:val="3"/>
                  <w:tcBorders>
                    <w:tl2br w:val="nil"/>
                    <w:tr2bl w:val="nil"/>
                  </w:tcBorders>
                  <w:vAlign w:val="center"/>
                </w:tcPr>
                <w:p w14:paraId="0816DD66">
                  <w:pPr>
                    <w:jc w:val="center"/>
                    <w:rPr>
                      <w:b/>
                      <w:bCs/>
                      <w:color w:val="auto"/>
                    </w:rPr>
                  </w:pPr>
                  <w:r>
                    <w:rPr>
                      <w:b/>
                      <w:bCs/>
                      <w:color w:val="auto"/>
                    </w:rPr>
                    <w:t>排放情况</w:t>
                  </w:r>
                </w:p>
              </w:tc>
              <w:tc>
                <w:tcPr>
                  <w:tcW w:w="4186" w:type="dxa"/>
                  <w:gridSpan w:val="6"/>
                  <w:tcBorders>
                    <w:tl2br w:val="nil"/>
                    <w:tr2bl w:val="nil"/>
                  </w:tcBorders>
                  <w:vAlign w:val="center"/>
                </w:tcPr>
                <w:p w14:paraId="70383831">
                  <w:pPr>
                    <w:jc w:val="center"/>
                    <w:rPr>
                      <w:b/>
                      <w:bCs/>
                      <w:color w:val="auto"/>
                    </w:rPr>
                  </w:pPr>
                  <w:r>
                    <w:rPr>
                      <w:b/>
                      <w:bCs/>
                      <w:color w:val="auto"/>
                    </w:rPr>
                    <w:t>排放口基本情况</w:t>
                  </w:r>
                </w:p>
              </w:tc>
              <w:tc>
                <w:tcPr>
                  <w:tcW w:w="1469" w:type="dxa"/>
                  <w:gridSpan w:val="2"/>
                  <w:tcBorders>
                    <w:tl2br w:val="nil"/>
                    <w:tr2bl w:val="nil"/>
                  </w:tcBorders>
                  <w:vAlign w:val="center"/>
                </w:tcPr>
                <w:p w14:paraId="37D09B19">
                  <w:pPr>
                    <w:jc w:val="center"/>
                    <w:rPr>
                      <w:b/>
                      <w:bCs/>
                      <w:color w:val="auto"/>
                    </w:rPr>
                  </w:pPr>
                  <w:r>
                    <w:rPr>
                      <w:b/>
                      <w:bCs/>
                      <w:color w:val="auto"/>
                    </w:rPr>
                    <w:t>排放标准</w:t>
                  </w:r>
                  <w:r>
                    <w:rPr>
                      <w:rFonts w:hint="eastAsia"/>
                      <w:b/>
                      <w:bCs/>
                      <w:color w:val="auto"/>
                    </w:rPr>
                    <w:t>限值</w:t>
                  </w:r>
                </w:p>
              </w:tc>
            </w:tr>
            <w:tr w14:paraId="12C4BD2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7" w:hRule="atLeast"/>
                <w:jc w:val="center"/>
              </w:trPr>
              <w:tc>
                <w:tcPr>
                  <w:tcW w:w="785" w:type="dxa"/>
                  <w:vMerge w:val="continue"/>
                  <w:tcBorders>
                    <w:tl2br w:val="nil"/>
                    <w:tr2bl w:val="nil"/>
                  </w:tcBorders>
                  <w:vAlign w:val="center"/>
                </w:tcPr>
                <w:p w14:paraId="61A1132A">
                  <w:pPr>
                    <w:jc w:val="center"/>
                    <w:rPr>
                      <w:b/>
                      <w:bCs/>
                      <w:color w:val="auto"/>
                    </w:rPr>
                  </w:pPr>
                </w:p>
              </w:tc>
              <w:tc>
                <w:tcPr>
                  <w:tcW w:w="670" w:type="dxa"/>
                  <w:vMerge w:val="continue"/>
                  <w:tcBorders>
                    <w:tl2br w:val="nil"/>
                    <w:tr2bl w:val="nil"/>
                  </w:tcBorders>
                  <w:vAlign w:val="center"/>
                </w:tcPr>
                <w:p w14:paraId="7B690B0B">
                  <w:pPr>
                    <w:jc w:val="center"/>
                    <w:rPr>
                      <w:b/>
                      <w:bCs/>
                      <w:color w:val="auto"/>
                    </w:rPr>
                  </w:pPr>
                </w:p>
              </w:tc>
              <w:tc>
                <w:tcPr>
                  <w:tcW w:w="980" w:type="dxa"/>
                  <w:vMerge w:val="continue"/>
                  <w:tcBorders>
                    <w:tl2br w:val="nil"/>
                    <w:tr2bl w:val="nil"/>
                  </w:tcBorders>
                  <w:vAlign w:val="center"/>
                </w:tcPr>
                <w:p w14:paraId="07D9AE91">
                  <w:pPr>
                    <w:jc w:val="center"/>
                    <w:rPr>
                      <w:b/>
                      <w:bCs/>
                      <w:color w:val="auto"/>
                    </w:rPr>
                  </w:pPr>
                </w:p>
              </w:tc>
              <w:tc>
                <w:tcPr>
                  <w:tcW w:w="844" w:type="dxa"/>
                  <w:tcBorders>
                    <w:tl2br w:val="nil"/>
                    <w:tr2bl w:val="nil"/>
                  </w:tcBorders>
                  <w:vAlign w:val="center"/>
                </w:tcPr>
                <w:p w14:paraId="450AB709">
                  <w:pPr>
                    <w:widowControl/>
                    <w:adjustRightInd w:val="0"/>
                    <w:snapToGrid w:val="0"/>
                    <w:jc w:val="center"/>
                    <w:textAlignment w:val="baseline"/>
                    <w:rPr>
                      <w:b/>
                      <w:bCs/>
                      <w:color w:val="auto"/>
                    </w:rPr>
                  </w:pPr>
                  <w:r>
                    <w:rPr>
                      <w:b/>
                      <w:bCs/>
                      <w:color w:val="auto"/>
                      <w:spacing w:val="4"/>
                      <w:kern w:val="0"/>
                    </w:rPr>
                    <w:t>产生量t/a</w:t>
                  </w:r>
                </w:p>
              </w:tc>
              <w:tc>
                <w:tcPr>
                  <w:tcW w:w="795" w:type="dxa"/>
                  <w:tcBorders>
                    <w:tl2br w:val="nil"/>
                    <w:tr2bl w:val="nil"/>
                  </w:tcBorders>
                  <w:vAlign w:val="center"/>
                </w:tcPr>
                <w:p w14:paraId="471C9D40">
                  <w:pPr>
                    <w:widowControl/>
                    <w:adjustRightInd w:val="0"/>
                    <w:snapToGrid w:val="0"/>
                    <w:jc w:val="center"/>
                    <w:textAlignment w:val="baseline"/>
                    <w:rPr>
                      <w:b/>
                      <w:bCs/>
                      <w:color w:val="auto"/>
                      <w:spacing w:val="4"/>
                      <w:kern w:val="0"/>
                    </w:rPr>
                  </w:pPr>
                  <w:r>
                    <w:rPr>
                      <w:b/>
                      <w:bCs/>
                      <w:color w:val="auto"/>
                      <w:spacing w:val="4"/>
                      <w:kern w:val="0"/>
                    </w:rPr>
                    <w:t>速率</w:t>
                  </w:r>
                </w:p>
                <w:p w14:paraId="2FC976F1">
                  <w:pPr>
                    <w:widowControl/>
                    <w:adjustRightInd w:val="0"/>
                    <w:snapToGrid w:val="0"/>
                    <w:jc w:val="center"/>
                    <w:textAlignment w:val="baseline"/>
                    <w:rPr>
                      <w:b/>
                      <w:bCs/>
                      <w:color w:val="auto"/>
                    </w:rPr>
                  </w:pPr>
                  <w:r>
                    <w:rPr>
                      <w:b/>
                      <w:bCs/>
                      <w:color w:val="auto"/>
                      <w:spacing w:val="4"/>
                      <w:kern w:val="0"/>
                    </w:rPr>
                    <w:t>kg/h</w:t>
                  </w:r>
                </w:p>
              </w:tc>
              <w:tc>
                <w:tcPr>
                  <w:tcW w:w="714" w:type="dxa"/>
                  <w:tcBorders>
                    <w:tl2br w:val="nil"/>
                    <w:tr2bl w:val="nil"/>
                  </w:tcBorders>
                  <w:vAlign w:val="center"/>
                </w:tcPr>
                <w:p w14:paraId="5EE4DB75">
                  <w:pPr>
                    <w:widowControl/>
                    <w:adjustRightInd w:val="0"/>
                    <w:snapToGrid w:val="0"/>
                    <w:jc w:val="center"/>
                    <w:textAlignment w:val="baseline"/>
                    <w:rPr>
                      <w:b/>
                      <w:bCs/>
                      <w:color w:val="auto"/>
                      <w:spacing w:val="4"/>
                      <w:kern w:val="0"/>
                    </w:rPr>
                  </w:pPr>
                  <w:r>
                    <w:rPr>
                      <w:b/>
                      <w:bCs/>
                      <w:color w:val="auto"/>
                      <w:spacing w:val="4"/>
                      <w:kern w:val="0"/>
                    </w:rPr>
                    <w:t>浓度</w:t>
                  </w:r>
                </w:p>
                <w:p w14:paraId="0CC40487">
                  <w:pPr>
                    <w:widowControl/>
                    <w:adjustRightInd w:val="0"/>
                    <w:snapToGrid w:val="0"/>
                    <w:jc w:val="center"/>
                    <w:textAlignment w:val="baseline"/>
                    <w:rPr>
                      <w:b/>
                      <w:bCs/>
                      <w:color w:val="auto"/>
                    </w:rPr>
                  </w:pPr>
                  <w:r>
                    <w:rPr>
                      <w:b/>
                      <w:bCs/>
                      <w:color w:val="auto"/>
                      <w:spacing w:val="4"/>
                      <w:kern w:val="0"/>
                    </w:rPr>
                    <w:t>mg/m</w:t>
                  </w:r>
                  <w:r>
                    <w:rPr>
                      <w:b/>
                      <w:bCs/>
                      <w:color w:val="auto"/>
                      <w:spacing w:val="4"/>
                      <w:kern w:val="0"/>
                      <w:vertAlign w:val="superscript"/>
                    </w:rPr>
                    <w:t>3</w:t>
                  </w:r>
                </w:p>
              </w:tc>
              <w:tc>
                <w:tcPr>
                  <w:tcW w:w="951" w:type="dxa"/>
                  <w:tcBorders>
                    <w:tl2br w:val="nil"/>
                    <w:tr2bl w:val="nil"/>
                  </w:tcBorders>
                  <w:vAlign w:val="center"/>
                </w:tcPr>
                <w:p w14:paraId="56EE6D88">
                  <w:pPr>
                    <w:widowControl/>
                    <w:adjustRightInd w:val="0"/>
                    <w:snapToGrid w:val="0"/>
                    <w:jc w:val="center"/>
                    <w:textAlignment w:val="baseline"/>
                    <w:rPr>
                      <w:b/>
                      <w:bCs/>
                      <w:color w:val="auto"/>
                    </w:rPr>
                  </w:pPr>
                  <w:r>
                    <w:rPr>
                      <w:b/>
                      <w:bCs/>
                      <w:color w:val="auto"/>
                      <w:spacing w:val="4"/>
                      <w:kern w:val="0"/>
                    </w:rPr>
                    <w:t>排放量t/a</w:t>
                  </w:r>
                </w:p>
              </w:tc>
              <w:tc>
                <w:tcPr>
                  <w:tcW w:w="805" w:type="dxa"/>
                  <w:tcBorders>
                    <w:tl2br w:val="nil"/>
                    <w:tr2bl w:val="nil"/>
                  </w:tcBorders>
                  <w:vAlign w:val="center"/>
                </w:tcPr>
                <w:p w14:paraId="13ECE6FB">
                  <w:pPr>
                    <w:widowControl/>
                    <w:adjustRightInd w:val="0"/>
                    <w:snapToGrid w:val="0"/>
                    <w:jc w:val="center"/>
                    <w:textAlignment w:val="baseline"/>
                    <w:rPr>
                      <w:b/>
                      <w:bCs/>
                      <w:color w:val="auto"/>
                      <w:spacing w:val="4"/>
                      <w:kern w:val="0"/>
                    </w:rPr>
                  </w:pPr>
                  <w:r>
                    <w:rPr>
                      <w:b/>
                      <w:bCs/>
                      <w:color w:val="auto"/>
                      <w:spacing w:val="4"/>
                      <w:kern w:val="0"/>
                    </w:rPr>
                    <w:t>速率</w:t>
                  </w:r>
                </w:p>
                <w:p w14:paraId="0265E63B">
                  <w:pPr>
                    <w:widowControl/>
                    <w:adjustRightInd w:val="0"/>
                    <w:snapToGrid w:val="0"/>
                    <w:jc w:val="center"/>
                    <w:textAlignment w:val="baseline"/>
                    <w:rPr>
                      <w:b/>
                      <w:bCs/>
                      <w:color w:val="auto"/>
                    </w:rPr>
                  </w:pPr>
                  <w:r>
                    <w:rPr>
                      <w:b/>
                      <w:bCs/>
                      <w:color w:val="auto"/>
                      <w:spacing w:val="4"/>
                      <w:kern w:val="0"/>
                    </w:rPr>
                    <w:t>kg/h</w:t>
                  </w:r>
                </w:p>
              </w:tc>
              <w:tc>
                <w:tcPr>
                  <w:tcW w:w="710" w:type="dxa"/>
                  <w:tcBorders>
                    <w:tl2br w:val="nil"/>
                    <w:tr2bl w:val="nil"/>
                  </w:tcBorders>
                  <w:vAlign w:val="center"/>
                </w:tcPr>
                <w:p w14:paraId="1A3E1E02">
                  <w:pPr>
                    <w:widowControl/>
                    <w:adjustRightInd w:val="0"/>
                    <w:snapToGrid w:val="0"/>
                    <w:jc w:val="center"/>
                    <w:textAlignment w:val="baseline"/>
                    <w:rPr>
                      <w:b/>
                      <w:bCs/>
                      <w:color w:val="auto"/>
                      <w:spacing w:val="4"/>
                      <w:kern w:val="0"/>
                    </w:rPr>
                  </w:pPr>
                  <w:r>
                    <w:rPr>
                      <w:b/>
                      <w:bCs/>
                      <w:color w:val="auto"/>
                      <w:spacing w:val="4"/>
                      <w:kern w:val="0"/>
                    </w:rPr>
                    <w:t>浓度</w:t>
                  </w:r>
                </w:p>
                <w:p w14:paraId="5C11EB86">
                  <w:pPr>
                    <w:widowControl/>
                    <w:adjustRightInd w:val="0"/>
                    <w:snapToGrid w:val="0"/>
                    <w:jc w:val="center"/>
                    <w:textAlignment w:val="baseline"/>
                    <w:rPr>
                      <w:b/>
                      <w:bCs/>
                      <w:color w:val="auto"/>
                    </w:rPr>
                  </w:pPr>
                  <w:r>
                    <w:rPr>
                      <w:b/>
                      <w:bCs/>
                      <w:color w:val="auto"/>
                      <w:spacing w:val="4"/>
                      <w:kern w:val="0"/>
                    </w:rPr>
                    <w:t>mg/m</w:t>
                  </w:r>
                  <w:r>
                    <w:rPr>
                      <w:b/>
                      <w:bCs/>
                      <w:color w:val="auto"/>
                      <w:spacing w:val="4"/>
                      <w:kern w:val="0"/>
                      <w:vertAlign w:val="superscript"/>
                    </w:rPr>
                    <w:t>3</w:t>
                  </w:r>
                </w:p>
              </w:tc>
              <w:tc>
                <w:tcPr>
                  <w:tcW w:w="416" w:type="dxa"/>
                  <w:tcBorders>
                    <w:tl2br w:val="nil"/>
                    <w:tr2bl w:val="nil"/>
                  </w:tcBorders>
                  <w:vAlign w:val="center"/>
                </w:tcPr>
                <w:p w14:paraId="36855862">
                  <w:pPr>
                    <w:jc w:val="center"/>
                    <w:rPr>
                      <w:b/>
                      <w:bCs/>
                      <w:color w:val="auto"/>
                    </w:rPr>
                  </w:pPr>
                  <w:r>
                    <w:rPr>
                      <w:b/>
                      <w:bCs/>
                      <w:color w:val="auto"/>
                    </w:rPr>
                    <w:t>高度m</w:t>
                  </w:r>
                </w:p>
              </w:tc>
              <w:tc>
                <w:tcPr>
                  <w:tcW w:w="525" w:type="dxa"/>
                  <w:tcBorders>
                    <w:tl2br w:val="nil"/>
                    <w:tr2bl w:val="nil"/>
                  </w:tcBorders>
                  <w:vAlign w:val="center"/>
                </w:tcPr>
                <w:p w14:paraId="349C863D">
                  <w:pPr>
                    <w:jc w:val="center"/>
                    <w:rPr>
                      <w:b/>
                      <w:bCs/>
                      <w:color w:val="auto"/>
                    </w:rPr>
                  </w:pPr>
                  <w:r>
                    <w:rPr>
                      <w:b/>
                      <w:bCs/>
                      <w:color w:val="auto"/>
                    </w:rPr>
                    <w:t>内径m</w:t>
                  </w:r>
                </w:p>
              </w:tc>
              <w:tc>
                <w:tcPr>
                  <w:tcW w:w="480" w:type="dxa"/>
                  <w:tcBorders>
                    <w:tl2br w:val="nil"/>
                    <w:tr2bl w:val="nil"/>
                  </w:tcBorders>
                  <w:vAlign w:val="center"/>
                </w:tcPr>
                <w:p w14:paraId="73D69571">
                  <w:pPr>
                    <w:jc w:val="center"/>
                    <w:rPr>
                      <w:b/>
                      <w:bCs/>
                      <w:color w:val="auto"/>
                    </w:rPr>
                  </w:pPr>
                  <w:r>
                    <w:rPr>
                      <w:b/>
                      <w:bCs/>
                      <w:color w:val="auto"/>
                    </w:rPr>
                    <w:t>温度℃</w:t>
                  </w:r>
                </w:p>
              </w:tc>
              <w:tc>
                <w:tcPr>
                  <w:tcW w:w="600" w:type="dxa"/>
                  <w:tcBorders>
                    <w:tl2br w:val="nil"/>
                    <w:tr2bl w:val="nil"/>
                  </w:tcBorders>
                  <w:vAlign w:val="center"/>
                </w:tcPr>
                <w:p w14:paraId="0A30149A">
                  <w:pPr>
                    <w:jc w:val="center"/>
                    <w:rPr>
                      <w:b/>
                      <w:bCs/>
                      <w:color w:val="auto"/>
                    </w:rPr>
                  </w:pPr>
                  <w:r>
                    <w:rPr>
                      <w:b/>
                      <w:bCs/>
                      <w:color w:val="auto"/>
                    </w:rPr>
                    <w:t>编号</w:t>
                  </w:r>
                </w:p>
              </w:tc>
              <w:tc>
                <w:tcPr>
                  <w:tcW w:w="920" w:type="dxa"/>
                  <w:tcBorders>
                    <w:tl2br w:val="nil"/>
                    <w:tr2bl w:val="nil"/>
                  </w:tcBorders>
                  <w:vAlign w:val="center"/>
                </w:tcPr>
                <w:p w14:paraId="719317DB">
                  <w:pPr>
                    <w:jc w:val="center"/>
                    <w:rPr>
                      <w:b/>
                      <w:bCs/>
                      <w:color w:val="auto"/>
                    </w:rPr>
                  </w:pPr>
                  <w:r>
                    <w:rPr>
                      <w:b/>
                      <w:bCs/>
                      <w:color w:val="auto"/>
                    </w:rPr>
                    <w:t>类型</w:t>
                  </w:r>
                </w:p>
              </w:tc>
              <w:tc>
                <w:tcPr>
                  <w:tcW w:w="1245" w:type="dxa"/>
                  <w:tcBorders>
                    <w:tl2br w:val="nil"/>
                    <w:tr2bl w:val="nil"/>
                  </w:tcBorders>
                  <w:vAlign w:val="center"/>
                </w:tcPr>
                <w:p w14:paraId="33072A70">
                  <w:pPr>
                    <w:jc w:val="center"/>
                    <w:rPr>
                      <w:b/>
                      <w:bCs/>
                      <w:color w:val="auto"/>
                    </w:rPr>
                  </w:pPr>
                  <w:r>
                    <w:rPr>
                      <w:b/>
                      <w:bCs/>
                      <w:color w:val="auto"/>
                    </w:rPr>
                    <w:t>地理坐标</w:t>
                  </w:r>
                </w:p>
              </w:tc>
              <w:tc>
                <w:tcPr>
                  <w:tcW w:w="790" w:type="dxa"/>
                  <w:tcBorders>
                    <w:tl2br w:val="nil"/>
                    <w:tr2bl w:val="nil"/>
                  </w:tcBorders>
                  <w:vAlign w:val="center"/>
                </w:tcPr>
                <w:p w14:paraId="34F3EA86">
                  <w:pPr>
                    <w:jc w:val="center"/>
                    <w:rPr>
                      <w:b/>
                      <w:bCs/>
                      <w:color w:val="auto"/>
                    </w:rPr>
                  </w:pPr>
                  <w:r>
                    <w:rPr>
                      <w:b/>
                      <w:bCs/>
                      <w:color w:val="auto"/>
                    </w:rPr>
                    <w:t>浓度</w:t>
                  </w:r>
                  <w:r>
                    <w:rPr>
                      <w:b/>
                      <w:bCs/>
                      <w:color w:val="auto"/>
                      <w:spacing w:val="4"/>
                      <w:kern w:val="0"/>
                    </w:rPr>
                    <w:t>mg/m</w:t>
                  </w:r>
                  <w:r>
                    <w:rPr>
                      <w:b/>
                      <w:bCs/>
                      <w:color w:val="auto"/>
                      <w:spacing w:val="4"/>
                      <w:kern w:val="0"/>
                      <w:vertAlign w:val="superscript"/>
                    </w:rPr>
                    <w:t>3</w:t>
                  </w:r>
                </w:p>
              </w:tc>
              <w:tc>
                <w:tcPr>
                  <w:tcW w:w="679" w:type="dxa"/>
                  <w:tcBorders>
                    <w:tl2br w:val="nil"/>
                    <w:tr2bl w:val="nil"/>
                  </w:tcBorders>
                  <w:vAlign w:val="center"/>
                </w:tcPr>
                <w:p w14:paraId="0C78D65F">
                  <w:pPr>
                    <w:jc w:val="center"/>
                    <w:rPr>
                      <w:b/>
                      <w:bCs/>
                      <w:color w:val="auto"/>
                    </w:rPr>
                  </w:pPr>
                  <w:r>
                    <w:rPr>
                      <w:b/>
                      <w:bCs/>
                      <w:color w:val="auto"/>
                    </w:rPr>
                    <w:t>速率</w:t>
                  </w:r>
                  <w:r>
                    <w:rPr>
                      <w:b/>
                      <w:bCs/>
                      <w:color w:val="auto"/>
                      <w:spacing w:val="4"/>
                      <w:kern w:val="0"/>
                    </w:rPr>
                    <w:t>kg/h</w:t>
                  </w:r>
                </w:p>
              </w:tc>
            </w:tr>
            <w:tr w14:paraId="42703D7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785" w:type="dxa"/>
                  <w:tcBorders>
                    <w:tl2br w:val="nil"/>
                    <w:tr2bl w:val="nil"/>
                  </w:tcBorders>
                  <w:vAlign w:val="center"/>
                </w:tcPr>
                <w:p w14:paraId="20983A76">
                  <w:pPr>
                    <w:jc w:val="center"/>
                    <w:rPr>
                      <w:rFonts w:hint="eastAsia" w:ascii="宋体" w:hAnsi="宋体" w:eastAsia="宋体" w:cs="宋体"/>
                      <w:color w:val="auto"/>
                      <w:lang w:eastAsia="zh-CN"/>
                    </w:rPr>
                  </w:pPr>
                  <w:r>
                    <w:rPr>
                      <w:rFonts w:hint="eastAsia" w:ascii="宋体" w:hAnsi="宋体" w:cs="宋体"/>
                      <w:color w:val="auto"/>
                      <w:lang w:val="en-US" w:eastAsia="zh-CN"/>
                    </w:rPr>
                    <w:t>抛光测试</w:t>
                  </w:r>
                </w:p>
              </w:tc>
              <w:tc>
                <w:tcPr>
                  <w:tcW w:w="670" w:type="dxa"/>
                  <w:tcBorders>
                    <w:tl2br w:val="nil"/>
                    <w:tr2bl w:val="nil"/>
                  </w:tcBorders>
                  <w:vAlign w:val="center"/>
                </w:tcPr>
                <w:p w14:paraId="0B077F70">
                  <w:pPr>
                    <w:widowControl/>
                    <w:jc w:val="center"/>
                    <w:textAlignment w:val="center"/>
                    <w:rPr>
                      <w:color w:val="auto"/>
                      <w:kern w:val="0"/>
                    </w:rPr>
                  </w:pPr>
                  <w:r>
                    <w:rPr>
                      <w:rFonts w:hint="eastAsia"/>
                      <w:color w:val="auto"/>
                      <w:kern w:val="0"/>
                    </w:rPr>
                    <w:t>1500</w:t>
                  </w:r>
                </w:p>
              </w:tc>
              <w:tc>
                <w:tcPr>
                  <w:tcW w:w="980" w:type="dxa"/>
                  <w:tcBorders>
                    <w:tl2br w:val="nil"/>
                    <w:tr2bl w:val="nil"/>
                  </w:tcBorders>
                  <w:shd w:val="clear" w:color="auto" w:fill="auto"/>
                  <w:vAlign w:val="center"/>
                </w:tcPr>
                <w:p w14:paraId="39B09280">
                  <w:pPr>
                    <w:jc w:val="center"/>
                    <w:rPr>
                      <w:color w:val="auto"/>
                    </w:rPr>
                  </w:pPr>
                  <w:r>
                    <w:rPr>
                      <w:rFonts w:hint="eastAsia"/>
                      <w:color w:val="auto"/>
                    </w:rPr>
                    <w:t>颗粒物</w:t>
                  </w:r>
                </w:p>
              </w:tc>
              <w:tc>
                <w:tcPr>
                  <w:tcW w:w="844" w:type="dxa"/>
                  <w:tcBorders>
                    <w:tl2br w:val="nil"/>
                    <w:tr2bl w:val="nil"/>
                  </w:tcBorders>
                  <w:vAlign w:val="center"/>
                </w:tcPr>
                <w:p w14:paraId="45F115C9">
                  <w:pPr>
                    <w:widowControl/>
                    <w:jc w:val="center"/>
                    <w:textAlignment w:val="center"/>
                    <w:rPr>
                      <w:color w:val="auto"/>
                      <w:kern w:val="0"/>
                    </w:rPr>
                  </w:pPr>
                  <w:r>
                    <w:rPr>
                      <w:rFonts w:hint="eastAsia"/>
                      <w:color w:val="auto"/>
                      <w:kern w:val="0"/>
                    </w:rPr>
                    <w:t>0.172</w:t>
                  </w:r>
                </w:p>
              </w:tc>
              <w:tc>
                <w:tcPr>
                  <w:tcW w:w="795" w:type="dxa"/>
                  <w:tcBorders>
                    <w:tl2br w:val="nil"/>
                    <w:tr2bl w:val="nil"/>
                  </w:tcBorders>
                  <w:vAlign w:val="center"/>
                </w:tcPr>
                <w:p w14:paraId="4CDD9F54">
                  <w:pPr>
                    <w:widowControl/>
                    <w:jc w:val="center"/>
                    <w:textAlignment w:val="center"/>
                    <w:rPr>
                      <w:rFonts w:hint="default" w:eastAsia="宋体"/>
                      <w:color w:val="auto"/>
                      <w:kern w:val="0"/>
                      <w:lang w:val="en-US" w:eastAsia="zh-CN"/>
                    </w:rPr>
                  </w:pPr>
                  <w:r>
                    <w:rPr>
                      <w:rFonts w:hint="eastAsia"/>
                      <w:color w:val="auto"/>
                      <w:kern w:val="0"/>
                      <w:lang w:val="en-US" w:eastAsia="zh-CN"/>
                    </w:rPr>
                    <w:t>0.0607</w:t>
                  </w:r>
                </w:p>
              </w:tc>
              <w:tc>
                <w:tcPr>
                  <w:tcW w:w="714" w:type="dxa"/>
                  <w:tcBorders>
                    <w:tl2br w:val="nil"/>
                    <w:tr2bl w:val="nil"/>
                  </w:tcBorders>
                  <w:vAlign w:val="center"/>
                </w:tcPr>
                <w:p w14:paraId="6D363527">
                  <w:pPr>
                    <w:widowControl/>
                    <w:jc w:val="center"/>
                    <w:textAlignment w:val="center"/>
                    <w:rPr>
                      <w:rFonts w:hint="default" w:eastAsia="宋体"/>
                      <w:color w:val="auto"/>
                      <w:kern w:val="0"/>
                      <w:lang w:val="en-US" w:eastAsia="zh-CN"/>
                    </w:rPr>
                  </w:pPr>
                  <w:r>
                    <w:rPr>
                      <w:rFonts w:hint="eastAsia"/>
                      <w:color w:val="auto"/>
                      <w:kern w:val="0"/>
                      <w:lang w:val="en-US" w:eastAsia="zh-CN"/>
                    </w:rPr>
                    <w:t>40.47</w:t>
                  </w:r>
                </w:p>
              </w:tc>
              <w:tc>
                <w:tcPr>
                  <w:tcW w:w="951" w:type="dxa"/>
                  <w:tcBorders>
                    <w:tl2br w:val="nil"/>
                    <w:tr2bl w:val="nil"/>
                  </w:tcBorders>
                  <w:vAlign w:val="center"/>
                </w:tcPr>
                <w:p w14:paraId="53A1F8A0">
                  <w:pPr>
                    <w:widowControl/>
                    <w:jc w:val="center"/>
                    <w:textAlignment w:val="center"/>
                    <w:rPr>
                      <w:color w:val="auto"/>
                      <w:spacing w:val="4"/>
                      <w:kern w:val="0"/>
                    </w:rPr>
                  </w:pPr>
                  <w:r>
                    <w:rPr>
                      <w:rFonts w:hint="eastAsia"/>
                      <w:color w:val="auto"/>
                      <w:spacing w:val="4"/>
                      <w:kern w:val="0"/>
                    </w:rPr>
                    <w:t>0.0086</w:t>
                  </w:r>
                </w:p>
              </w:tc>
              <w:tc>
                <w:tcPr>
                  <w:tcW w:w="805" w:type="dxa"/>
                  <w:tcBorders>
                    <w:tl2br w:val="nil"/>
                    <w:tr2bl w:val="nil"/>
                  </w:tcBorders>
                  <w:vAlign w:val="center"/>
                </w:tcPr>
                <w:p w14:paraId="07CBFBDA">
                  <w:pPr>
                    <w:widowControl/>
                    <w:jc w:val="center"/>
                    <w:textAlignment w:val="center"/>
                    <w:rPr>
                      <w:rFonts w:hint="default" w:eastAsia="宋体"/>
                      <w:color w:val="auto"/>
                      <w:spacing w:val="4"/>
                      <w:kern w:val="0"/>
                      <w:lang w:val="en-US" w:eastAsia="zh-CN"/>
                    </w:rPr>
                  </w:pPr>
                  <w:r>
                    <w:rPr>
                      <w:rFonts w:hint="eastAsia"/>
                      <w:color w:val="auto"/>
                      <w:spacing w:val="4"/>
                      <w:kern w:val="0"/>
                      <w:lang w:val="en-US" w:eastAsia="zh-CN"/>
                    </w:rPr>
                    <w:t>0.003</w:t>
                  </w:r>
                </w:p>
              </w:tc>
              <w:tc>
                <w:tcPr>
                  <w:tcW w:w="710" w:type="dxa"/>
                  <w:tcBorders>
                    <w:tl2br w:val="nil"/>
                    <w:tr2bl w:val="nil"/>
                  </w:tcBorders>
                  <w:vAlign w:val="center"/>
                </w:tcPr>
                <w:p w14:paraId="378998FC">
                  <w:pPr>
                    <w:widowControl/>
                    <w:jc w:val="center"/>
                    <w:textAlignment w:val="center"/>
                    <w:rPr>
                      <w:rFonts w:hint="eastAsia" w:eastAsia="宋体"/>
                      <w:color w:val="auto"/>
                      <w:kern w:val="0"/>
                      <w:lang w:val="en-US" w:eastAsia="zh-CN"/>
                    </w:rPr>
                  </w:pPr>
                  <w:r>
                    <w:rPr>
                      <w:rFonts w:hint="eastAsia"/>
                      <w:color w:val="auto"/>
                      <w:kern w:val="0"/>
                      <w:lang w:val="en-US" w:eastAsia="zh-CN"/>
                    </w:rPr>
                    <w:t>2</w:t>
                  </w:r>
                </w:p>
              </w:tc>
              <w:tc>
                <w:tcPr>
                  <w:tcW w:w="416" w:type="dxa"/>
                  <w:tcBorders>
                    <w:tl2br w:val="nil"/>
                    <w:tr2bl w:val="nil"/>
                  </w:tcBorders>
                  <w:vAlign w:val="center"/>
                </w:tcPr>
                <w:p w14:paraId="34BEDDA1">
                  <w:pPr>
                    <w:jc w:val="center"/>
                    <w:rPr>
                      <w:color w:val="auto"/>
                    </w:rPr>
                  </w:pPr>
                  <w:r>
                    <w:rPr>
                      <w:rFonts w:hint="eastAsia"/>
                      <w:color w:val="auto"/>
                    </w:rPr>
                    <w:t>15</w:t>
                  </w:r>
                </w:p>
              </w:tc>
              <w:tc>
                <w:tcPr>
                  <w:tcW w:w="525" w:type="dxa"/>
                  <w:tcBorders>
                    <w:tl2br w:val="nil"/>
                    <w:tr2bl w:val="nil"/>
                  </w:tcBorders>
                  <w:shd w:val="clear" w:color="auto" w:fill="auto"/>
                  <w:vAlign w:val="center"/>
                </w:tcPr>
                <w:p w14:paraId="19493A6A">
                  <w:pPr>
                    <w:jc w:val="center"/>
                    <w:rPr>
                      <w:rFonts w:hint="default" w:eastAsia="宋体"/>
                      <w:color w:val="auto"/>
                      <w:lang w:val="en-US" w:eastAsia="zh-CN"/>
                    </w:rPr>
                  </w:pPr>
                  <w:r>
                    <w:rPr>
                      <w:rFonts w:hint="eastAsia"/>
                      <w:color w:val="auto"/>
                      <w:lang w:val="en-US" w:eastAsia="zh-CN"/>
                    </w:rPr>
                    <w:t>0.19</w:t>
                  </w:r>
                </w:p>
              </w:tc>
              <w:tc>
                <w:tcPr>
                  <w:tcW w:w="480" w:type="dxa"/>
                  <w:tcBorders>
                    <w:tl2br w:val="nil"/>
                    <w:tr2bl w:val="nil"/>
                  </w:tcBorders>
                  <w:vAlign w:val="center"/>
                </w:tcPr>
                <w:p w14:paraId="2952AE94">
                  <w:pPr>
                    <w:jc w:val="center"/>
                    <w:rPr>
                      <w:color w:val="auto"/>
                    </w:rPr>
                  </w:pPr>
                  <w:r>
                    <w:rPr>
                      <w:rFonts w:hint="eastAsia"/>
                      <w:color w:val="auto"/>
                    </w:rPr>
                    <w:t>25</w:t>
                  </w:r>
                </w:p>
              </w:tc>
              <w:tc>
                <w:tcPr>
                  <w:tcW w:w="600" w:type="dxa"/>
                  <w:tcBorders>
                    <w:tl2br w:val="nil"/>
                    <w:tr2bl w:val="nil"/>
                  </w:tcBorders>
                  <w:vAlign w:val="center"/>
                </w:tcPr>
                <w:p w14:paraId="640034D6">
                  <w:pPr>
                    <w:jc w:val="center"/>
                    <w:rPr>
                      <w:color w:val="auto"/>
                    </w:rPr>
                  </w:pPr>
                  <w:r>
                    <w:rPr>
                      <w:rFonts w:hint="eastAsia"/>
                      <w:color w:val="auto"/>
                    </w:rPr>
                    <w:t>DA001</w:t>
                  </w:r>
                </w:p>
              </w:tc>
              <w:tc>
                <w:tcPr>
                  <w:tcW w:w="920" w:type="dxa"/>
                  <w:tcBorders>
                    <w:tl2br w:val="nil"/>
                    <w:tr2bl w:val="nil"/>
                  </w:tcBorders>
                  <w:vAlign w:val="center"/>
                </w:tcPr>
                <w:p w14:paraId="76F7E41C">
                  <w:pPr>
                    <w:jc w:val="center"/>
                    <w:rPr>
                      <w:color w:val="auto"/>
                    </w:rPr>
                  </w:pPr>
                  <w:r>
                    <w:rPr>
                      <w:color w:val="auto"/>
                    </w:rPr>
                    <w:t>一般排放口</w:t>
                  </w:r>
                </w:p>
              </w:tc>
              <w:tc>
                <w:tcPr>
                  <w:tcW w:w="1245" w:type="dxa"/>
                  <w:tcBorders>
                    <w:tl2br w:val="nil"/>
                    <w:tr2bl w:val="nil"/>
                  </w:tcBorders>
                  <w:vAlign w:val="center"/>
                </w:tcPr>
                <w:p w14:paraId="1EF6F55E">
                  <w:pPr>
                    <w:jc w:val="center"/>
                    <w:rPr>
                      <w:rFonts w:hint="eastAsia" w:eastAsia="宋体"/>
                      <w:color w:val="auto"/>
                      <w:lang w:eastAsia="zh-CN"/>
                    </w:rPr>
                  </w:pPr>
                  <w:r>
                    <w:rPr>
                      <w:rFonts w:hint="eastAsia"/>
                      <w:color w:val="auto"/>
                    </w:rPr>
                    <w:t>120.418997</w:t>
                  </w:r>
                  <w:r>
                    <w:rPr>
                      <w:rFonts w:hint="eastAsia"/>
                      <w:color w:val="auto"/>
                      <w:lang w:val="en-US" w:eastAsia="zh-CN"/>
                    </w:rPr>
                    <w:t>；32.498173</w:t>
                  </w:r>
                </w:p>
              </w:tc>
              <w:tc>
                <w:tcPr>
                  <w:tcW w:w="790" w:type="dxa"/>
                  <w:tcBorders>
                    <w:tl2br w:val="nil"/>
                    <w:tr2bl w:val="nil"/>
                  </w:tcBorders>
                  <w:shd w:val="clear" w:color="auto" w:fill="auto"/>
                  <w:vAlign w:val="center"/>
                </w:tcPr>
                <w:p w14:paraId="032FDFE8">
                  <w:pPr>
                    <w:jc w:val="center"/>
                    <w:rPr>
                      <w:color w:val="auto"/>
                    </w:rPr>
                  </w:pPr>
                  <w:r>
                    <w:rPr>
                      <w:rFonts w:hint="eastAsia"/>
                      <w:color w:val="auto"/>
                    </w:rPr>
                    <w:t>20</w:t>
                  </w:r>
                </w:p>
              </w:tc>
              <w:tc>
                <w:tcPr>
                  <w:tcW w:w="679" w:type="dxa"/>
                  <w:tcBorders>
                    <w:tl2br w:val="nil"/>
                    <w:tr2bl w:val="nil"/>
                  </w:tcBorders>
                  <w:shd w:val="clear" w:color="auto" w:fill="auto"/>
                  <w:vAlign w:val="center"/>
                </w:tcPr>
                <w:p w14:paraId="5EAD8911">
                  <w:pPr>
                    <w:jc w:val="center"/>
                    <w:rPr>
                      <w:color w:val="auto"/>
                    </w:rPr>
                  </w:pPr>
                  <w:r>
                    <w:rPr>
                      <w:rFonts w:hint="eastAsia"/>
                      <w:color w:val="auto"/>
                    </w:rPr>
                    <w:t>1</w:t>
                  </w:r>
                </w:p>
              </w:tc>
            </w:tr>
          </w:tbl>
          <w:p w14:paraId="7E4F2895">
            <w:pPr>
              <w:spacing w:before="120" w:beforeLines="50" w:line="360" w:lineRule="auto"/>
              <w:ind w:firstLine="480" w:firstLineChars="200"/>
              <w:rPr>
                <w:color w:val="auto"/>
                <w:sz w:val="24"/>
                <w:szCs w:val="24"/>
              </w:rPr>
            </w:pPr>
            <w:r>
              <w:rPr>
                <w:rFonts w:hint="eastAsia"/>
                <w:color w:val="auto"/>
                <w:sz w:val="24"/>
                <w:szCs w:val="24"/>
              </w:rPr>
              <w:t>本</w:t>
            </w:r>
            <w:r>
              <w:rPr>
                <w:color w:val="auto"/>
                <w:sz w:val="24"/>
                <w:szCs w:val="24"/>
              </w:rPr>
              <w:t>项目无组织废气产生及排放情况见表4-</w:t>
            </w:r>
            <w:r>
              <w:rPr>
                <w:rFonts w:hint="eastAsia"/>
                <w:color w:val="auto"/>
                <w:sz w:val="24"/>
                <w:szCs w:val="24"/>
                <w:lang w:val="en-US" w:eastAsia="zh-CN"/>
              </w:rPr>
              <w:t>3</w:t>
            </w:r>
            <w:r>
              <w:rPr>
                <w:rFonts w:hint="eastAsia"/>
                <w:color w:val="auto"/>
                <w:sz w:val="24"/>
                <w:szCs w:val="24"/>
              </w:rPr>
              <w:t>：</w:t>
            </w:r>
          </w:p>
          <w:p w14:paraId="676FD87E">
            <w:pPr>
              <w:jc w:val="center"/>
              <w:rPr>
                <w:b/>
                <w:bCs/>
                <w:color w:val="auto"/>
                <w:sz w:val="24"/>
                <w:szCs w:val="24"/>
              </w:rPr>
            </w:pPr>
            <w:r>
              <w:rPr>
                <w:rFonts w:hint="eastAsia"/>
                <w:b/>
                <w:bCs/>
                <w:color w:val="auto"/>
                <w:sz w:val="24"/>
                <w:szCs w:val="24"/>
              </w:rPr>
              <w:t>表4-</w:t>
            </w:r>
            <w:r>
              <w:rPr>
                <w:rFonts w:hint="eastAsia"/>
                <w:b/>
                <w:bCs/>
                <w:color w:val="auto"/>
                <w:sz w:val="24"/>
                <w:szCs w:val="24"/>
                <w:lang w:val="en-US" w:eastAsia="zh-CN"/>
              </w:rPr>
              <w:t>3</w:t>
            </w:r>
            <w:r>
              <w:rPr>
                <w:rFonts w:hint="eastAsia"/>
                <w:b/>
                <w:bCs/>
                <w:color w:val="auto"/>
                <w:sz w:val="24"/>
                <w:szCs w:val="24"/>
              </w:rPr>
              <w:t xml:space="preserve"> 本项目</w:t>
            </w:r>
            <w:r>
              <w:rPr>
                <w:b/>
                <w:bCs/>
                <w:color w:val="auto"/>
                <w:sz w:val="24"/>
                <w:szCs w:val="24"/>
              </w:rPr>
              <w:t>无组织大气污染物产生和排放情况表</w:t>
            </w:r>
          </w:p>
          <w:tbl>
            <w:tblPr>
              <w:tblStyle w:val="26"/>
              <w:tblW w:w="500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980"/>
              <w:gridCol w:w="2158"/>
              <w:gridCol w:w="1481"/>
              <w:gridCol w:w="1477"/>
              <w:gridCol w:w="1241"/>
              <w:gridCol w:w="1241"/>
              <w:gridCol w:w="1240"/>
              <w:gridCol w:w="1683"/>
              <w:gridCol w:w="1476"/>
            </w:tblGrid>
            <w:tr w14:paraId="4237F6E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1209" w:type="pct"/>
                  <w:gridSpan w:val="2"/>
                  <w:tcBorders>
                    <w:tl2br w:val="nil"/>
                    <w:tr2bl w:val="nil"/>
                  </w:tcBorders>
                  <w:vAlign w:val="center"/>
                </w:tcPr>
                <w:p w14:paraId="0B289F02">
                  <w:pPr>
                    <w:pStyle w:val="34"/>
                    <w:keepNext w:val="0"/>
                    <w:keepLines w:val="0"/>
                    <w:pageBreakBefore w:val="0"/>
                    <w:kinsoku/>
                    <w:wordWrap/>
                    <w:overflowPunct/>
                    <w:topLinePunct w:val="0"/>
                    <w:bidi w:val="0"/>
                    <w:adjustRightInd/>
                    <w:snapToGrid/>
                    <w:spacing w:before="0" w:beforeLines="0" w:after="0" w:afterLines="0" w:line="240" w:lineRule="auto"/>
                    <w:jc w:val="center"/>
                    <w:textAlignment w:val="auto"/>
                    <w:rPr>
                      <w:rFonts w:hint="default" w:ascii="Times New Roman" w:hAnsi="Times New Roman" w:eastAsia="宋体" w:cs="Times New Roman"/>
                      <w:b/>
                      <w:bCs/>
                      <w:snapToGrid w:val="0"/>
                      <w:color w:val="auto"/>
                      <w:spacing w:val="0"/>
                      <w:sz w:val="21"/>
                      <w:szCs w:val="21"/>
                    </w:rPr>
                  </w:pPr>
                  <w:r>
                    <w:rPr>
                      <w:rFonts w:hint="default" w:ascii="Times New Roman" w:hAnsi="Times New Roman" w:eastAsia="宋体" w:cs="Times New Roman"/>
                      <w:b/>
                      <w:bCs/>
                      <w:snapToGrid w:val="0"/>
                      <w:color w:val="auto"/>
                      <w:spacing w:val="0"/>
                      <w:sz w:val="21"/>
                      <w:szCs w:val="21"/>
                    </w:rPr>
                    <w:t>面源名称</w:t>
                  </w:r>
                </w:p>
              </w:tc>
              <w:tc>
                <w:tcPr>
                  <w:tcW w:w="570" w:type="pct"/>
                  <w:tcBorders>
                    <w:tl2br w:val="nil"/>
                    <w:tr2bl w:val="nil"/>
                  </w:tcBorders>
                  <w:vAlign w:val="center"/>
                </w:tcPr>
                <w:p w14:paraId="58DEB60E">
                  <w:pPr>
                    <w:pStyle w:val="34"/>
                    <w:keepNext w:val="0"/>
                    <w:keepLines w:val="0"/>
                    <w:pageBreakBefore w:val="0"/>
                    <w:kinsoku/>
                    <w:wordWrap/>
                    <w:overflowPunct/>
                    <w:topLinePunct w:val="0"/>
                    <w:bidi w:val="0"/>
                    <w:adjustRightInd/>
                    <w:snapToGrid/>
                    <w:spacing w:before="0" w:beforeLines="0" w:after="0" w:afterLines="0" w:line="240" w:lineRule="auto"/>
                    <w:jc w:val="center"/>
                    <w:textAlignment w:val="auto"/>
                    <w:rPr>
                      <w:rFonts w:hint="default" w:ascii="Times New Roman" w:hAnsi="Times New Roman" w:eastAsia="宋体" w:cs="Times New Roman"/>
                      <w:b/>
                      <w:bCs/>
                      <w:snapToGrid w:val="0"/>
                      <w:color w:val="auto"/>
                      <w:spacing w:val="0"/>
                      <w:sz w:val="21"/>
                      <w:szCs w:val="21"/>
                    </w:rPr>
                  </w:pPr>
                  <w:r>
                    <w:rPr>
                      <w:rFonts w:hint="default" w:ascii="Times New Roman" w:hAnsi="Times New Roman" w:eastAsia="宋体" w:cs="Times New Roman"/>
                      <w:b/>
                      <w:bCs/>
                      <w:snapToGrid w:val="0"/>
                      <w:color w:val="auto"/>
                      <w:spacing w:val="0"/>
                      <w:sz w:val="21"/>
                      <w:szCs w:val="21"/>
                    </w:rPr>
                    <w:t>污染物名称</w:t>
                  </w:r>
                </w:p>
              </w:tc>
              <w:tc>
                <w:tcPr>
                  <w:tcW w:w="569" w:type="pct"/>
                  <w:tcBorders>
                    <w:tl2br w:val="nil"/>
                    <w:tr2bl w:val="nil"/>
                  </w:tcBorders>
                  <w:vAlign w:val="center"/>
                </w:tcPr>
                <w:p w14:paraId="72587A3A">
                  <w:pPr>
                    <w:pStyle w:val="34"/>
                    <w:keepNext w:val="0"/>
                    <w:keepLines w:val="0"/>
                    <w:pageBreakBefore w:val="0"/>
                    <w:kinsoku/>
                    <w:wordWrap/>
                    <w:overflowPunct/>
                    <w:topLinePunct w:val="0"/>
                    <w:bidi w:val="0"/>
                    <w:adjustRightInd/>
                    <w:snapToGrid/>
                    <w:spacing w:before="0" w:beforeLines="0" w:after="0" w:afterLines="0" w:line="240" w:lineRule="auto"/>
                    <w:jc w:val="center"/>
                    <w:textAlignment w:val="auto"/>
                    <w:rPr>
                      <w:rFonts w:hint="default" w:ascii="Times New Roman" w:hAnsi="Times New Roman" w:eastAsia="宋体" w:cs="Times New Roman"/>
                      <w:b/>
                      <w:bCs/>
                      <w:snapToGrid w:val="0"/>
                      <w:color w:val="auto"/>
                      <w:spacing w:val="0"/>
                      <w:sz w:val="21"/>
                      <w:szCs w:val="21"/>
                    </w:rPr>
                  </w:pPr>
                  <w:r>
                    <w:rPr>
                      <w:rFonts w:hint="default" w:ascii="Times New Roman" w:hAnsi="Times New Roman" w:eastAsia="宋体" w:cs="Times New Roman"/>
                      <w:b/>
                      <w:bCs/>
                      <w:snapToGrid w:val="0"/>
                      <w:color w:val="auto"/>
                      <w:spacing w:val="0"/>
                      <w:sz w:val="21"/>
                      <w:szCs w:val="21"/>
                    </w:rPr>
                    <w:t>产生量</w:t>
                  </w:r>
                </w:p>
                <w:p w14:paraId="01D35722">
                  <w:pPr>
                    <w:pStyle w:val="34"/>
                    <w:keepNext w:val="0"/>
                    <w:keepLines w:val="0"/>
                    <w:pageBreakBefore w:val="0"/>
                    <w:kinsoku/>
                    <w:wordWrap/>
                    <w:overflowPunct/>
                    <w:topLinePunct w:val="0"/>
                    <w:bidi w:val="0"/>
                    <w:adjustRightInd/>
                    <w:snapToGrid/>
                    <w:spacing w:before="0" w:beforeLines="0" w:after="0" w:afterLines="0" w:line="240" w:lineRule="auto"/>
                    <w:jc w:val="center"/>
                    <w:textAlignment w:val="auto"/>
                    <w:rPr>
                      <w:rFonts w:hint="default" w:ascii="Times New Roman" w:hAnsi="Times New Roman" w:eastAsia="宋体" w:cs="Times New Roman"/>
                      <w:b/>
                      <w:bCs/>
                      <w:snapToGrid w:val="0"/>
                      <w:color w:val="auto"/>
                      <w:spacing w:val="0"/>
                      <w:sz w:val="21"/>
                      <w:szCs w:val="21"/>
                    </w:rPr>
                  </w:pPr>
                  <w:r>
                    <w:rPr>
                      <w:rFonts w:hint="default" w:ascii="Times New Roman" w:hAnsi="Times New Roman" w:eastAsia="宋体" w:cs="Times New Roman"/>
                      <w:b/>
                      <w:bCs/>
                      <w:snapToGrid w:val="0"/>
                      <w:color w:val="auto"/>
                      <w:spacing w:val="0"/>
                      <w:sz w:val="21"/>
                      <w:szCs w:val="21"/>
                    </w:rPr>
                    <w:t>(t/a)</w:t>
                  </w:r>
                </w:p>
              </w:tc>
              <w:tc>
                <w:tcPr>
                  <w:tcW w:w="478" w:type="pct"/>
                  <w:tcBorders>
                    <w:tl2br w:val="nil"/>
                    <w:tr2bl w:val="nil"/>
                  </w:tcBorders>
                  <w:vAlign w:val="center"/>
                </w:tcPr>
                <w:p w14:paraId="2BFDC70E">
                  <w:pPr>
                    <w:pStyle w:val="34"/>
                    <w:keepNext w:val="0"/>
                    <w:keepLines w:val="0"/>
                    <w:pageBreakBefore w:val="0"/>
                    <w:kinsoku/>
                    <w:wordWrap/>
                    <w:overflowPunct/>
                    <w:topLinePunct w:val="0"/>
                    <w:bidi w:val="0"/>
                    <w:adjustRightInd/>
                    <w:snapToGrid/>
                    <w:spacing w:before="0" w:beforeLines="0" w:after="0" w:afterLines="0" w:line="240" w:lineRule="auto"/>
                    <w:jc w:val="center"/>
                    <w:textAlignment w:val="auto"/>
                    <w:rPr>
                      <w:rFonts w:hint="default" w:ascii="Times New Roman" w:hAnsi="Times New Roman" w:eastAsia="宋体" w:cs="Times New Roman"/>
                      <w:b/>
                      <w:bCs/>
                      <w:snapToGrid w:val="0"/>
                      <w:color w:val="auto"/>
                      <w:spacing w:val="0"/>
                      <w:sz w:val="21"/>
                      <w:szCs w:val="21"/>
                    </w:rPr>
                  </w:pPr>
                  <w:r>
                    <w:rPr>
                      <w:rFonts w:hint="default" w:ascii="Times New Roman" w:hAnsi="Times New Roman" w:eastAsia="宋体" w:cs="Times New Roman"/>
                      <w:b/>
                      <w:bCs/>
                      <w:snapToGrid w:val="0"/>
                      <w:color w:val="auto"/>
                      <w:spacing w:val="0"/>
                      <w:sz w:val="21"/>
                      <w:szCs w:val="21"/>
                    </w:rPr>
                    <w:t>产生速率</w:t>
                  </w:r>
                </w:p>
                <w:p w14:paraId="7495ABB1">
                  <w:pPr>
                    <w:pStyle w:val="34"/>
                    <w:keepNext w:val="0"/>
                    <w:keepLines w:val="0"/>
                    <w:pageBreakBefore w:val="0"/>
                    <w:kinsoku/>
                    <w:wordWrap/>
                    <w:overflowPunct/>
                    <w:topLinePunct w:val="0"/>
                    <w:bidi w:val="0"/>
                    <w:adjustRightInd/>
                    <w:snapToGrid/>
                    <w:spacing w:before="0" w:beforeLines="0" w:after="0" w:afterLines="0" w:line="240" w:lineRule="auto"/>
                    <w:jc w:val="center"/>
                    <w:textAlignment w:val="auto"/>
                    <w:rPr>
                      <w:rFonts w:hint="default" w:ascii="Times New Roman" w:hAnsi="Times New Roman" w:eastAsia="宋体" w:cs="Times New Roman"/>
                      <w:b/>
                      <w:bCs/>
                      <w:snapToGrid w:val="0"/>
                      <w:color w:val="auto"/>
                      <w:spacing w:val="0"/>
                      <w:sz w:val="21"/>
                      <w:szCs w:val="21"/>
                    </w:rPr>
                  </w:pPr>
                  <w:r>
                    <w:rPr>
                      <w:rFonts w:hint="default" w:ascii="Times New Roman" w:hAnsi="Times New Roman" w:eastAsia="宋体" w:cs="Times New Roman"/>
                      <w:b/>
                      <w:bCs/>
                      <w:snapToGrid w:val="0"/>
                      <w:color w:val="auto"/>
                      <w:spacing w:val="0"/>
                      <w:sz w:val="21"/>
                      <w:szCs w:val="21"/>
                    </w:rPr>
                    <w:t>(kg/h)</w:t>
                  </w:r>
                </w:p>
              </w:tc>
              <w:tc>
                <w:tcPr>
                  <w:tcW w:w="478" w:type="pct"/>
                  <w:tcBorders>
                    <w:tl2br w:val="nil"/>
                    <w:tr2bl w:val="nil"/>
                  </w:tcBorders>
                  <w:vAlign w:val="center"/>
                </w:tcPr>
                <w:p w14:paraId="1B499093">
                  <w:pPr>
                    <w:pStyle w:val="34"/>
                    <w:keepNext w:val="0"/>
                    <w:keepLines w:val="0"/>
                    <w:pageBreakBefore w:val="0"/>
                    <w:kinsoku/>
                    <w:wordWrap/>
                    <w:overflowPunct/>
                    <w:topLinePunct w:val="0"/>
                    <w:bidi w:val="0"/>
                    <w:adjustRightInd/>
                    <w:snapToGrid/>
                    <w:spacing w:before="0" w:beforeLines="0" w:after="0" w:afterLines="0" w:line="240" w:lineRule="auto"/>
                    <w:jc w:val="center"/>
                    <w:textAlignment w:val="auto"/>
                    <w:rPr>
                      <w:rFonts w:hint="default" w:ascii="Times New Roman" w:hAnsi="Times New Roman" w:eastAsia="宋体" w:cs="Times New Roman"/>
                      <w:b/>
                      <w:bCs/>
                      <w:snapToGrid w:val="0"/>
                      <w:color w:val="auto"/>
                      <w:spacing w:val="0"/>
                      <w:sz w:val="21"/>
                      <w:szCs w:val="21"/>
                    </w:rPr>
                  </w:pPr>
                  <w:r>
                    <w:rPr>
                      <w:rFonts w:hint="default" w:ascii="Times New Roman" w:hAnsi="Times New Roman" w:eastAsia="宋体" w:cs="Times New Roman"/>
                      <w:b/>
                      <w:bCs/>
                      <w:snapToGrid w:val="0"/>
                      <w:color w:val="auto"/>
                      <w:spacing w:val="0"/>
                      <w:sz w:val="21"/>
                      <w:szCs w:val="21"/>
                    </w:rPr>
                    <w:t>排放量</w:t>
                  </w:r>
                </w:p>
                <w:p w14:paraId="16FFAE30">
                  <w:pPr>
                    <w:pStyle w:val="34"/>
                    <w:keepNext w:val="0"/>
                    <w:keepLines w:val="0"/>
                    <w:pageBreakBefore w:val="0"/>
                    <w:kinsoku/>
                    <w:wordWrap/>
                    <w:overflowPunct/>
                    <w:topLinePunct w:val="0"/>
                    <w:bidi w:val="0"/>
                    <w:adjustRightInd/>
                    <w:snapToGrid/>
                    <w:spacing w:before="0" w:beforeLines="0" w:after="0" w:afterLines="0" w:line="240" w:lineRule="auto"/>
                    <w:jc w:val="center"/>
                    <w:textAlignment w:val="auto"/>
                    <w:rPr>
                      <w:rFonts w:hint="default" w:ascii="Times New Roman" w:hAnsi="Times New Roman" w:eastAsia="宋体" w:cs="Times New Roman"/>
                      <w:b/>
                      <w:bCs/>
                      <w:snapToGrid w:val="0"/>
                      <w:color w:val="auto"/>
                      <w:spacing w:val="0"/>
                      <w:sz w:val="21"/>
                      <w:szCs w:val="21"/>
                    </w:rPr>
                  </w:pPr>
                  <w:r>
                    <w:rPr>
                      <w:rFonts w:hint="default" w:ascii="Times New Roman" w:hAnsi="Times New Roman" w:eastAsia="宋体" w:cs="Times New Roman"/>
                      <w:b/>
                      <w:bCs/>
                      <w:snapToGrid w:val="0"/>
                      <w:color w:val="auto"/>
                      <w:spacing w:val="0"/>
                      <w:sz w:val="21"/>
                      <w:szCs w:val="21"/>
                    </w:rPr>
                    <w:t>(t/a)</w:t>
                  </w:r>
                </w:p>
              </w:tc>
              <w:tc>
                <w:tcPr>
                  <w:tcW w:w="477" w:type="pct"/>
                  <w:tcBorders>
                    <w:tl2br w:val="nil"/>
                    <w:tr2bl w:val="nil"/>
                  </w:tcBorders>
                  <w:vAlign w:val="center"/>
                </w:tcPr>
                <w:p w14:paraId="7D424638">
                  <w:pPr>
                    <w:pStyle w:val="34"/>
                    <w:keepNext w:val="0"/>
                    <w:keepLines w:val="0"/>
                    <w:pageBreakBefore w:val="0"/>
                    <w:kinsoku/>
                    <w:wordWrap/>
                    <w:overflowPunct/>
                    <w:topLinePunct w:val="0"/>
                    <w:bidi w:val="0"/>
                    <w:adjustRightInd/>
                    <w:snapToGrid/>
                    <w:spacing w:before="0" w:beforeLines="0" w:after="0" w:afterLines="0" w:line="240" w:lineRule="auto"/>
                    <w:jc w:val="center"/>
                    <w:textAlignment w:val="auto"/>
                    <w:rPr>
                      <w:rFonts w:hint="default" w:ascii="Times New Roman" w:hAnsi="Times New Roman" w:eastAsia="宋体" w:cs="Times New Roman"/>
                      <w:b/>
                      <w:bCs/>
                      <w:snapToGrid w:val="0"/>
                      <w:color w:val="auto"/>
                      <w:spacing w:val="0"/>
                      <w:sz w:val="21"/>
                      <w:szCs w:val="21"/>
                    </w:rPr>
                  </w:pPr>
                  <w:r>
                    <w:rPr>
                      <w:rFonts w:hint="default" w:ascii="Times New Roman" w:hAnsi="Times New Roman" w:eastAsia="宋体" w:cs="Times New Roman"/>
                      <w:b/>
                      <w:bCs/>
                      <w:snapToGrid w:val="0"/>
                      <w:color w:val="auto"/>
                      <w:spacing w:val="0"/>
                      <w:sz w:val="21"/>
                      <w:szCs w:val="21"/>
                    </w:rPr>
                    <w:t>排放速率</w:t>
                  </w:r>
                </w:p>
                <w:p w14:paraId="0F047491">
                  <w:pPr>
                    <w:pStyle w:val="34"/>
                    <w:keepNext w:val="0"/>
                    <w:keepLines w:val="0"/>
                    <w:pageBreakBefore w:val="0"/>
                    <w:kinsoku/>
                    <w:wordWrap/>
                    <w:overflowPunct/>
                    <w:topLinePunct w:val="0"/>
                    <w:bidi w:val="0"/>
                    <w:adjustRightInd/>
                    <w:snapToGrid/>
                    <w:spacing w:before="0" w:beforeLines="0" w:after="0" w:afterLines="0" w:line="240" w:lineRule="auto"/>
                    <w:jc w:val="center"/>
                    <w:textAlignment w:val="auto"/>
                    <w:rPr>
                      <w:rFonts w:hint="default" w:ascii="Times New Roman" w:hAnsi="Times New Roman" w:eastAsia="宋体" w:cs="Times New Roman"/>
                      <w:b/>
                      <w:bCs/>
                      <w:snapToGrid w:val="0"/>
                      <w:color w:val="auto"/>
                      <w:spacing w:val="0"/>
                      <w:sz w:val="21"/>
                      <w:szCs w:val="21"/>
                    </w:rPr>
                  </w:pPr>
                  <w:r>
                    <w:rPr>
                      <w:rFonts w:hint="default" w:ascii="Times New Roman" w:hAnsi="Times New Roman" w:eastAsia="宋体" w:cs="Times New Roman"/>
                      <w:b/>
                      <w:bCs/>
                      <w:snapToGrid w:val="0"/>
                      <w:color w:val="auto"/>
                      <w:spacing w:val="0"/>
                      <w:sz w:val="21"/>
                      <w:szCs w:val="21"/>
                    </w:rPr>
                    <w:t>(kg/h)</w:t>
                  </w:r>
                </w:p>
              </w:tc>
              <w:tc>
                <w:tcPr>
                  <w:tcW w:w="648" w:type="pct"/>
                  <w:tcBorders>
                    <w:tl2br w:val="nil"/>
                    <w:tr2bl w:val="nil"/>
                  </w:tcBorders>
                  <w:vAlign w:val="center"/>
                </w:tcPr>
                <w:p w14:paraId="78E6B802">
                  <w:pPr>
                    <w:pStyle w:val="34"/>
                    <w:keepNext w:val="0"/>
                    <w:keepLines w:val="0"/>
                    <w:pageBreakBefore w:val="0"/>
                    <w:kinsoku/>
                    <w:wordWrap/>
                    <w:overflowPunct/>
                    <w:topLinePunct w:val="0"/>
                    <w:bidi w:val="0"/>
                    <w:adjustRightInd/>
                    <w:snapToGrid/>
                    <w:spacing w:before="0" w:beforeLines="0" w:after="0" w:afterLines="0" w:line="240" w:lineRule="auto"/>
                    <w:jc w:val="center"/>
                    <w:textAlignment w:val="auto"/>
                    <w:rPr>
                      <w:rFonts w:hint="default" w:ascii="Times New Roman" w:hAnsi="Times New Roman" w:eastAsia="宋体" w:cs="Times New Roman"/>
                      <w:b/>
                      <w:bCs/>
                      <w:snapToGrid w:val="0"/>
                      <w:color w:val="auto"/>
                      <w:spacing w:val="0"/>
                      <w:sz w:val="21"/>
                      <w:szCs w:val="21"/>
                    </w:rPr>
                  </w:pPr>
                  <w:r>
                    <w:rPr>
                      <w:rFonts w:hint="default" w:ascii="Times New Roman" w:hAnsi="Times New Roman" w:eastAsia="宋体" w:cs="Times New Roman"/>
                      <w:b/>
                      <w:bCs/>
                      <w:snapToGrid w:val="0"/>
                      <w:color w:val="auto"/>
                      <w:spacing w:val="0"/>
                      <w:sz w:val="21"/>
                      <w:szCs w:val="21"/>
                    </w:rPr>
                    <w:t>排放源面积</w:t>
                  </w:r>
                </w:p>
                <w:p w14:paraId="164D9578">
                  <w:pPr>
                    <w:pStyle w:val="34"/>
                    <w:keepNext w:val="0"/>
                    <w:keepLines w:val="0"/>
                    <w:pageBreakBefore w:val="0"/>
                    <w:kinsoku/>
                    <w:wordWrap/>
                    <w:overflowPunct/>
                    <w:topLinePunct w:val="0"/>
                    <w:bidi w:val="0"/>
                    <w:adjustRightInd/>
                    <w:snapToGrid/>
                    <w:spacing w:before="0" w:beforeLines="0" w:after="0" w:afterLines="0" w:line="240" w:lineRule="auto"/>
                    <w:jc w:val="center"/>
                    <w:textAlignment w:val="auto"/>
                    <w:rPr>
                      <w:rFonts w:hint="default" w:ascii="Times New Roman" w:hAnsi="Times New Roman" w:eastAsia="宋体" w:cs="Times New Roman"/>
                      <w:b/>
                      <w:bCs/>
                      <w:snapToGrid w:val="0"/>
                      <w:color w:val="auto"/>
                      <w:spacing w:val="0"/>
                      <w:sz w:val="21"/>
                      <w:szCs w:val="21"/>
                    </w:rPr>
                  </w:pPr>
                  <w:r>
                    <w:rPr>
                      <w:rFonts w:hint="default" w:ascii="Times New Roman" w:hAnsi="Times New Roman" w:eastAsia="宋体" w:cs="Times New Roman"/>
                      <w:b/>
                      <w:bCs/>
                      <w:snapToGrid w:val="0"/>
                      <w:color w:val="auto"/>
                      <w:spacing w:val="0"/>
                      <w:sz w:val="21"/>
                      <w:szCs w:val="21"/>
                    </w:rPr>
                    <w:t>(长m*宽m)</w:t>
                  </w:r>
                </w:p>
              </w:tc>
              <w:tc>
                <w:tcPr>
                  <w:tcW w:w="568" w:type="pct"/>
                  <w:tcBorders>
                    <w:tl2br w:val="nil"/>
                    <w:tr2bl w:val="nil"/>
                  </w:tcBorders>
                  <w:vAlign w:val="center"/>
                </w:tcPr>
                <w:p w14:paraId="19C495C8">
                  <w:pPr>
                    <w:pStyle w:val="34"/>
                    <w:keepNext w:val="0"/>
                    <w:keepLines w:val="0"/>
                    <w:pageBreakBefore w:val="0"/>
                    <w:kinsoku/>
                    <w:wordWrap/>
                    <w:overflowPunct/>
                    <w:topLinePunct w:val="0"/>
                    <w:bidi w:val="0"/>
                    <w:adjustRightInd/>
                    <w:snapToGrid/>
                    <w:spacing w:before="0" w:beforeLines="0" w:after="0" w:afterLines="0" w:line="240" w:lineRule="auto"/>
                    <w:jc w:val="center"/>
                    <w:textAlignment w:val="auto"/>
                    <w:rPr>
                      <w:rFonts w:hint="default" w:ascii="Times New Roman" w:hAnsi="Times New Roman" w:eastAsia="宋体" w:cs="Times New Roman"/>
                      <w:b/>
                      <w:bCs/>
                      <w:snapToGrid w:val="0"/>
                      <w:color w:val="auto"/>
                      <w:spacing w:val="0"/>
                      <w:sz w:val="21"/>
                      <w:szCs w:val="21"/>
                    </w:rPr>
                  </w:pPr>
                  <w:r>
                    <w:rPr>
                      <w:rFonts w:hint="default" w:ascii="Times New Roman" w:hAnsi="Times New Roman" w:eastAsia="宋体" w:cs="Times New Roman"/>
                      <w:b/>
                      <w:bCs/>
                      <w:snapToGrid w:val="0"/>
                      <w:color w:val="auto"/>
                      <w:spacing w:val="0"/>
                      <w:sz w:val="21"/>
                      <w:szCs w:val="21"/>
                    </w:rPr>
                    <w:t>面源有效</w:t>
                  </w:r>
                </w:p>
                <w:p w14:paraId="2A5B2135">
                  <w:pPr>
                    <w:pStyle w:val="34"/>
                    <w:keepNext w:val="0"/>
                    <w:keepLines w:val="0"/>
                    <w:pageBreakBefore w:val="0"/>
                    <w:kinsoku/>
                    <w:wordWrap/>
                    <w:overflowPunct/>
                    <w:topLinePunct w:val="0"/>
                    <w:bidi w:val="0"/>
                    <w:adjustRightInd/>
                    <w:snapToGrid/>
                    <w:spacing w:before="0" w:beforeLines="0" w:after="0" w:afterLines="0" w:line="240" w:lineRule="auto"/>
                    <w:jc w:val="center"/>
                    <w:textAlignment w:val="auto"/>
                    <w:rPr>
                      <w:rFonts w:hint="default" w:ascii="Times New Roman" w:hAnsi="Times New Roman" w:eastAsia="宋体" w:cs="Times New Roman"/>
                      <w:b/>
                      <w:bCs/>
                      <w:snapToGrid w:val="0"/>
                      <w:color w:val="auto"/>
                      <w:spacing w:val="0"/>
                      <w:sz w:val="21"/>
                      <w:szCs w:val="21"/>
                    </w:rPr>
                  </w:pPr>
                  <w:r>
                    <w:rPr>
                      <w:rFonts w:hint="default" w:ascii="Times New Roman" w:hAnsi="Times New Roman" w:eastAsia="宋体" w:cs="Times New Roman"/>
                      <w:b/>
                      <w:bCs/>
                      <w:snapToGrid w:val="0"/>
                      <w:color w:val="auto"/>
                      <w:spacing w:val="0"/>
                      <w:sz w:val="21"/>
                      <w:szCs w:val="21"/>
                    </w:rPr>
                    <w:t>高度(m)</w:t>
                  </w:r>
                </w:p>
              </w:tc>
            </w:tr>
            <w:tr w14:paraId="123D9D6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16" w:hRule="atLeast"/>
                <w:tblHeader/>
                <w:jc w:val="center"/>
              </w:trPr>
              <w:tc>
                <w:tcPr>
                  <w:tcW w:w="377" w:type="pct"/>
                  <w:vMerge w:val="restart"/>
                  <w:tcBorders>
                    <w:tl2br w:val="nil"/>
                    <w:tr2bl w:val="nil"/>
                  </w:tcBorders>
                  <w:vAlign w:val="center"/>
                </w:tcPr>
                <w:p w14:paraId="617F306A">
                  <w:pPr>
                    <w:pStyle w:val="34"/>
                    <w:keepNext w:val="0"/>
                    <w:keepLines w:val="0"/>
                    <w:pageBreakBefore w:val="0"/>
                    <w:kinsoku/>
                    <w:wordWrap/>
                    <w:overflowPunct/>
                    <w:topLinePunct w:val="0"/>
                    <w:bidi w:val="0"/>
                    <w:spacing w:before="0" w:beforeLines="0" w:after="0" w:afterLines="0"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生产车间</w:t>
                  </w:r>
                </w:p>
              </w:tc>
              <w:tc>
                <w:tcPr>
                  <w:tcW w:w="831" w:type="pct"/>
                  <w:tcBorders>
                    <w:tl2br w:val="nil"/>
                    <w:tr2bl w:val="nil"/>
                  </w:tcBorders>
                  <w:shd w:val="clear" w:color="auto" w:fill="auto"/>
                  <w:vAlign w:val="center"/>
                </w:tcPr>
                <w:p w14:paraId="60FBB210">
                  <w:pPr>
                    <w:jc w:val="center"/>
                    <w:rPr>
                      <w:rFonts w:hint="default" w:ascii="Times New Roman" w:hAnsi="Times New Roman" w:eastAsia="宋体" w:cs="Times New Roman"/>
                      <w:b w:val="0"/>
                      <w:bCs/>
                      <w:color w:val="auto"/>
                      <w:spacing w:val="-10"/>
                      <w:kern w:val="2"/>
                      <w:sz w:val="21"/>
                      <w:szCs w:val="21"/>
                      <w:highlight w:val="none"/>
                      <w:vertAlign w:val="baseline"/>
                      <w:lang w:val="en-US" w:eastAsia="zh-CN" w:bidi="ar"/>
                    </w:rPr>
                  </w:pPr>
                  <w:r>
                    <w:rPr>
                      <w:rFonts w:hint="default" w:ascii="Times New Roman" w:hAnsi="Times New Roman" w:eastAsia="宋体" w:cs="Times New Roman"/>
                      <w:color w:val="auto"/>
                      <w:kern w:val="2"/>
                      <w:sz w:val="21"/>
                      <w:szCs w:val="21"/>
                      <w:lang w:val="en-US" w:eastAsia="zh-CN" w:bidi="ar"/>
                    </w:rPr>
                    <w:t>制粒粉尘</w:t>
                  </w:r>
                </w:p>
              </w:tc>
              <w:tc>
                <w:tcPr>
                  <w:tcW w:w="570" w:type="pct"/>
                  <w:tcBorders>
                    <w:tl2br w:val="nil"/>
                    <w:tr2bl w:val="nil"/>
                  </w:tcBorders>
                  <w:shd w:val="clear" w:color="auto" w:fill="auto"/>
                  <w:vAlign w:val="center"/>
                </w:tcPr>
                <w:p w14:paraId="729F43A1">
                  <w:pPr>
                    <w:pStyle w:val="111"/>
                    <w:keepNext w:val="0"/>
                    <w:keepLines w:val="0"/>
                    <w:pageBreakBefore w:val="0"/>
                    <w:kinsoku/>
                    <w:wordWrap/>
                    <w:overflowPunct/>
                    <w:topLinePunct w:val="0"/>
                    <w:autoSpaceDE/>
                    <w:autoSpaceDN/>
                    <w:bidi w:val="0"/>
                    <w:spacing w:line="240" w:lineRule="auto"/>
                    <w:ind w:left="0" w:leftChars="0"/>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颗粒物</w:t>
                  </w:r>
                </w:p>
              </w:tc>
              <w:tc>
                <w:tcPr>
                  <w:tcW w:w="569" w:type="pct"/>
                  <w:tcBorders>
                    <w:tl2br w:val="nil"/>
                    <w:tr2bl w:val="nil"/>
                  </w:tcBorders>
                  <w:shd w:val="clear" w:color="auto" w:fill="auto"/>
                  <w:vAlign w:val="center"/>
                </w:tcPr>
                <w:p w14:paraId="356B7097">
                  <w:pPr>
                    <w:keepNext w:val="0"/>
                    <w:keepLines w:val="0"/>
                    <w:pageBreakBefore w:val="0"/>
                    <w:widowControl/>
                    <w:suppressLineNumbers w:val="0"/>
                    <w:kinsoku/>
                    <w:wordWrap/>
                    <w:overflowPunct/>
                    <w:topLinePunct w:val="0"/>
                    <w:bidi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0.043</w:t>
                  </w:r>
                </w:p>
              </w:tc>
              <w:tc>
                <w:tcPr>
                  <w:tcW w:w="478" w:type="pct"/>
                  <w:tcBorders>
                    <w:tl2br w:val="nil"/>
                    <w:tr2bl w:val="nil"/>
                  </w:tcBorders>
                  <w:vAlign w:val="center"/>
                </w:tcPr>
                <w:p w14:paraId="116A20CE">
                  <w:pPr>
                    <w:keepNext w:val="0"/>
                    <w:keepLines w:val="0"/>
                    <w:widowControl/>
                    <w:suppressLineNumbers w:val="0"/>
                    <w:jc w:val="center"/>
                    <w:textAlignment w:val="center"/>
                    <w:rPr>
                      <w:rFonts w:hint="default" w:ascii="Times New Roman" w:hAnsi="Times New Roman" w:eastAsia="宋体" w:cs="Times New Roman"/>
                      <w:color w:val="auto"/>
                      <w:spacing w:val="-10"/>
                      <w:kern w:val="0"/>
                      <w:sz w:val="21"/>
                      <w:szCs w:val="21"/>
                      <w:lang w:val="en-US" w:eastAsia="zh-CN"/>
                    </w:rPr>
                  </w:pPr>
                  <w:r>
                    <w:rPr>
                      <w:rFonts w:hint="eastAsia" w:cs="Times New Roman"/>
                      <w:color w:val="auto"/>
                      <w:spacing w:val="-10"/>
                      <w:kern w:val="0"/>
                      <w:sz w:val="21"/>
                      <w:szCs w:val="21"/>
                      <w:lang w:val="en-US" w:eastAsia="zh-CN"/>
                    </w:rPr>
                    <w:t>0.0152</w:t>
                  </w:r>
                </w:p>
              </w:tc>
              <w:tc>
                <w:tcPr>
                  <w:tcW w:w="478" w:type="pct"/>
                  <w:tcBorders>
                    <w:tl2br w:val="nil"/>
                    <w:tr2bl w:val="nil"/>
                  </w:tcBorders>
                  <w:shd w:val="clear" w:color="auto" w:fill="auto"/>
                  <w:vAlign w:val="center"/>
                </w:tcPr>
                <w:p w14:paraId="3182E6F3">
                  <w:pPr>
                    <w:keepNext w:val="0"/>
                    <w:keepLines w:val="0"/>
                    <w:pageBreakBefore w:val="0"/>
                    <w:widowControl/>
                    <w:suppressLineNumbers w:val="0"/>
                    <w:kinsoku/>
                    <w:wordWrap/>
                    <w:overflowPunct/>
                    <w:topLinePunct w:val="0"/>
                    <w:bidi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0.043</w:t>
                  </w:r>
                </w:p>
              </w:tc>
              <w:tc>
                <w:tcPr>
                  <w:tcW w:w="477" w:type="pct"/>
                  <w:tcBorders>
                    <w:tl2br w:val="nil"/>
                    <w:tr2bl w:val="nil"/>
                  </w:tcBorders>
                  <w:shd w:val="clear" w:color="auto" w:fill="auto"/>
                  <w:vAlign w:val="center"/>
                </w:tcPr>
                <w:p w14:paraId="36101E61">
                  <w:pPr>
                    <w:keepNext w:val="0"/>
                    <w:keepLines w:val="0"/>
                    <w:widowControl/>
                    <w:suppressLineNumbers w:val="0"/>
                    <w:jc w:val="center"/>
                    <w:textAlignment w:val="center"/>
                    <w:rPr>
                      <w:rFonts w:hint="default" w:ascii="Times New Roman" w:hAnsi="Times New Roman" w:eastAsia="宋体" w:cs="Times New Roman"/>
                      <w:color w:val="auto"/>
                      <w:spacing w:val="-10"/>
                      <w:kern w:val="0"/>
                      <w:sz w:val="21"/>
                      <w:szCs w:val="21"/>
                      <w:lang w:val="en-US" w:eastAsia="zh-CN" w:bidi="ar"/>
                    </w:rPr>
                  </w:pPr>
                  <w:r>
                    <w:rPr>
                      <w:rFonts w:hint="eastAsia" w:cs="Times New Roman"/>
                      <w:color w:val="auto"/>
                      <w:spacing w:val="-10"/>
                      <w:kern w:val="0"/>
                      <w:sz w:val="21"/>
                      <w:szCs w:val="21"/>
                      <w:lang w:val="en-US" w:eastAsia="zh-CN" w:bidi="ar"/>
                    </w:rPr>
                    <w:t>0.0152</w:t>
                  </w:r>
                </w:p>
              </w:tc>
              <w:tc>
                <w:tcPr>
                  <w:tcW w:w="648" w:type="pct"/>
                  <w:vMerge w:val="restart"/>
                  <w:tcBorders>
                    <w:tl2br w:val="nil"/>
                    <w:tr2bl w:val="nil"/>
                  </w:tcBorders>
                  <w:vAlign w:val="center"/>
                </w:tcPr>
                <w:p w14:paraId="5A439C79">
                  <w:pPr>
                    <w:pStyle w:val="9"/>
                    <w:keepNext w:val="0"/>
                    <w:keepLines w:val="0"/>
                    <w:pageBreakBefore w:val="0"/>
                    <w:kinsoku/>
                    <w:wordWrap/>
                    <w:overflowPunct/>
                    <w:topLinePunct w:val="0"/>
                    <w:bidi w:val="0"/>
                    <w:jc w:val="center"/>
                    <w:rPr>
                      <w:rFonts w:hint="default" w:ascii="Times New Roman" w:hAnsi="Times New Roman" w:eastAsia="宋体" w:cs="Times New Roman"/>
                      <w:bCs/>
                      <w:snapToGrid w:val="0"/>
                      <w:color w:val="auto"/>
                      <w:sz w:val="21"/>
                      <w:szCs w:val="21"/>
                      <w:lang w:val="en-US" w:eastAsia="zh-CN"/>
                    </w:rPr>
                  </w:pPr>
                  <w:r>
                    <w:rPr>
                      <w:rFonts w:hint="eastAsia" w:cs="Times New Roman"/>
                      <w:bCs/>
                      <w:snapToGrid w:val="0"/>
                      <w:color w:val="auto"/>
                      <w:sz w:val="21"/>
                      <w:szCs w:val="21"/>
                      <w:lang w:val="en-US" w:eastAsia="zh-CN"/>
                    </w:rPr>
                    <w:t>66*109</w:t>
                  </w:r>
                </w:p>
              </w:tc>
              <w:tc>
                <w:tcPr>
                  <w:tcW w:w="568" w:type="pct"/>
                  <w:vMerge w:val="restart"/>
                  <w:tcBorders>
                    <w:tl2br w:val="nil"/>
                    <w:tr2bl w:val="nil"/>
                  </w:tcBorders>
                  <w:vAlign w:val="center"/>
                </w:tcPr>
                <w:p w14:paraId="07CE3389">
                  <w:pPr>
                    <w:pStyle w:val="34"/>
                    <w:keepNext w:val="0"/>
                    <w:keepLines w:val="0"/>
                    <w:pageBreakBefore w:val="0"/>
                    <w:kinsoku/>
                    <w:wordWrap/>
                    <w:overflowPunct/>
                    <w:topLinePunct w:val="0"/>
                    <w:bidi w:val="0"/>
                    <w:spacing w:before="0" w:beforeLines="0" w:after="0" w:afterLines="0" w:line="240" w:lineRule="auto"/>
                    <w:jc w:val="center"/>
                    <w:rPr>
                      <w:rFonts w:hint="default" w:ascii="Times New Roman" w:hAnsi="Times New Roman" w:eastAsia="宋体" w:cs="Times New Roman"/>
                      <w:bCs/>
                      <w:snapToGrid w:val="0"/>
                      <w:color w:val="auto"/>
                      <w:spacing w:val="0"/>
                      <w:sz w:val="21"/>
                      <w:szCs w:val="21"/>
                      <w:lang w:val="en-US" w:eastAsia="zh-CN"/>
                    </w:rPr>
                  </w:pPr>
                  <w:r>
                    <w:rPr>
                      <w:rFonts w:hint="default" w:ascii="Times New Roman" w:hAnsi="Times New Roman" w:cs="Times New Roman"/>
                      <w:color w:val="auto"/>
                      <w:sz w:val="21"/>
                      <w:szCs w:val="21"/>
                      <w:lang w:val="en-US" w:eastAsia="zh-CN"/>
                    </w:rPr>
                    <w:t>10</w:t>
                  </w:r>
                </w:p>
              </w:tc>
            </w:tr>
            <w:tr w14:paraId="59CAD35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16" w:hRule="atLeast"/>
                <w:tblHeader/>
                <w:jc w:val="center"/>
              </w:trPr>
              <w:tc>
                <w:tcPr>
                  <w:tcW w:w="377" w:type="pct"/>
                  <w:vMerge w:val="continue"/>
                  <w:tcBorders>
                    <w:tl2br w:val="nil"/>
                    <w:tr2bl w:val="nil"/>
                  </w:tcBorders>
                  <w:vAlign w:val="center"/>
                </w:tcPr>
                <w:p w14:paraId="1E2F038C">
                  <w:pPr>
                    <w:pStyle w:val="34"/>
                    <w:keepNext w:val="0"/>
                    <w:keepLines w:val="0"/>
                    <w:pageBreakBefore w:val="0"/>
                    <w:kinsoku/>
                    <w:wordWrap/>
                    <w:overflowPunct/>
                    <w:topLinePunct w:val="0"/>
                    <w:bidi w:val="0"/>
                    <w:spacing w:before="0" w:beforeLines="0" w:after="0" w:afterLines="0" w:line="240" w:lineRule="auto"/>
                    <w:jc w:val="center"/>
                    <w:rPr>
                      <w:rFonts w:hint="default" w:ascii="Times New Roman" w:hAnsi="Times New Roman" w:eastAsia="宋体" w:cs="Times New Roman"/>
                      <w:color w:val="auto"/>
                      <w:sz w:val="21"/>
                      <w:szCs w:val="21"/>
                      <w:lang w:val="en-US" w:eastAsia="zh-CN"/>
                    </w:rPr>
                  </w:pPr>
                </w:p>
              </w:tc>
              <w:tc>
                <w:tcPr>
                  <w:tcW w:w="831" w:type="pct"/>
                  <w:tcBorders>
                    <w:tl2br w:val="nil"/>
                    <w:tr2bl w:val="nil"/>
                  </w:tcBorders>
                  <w:shd w:val="clear" w:color="auto" w:fill="auto"/>
                  <w:vAlign w:val="center"/>
                </w:tcPr>
                <w:p w14:paraId="03255F05">
                  <w:pPr>
                    <w:jc w:val="center"/>
                    <w:rPr>
                      <w:rFonts w:hint="default" w:ascii="Times New Roman" w:hAnsi="Times New Roman" w:eastAsia="宋体" w:cs="Times New Roman"/>
                      <w:b w:val="0"/>
                      <w:bCs/>
                      <w:color w:val="auto"/>
                      <w:spacing w:val="-10"/>
                      <w:kern w:val="2"/>
                      <w:sz w:val="21"/>
                      <w:szCs w:val="21"/>
                      <w:highlight w:val="none"/>
                      <w:vertAlign w:val="baseline"/>
                      <w:lang w:val="en-US" w:eastAsia="zh-CN" w:bidi="ar"/>
                    </w:rPr>
                  </w:pPr>
                  <w:r>
                    <w:rPr>
                      <w:rFonts w:hint="default" w:ascii="Times New Roman" w:hAnsi="Times New Roman" w:eastAsia="宋体" w:cs="Times New Roman"/>
                      <w:color w:val="auto"/>
                      <w:kern w:val="2"/>
                      <w:sz w:val="21"/>
                      <w:szCs w:val="21"/>
                      <w:lang w:val="en-US" w:eastAsia="zh-CN" w:bidi="ar"/>
                    </w:rPr>
                    <w:t>配料粉尘</w:t>
                  </w:r>
                </w:p>
              </w:tc>
              <w:tc>
                <w:tcPr>
                  <w:tcW w:w="570" w:type="pct"/>
                  <w:tcBorders>
                    <w:tl2br w:val="nil"/>
                    <w:tr2bl w:val="nil"/>
                  </w:tcBorders>
                  <w:shd w:val="clear" w:color="auto" w:fill="auto"/>
                  <w:vAlign w:val="center"/>
                </w:tcPr>
                <w:p w14:paraId="50084420">
                  <w:pPr>
                    <w:pStyle w:val="111"/>
                    <w:keepNext w:val="0"/>
                    <w:keepLines w:val="0"/>
                    <w:pageBreakBefore w:val="0"/>
                    <w:kinsoku/>
                    <w:wordWrap/>
                    <w:overflowPunct/>
                    <w:topLinePunct w:val="0"/>
                    <w:autoSpaceDE/>
                    <w:autoSpaceDN/>
                    <w:bidi w:val="0"/>
                    <w:spacing w:line="240" w:lineRule="auto"/>
                    <w:ind w:left="0" w:leftChars="0"/>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颗粒物</w:t>
                  </w:r>
                </w:p>
              </w:tc>
              <w:tc>
                <w:tcPr>
                  <w:tcW w:w="569" w:type="pct"/>
                  <w:tcBorders>
                    <w:tl2br w:val="nil"/>
                    <w:tr2bl w:val="nil"/>
                  </w:tcBorders>
                  <w:shd w:val="clear" w:color="auto" w:fill="auto"/>
                  <w:vAlign w:val="center"/>
                </w:tcPr>
                <w:p w14:paraId="3B3F3768">
                  <w:pPr>
                    <w:keepNext w:val="0"/>
                    <w:keepLines w:val="0"/>
                    <w:pageBreakBefore w:val="0"/>
                    <w:widowControl/>
                    <w:suppressLineNumbers w:val="0"/>
                    <w:kinsoku/>
                    <w:wordWrap/>
                    <w:overflowPunct/>
                    <w:topLinePunct w:val="0"/>
                    <w:bidi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0.0004</w:t>
                  </w:r>
                </w:p>
              </w:tc>
              <w:tc>
                <w:tcPr>
                  <w:tcW w:w="478" w:type="pct"/>
                  <w:tcBorders>
                    <w:tl2br w:val="nil"/>
                    <w:tr2bl w:val="nil"/>
                  </w:tcBorders>
                  <w:vAlign w:val="center"/>
                </w:tcPr>
                <w:p w14:paraId="7A7680BA">
                  <w:pPr>
                    <w:keepNext w:val="0"/>
                    <w:keepLines w:val="0"/>
                    <w:widowControl/>
                    <w:suppressLineNumbers w:val="0"/>
                    <w:jc w:val="center"/>
                    <w:textAlignment w:val="center"/>
                    <w:rPr>
                      <w:rFonts w:hint="default" w:ascii="Times New Roman" w:hAnsi="Times New Roman" w:eastAsia="宋体" w:cs="Times New Roman"/>
                      <w:color w:val="auto"/>
                      <w:spacing w:val="-10"/>
                      <w:kern w:val="0"/>
                      <w:sz w:val="21"/>
                      <w:szCs w:val="21"/>
                      <w:lang w:val="en-US" w:eastAsia="zh-CN"/>
                    </w:rPr>
                  </w:pPr>
                  <w:r>
                    <w:rPr>
                      <w:rFonts w:hint="eastAsia" w:cs="Times New Roman"/>
                      <w:color w:val="auto"/>
                      <w:spacing w:val="-10"/>
                      <w:kern w:val="0"/>
                      <w:sz w:val="21"/>
                      <w:szCs w:val="21"/>
                      <w:lang w:val="en-US" w:eastAsia="zh-CN"/>
                    </w:rPr>
                    <w:t>0.0011</w:t>
                  </w:r>
                </w:p>
              </w:tc>
              <w:tc>
                <w:tcPr>
                  <w:tcW w:w="478" w:type="pct"/>
                  <w:tcBorders>
                    <w:tl2br w:val="nil"/>
                    <w:tr2bl w:val="nil"/>
                  </w:tcBorders>
                  <w:shd w:val="clear" w:color="auto" w:fill="auto"/>
                  <w:vAlign w:val="center"/>
                </w:tcPr>
                <w:p w14:paraId="57564F91">
                  <w:pPr>
                    <w:keepNext w:val="0"/>
                    <w:keepLines w:val="0"/>
                    <w:pageBreakBefore w:val="0"/>
                    <w:widowControl/>
                    <w:suppressLineNumbers w:val="0"/>
                    <w:kinsoku/>
                    <w:wordWrap/>
                    <w:overflowPunct/>
                    <w:topLinePunct w:val="0"/>
                    <w:bidi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0.0001</w:t>
                  </w:r>
                </w:p>
              </w:tc>
              <w:tc>
                <w:tcPr>
                  <w:tcW w:w="477" w:type="pct"/>
                  <w:tcBorders>
                    <w:tl2br w:val="nil"/>
                    <w:tr2bl w:val="nil"/>
                  </w:tcBorders>
                  <w:shd w:val="clear" w:color="auto" w:fill="auto"/>
                  <w:vAlign w:val="center"/>
                </w:tcPr>
                <w:p w14:paraId="50A87A4B">
                  <w:pPr>
                    <w:keepNext w:val="0"/>
                    <w:keepLines w:val="0"/>
                    <w:widowControl/>
                    <w:suppressLineNumbers w:val="0"/>
                    <w:jc w:val="center"/>
                    <w:textAlignment w:val="center"/>
                    <w:rPr>
                      <w:rFonts w:hint="default" w:ascii="Times New Roman" w:hAnsi="Times New Roman" w:eastAsia="宋体" w:cs="Times New Roman"/>
                      <w:color w:val="auto"/>
                      <w:spacing w:val="-10"/>
                      <w:kern w:val="0"/>
                      <w:sz w:val="21"/>
                      <w:szCs w:val="21"/>
                      <w:lang w:val="en-US" w:eastAsia="zh-CN" w:bidi="ar"/>
                    </w:rPr>
                  </w:pPr>
                  <w:r>
                    <w:rPr>
                      <w:rFonts w:hint="eastAsia" w:cs="Times New Roman"/>
                      <w:color w:val="auto"/>
                      <w:spacing w:val="-10"/>
                      <w:kern w:val="0"/>
                      <w:sz w:val="21"/>
                      <w:szCs w:val="21"/>
                      <w:lang w:val="en-US" w:eastAsia="zh-CN" w:bidi="ar"/>
                    </w:rPr>
                    <w:t>0.0003</w:t>
                  </w:r>
                </w:p>
              </w:tc>
              <w:tc>
                <w:tcPr>
                  <w:tcW w:w="648" w:type="pct"/>
                  <w:vMerge w:val="continue"/>
                  <w:tcBorders>
                    <w:tl2br w:val="nil"/>
                    <w:tr2bl w:val="nil"/>
                  </w:tcBorders>
                  <w:vAlign w:val="center"/>
                </w:tcPr>
                <w:p w14:paraId="0A4B4A15">
                  <w:pPr>
                    <w:pStyle w:val="9"/>
                    <w:keepNext w:val="0"/>
                    <w:keepLines w:val="0"/>
                    <w:pageBreakBefore w:val="0"/>
                    <w:kinsoku/>
                    <w:wordWrap/>
                    <w:overflowPunct/>
                    <w:topLinePunct w:val="0"/>
                    <w:bidi w:val="0"/>
                    <w:jc w:val="center"/>
                    <w:rPr>
                      <w:rFonts w:hint="default" w:ascii="Times New Roman" w:hAnsi="Times New Roman" w:eastAsia="宋体" w:cs="Times New Roman"/>
                      <w:bCs/>
                      <w:snapToGrid w:val="0"/>
                      <w:color w:val="auto"/>
                      <w:sz w:val="21"/>
                      <w:szCs w:val="21"/>
                      <w:lang w:val="en-US" w:eastAsia="zh-CN"/>
                    </w:rPr>
                  </w:pPr>
                </w:p>
              </w:tc>
              <w:tc>
                <w:tcPr>
                  <w:tcW w:w="568" w:type="pct"/>
                  <w:vMerge w:val="continue"/>
                  <w:tcBorders>
                    <w:tl2br w:val="nil"/>
                    <w:tr2bl w:val="nil"/>
                  </w:tcBorders>
                  <w:vAlign w:val="center"/>
                </w:tcPr>
                <w:p w14:paraId="18A417EC">
                  <w:pPr>
                    <w:pStyle w:val="34"/>
                    <w:keepNext w:val="0"/>
                    <w:keepLines w:val="0"/>
                    <w:pageBreakBefore w:val="0"/>
                    <w:kinsoku/>
                    <w:wordWrap/>
                    <w:overflowPunct/>
                    <w:topLinePunct w:val="0"/>
                    <w:bidi w:val="0"/>
                    <w:spacing w:before="0" w:beforeLines="0" w:after="0" w:afterLines="0" w:line="240" w:lineRule="auto"/>
                    <w:jc w:val="center"/>
                    <w:rPr>
                      <w:rFonts w:hint="default" w:ascii="Times New Roman" w:hAnsi="Times New Roman" w:eastAsia="宋体" w:cs="Times New Roman"/>
                      <w:bCs/>
                      <w:snapToGrid w:val="0"/>
                      <w:color w:val="auto"/>
                      <w:spacing w:val="0"/>
                      <w:sz w:val="21"/>
                      <w:szCs w:val="21"/>
                      <w:lang w:val="en-US" w:eastAsia="zh-CN"/>
                    </w:rPr>
                  </w:pPr>
                </w:p>
              </w:tc>
            </w:tr>
            <w:tr w14:paraId="5109935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blHeader/>
                <w:jc w:val="center"/>
              </w:trPr>
              <w:tc>
                <w:tcPr>
                  <w:tcW w:w="377" w:type="pct"/>
                  <w:vMerge w:val="continue"/>
                  <w:tcBorders>
                    <w:tl2br w:val="nil"/>
                    <w:tr2bl w:val="nil"/>
                  </w:tcBorders>
                  <w:vAlign w:val="center"/>
                </w:tcPr>
                <w:p w14:paraId="2D0966C2">
                  <w:pPr>
                    <w:pStyle w:val="34"/>
                    <w:keepNext w:val="0"/>
                    <w:keepLines w:val="0"/>
                    <w:pageBreakBefore w:val="0"/>
                    <w:kinsoku/>
                    <w:wordWrap/>
                    <w:overflowPunct/>
                    <w:topLinePunct w:val="0"/>
                    <w:bidi w:val="0"/>
                    <w:spacing w:before="0" w:beforeLines="0" w:after="0" w:afterLines="0" w:line="240" w:lineRule="auto"/>
                    <w:jc w:val="center"/>
                    <w:rPr>
                      <w:rFonts w:hint="default" w:ascii="Times New Roman" w:hAnsi="Times New Roman" w:eastAsia="宋体" w:cs="Times New Roman"/>
                      <w:color w:val="auto"/>
                      <w:sz w:val="21"/>
                      <w:szCs w:val="21"/>
                    </w:rPr>
                  </w:pPr>
                </w:p>
              </w:tc>
              <w:tc>
                <w:tcPr>
                  <w:tcW w:w="831" w:type="pct"/>
                  <w:tcBorders>
                    <w:tl2br w:val="nil"/>
                    <w:tr2bl w:val="nil"/>
                  </w:tcBorders>
                  <w:vAlign w:val="center"/>
                </w:tcPr>
                <w:p w14:paraId="171C3EBF">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kern w:val="2"/>
                      <w:sz w:val="21"/>
                      <w:szCs w:val="21"/>
                      <w:lang w:val="en-US" w:eastAsia="zh-CN" w:bidi="ar"/>
                    </w:rPr>
                    <w:t>切削液废气</w:t>
                  </w:r>
                </w:p>
              </w:tc>
              <w:tc>
                <w:tcPr>
                  <w:tcW w:w="570" w:type="pct"/>
                  <w:tcBorders>
                    <w:tl2br w:val="nil"/>
                    <w:tr2bl w:val="nil"/>
                  </w:tcBorders>
                  <w:shd w:val="clear" w:color="auto" w:fill="auto"/>
                  <w:vAlign w:val="center"/>
                </w:tcPr>
                <w:p w14:paraId="2F3E1248">
                  <w:pPr>
                    <w:pStyle w:val="111"/>
                    <w:keepNext w:val="0"/>
                    <w:keepLines w:val="0"/>
                    <w:pageBreakBefore w:val="0"/>
                    <w:kinsoku/>
                    <w:wordWrap/>
                    <w:overflowPunct/>
                    <w:topLinePunct w:val="0"/>
                    <w:autoSpaceDE/>
                    <w:autoSpaceDN/>
                    <w:bidi w:val="0"/>
                    <w:spacing w:line="240" w:lineRule="auto"/>
                    <w:ind w:left="0" w:left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非甲烷总烃</w:t>
                  </w:r>
                </w:p>
              </w:tc>
              <w:tc>
                <w:tcPr>
                  <w:tcW w:w="569" w:type="pct"/>
                  <w:tcBorders>
                    <w:tl2br w:val="nil"/>
                    <w:tr2bl w:val="nil"/>
                  </w:tcBorders>
                  <w:vAlign w:val="center"/>
                </w:tcPr>
                <w:p w14:paraId="31698EF2">
                  <w:pPr>
                    <w:keepNext w:val="0"/>
                    <w:keepLines w:val="0"/>
                    <w:pageBreakBefore w:val="0"/>
                    <w:widowControl/>
                    <w:kinsoku/>
                    <w:wordWrap/>
                    <w:overflowPunct/>
                    <w:topLinePunct w:val="0"/>
                    <w:bidi w:val="0"/>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0.0395</w:t>
                  </w:r>
                </w:p>
              </w:tc>
              <w:tc>
                <w:tcPr>
                  <w:tcW w:w="478" w:type="pct"/>
                  <w:tcBorders>
                    <w:tl2br w:val="nil"/>
                    <w:tr2bl w:val="nil"/>
                  </w:tcBorders>
                  <w:vAlign w:val="center"/>
                </w:tcPr>
                <w:p w14:paraId="74B07AFF">
                  <w:pPr>
                    <w:keepNext w:val="0"/>
                    <w:keepLines w:val="0"/>
                    <w:widowControl/>
                    <w:suppressLineNumbers w:val="0"/>
                    <w:jc w:val="center"/>
                    <w:textAlignment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0.0112</w:t>
                  </w:r>
                </w:p>
              </w:tc>
              <w:tc>
                <w:tcPr>
                  <w:tcW w:w="478" w:type="pct"/>
                  <w:tcBorders>
                    <w:tl2br w:val="nil"/>
                    <w:tr2bl w:val="nil"/>
                  </w:tcBorders>
                  <w:shd w:val="clear" w:color="auto" w:fill="auto"/>
                  <w:vAlign w:val="center"/>
                </w:tcPr>
                <w:p w14:paraId="6DF138B9">
                  <w:pPr>
                    <w:keepNext w:val="0"/>
                    <w:keepLines w:val="0"/>
                    <w:pageBreakBefore w:val="0"/>
                    <w:widowControl/>
                    <w:kinsoku/>
                    <w:wordWrap/>
                    <w:overflowPunct/>
                    <w:topLinePunct w:val="0"/>
                    <w:bidi w:val="0"/>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0.0395</w:t>
                  </w:r>
                </w:p>
              </w:tc>
              <w:tc>
                <w:tcPr>
                  <w:tcW w:w="477" w:type="pct"/>
                  <w:tcBorders>
                    <w:tl2br w:val="nil"/>
                    <w:tr2bl w:val="nil"/>
                  </w:tcBorders>
                  <w:shd w:val="clear" w:color="auto" w:fill="auto"/>
                  <w:vAlign w:val="center"/>
                </w:tcPr>
                <w:p w14:paraId="25890D28">
                  <w:pPr>
                    <w:keepNext w:val="0"/>
                    <w:keepLines w:val="0"/>
                    <w:widowControl/>
                    <w:suppressLineNumbers w:val="0"/>
                    <w:jc w:val="center"/>
                    <w:textAlignment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0.0112</w:t>
                  </w:r>
                </w:p>
              </w:tc>
              <w:tc>
                <w:tcPr>
                  <w:tcW w:w="648" w:type="pct"/>
                  <w:vMerge w:val="continue"/>
                  <w:tcBorders>
                    <w:tl2br w:val="nil"/>
                    <w:tr2bl w:val="nil"/>
                  </w:tcBorders>
                  <w:vAlign w:val="center"/>
                </w:tcPr>
                <w:p w14:paraId="75D0A785">
                  <w:pPr>
                    <w:pStyle w:val="34"/>
                    <w:keepNext w:val="0"/>
                    <w:keepLines w:val="0"/>
                    <w:pageBreakBefore w:val="0"/>
                    <w:kinsoku/>
                    <w:wordWrap/>
                    <w:overflowPunct/>
                    <w:topLinePunct w:val="0"/>
                    <w:bidi w:val="0"/>
                    <w:spacing w:before="0" w:beforeLines="0" w:after="0" w:afterLines="0" w:line="240" w:lineRule="auto"/>
                    <w:jc w:val="center"/>
                    <w:rPr>
                      <w:rFonts w:hint="default" w:ascii="Times New Roman" w:hAnsi="Times New Roman" w:eastAsia="宋体" w:cs="Times New Roman"/>
                      <w:bCs/>
                      <w:snapToGrid w:val="0"/>
                      <w:color w:val="auto"/>
                      <w:spacing w:val="0"/>
                      <w:sz w:val="21"/>
                      <w:szCs w:val="21"/>
                      <w:lang w:val="en-US" w:eastAsia="zh-CN"/>
                    </w:rPr>
                  </w:pPr>
                </w:p>
              </w:tc>
              <w:tc>
                <w:tcPr>
                  <w:tcW w:w="568" w:type="pct"/>
                  <w:vMerge w:val="continue"/>
                  <w:tcBorders>
                    <w:tl2br w:val="nil"/>
                    <w:tr2bl w:val="nil"/>
                  </w:tcBorders>
                  <w:vAlign w:val="center"/>
                </w:tcPr>
                <w:p w14:paraId="61EA7689">
                  <w:pPr>
                    <w:pStyle w:val="34"/>
                    <w:keepNext w:val="0"/>
                    <w:keepLines w:val="0"/>
                    <w:pageBreakBefore w:val="0"/>
                    <w:kinsoku/>
                    <w:wordWrap/>
                    <w:overflowPunct/>
                    <w:topLinePunct w:val="0"/>
                    <w:bidi w:val="0"/>
                    <w:spacing w:before="0" w:beforeLines="0" w:after="0" w:afterLines="0" w:line="240" w:lineRule="auto"/>
                    <w:jc w:val="center"/>
                    <w:rPr>
                      <w:rFonts w:hint="default" w:ascii="Times New Roman" w:hAnsi="Times New Roman" w:eastAsia="宋体" w:cs="Times New Roman"/>
                      <w:bCs/>
                      <w:snapToGrid w:val="0"/>
                      <w:color w:val="auto"/>
                      <w:spacing w:val="0"/>
                      <w:sz w:val="21"/>
                      <w:szCs w:val="21"/>
                      <w:lang w:val="en-US" w:eastAsia="zh-CN"/>
                    </w:rPr>
                  </w:pPr>
                </w:p>
              </w:tc>
            </w:tr>
            <w:tr w14:paraId="18092E6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0" w:hRule="atLeast"/>
                <w:jc w:val="center"/>
              </w:trPr>
              <w:tc>
                <w:tcPr>
                  <w:tcW w:w="377" w:type="pct"/>
                  <w:vMerge w:val="restart"/>
                  <w:tcBorders>
                    <w:tl2br w:val="nil"/>
                    <w:tr2bl w:val="nil"/>
                  </w:tcBorders>
                  <w:vAlign w:val="center"/>
                </w:tcPr>
                <w:p w14:paraId="266E9B5D">
                  <w:pPr>
                    <w:pStyle w:val="34"/>
                    <w:keepNext w:val="0"/>
                    <w:keepLines w:val="0"/>
                    <w:pageBreakBefore w:val="0"/>
                    <w:kinsoku/>
                    <w:wordWrap/>
                    <w:overflowPunct/>
                    <w:topLinePunct w:val="0"/>
                    <w:bidi w:val="0"/>
                    <w:spacing w:before="0" w:beforeLines="0" w:after="0" w:afterLines="0"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bCs/>
                      <w:color w:val="auto"/>
                      <w:sz w:val="21"/>
                      <w:szCs w:val="21"/>
                    </w:rPr>
                    <w:t>合计</w:t>
                  </w:r>
                </w:p>
              </w:tc>
              <w:tc>
                <w:tcPr>
                  <w:tcW w:w="831" w:type="pct"/>
                  <w:vMerge w:val="restart"/>
                  <w:tcBorders>
                    <w:tl2br w:val="nil"/>
                    <w:tr2bl w:val="nil"/>
                  </w:tcBorders>
                  <w:vAlign w:val="center"/>
                </w:tcPr>
                <w:p w14:paraId="6306B079">
                  <w:pPr>
                    <w:pStyle w:val="34"/>
                    <w:keepNext w:val="0"/>
                    <w:keepLines w:val="0"/>
                    <w:pageBreakBefore w:val="0"/>
                    <w:kinsoku/>
                    <w:wordWrap/>
                    <w:overflowPunct/>
                    <w:topLinePunct w:val="0"/>
                    <w:bidi w:val="0"/>
                    <w:spacing w:before="0" w:beforeLines="0" w:after="0" w:afterLines="0" w:line="240" w:lineRule="auto"/>
                    <w:jc w:val="center"/>
                    <w:rPr>
                      <w:rFonts w:hint="eastAsia" w:ascii="Times New Roman" w:hAnsi="Times New Roman" w:eastAsia="宋体" w:cs="Times New Roman"/>
                      <w:color w:val="auto"/>
                      <w:sz w:val="21"/>
                      <w:szCs w:val="21"/>
                      <w:lang w:eastAsia="zh-CN"/>
                    </w:rPr>
                  </w:pPr>
                  <w:r>
                    <w:rPr>
                      <w:rFonts w:hint="eastAsia" w:ascii="Times New Roman" w:hAnsi="Times New Roman" w:eastAsia="宋体" w:cs="Times New Roman"/>
                      <w:color w:val="auto"/>
                      <w:sz w:val="21"/>
                      <w:szCs w:val="21"/>
                      <w:lang w:eastAsia="zh-CN"/>
                    </w:rPr>
                    <w:t>生产车间</w:t>
                  </w:r>
                </w:p>
              </w:tc>
              <w:tc>
                <w:tcPr>
                  <w:tcW w:w="570" w:type="pct"/>
                  <w:tcBorders>
                    <w:tl2br w:val="nil"/>
                    <w:tr2bl w:val="nil"/>
                  </w:tcBorders>
                  <w:shd w:val="clear" w:color="auto" w:fill="auto"/>
                  <w:vAlign w:val="center"/>
                </w:tcPr>
                <w:p w14:paraId="247EB551">
                  <w:pPr>
                    <w:pStyle w:val="38"/>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baseline"/>
                    <w:rPr>
                      <w:rFonts w:hint="default" w:ascii="Times New Roman" w:hAnsi="Times New Roman" w:eastAsia="宋体" w:cs="Times New Roman"/>
                      <w:b w:val="0"/>
                      <w:bCs/>
                      <w:color w:val="auto"/>
                      <w:spacing w:val="-10"/>
                      <w:kern w:val="2"/>
                      <w:sz w:val="21"/>
                      <w:szCs w:val="21"/>
                      <w:highlight w:val="none"/>
                      <w:vertAlign w:val="baseline"/>
                      <w:lang w:val="en-US" w:eastAsia="zh-CN" w:bidi="ar"/>
                    </w:rPr>
                  </w:pPr>
                  <w:r>
                    <w:rPr>
                      <w:rFonts w:hint="default" w:ascii="Times New Roman" w:hAnsi="Times New Roman" w:eastAsia="宋体" w:cs="Times New Roman"/>
                      <w:b w:val="0"/>
                      <w:bCs/>
                      <w:color w:val="auto"/>
                      <w:spacing w:val="-10"/>
                      <w:kern w:val="2"/>
                      <w:sz w:val="21"/>
                      <w:szCs w:val="21"/>
                      <w:highlight w:val="none"/>
                      <w:vertAlign w:val="baseline"/>
                      <w:lang w:val="en-US" w:eastAsia="zh-CN" w:bidi="ar"/>
                    </w:rPr>
                    <w:t>颗粒物</w:t>
                  </w:r>
                </w:p>
              </w:tc>
              <w:tc>
                <w:tcPr>
                  <w:tcW w:w="1477" w:type="dxa"/>
                  <w:tcBorders>
                    <w:tl2br w:val="nil"/>
                    <w:tr2bl w:val="nil"/>
                  </w:tcBorders>
                  <w:vAlign w:val="center"/>
                </w:tcPr>
                <w:p w14:paraId="54A7DB80">
                  <w:pPr>
                    <w:keepNext w:val="0"/>
                    <w:keepLines w:val="0"/>
                    <w:widowControl/>
                    <w:suppressLineNumbers w:val="0"/>
                    <w:jc w:val="center"/>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0.0434</w:t>
                  </w:r>
                </w:p>
              </w:tc>
              <w:tc>
                <w:tcPr>
                  <w:tcW w:w="1241" w:type="dxa"/>
                  <w:tcBorders>
                    <w:tl2br w:val="nil"/>
                    <w:tr2bl w:val="nil"/>
                  </w:tcBorders>
                  <w:vAlign w:val="center"/>
                </w:tcPr>
                <w:p w14:paraId="6B91CECB">
                  <w:pPr>
                    <w:keepNext w:val="0"/>
                    <w:keepLines w:val="0"/>
                    <w:widowControl/>
                    <w:suppressLineNumbers w:val="0"/>
                    <w:jc w:val="center"/>
                    <w:textAlignment w:val="center"/>
                    <w:rPr>
                      <w:rFonts w:hint="default" w:ascii="Times New Roman" w:hAnsi="Times New Roman" w:eastAsia="宋体" w:cs="Times New Roman"/>
                      <w:color w:val="auto"/>
                      <w:spacing w:val="-10"/>
                      <w:kern w:val="0"/>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0.0163</w:t>
                  </w:r>
                </w:p>
              </w:tc>
              <w:tc>
                <w:tcPr>
                  <w:tcW w:w="1241" w:type="dxa"/>
                  <w:tcBorders>
                    <w:tl2br w:val="nil"/>
                    <w:tr2bl w:val="nil"/>
                  </w:tcBorders>
                  <w:shd w:val="clear" w:color="auto" w:fill="auto"/>
                  <w:vAlign w:val="center"/>
                </w:tcPr>
                <w:p w14:paraId="218EE444">
                  <w:pPr>
                    <w:keepNext w:val="0"/>
                    <w:keepLines w:val="0"/>
                    <w:widowControl/>
                    <w:suppressLineNumbers w:val="0"/>
                    <w:jc w:val="center"/>
                    <w:textAlignment w:val="center"/>
                    <w:rPr>
                      <w:rFonts w:hint="default" w:ascii="Times New Roman" w:hAnsi="Times New Roman" w:eastAsia="宋体" w:cs="Times New Roman"/>
                      <w:color w:val="auto"/>
                      <w:kern w:val="2"/>
                      <w:sz w:val="21"/>
                      <w:szCs w:val="21"/>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0.0431</w:t>
                  </w:r>
                </w:p>
              </w:tc>
              <w:tc>
                <w:tcPr>
                  <w:tcW w:w="1240" w:type="dxa"/>
                  <w:tcBorders>
                    <w:tl2br w:val="nil"/>
                    <w:tr2bl w:val="nil"/>
                  </w:tcBorders>
                  <w:shd w:val="clear" w:color="auto" w:fill="auto"/>
                  <w:vAlign w:val="center"/>
                </w:tcPr>
                <w:p w14:paraId="45DA13FE">
                  <w:pPr>
                    <w:keepNext w:val="0"/>
                    <w:keepLines w:val="0"/>
                    <w:widowControl/>
                    <w:suppressLineNumbers w:val="0"/>
                    <w:jc w:val="center"/>
                    <w:textAlignment w:val="center"/>
                    <w:rPr>
                      <w:rFonts w:hint="default" w:ascii="Times New Roman" w:hAnsi="Times New Roman" w:eastAsia="宋体" w:cs="Times New Roman"/>
                      <w:color w:val="auto"/>
                      <w:spacing w:val="-10"/>
                      <w:kern w:val="0"/>
                      <w:sz w:val="21"/>
                      <w:szCs w:val="21"/>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0.0155</w:t>
                  </w:r>
                </w:p>
              </w:tc>
              <w:tc>
                <w:tcPr>
                  <w:tcW w:w="648" w:type="pct"/>
                  <w:vMerge w:val="restart"/>
                  <w:tcBorders>
                    <w:tl2br w:val="nil"/>
                    <w:tr2bl w:val="nil"/>
                  </w:tcBorders>
                  <w:shd w:val="clear" w:color="auto" w:fill="auto"/>
                  <w:vAlign w:val="center"/>
                </w:tcPr>
                <w:p w14:paraId="466E4803">
                  <w:pPr>
                    <w:pStyle w:val="9"/>
                    <w:keepNext w:val="0"/>
                    <w:keepLines w:val="0"/>
                    <w:pageBreakBefore w:val="0"/>
                    <w:kinsoku/>
                    <w:wordWrap/>
                    <w:overflowPunct/>
                    <w:topLinePunct w:val="0"/>
                    <w:bidi w:val="0"/>
                    <w:jc w:val="center"/>
                    <w:rPr>
                      <w:rFonts w:hint="default" w:ascii="Times New Roman" w:hAnsi="Times New Roman" w:eastAsia="宋体" w:cs="Times New Roman"/>
                      <w:bCs/>
                      <w:snapToGrid w:val="0"/>
                      <w:color w:val="auto"/>
                      <w:kern w:val="0"/>
                      <w:sz w:val="21"/>
                      <w:szCs w:val="21"/>
                      <w:lang w:val="en-US" w:eastAsia="zh-CN" w:bidi="ar"/>
                    </w:rPr>
                  </w:pPr>
                  <w:r>
                    <w:rPr>
                      <w:rFonts w:hint="eastAsia" w:cs="Times New Roman"/>
                      <w:bCs/>
                      <w:snapToGrid w:val="0"/>
                      <w:color w:val="auto"/>
                      <w:sz w:val="21"/>
                      <w:szCs w:val="21"/>
                      <w:lang w:val="en-US" w:eastAsia="zh-CN"/>
                    </w:rPr>
                    <w:t>66*109</w:t>
                  </w:r>
                </w:p>
              </w:tc>
              <w:tc>
                <w:tcPr>
                  <w:tcW w:w="568" w:type="pct"/>
                  <w:vMerge w:val="restart"/>
                  <w:tcBorders>
                    <w:tl2br w:val="nil"/>
                    <w:tr2bl w:val="nil"/>
                  </w:tcBorders>
                  <w:shd w:val="clear" w:color="auto" w:fill="auto"/>
                  <w:vAlign w:val="center"/>
                </w:tcPr>
                <w:p w14:paraId="14CFFF56">
                  <w:pPr>
                    <w:pStyle w:val="34"/>
                    <w:keepNext w:val="0"/>
                    <w:keepLines w:val="0"/>
                    <w:pageBreakBefore w:val="0"/>
                    <w:kinsoku/>
                    <w:wordWrap/>
                    <w:overflowPunct/>
                    <w:topLinePunct w:val="0"/>
                    <w:bidi w:val="0"/>
                    <w:spacing w:before="0" w:beforeLines="0" w:after="0" w:afterLines="0" w:line="240" w:lineRule="auto"/>
                    <w:ind w:firstLine="0" w:firstLineChars="0"/>
                    <w:jc w:val="center"/>
                    <w:rPr>
                      <w:rFonts w:hint="default" w:ascii="Times New Roman" w:hAnsi="Times New Roman" w:eastAsia="宋体" w:cs="Times New Roman"/>
                      <w:bCs/>
                      <w:snapToGrid w:val="0"/>
                      <w:color w:val="auto"/>
                      <w:spacing w:val="0"/>
                      <w:kern w:val="0"/>
                      <w:sz w:val="21"/>
                      <w:szCs w:val="21"/>
                      <w:lang w:val="en-US" w:eastAsia="zh-CN" w:bidi="ar"/>
                    </w:rPr>
                  </w:pPr>
                  <w:r>
                    <w:rPr>
                      <w:rFonts w:hint="default" w:ascii="Times New Roman" w:hAnsi="Times New Roman" w:eastAsia="宋体" w:cs="Times New Roman"/>
                      <w:bCs/>
                      <w:snapToGrid w:val="0"/>
                      <w:color w:val="auto"/>
                      <w:spacing w:val="0"/>
                      <w:kern w:val="0"/>
                      <w:sz w:val="21"/>
                      <w:szCs w:val="21"/>
                      <w:lang w:val="en-US" w:eastAsia="zh-CN" w:bidi="ar"/>
                    </w:rPr>
                    <w:t>10</w:t>
                  </w:r>
                </w:p>
              </w:tc>
            </w:tr>
            <w:tr w14:paraId="6762108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77" w:type="pct"/>
                  <w:vMerge w:val="continue"/>
                  <w:tcBorders>
                    <w:tl2br w:val="nil"/>
                    <w:tr2bl w:val="nil"/>
                  </w:tcBorders>
                  <w:vAlign w:val="center"/>
                </w:tcPr>
                <w:p w14:paraId="183F3459">
                  <w:pPr>
                    <w:pStyle w:val="34"/>
                    <w:keepNext w:val="0"/>
                    <w:keepLines w:val="0"/>
                    <w:pageBreakBefore w:val="0"/>
                    <w:kinsoku/>
                    <w:wordWrap/>
                    <w:overflowPunct/>
                    <w:topLinePunct w:val="0"/>
                    <w:bidi w:val="0"/>
                    <w:spacing w:before="0" w:beforeLines="0" w:after="0" w:afterLines="0" w:line="240" w:lineRule="auto"/>
                    <w:jc w:val="center"/>
                    <w:rPr>
                      <w:rFonts w:hint="default" w:ascii="Times New Roman" w:hAnsi="Times New Roman" w:eastAsia="宋体" w:cs="Times New Roman"/>
                      <w:b/>
                      <w:bCs/>
                      <w:color w:val="auto"/>
                      <w:sz w:val="21"/>
                      <w:szCs w:val="21"/>
                    </w:rPr>
                  </w:pPr>
                </w:p>
              </w:tc>
              <w:tc>
                <w:tcPr>
                  <w:tcW w:w="831" w:type="pct"/>
                  <w:vMerge w:val="continue"/>
                  <w:tcBorders>
                    <w:tl2br w:val="nil"/>
                    <w:tr2bl w:val="nil"/>
                  </w:tcBorders>
                  <w:vAlign w:val="center"/>
                </w:tcPr>
                <w:p w14:paraId="270AD0D3">
                  <w:pPr>
                    <w:pStyle w:val="34"/>
                    <w:keepNext w:val="0"/>
                    <w:keepLines w:val="0"/>
                    <w:pageBreakBefore w:val="0"/>
                    <w:kinsoku/>
                    <w:wordWrap/>
                    <w:overflowPunct/>
                    <w:topLinePunct w:val="0"/>
                    <w:bidi w:val="0"/>
                    <w:spacing w:before="0" w:beforeLines="0" w:after="0" w:afterLines="0" w:line="240" w:lineRule="auto"/>
                    <w:jc w:val="center"/>
                    <w:rPr>
                      <w:rFonts w:hint="default" w:ascii="Times New Roman" w:hAnsi="Times New Roman" w:eastAsia="宋体" w:cs="Times New Roman"/>
                      <w:color w:val="auto"/>
                      <w:sz w:val="21"/>
                      <w:szCs w:val="21"/>
                    </w:rPr>
                  </w:pPr>
                </w:p>
              </w:tc>
              <w:tc>
                <w:tcPr>
                  <w:tcW w:w="570" w:type="pct"/>
                  <w:tcBorders>
                    <w:tl2br w:val="nil"/>
                    <w:tr2bl w:val="nil"/>
                  </w:tcBorders>
                  <w:shd w:val="clear" w:color="auto" w:fill="auto"/>
                  <w:vAlign w:val="center"/>
                </w:tcPr>
                <w:p w14:paraId="4F048896">
                  <w:pPr>
                    <w:keepNext w:val="0"/>
                    <w:keepLines w:val="0"/>
                    <w:pageBreakBefore w:val="0"/>
                    <w:kinsoku/>
                    <w:wordWrap/>
                    <w:overflowPunct/>
                    <w:topLinePunct w:val="0"/>
                    <w:bidi w:val="0"/>
                    <w:jc w:val="center"/>
                    <w:rPr>
                      <w:rFonts w:hint="default" w:ascii="Times New Roman" w:hAnsi="Times New Roman" w:eastAsia="宋体" w:cs="Times New Roman"/>
                      <w:color w:val="auto"/>
                      <w:kern w:val="2"/>
                      <w:sz w:val="21"/>
                      <w:szCs w:val="21"/>
                      <w:lang w:val="en-US" w:eastAsia="zh-CN" w:bidi="ar"/>
                    </w:rPr>
                  </w:pPr>
                  <w:r>
                    <w:rPr>
                      <w:rFonts w:hint="default" w:ascii="Times New Roman" w:hAnsi="Times New Roman" w:eastAsia="宋体" w:cs="Times New Roman"/>
                      <w:color w:val="auto"/>
                      <w:sz w:val="21"/>
                      <w:szCs w:val="21"/>
                      <w:lang w:val="en-US" w:eastAsia="zh-CN"/>
                    </w:rPr>
                    <w:t>非甲烷总烃</w:t>
                  </w:r>
                </w:p>
              </w:tc>
              <w:tc>
                <w:tcPr>
                  <w:tcW w:w="569" w:type="pct"/>
                  <w:tcBorders>
                    <w:tl2br w:val="nil"/>
                    <w:tr2bl w:val="nil"/>
                  </w:tcBorders>
                  <w:shd w:val="clear" w:color="auto" w:fill="auto"/>
                  <w:vAlign w:val="center"/>
                </w:tcPr>
                <w:p w14:paraId="3E1E7768">
                  <w:pPr>
                    <w:keepNext w:val="0"/>
                    <w:keepLines w:val="0"/>
                    <w:pageBreakBefore w:val="0"/>
                    <w:widowControl/>
                    <w:kinsoku/>
                    <w:wordWrap/>
                    <w:overflowPunct/>
                    <w:topLinePunct w:val="0"/>
                    <w:bidi w:val="0"/>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0.0395</w:t>
                  </w:r>
                </w:p>
              </w:tc>
              <w:tc>
                <w:tcPr>
                  <w:tcW w:w="478" w:type="pct"/>
                  <w:tcBorders>
                    <w:tl2br w:val="nil"/>
                    <w:tr2bl w:val="nil"/>
                  </w:tcBorders>
                  <w:shd w:val="clear" w:color="auto" w:fill="auto"/>
                  <w:vAlign w:val="center"/>
                </w:tcPr>
                <w:p w14:paraId="7091FB95">
                  <w:pPr>
                    <w:keepNext w:val="0"/>
                    <w:keepLines w:val="0"/>
                    <w:widowControl/>
                    <w:suppressLineNumbers w:val="0"/>
                    <w:jc w:val="center"/>
                    <w:textAlignment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0.0112</w:t>
                  </w:r>
                </w:p>
              </w:tc>
              <w:tc>
                <w:tcPr>
                  <w:tcW w:w="478" w:type="pct"/>
                  <w:tcBorders>
                    <w:tl2br w:val="nil"/>
                    <w:tr2bl w:val="nil"/>
                  </w:tcBorders>
                  <w:shd w:val="clear" w:color="auto" w:fill="auto"/>
                  <w:vAlign w:val="center"/>
                </w:tcPr>
                <w:p w14:paraId="6F94A301">
                  <w:pPr>
                    <w:keepNext w:val="0"/>
                    <w:keepLines w:val="0"/>
                    <w:pageBreakBefore w:val="0"/>
                    <w:widowControl/>
                    <w:kinsoku/>
                    <w:wordWrap/>
                    <w:overflowPunct/>
                    <w:topLinePunct w:val="0"/>
                    <w:bidi w:val="0"/>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0.0395</w:t>
                  </w:r>
                </w:p>
              </w:tc>
              <w:tc>
                <w:tcPr>
                  <w:tcW w:w="477" w:type="pct"/>
                  <w:tcBorders>
                    <w:tl2br w:val="nil"/>
                    <w:tr2bl w:val="nil"/>
                  </w:tcBorders>
                  <w:shd w:val="clear" w:color="auto" w:fill="auto"/>
                  <w:vAlign w:val="center"/>
                </w:tcPr>
                <w:p w14:paraId="29FE6D8E">
                  <w:pPr>
                    <w:keepNext w:val="0"/>
                    <w:keepLines w:val="0"/>
                    <w:widowControl/>
                    <w:suppressLineNumbers w:val="0"/>
                    <w:jc w:val="center"/>
                    <w:textAlignment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0.0112</w:t>
                  </w:r>
                </w:p>
              </w:tc>
              <w:tc>
                <w:tcPr>
                  <w:tcW w:w="648" w:type="pct"/>
                  <w:vMerge w:val="continue"/>
                  <w:tcBorders>
                    <w:tl2br w:val="nil"/>
                    <w:tr2bl w:val="nil"/>
                  </w:tcBorders>
                  <w:shd w:val="clear" w:color="auto" w:fill="auto"/>
                  <w:vAlign w:val="center"/>
                </w:tcPr>
                <w:p w14:paraId="7072864F">
                  <w:pPr>
                    <w:pStyle w:val="9"/>
                    <w:keepNext w:val="0"/>
                    <w:keepLines w:val="0"/>
                    <w:pageBreakBefore w:val="0"/>
                    <w:kinsoku/>
                    <w:wordWrap/>
                    <w:overflowPunct/>
                    <w:topLinePunct w:val="0"/>
                    <w:bidi w:val="0"/>
                    <w:jc w:val="center"/>
                    <w:rPr>
                      <w:rFonts w:hint="default" w:ascii="Times New Roman" w:hAnsi="Times New Roman" w:eastAsia="宋体" w:cs="Times New Roman"/>
                      <w:bCs/>
                      <w:snapToGrid w:val="0"/>
                      <w:color w:val="auto"/>
                      <w:kern w:val="0"/>
                      <w:sz w:val="21"/>
                      <w:szCs w:val="21"/>
                      <w:lang w:val="en-US" w:eastAsia="zh-CN" w:bidi="ar-SA"/>
                    </w:rPr>
                  </w:pPr>
                </w:p>
              </w:tc>
              <w:tc>
                <w:tcPr>
                  <w:tcW w:w="568" w:type="pct"/>
                  <w:vMerge w:val="continue"/>
                  <w:tcBorders>
                    <w:tl2br w:val="nil"/>
                    <w:tr2bl w:val="nil"/>
                  </w:tcBorders>
                  <w:shd w:val="clear" w:color="auto" w:fill="auto"/>
                  <w:vAlign w:val="center"/>
                </w:tcPr>
                <w:p w14:paraId="077CCEAC">
                  <w:pPr>
                    <w:pStyle w:val="34"/>
                    <w:keepNext w:val="0"/>
                    <w:keepLines w:val="0"/>
                    <w:pageBreakBefore w:val="0"/>
                    <w:kinsoku/>
                    <w:wordWrap/>
                    <w:overflowPunct/>
                    <w:topLinePunct w:val="0"/>
                    <w:bidi w:val="0"/>
                    <w:spacing w:before="0" w:beforeLines="0" w:after="0" w:afterLines="0" w:line="240" w:lineRule="auto"/>
                    <w:ind w:firstLine="0" w:firstLineChars="0"/>
                    <w:jc w:val="center"/>
                    <w:rPr>
                      <w:rFonts w:hint="default" w:ascii="Times New Roman" w:hAnsi="Times New Roman" w:eastAsia="宋体" w:cs="Times New Roman"/>
                      <w:bCs/>
                      <w:snapToGrid w:val="0"/>
                      <w:color w:val="auto"/>
                      <w:spacing w:val="0"/>
                      <w:kern w:val="0"/>
                      <w:sz w:val="21"/>
                      <w:szCs w:val="21"/>
                      <w:lang w:val="en-US" w:eastAsia="zh-CN" w:bidi="ar-SA"/>
                    </w:rPr>
                  </w:pPr>
                </w:p>
              </w:tc>
            </w:tr>
          </w:tbl>
          <w:p w14:paraId="69B61C4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b/>
                <w:color w:val="auto"/>
                <w:sz w:val="24"/>
                <w:szCs w:val="24"/>
              </w:rPr>
            </w:pPr>
            <w:r>
              <w:rPr>
                <w:rFonts w:hint="eastAsia" w:eastAsia="宋体"/>
                <w:color w:val="auto"/>
                <w:sz w:val="24"/>
                <w:szCs w:val="24"/>
                <w:lang w:val="en-US" w:eastAsia="zh-CN"/>
              </w:rPr>
              <w:t>全厂</w:t>
            </w:r>
            <w:r>
              <w:rPr>
                <w:rFonts w:hint="default" w:ascii="Times New Roman" w:hAnsi="Times New Roman" w:eastAsia="宋体"/>
                <w:color w:val="auto"/>
                <w:sz w:val="24"/>
                <w:szCs w:val="24"/>
              </w:rPr>
              <w:t>无组织废气产生及排放情况见表4-</w:t>
            </w:r>
            <w:r>
              <w:rPr>
                <w:rFonts w:hint="eastAsia"/>
                <w:color w:val="auto"/>
                <w:sz w:val="24"/>
                <w:szCs w:val="24"/>
                <w:lang w:val="en-US" w:eastAsia="zh-CN"/>
              </w:rPr>
              <w:t>4</w:t>
            </w:r>
            <w:r>
              <w:rPr>
                <w:rFonts w:hint="default" w:ascii="Times New Roman" w:hAnsi="Times New Roman" w:eastAsia="宋体"/>
                <w:color w:val="auto"/>
                <w:sz w:val="24"/>
                <w:szCs w:val="24"/>
              </w:rPr>
              <w:t>：</w:t>
            </w:r>
          </w:p>
          <w:p w14:paraId="13846A02">
            <w:pPr>
              <w:spacing w:line="240" w:lineRule="auto"/>
              <w:jc w:val="center"/>
              <w:rPr>
                <w:rFonts w:hint="eastAsia" w:ascii="Times New Roman" w:hAnsi="Times New Roman" w:eastAsia="宋体"/>
                <w:color w:val="auto"/>
                <w:sz w:val="24"/>
                <w:szCs w:val="24"/>
              </w:rPr>
            </w:pPr>
            <w:r>
              <w:rPr>
                <w:rFonts w:hint="default" w:ascii="Times New Roman" w:hAnsi="Times New Roman" w:eastAsia="宋体"/>
                <w:b/>
                <w:color w:val="auto"/>
                <w:sz w:val="24"/>
                <w:szCs w:val="24"/>
              </w:rPr>
              <w:t>表4-</w:t>
            </w:r>
            <w:r>
              <w:rPr>
                <w:rFonts w:hint="eastAsia"/>
                <w:b/>
                <w:color w:val="auto"/>
                <w:sz w:val="24"/>
                <w:szCs w:val="24"/>
                <w:lang w:val="en-US" w:eastAsia="zh-CN"/>
              </w:rPr>
              <w:t>4</w:t>
            </w:r>
            <w:r>
              <w:rPr>
                <w:rFonts w:hint="default" w:ascii="Times New Roman" w:hAnsi="Times New Roman" w:eastAsia="宋体"/>
                <w:b/>
                <w:color w:val="auto"/>
                <w:sz w:val="24"/>
                <w:szCs w:val="24"/>
              </w:rPr>
              <w:t xml:space="preserve"> </w:t>
            </w:r>
            <w:r>
              <w:rPr>
                <w:rFonts w:hint="eastAsia"/>
                <w:b/>
                <w:color w:val="auto"/>
                <w:sz w:val="24"/>
                <w:szCs w:val="24"/>
                <w:lang w:val="en-US" w:eastAsia="zh-CN"/>
              </w:rPr>
              <w:t>全厂</w:t>
            </w:r>
            <w:r>
              <w:rPr>
                <w:rFonts w:hint="default" w:ascii="Times New Roman" w:hAnsi="Times New Roman" w:eastAsia="宋体"/>
                <w:b/>
                <w:color w:val="auto"/>
                <w:sz w:val="24"/>
                <w:szCs w:val="24"/>
              </w:rPr>
              <w:t>无组织大气污染物产生和排放情况表</w:t>
            </w:r>
          </w:p>
          <w:tbl>
            <w:tblPr>
              <w:tblStyle w:val="26"/>
              <w:tblW w:w="4995" w:type="pct"/>
              <w:jc w:val="center"/>
              <w:tblBorders>
                <w:top w:val="single" w:color="auto" w:sz="12" w:space="0"/>
                <w:left w:val="none" w:color="auto" w:sz="0" w:space="0"/>
                <w:bottom w:val="single" w:color="auto" w:sz="12" w:space="0"/>
                <w:right w:val="none" w:color="auto" w:sz="0" w:space="0"/>
                <w:insideH w:val="single" w:color="auto" w:sz="6" w:space="0"/>
                <w:insideV w:val="single" w:color="auto" w:sz="4" w:space="0"/>
              </w:tblBorders>
              <w:tblLayout w:type="fixed"/>
              <w:tblCellMar>
                <w:top w:w="0" w:type="dxa"/>
                <w:left w:w="108" w:type="dxa"/>
                <w:bottom w:w="0" w:type="dxa"/>
                <w:right w:w="108" w:type="dxa"/>
              </w:tblCellMar>
            </w:tblPr>
            <w:tblGrid>
              <w:gridCol w:w="1050"/>
              <w:gridCol w:w="1643"/>
              <w:gridCol w:w="1494"/>
              <w:gridCol w:w="1334"/>
              <w:gridCol w:w="1334"/>
              <w:gridCol w:w="1334"/>
              <w:gridCol w:w="1334"/>
              <w:gridCol w:w="1805"/>
              <w:gridCol w:w="1616"/>
            </w:tblGrid>
            <w:tr w14:paraId="7DDCDC8F">
              <w:tblPrEx>
                <w:tblBorders>
                  <w:top w:val="single" w:color="auto" w:sz="12" w:space="0"/>
                  <w:left w:val="none" w:color="auto" w:sz="0" w:space="0"/>
                  <w:bottom w:val="single" w:color="auto" w:sz="12" w:space="0"/>
                  <w:right w:val="none" w:color="auto" w:sz="0" w:space="0"/>
                  <w:insideH w:val="single" w:color="auto" w:sz="6" w:space="0"/>
                  <w:insideV w:val="single" w:color="auto" w:sz="4" w:space="0"/>
                </w:tblBorders>
                <w:tblCellMar>
                  <w:top w:w="0" w:type="dxa"/>
                  <w:left w:w="108" w:type="dxa"/>
                  <w:bottom w:w="0" w:type="dxa"/>
                  <w:right w:w="108" w:type="dxa"/>
                </w:tblCellMar>
              </w:tblPrEx>
              <w:trPr>
                <w:trHeight w:val="200" w:hRule="atLeast"/>
                <w:tblHeader/>
                <w:jc w:val="center"/>
              </w:trPr>
              <w:tc>
                <w:tcPr>
                  <w:tcW w:w="1040" w:type="pct"/>
                  <w:gridSpan w:val="2"/>
                  <w:tcBorders>
                    <w:tl2br w:val="nil"/>
                    <w:tr2bl w:val="nil"/>
                  </w:tcBorders>
                  <w:noWrap w:val="0"/>
                  <w:vAlign w:val="center"/>
                </w:tcPr>
                <w:p w14:paraId="5EB9D5D8">
                  <w:pPr>
                    <w:pStyle w:val="34"/>
                    <w:keepNext w:val="0"/>
                    <w:keepLines w:val="0"/>
                    <w:pageBreakBefore w:val="0"/>
                    <w:kinsoku/>
                    <w:wordWrap/>
                    <w:overflowPunct/>
                    <w:topLinePunct w:val="0"/>
                    <w:autoSpaceDE/>
                    <w:autoSpaceDN/>
                    <w:bidi w:val="0"/>
                    <w:adjustRightInd/>
                    <w:snapToGrid/>
                    <w:spacing w:before="0" w:beforeLines="0" w:after="0" w:afterLines="0" w:line="240" w:lineRule="auto"/>
                    <w:ind w:left="0"/>
                    <w:jc w:val="center"/>
                    <w:textAlignment w:val="auto"/>
                    <w:rPr>
                      <w:rFonts w:hint="default" w:ascii="Times New Roman" w:hAnsi="Times New Roman" w:eastAsia="宋体" w:cs="Times New Roman"/>
                      <w:b/>
                      <w:snapToGrid w:val="0"/>
                      <w:color w:val="auto"/>
                      <w:spacing w:val="0"/>
                      <w:sz w:val="21"/>
                      <w:szCs w:val="21"/>
                    </w:rPr>
                  </w:pPr>
                  <w:r>
                    <w:rPr>
                      <w:rFonts w:hint="default" w:ascii="Times New Roman" w:hAnsi="Times New Roman" w:eastAsia="宋体" w:cs="Times New Roman"/>
                      <w:b/>
                      <w:snapToGrid w:val="0"/>
                      <w:color w:val="auto"/>
                      <w:spacing w:val="0"/>
                      <w:sz w:val="21"/>
                      <w:szCs w:val="21"/>
                    </w:rPr>
                    <w:t>面源名称</w:t>
                  </w:r>
                </w:p>
              </w:tc>
              <w:tc>
                <w:tcPr>
                  <w:tcW w:w="577" w:type="pct"/>
                  <w:tcBorders>
                    <w:tl2br w:val="nil"/>
                    <w:tr2bl w:val="nil"/>
                  </w:tcBorders>
                  <w:noWrap w:val="0"/>
                  <w:vAlign w:val="center"/>
                </w:tcPr>
                <w:p w14:paraId="03080A9C">
                  <w:pPr>
                    <w:pStyle w:val="34"/>
                    <w:keepNext w:val="0"/>
                    <w:keepLines w:val="0"/>
                    <w:pageBreakBefore w:val="0"/>
                    <w:kinsoku/>
                    <w:wordWrap/>
                    <w:overflowPunct/>
                    <w:topLinePunct w:val="0"/>
                    <w:autoSpaceDE/>
                    <w:autoSpaceDN/>
                    <w:bidi w:val="0"/>
                    <w:adjustRightInd/>
                    <w:snapToGrid/>
                    <w:spacing w:before="0" w:beforeLines="0" w:after="0" w:afterLines="0" w:line="240" w:lineRule="auto"/>
                    <w:ind w:left="0"/>
                    <w:jc w:val="center"/>
                    <w:textAlignment w:val="auto"/>
                    <w:rPr>
                      <w:rFonts w:hint="default" w:ascii="Times New Roman" w:hAnsi="Times New Roman" w:eastAsia="宋体" w:cs="Times New Roman"/>
                      <w:b/>
                      <w:snapToGrid w:val="0"/>
                      <w:color w:val="auto"/>
                      <w:spacing w:val="0"/>
                      <w:sz w:val="21"/>
                      <w:szCs w:val="21"/>
                    </w:rPr>
                  </w:pPr>
                  <w:r>
                    <w:rPr>
                      <w:rFonts w:hint="default" w:ascii="Times New Roman" w:hAnsi="Times New Roman" w:eastAsia="宋体" w:cs="Times New Roman"/>
                      <w:b/>
                      <w:snapToGrid w:val="0"/>
                      <w:color w:val="auto"/>
                      <w:spacing w:val="0"/>
                      <w:sz w:val="21"/>
                      <w:szCs w:val="21"/>
                    </w:rPr>
                    <w:t>污染物名称</w:t>
                  </w:r>
                </w:p>
              </w:tc>
              <w:tc>
                <w:tcPr>
                  <w:tcW w:w="515" w:type="pct"/>
                  <w:tcBorders>
                    <w:tl2br w:val="nil"/>
                    <w:tr2bl w:val="nil"/>
                  </w:tcBorders>
                  <w:noWrap w:val="0"/>
                  <w:vAlign w:val="center"/>
                </w:tcPr>
                <w:p w14:paraId="7714DE45">
                  <w:pPr>
                    <w:pStyle w:val="34"/>
                    <w:keepNext w:val="0"/>
                    <w:keepLines w:val="0"/>
                    <w:pageBreakBefore w:val="0"/>
                    <w:kinsoku/>
                    <w:wordWrap/>
                    <w:overflowPunct/>
                    <w:topLinePunct w:val="0"/>
                    <w:autoSpaceDE/>
                    <w:autoSpaceDN/>
                    <w:bidi w:val="0"/>
                    <w:adjustRightInd/>
                    <w:snapToGrid/>
                    <w:spacing w:before="0" w:beforeLines="0" w:after="0" w:afterLines="0" w:line="240" w:lineRule="auto"/>
                    <w:ind w:left="0"/>
                    <w:jc w:val="center"/>
                    <w:textAlignment w:val="auto"/>
                    <w:rPr>
                      <w:rFonts w:hint="default" w:ascii="Times New Roman" w:hAnsi="Times New Roman" w:eastAsia="宋体" w:cs="Times New Roman"/>
                      <w:b/>
                      <w:snapToGrid w:val="0"/>
                      <w:color w:val="auto"/>
                      <w:spacing w:val="0"/>
                      <w:sz w:val="21"/>
                      <w:szCs w:val="21"/>
                    </w:rPr>
                  </w:pPr>
                  <w:r>
                    <w:rPr>
                      <w:rFonts w:hint="default" w:ascii="Times New Roman" w:hAnsi="Times New Roman" w:eastAsia="宋体" w:cs="Times New Roman"/>
                      <w:b/>
                      <w:snapToGrid w:val="0"/>
                      <w:color w:val="auto"/>
                      <w:spacing w:val="0"/>
                      <w:sz w:val="21"/>
                      <w:szCs w:val="21"/>
                    </w:rPr>
                    <w:t>产生量</w:t>
                  </w:r>
                </w:p>
                <w:p w14:paraId="7CAE0771">
                  <w:pPr>
                    <w:pStyle w:val="34"/>
                    <w:keepNext w:val="0"/>
                    <w:keepLines w:val="0"/>
                    <w:pageBreakBefore w:val="0"/>
                    <w:kinsoku/>
                    <w:wordWrap/>
                    <w:overflowPunct/>
                    <w:topLinePunct w:val="0"/>
                    <w:autoSpaceDE/>
                    <w:autoSpaceDN/>
                    <w:bidi w:val="0"/>
                    <w:adjustRightInd/>
                    <w:snapToGrid/>
                    <w:spacing w:before="0" w:beforeLines="0" w:after="0" w:afterLines="0" w:line="240" w:lineRule="auto"/>
                    <w:ind w:left="0"/>
                    <w:jc w:val="center"/>
                    <w:textAlignment w:val="auto"/>
                    <w:rPr>
                      <w:rFonts w:hint="default" w:ascii="Times New Roman" w:hAnsi="Times New Roman" w:eastAsia="宋体" w:cs="Times New Roman"/>
                      <w:b/>
                      <w:snapToGrid w:val="0"/>
                      <w:color w:val="auto"/>
                      <w:spacing w:val="0"/>
                      <w:sz w:val="21"/>
                      <w:szCs w:val="21"/>
                    </w:rPr>
                  </w:pPr>
                  <w:r>
                    <w:rPr>
                      <w:rFonts w:hint="default" w:ascii="Times New Roman" w:hAnsi="Times New Roman" w:eastAsia="宋体" w:cs="Times New Roman"/>
                      <w:b/>
                      <w:snapToGrid w:val="0"/>
                      <w:color w:val="auto"/>
                      <w:spacing w:val="0"/>
                      <w:sz w:val="21"/>
                      <w:szCs w:val="21"/>
                    </w:rPr>
                    <w:t>(t/a)</w:t>
                  </w:r>
                </w:p>
              </w:tc>
              <w:tc>
                <w:tcPr>
                  <w:tcW w:w="515" w:type="pct"/>
                  <w:tcBorders>
                    <w:tl2br w:val="nil"/>
                    <w:tr2bl w:val="nil"/>
                  </w:tcBorders>
                  <w:noWrap w:val="0"/>
                  <w:vAlign w:val="center"/>
                </w:tcPr>
                <w:p w14:paraId="17218C7D">
                  <w:pPr>
                    <w:pStyle w:val="34"/>
                    <w:keepNext w:val="0"/>
                    <w:keepLines w:val="0"/>
                    <w:pageBreakBefore w:val="0"/>
                    <w:kinsoku/>
                    <w:wordWrap/>
                    <w:overflowPunct/>
                    <w:topLinePunct w:val="0"/>
                    <w:autoSpaceDE/>
                    <w:autoSpaceDN/>
                    <w:bidi w:val="0"/>
                    <w:adjustRightInd/>
                    <w:snapToGrid/>
                    <w:spacing w:before="0" w:beforeLines="0" w:after="0" w:afterLines="0" w:line="240" w:lineRule="auto"/>
                    <w:ind w:left="0"/>
                    <w:jc w:val="center"/>
                    <w:textAlignment w:val="auto"/>
                    <w:rPr>
                      <w:rFonts w:hint="default" w:ascii="Times New Roman" w:hAnsi="Times New Roman" w:eastAsia="宋体" w:cs="Times New Roman"/>
                      <w:b/>
                      <w:snapToGrid w:val="0"/>
                      <w:color w:val="auto"/>
                      <w:spacing w:val="0"/>
                      <w:sz w:val="21"/>
                      <w:szCs w:val="21"/>
                    </w:rPr>
                  </w:pPr>
                  <w:r>
                    <w:rPr>
                      <w:rFonts w:hint="default" w:ascii="Times New Roman" w:hAnsi="Times New Roman" w:eastAsia="宋体" w:cs="Times New Roman"/>
                      <w:b/>
                      <w:snapToGrid w:val="0"/>
                      <w:color w:val="auto"/>
                      <w:spacing w:val="0"/>
                      <w:sz w:val="21"/>
                      <w:szCs w:val="21"/>
                    </w:rPr>
                    <w:t>产生速率</w:t>
                  </w:r>
                </w:p>
                <w:p w14:paraId="07505006">
                  <w:pPr>
                    <w:pStyle w:val="34"/>
                    <w:keepNext w:val="0"/>
                    <w:keepLines w:val="0"/>
                    <w:pageBreakBefore w:val="0"/>
                    <w:kinsoku/>
                    <w:wordWrap/>
                    <w:overflowPunct/>
                    <w:topLinePunct w:val="0"/>
                    <w:autoSpaceDE/>
                    <w:autoSpaceDN/>
                    <w:bidi w:val="0"/>
                    <w:adjustRightInd/>
                    <w:snapToGrid/>
                    <w:spacing w:before="0" w:beforeLines="0" w:after="0" w:afterLines="0" w:line="240" w:lineRule="auto"/>
                    <w:ind w:left="0"/>
                    <w:jc w:val="center"/>
                    <w:textAlignment w:val="auto"/>
                    <w:rPr>
                      <w:rFonts w:hint="default" w:ascii="Times New Roman" w:hAnsi="Times New Roman" w:eastAsia="宋体" w:cs="Times New Roman"/>
                      <w:b/>
                      <w:snapToGrid w:val="0"/>
                      <w:color w:val="auto"/>
                      <w:spacing w:val="0"/>
                      <w:sz w:val="21"/>
                      <w:szCs w:val="21"/>
                    </w:rPr>
                  </w:pPr>
                  <w:r>
                    <w:rPr>
                      <w:rFonts w:hint="default" w:ascii="Times New Roman" w:hAnsi="Times New Roman" w:eastAsia="宋体" w:cs="Times New Roman"/>
                      <w:b/>
                      <w:snapToGrid w:val="0"/>
                      <w:color w:val="auto"/>
                      <w:spacing w:val="0"/>
                      <w:sz w:val="21"/>
                      <w:szCs w:val="21"/>
                    </w:rPr>
                    <w:t>(kg/h)</w:t>
                  </w:r>
                </w:p>
              </w:tc>
              <w:tc>
                <w:tcPr>
                  <w:tcW w:w="515" w:type="pct"/>
                  <w:tcBorders>
                    <w:tl2br w:val="nil"/>
                    <w:tr2bl w:val="nil"/>
                  </w:tcBorders>
                  <w:noWrap w:val="0"/>
                  <w:vAlign w:val="center"/>
                </w:tcPr>
                <w:p w14:paraId="66B3CD87">
                  <w:pPr>
                    <w:pStyle w:val="34"/>
                    <w:keepNext w:val="0"/>
                    <w:keepLines w:val="0"/>
                    <w:pageBreakBefore w:val="0"/>
                    <w:kinsoku/>
                    <w:wordWrap/>
                    <w:overflowPunct/>
                    <w:topLinePunct w:val="0"/>
                    <w:autoSpaceDE/>
                    <w:autoSpaceDN/>
                    <w:bidi w:val="0"/>
                    <w:adjustRightInd/>
                    <w:snapToGrid/>
                    <w:spacing w:before="0" w:beforeLines="0" w:after="0" w:afterLines="0" w:line="240" w:lineRule="auto"/>
                    <w:ind w:left="0"/>
                    <w:jc w:val="center"/>
                    <w:textAlignment w:val="auto"/>
                    <w:rPr>
                      <w:rFonts w:hint="default" w:ascii="Times New Roman" w:hAnsi="Times New Roman" w:eastAsia="宋体" w:cs="Times New Roman"/>
                      <w:b/>
                      <w:snapToGrid w:val="0"/>
                      <w:color w:val="auto"/>
                      <w:spacing w:val="0"/>
                      <w:sz w:val="21"/>
                      <w:szCs w:val="21"/>
                    </w:rPr>
                  </w:pPr>
                  <w:r>
                    <w:rPr>
                      <w:rFonts w:hint="default" w:ascii="Times New Roman" w:hAnsi="Times New Roman" w:eastAsia="宋体" w:cs="Times New Roman"/>
                      <w:b/>
                      <w:snapToGrid w:val="0"/>
                      <w:color w:val="auto"/>
                      <w:spacing w:val="0"/>
                      <w:sz w:val="21"/>
                      <w:szCs w:val="21"/>
                    </w:rPr>
                    <w:t>排放量(t/a)</w:t>
                  </w:r>
                </w:p>
              </w:tc>
              <w:tc>
                <w:tcPr>
                  <w:tcW w:w="515" w:type="pct"/>
                  <w:tcBorders>
                    <w:tl2br w:val="nil"/>
                    <w:tr2bl w:val="nil"/>
                  </w:tcBorders>
                  <w:noWrap w:val="0"/>
                  <w:vAlign w:val="center"/>
                </w:tcPr>
                <w:p w14:paraId="05833989">
                  <w:pPr>
                    <w:pStyle w:val="34"/>
                    <w:keepNext w:val="0"/>
                    <w:keepLines w:val="0"/>
                    <w:pageBreakBefore w:val="0"/>
                    <w:kinsoku/>
                    <w:wordWrap/>
                    <w:overflowPunct/>
                    <w:topLinePunct w:val="0"/>
                    <w:autoSpaceDE/>
                    <w:autoSpaceDN/>
                    <w:bidi w:val="0"/>
                    <w:adjustRightInd/>
                    <w:snapToGrid/>
                    <w:spacing w:before="0" w:beforeLines="0" w:after="0" w:afterLines="0" w:line="240" w:lineRule="auto"/>
                    <w:ind w:left="0"/>
                    <w:jc w:val="center"/>
                    <w:textAlignment w:val="auto"/>
                    <w:rPr>
                      <w:rFonts w:hint="default" w:ascii="Times New Roman" w:hAnsi="Times New Roman" w:eastAsia="宋体" w:cs="Times New Roman"/>
                      <w:b/>
                      <w:snapToGrid w:val="0"/>
                      <w:color w:val="auto"/>
                      <w:spacing w:val="0"/>
                      <w:sz w:val="21"/>
                      <w:szCs w:val="21"/>
                    </w:rPr>
                  </w:pPr>
                  <w:r>
                    <w:rPr>
                      <w:rFonts w:hint="default" w:ascii="Times New Roman" w:hAnsi="Times New Roman" w:eastAsia="宋体" w:cs="Times New Roman"/>
                      <w:b/>
                      <w:snapToGrid w:val="0"/>
                      <w:color w:val="auto"/>
                      <w:spacing w:val="0"/>
                      <w:sz w:val="21"/>
                      <w:szCs w:val="21"/>
                    </w:rPr>
                    <w:t>排放速率</w:t>
                  </w:r>
                </w:p>
                <w:p w14:paraId="278EB3F2">
                  <w:pPr>
                    <w:pStyle w:val="34"/>
                    <w:keepNext w:val="0"/>
                    <w:keepLines w:val="0"/>
                    <w:pageBreakBefore w:val="0"/>
                    <w:kinsoku/>
                    <w:wordWrap/>
                    <w:overflowPunct/>
                    <w:topLinePunct w:val="0"/>
                    <w:autoSpaceDE/>
                    <w:autoSpaceDN/>
                    <w:bidi w:val="0"/>
                    <w:adjustRightInd/>
                    <w:snapToGrid/>
                    <w:spacing w:before="0" w:beforeLines="0" w:after="0" w:afterLines="0" w:line="240" w:lineRule="auto"/>
                    <w:ind w:left="0"/>
                    <w:jc w:val="center"/>
                    <w:textAlignment w:val="auto"/>
                    <w:rPr>
                      <w:rFonts w:hint="default" w:ascii="Times New Roman" w:hAnsi="Times New Roman" w:eastAsia="宋体" w:cs="Times New Roman"/>
                      <w:b/>
                      <w:snapToGrid w:val="0"/>
                      <w:color w:val="auto"/>
                      <w:spacing w:val="0"/>
                      <w:sz w:val="21"/>
                      <w:szCs w:val="21"/>
                    </w:rPr>
                  </w:pPr>
                  <w:r>
                    <w:rPr>
                      <w:rFonts w:hint="default" w:ascii="Times New Roman" w:hAnsi="Times New Roman" w:eastAsia="宋体" w:cs="Times New Roman"/>
                      <w:b/>
                      <w:snapToGrid w:val="0"/>
                      <w:color w:val="auto"/>
                      <w:spacing w:val="0"/>
                      <w:sz w:val="21"/>
                      <w:szCs w:val="21"/>
                    </w:rPr>
                    <w:t>(kg/h)</w:t>
                  </w:r>
                </w:p>
              </w:tc>
              <w:tc>
                <w:tcPr>
                  <w:tcW w:w="697" w:type="pct"/>
                  <w:tcBorders>
                    <w:tl2br w:val="nil"/>
                    <w:tr2bl w:val="nil"/>
                  </w:tcBorders>
                  <w:noWrap w:val="0"/>
                  <w:vAlign w:val="center"/>
                </w:tcPr>
                <w:p w14:paraId="57D258EE">
                  <w:pPr>
                    <w:pStyle w:val="34"/>
                    <w:keepNext w:val="0"/>
                    <w:keepLines w:val="0"/>
                    <w:pageBreakBefore w:val="0"/>
                    <w:kinsoku/>
                    <w:wordWrap/>
                    <w:overflowPunct/>
                    <w:topLinePunct w:val="0"/>
                    <w:autoSpaceDE/>
                    <w:autoSpaceDN/>
                    <w:bidi w:val="0"/>
                    <w:adjustRightInd/>
                    <w:snapToGrid/>
                    <w:spacing w:before="0" w:beforeLines="0" w:after="0" w:afterLines="0" w:line="240" w:lineRule="auto"/>
                    <w:ind w:left="0"/>
                    <w:jc w:val="center"/>
                    <w:textAlignment w:val="auto"/>
                    <w:rPr>
                      <w:rFonts w:hint="default" w:ascii="Times New Roman" w:hAnsi="Times New Roman" w:eastAsia="宋体" w:cs="Times New Roman"/>
                      <w:b/>
                      <w:snapToGrid w:val="0"/>
                      <w:color w:val="auto"/>
                      <w:spacing w:val="0"/>
                      <w:sz w:val="21"/>
                      <w:szCs w:val="21"/>
                    </w:rPr>
                  </w:pPr>
                  <w:r>
                    <w:rPr>
                      <w:rFonts w:hint="default" w:ascii="Times New Roman" w:hAnsi="Times New Roman" w:eastAsia="宋体" w:cs="Times New Roman"/>
                      <w:b/>
                      <w:snapToGrid w:val="0"/>
                      <w:color w:val="auto"/>
                      <w:spacing w:val="0"/>
                      <w:sz w:val="21"/>
                      <w:szCs w:val="21"/>
                    </w:rPr>
                    <w:t>排放源面积</w:t>
                  </w:r>
                </w:p>
              </w:tc>
              <w:tc>
                <w:tcPr>
                  <w:tcW w:w="624" w:type="pct"/>
                  <w:tcBorders>
                    <w:tl2br w:val="nil"/>
                    <w:tr2bl w:val="nil"/>
                  </w:tcBorders>
                  <w:noWrap w:val="0"/>
                  <w:vAlign w:val="center"/>
                </w:tcPr>
                <w:p w14:paraId="7121362B">
                  <w:pPr>
                    <w:pStyle w:val="34"/>
                    <w:keepNext w:val="0"/>
                    <w:keepLines w:val="0"/>
                    <w:pageBreakBefore w:val="0"/>
                    <w:kinsoku/>
                    <w:wordWrap/>
                    <w:overflowPunct/>
                    <w:topLinePunct w:val="0"/>
                    <w:autoSpaceDE/>
                    <w:autoSpaceDN/>
                    <w:bidi w:val="0"/>
                    <w:adjustRightInd/>
                    <w:snapToGrid/>
                    <w:spacing w:before="0" w:beforeLines="0" w:after="0" w:afterLines="0" w:line="240" w:lineRule="auto"/>
                    <w:ind w:left="0"/>
                    <w:jc w:val="center"/>
                    <w:textAlignment w:val="auto"/>
                    <w:rPr>
                      <w:rFonts w:hint="default" w:ascii="Times New Roman" w:hAnsi="Times New Roman" w:eastAsia="宋体" w:cs="Times New Roman"/>
                      <w:b/>
                      <w:snapToGrid w:val="0"/>
                      <w:color w:val="auto"/>
                      <w:spacing w:val="0"/>
                      <w:sz w:val="21"/>
                      <w:szCs w:val="21"/>
                    </w:rPr>
                  </w:pPr>
                  <w:r>
                    <w:rPr>
                      <w:rFonts w:hint="default" w:ascii="Times New Roman" w:hAnsi="Times New Roman" w:eastAsia="宋体" w:cs="Times New Roman"/>
                      <w:b/>
                      <w:snapToGrid w:val="0"/>
                      <w:color w:val="auto"/>
                      <w:spacing w:val="0"/>
                      <w:sz w:val="21"/>
                      <w:szCs w:val="21"/>
                    </w:rPr>
                    <w:t>面源有效</w:t>
                  </w:r>
                </w:p>
                <w:p w14:paraId="79093C41">
                  <w:pPr>
                    <w:pStyle w:val="34"/>
                    <w:keepNext w:val="0"/>
                    <w:keepLines w:val="0"/>
                    <w:pageBreakBefore w:val="0"/>
                    <w:kinsoku/>
                    <w:wordWrap/>
                    <w:overflowPunct/>
                    <w:topLinePunct w:val="0"/>
                    <w:autoSpaceDE/>
                    <w:autoSpaceDN/>
                    <w:bidi w:val="0"/>
                    <w:adjustRightInd/>
                    <w:snapToGrid/>
                    <w:spacing w:before="0" w:beforeLines="0" w:after="0" w:afterLines="0" w:line="240" w:lineRule="auto"/>
                    <w:ind w:left="0"/>
                    <w:jc w:val="center"/>
                    <w:textAlignment w:val="auto"/>
                    <w:rPr>
                      <w:rFonts w:hint="default" w:ascii="Times New Roman" w:hAnsi="Times New Roman" w:eastAsia="宋体" w:cs="Times New Roman"/>
                      <w:b/>
                      <w:snapToGrid w:val="0"/>
                      <w:color w:val="auto"/>
                      <w:spacing w:val="0"/>
                      <w:sz w:val="21"/>
                      <w:szCs w:val="21"/>
                    </w:rPr>
                  </w:pPr>
                  <w:r>
                    <w:rPr>
                      <w:rFonts w:hint="default" w:ascii="Times New Roman" w:hAnsi="Times New Roman" w:eastAsia="宋体" w:cs="Times New Roman"/>
                      <w:b/>
                      <w:snapToGrid w:val="0"/>
                      <w:color w:val="auto"/>
                      <w:spacing w:val="0"/>
                      <w:sz w:val="21"/>
                      <w:szCs w:val="21"/>
                    </w:rPr>
                    <w:t>高度(m)</w:t>
                  </w:r>
                </w:p>
              </w:tc>
            </w:tr>
            <w:tr w14:paraId="44A6C674">
              <w:tblPrEx>
                <w:tblBorders>
                  <w:top w:val="single" w:color="auto" w:sz="12" w:space="0"/>
                  <w:left w:val="none" w:color="auto" w:sz="0" w:space="0"/>
                  <w:bottom w:val="single" w:color="auto" w:sz="12" w:space="0"/>
                  <w:right w:val="none" w:color="auto" w:sz="0" w:space="0"/>
                  <w:insideH w:val="single" w:color="auto" w:sz="6" w:space="0"/>
                  <w:insideV w:val="single" w:color="auto" w:sz="4" w:space="0"/>
                </w:tblBorders>
                <w:tblCellMar>
                  <w:top w:w="0" w:type="dxa"/>
                  <w:left w:w="108" w:type="dxa"/>
                  <w:bottom w:w="0" w:type="dxa"/>
                  <w:right w:w="108" w:type="dxa"/>
                </w:tblCellMar>
              </w:tblPrEx>
              <w:trPr>
                <w:trHeight w:val="90" w:hRule="atLeast"/>
                <w:tblHeader/>
                <w:jc w:val="center"/>
              </w:trPr>
              <w:tc>
                <w:tcPr>
                  <w:tcW w:w="405" w:type="pct"/>
                  <w:vMerge w:val="restart"/>
                  <w:tcBorders>
                    <w:tl2br w:val="nil"/>
                    <w:tr2bl w:val="nil"/>
                  </w:tcBorders>
                  <w:shd w:val="clear" w:color="auto" w:fill="auto"/>
                  <w:noWrap w:val="0"/>
                  <w:vAlign w:val="center"/>
                </w:tcPr>
                <w:p w14:paraId="4A18C50D">
                  <w:pPr>
                    <w:pStyle w:val="34"/>
                    <w:spacing w:before="0" w:beforeLines="0" w:after="0" w:afterLines="0"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生产车间</w:t>
                  </w:r>
                </w:p>
              </w:tc>
              <w:tc>
                <w:tcPr>
                  <w:tcW w:w="634" w:type="pct"/>
                  <w:tcBorders>
                    <w:tl2br w:val="nil"/>
                    <w:tr2bl w:val="nil"/>
                  </w:tcBorders>
                  <w:noWrap w:val="0"/>
                  <w:vAlign w:val="center"/>
                </w:tcPr>
                <w:p w14:paraId="47980548">
                  <w:pPr>
                    <w:keepNext w:val="0"/>
                    <w:keepLines w:val="0"/>
                    <w:pageBreakBefore w:val="0"/>
                    <w:kinsoku/>
                    <w:wordWrap/>
                    <w:overflowPunct/>
                    <w:topLinePunct w:val="0"/>
                    <w:autoSpaceDE/>
                    <w:autoSpaceDN/>
                    <w:bidi w:val="0"/>
                    <w:spacing w:line="240" w:lineRule="auto"/>
                    <w:ind w:left="0"/>
                    <w:jc w:val="center"/>
                    <w:rPr>
                      <w:rFonts w:hint="eastAsia" w:ascii="Times New Roman" w:hAnsi="Times New Roman" w:eastAsia="宋体" w:cs="Times New Roman"/>
                      <w:snapToGrid w:val="0"/>
                      <w:color w:val="auto"/>
                      <w:sz w:val="21"/>
                      <w:szCs w:val="21"/>
                      <w:lang w:eastAsia="zh-CN"/>
                    </w:rPr>
                  </w:pPr>
                  <w:r>
                    <w:rPr>
                      <w:rFonts w:hint="eastAsia" w:ascii="Times New Roman" w:hAnsi="Times New Roman" w:eastAsia="宋体" w:cs="Times New Roman"/>
                      <w:snapToGrid w:val="0"/>
                      <w:color w:val="auto"/>
                      <w:sz w:val="21"/>
                      <w:szCs w:val="21"/>
                      <w:lang w:eastAsia="zh-CN"/>
                    </w:rPr>
                    <w:t>制粒粉尘</w:t>
                  </w:r>
                </w:p>
              </w:tc>
              <w:tc>
                <w:tcPr>
                  <w:tcW w:w="577" w:type="pct"/>
                  <w:tcBorders>
                    <w:tl2br w:val="nil"/>
                    <w:tr2bl w:val="nil"/>
                  </w:tcBorders>
                  <w:shd w:val="clear" w:color="auto" w:fill="auto"/>
                  <w:noWrap w:val="0"/>
                  <w:vAlign w:val="center"/>
                </w:tcPr>
                <w:p w14:paraId="0747ECE7">
                  <w:pPr>
                    <w:pStyle w:val="111"/>
                    <w:keepNext w:val="0"/>
                    <w:keepLines w:val="0"/>
                    <w:pageBreakBefore w:val="0"/>
                    <w:kinsoku/>
                    <w:wordWrap/>
                    <w:overflowPunct/>
                    <w:topLinePunct w:val="0"/>
                    <w:autoSpaceDE/>
                    <w:autoSpaceDN/>
                    <w:bidi w:val="0"/>
                    <w:spacing w:line="240" w:lineRule="auto"/>
                    <w:ind w:left="0" w:leftChars="0"/>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颗粒物</w:t>
                  </w:r>
                </w:p>
              </w:tc>
              <w:tc>
                <w:tcPr>
                  <w:tcW w:w="515" w:type="pct"/>
                  <w:tcBorders>
                    <w:tl2br w:val="nil"/>
                    <w:tr2bl w:val="nil"/>
                  </w:tcBorders>
                  <w:shd w:val="clear" w:color="auto" w:fill="auto"/>
                  <w:noWrap w:val="0"/>
                  <w:vAlign w:val="center"/>
                </w:tcPr>
                <w:p w14:paraId="786AA085">
                  <w:pPr>
                    <w:keepNext w:val="0"/>
                    <w:keepLines w:val="0"/>
                    <w:pageBreakBefore w:val="0"/>
                    <w:widowControl/>
                    <w:suppressLineNumbers w:val="0"/>
                    <w:kinsoku/>
                    <w:wordWrap/>
                    <w:overflowPunct/>
                    <w:topLinePunct w:val="0"/>
                    <w:bidi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0.043</w:t>
                  </w:r>
                </w:p>
              </w:tc>
              <w:tc>
                <w:tcPr>
                  <w:tcW w:w="515" w:type="pct"/>
                  <w:tcBorders>
                    <w:tl2br w:val="nil"/>
                    <w:tr2bl w:val="nil"/>
                  </w:tcBorders>
                  <w:shd w:val="clear" w:color="auto" w:fill="auto"/>
                  <w:noWrap w:val="0"/>
                  <w:vAlign w:val="center"/>
                </w:tcPr>
                <w:p w14:paraId="5C76C7F1">
                  <w:pPr>
                    <w:keepNext w:val="0"/>
                    <w:keepLines w:val="0"/>
                    <w:widowControl/>
                    <w:suppressLineNumbers w:val="0"/>
                    <w:jc w:val="center"/>
                    <w:textAlignment w:val="center"/>
                    <w:rPr>
                      <w:rFonts w:hint="default" w:ascii="Times New Roman" w:hAnsi="Times New Roman" w:eastAsia="宋体" w:cs="Times New Roman"/>
                      <w:color w:val="auto"/>
                      <w:spacing w:val="-10"/>
                      <w:kern w:val="0"/>
                      <w:sz w:val="21"/>
                      <w:szCs w:val="21"/>
                      <w:lang w:val="en-US" w:eastAsia="zh-CN" w:bidi="ar"/>
                    </w:rPr>
                  </w:pPr>
                  <w:r>
                    <w:rPr>
                      <w:rFonts w:hint="eastAsia" w:cs="Times New Roman"/>
                      <w:color w:val="auto"/>
                      <w:spacing w:val="-10"/>
                      <w:kern w:val="0"/>
                      <w:sz w:val="21"/>
                      <w:szCs w:val="21"/>
                      <w:lang w:val="en-US" w:eastAsia="zh-CN"/>
                    </w:rPr>
                    <w:t>0.0152</w:t>
                  </w:r>
                </w:p>
              </w:tc>
              <w:tc>
                <w:tcPr>
                  <w:tcW w:w="515" w:type="pct"/>
                  <w:tcBorders>
                    <w:tl2br w:val="nil"/>
                    <w:tr2bl w:val="nil"/>
                  </w:tcBorders>
                  <w:shd w:val="clear" w:color="auto" w:fill="auto"/>
                  <w:noWrap w:val="0"/>
                  <w:vAlign w:val="center"/>
                </w:tcPr>
                <w:p w14:paraId="1EA5F9E0">
                  <w:pPr>
                    <w:keepNext w:val="0"/>
                    <w:keepLines w:val="0"/>
                    <w:pageBreakBefore w:val="0"/>
                    <w:widowControl/>
                    <w:suppressLineNumbers w:val="0"/>
                    <w:kinsoku/>
                    <w:wordWrap/>
                    <w:overflowPunct/>
                    <w:topLinePunct w:val="0"/>
                    <w:bidi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0.043</w:t>
                  </w:r>
                </w:p>
              </w:tc>
              <w:tc>
                <w:tcPr>
                  <w:tcW w:w="515" w:type="pct"/>
                  <w:tcBorders>
                    <w:tl2br w:val="nil"/>
                    <w:tr2bl w:val="nil"/>
                  </w:tcBorders>
                  <w:shd w:val="clear" w:color="auto" w:fill="auto"/>
                  <w:noWrap w:val="0"/>
                  <w:vAlign w:val="center"/>
                </w:tcPr>
                <w:p w14:paraId="57F2A5FA">
                  <w:pPr>
                    <w:keepNext w:val="0"/>
                    <w:keepLines w:val="0"/>
                    <w:widowControl/>
                    <w:suppressLineNumbers w:val="0"/>
                    <w:jc w:val="center"/>
                    <w:textAlignment w:val="center"/>
                    <w:rPr>
                      <w:rFonts w:hint="default" w:ascii="Times New Roman" w:hAnsi="Times New Roman" w:eastAsia="宋体" w:cs="Times New Roman"/>
                      <w:color w:val="auto"/>
                      <w:spacing w:val="-10"/>
                      <w:kern w:val="0"/>
                      <w:sz w:val="21"/>
                      <w:szCs w:val="21"/>
                      <w:lang w:val="en-US" w:eastAsia="zh-CN" w:bidi="ar"/>
                    </w:rPr>
                  </w:pPr>
                  <w:r>
                    <w:rPr>
                      <w:rFonts w:hint="eastAsia" w:cs="Times New Roman"/>
                      <w:color w:val="auto"/>
                      <w:spacing w:val="-10"/>
                      <w:kern w:val="0"/>
                      <w:sz w:val="21"/>
                      <w:szCs w:val="21"/>
                      <w:lang w:val="en-US" w:eastAsia="zh-CN" w:bidi="ar"/>
                    </w:rPr>
                    <w:t>0.0152</w:t>
                  </w:r>
                </w:p>
              </w:tc>
              <w:tc>
                <w:tcPr>
                  <w:tcW w:w="697" w:type="pct"/>
                  <w:vMerge w:val="restart"/>
                  <w:tcBorders>
                    <w:tl2br w:val="nil"/>
                    <w:tr2bl w:val="nil"/>
                  </w:tcBorders>
                  <w:shd w:val="clear" w:color="auto" w:fill="auto"/>
                  <w:noWrap w:val="0"/>
                  <w:vAlign w:val="center"/>
                </w:tcPr>
                <w:p w14:paraId="250356C9">
                  <w:pPr>
                    <w:pStyle w:val="9"/>
                    <w:keepNext w:val="0"/>
                    <w:keepLines w:val="0"/>
                    <w:pageBreakBefore w:val="0"/>
                    <w:kinsoku/>
                    <w:wordWrap/>
                    <w:overflowPunct/>
                    <w:topLinePunct w:val="0"/>
                    <w:bidi w:val="0"/>
                    <w:jc w:val="center"/>
                    <w:rPr>
                      <w:rFonts w:hint="default" w:ascii="Times New Roman" w:hAnsi="Times New Roman" w:eastAsia="宋体" w:cs="Times New Roman"/>
                      <w:bCs/>
                      <w:snapToGrid w:val="0"/>
                      <w:color w:val="auto"/>
                      <w:kern w:val="0"/>
                      <w:sz w:val="21"/>
                      <w:szCs w:val="21"/>
                      <w:lang w:val="en-US" w:eastAsia="zh-CN" w:bidi="ar"/>
                    </w:rPr>
                  </w:pPr>
                  <w:r>
                    <w:rPr>
                      <w:rFonts w:hint="eastAsia" w:cs="Times New Roman"/>
                      <w:bCs/>
                      <w:snapToGrid w:val="0"/>
                      <w:color w:val="auto"/>
                      <w:sz w:val="21"/>
                      <w:szCs w:val="21"/>
                      <w:lang w:val="en-US" w:eastAsia="zh-CN"/>
                    </w:rPr>
                    <w:t>66*109</w:t>
                  </w:r>
                </w:p>
              </w:tc>
              <w:tc>
                <w:tcPr>
                  <w:tcW w:w="624" w:type="pct"/>
                  <w:vMerge w:val="restart"/>
                  <w:tcBorders>
                    <w:tl2br w:val="nil"/>
                    <w:tr2bl w:val="nil"/>
                  </w:tcBorders>
                  <w:shd w:val="clear" w:color="auto" w:fill="auto"/>
                  <w:noWrap w:val="0"/>
                  <w:vAlign w:val="center"/>
                </w:tcPr>
                <w:p w14:paraId="322F1707">
                  <w:pPr>
                    <w:pStyle w:val="34"/>
                    <w:keepNext w:val="0"/>
                    <w:keepLines w:val="0"/>
                    <w:pageBreakBefore w:val="0"/>
                    <w:kinsoku/>
                    <w:wordWrap/>
                    <w:overflowPunct/>
                    <w:topLinePunct w:val="0"/>
                    <w:bidi w:val="0"/>
                    <w:spacing w:before="0" w:beforeLines="0" w:after="0" w:afterLines="0" w:line="240" w:lineRule="auto"/>
                    <w:ind w:firstLine="0" w:firstLineChars="0"/>
                    <w:jc w:val="center"/>
                    <w:rPr>
                      <w:rFonts w:hint="default" w:ascii="Times New Roman" w:hAnsi="Times New Roman" w:eastAsia="宋体" w:cs="Times New Roman"/>
                      <w:bCs/>
                      <w:snapToGrid w:val="0"/>
                      <w:color w:val="auto"/>
                      <w:spacing w:val="0"/>
                      <w:kern w:val="0"/>
                      <w:sz w:val="21"/>
                      <w:szCs w:val="21"/>
                      <w:lang w:val="en-US" w:eastAsia="zh-CN" w:bidi="ar"/>
                    </w:rPr>
                  </w:pPr>
                  <w:r>
                    <w:rPr>
                      <w:rFonts w:hint="default" w:ascii="Times New Roman" w:hAnsi="Times New Roman" w:eastAsia="宋体" w:cs="Times New Roman"/>
                      <w:bCs/>
                      <w:snapToGrid w:val="0"/>
                      <w:color w:val="auto"/>
                      <w:spacing w:val="0"/>
                      <w:kern w:val="0"/>
                      <w:sz w:val="21"/>
                      <w:szCs w:val="21"/>
                      <w:lang w:val="en-US" w:eastAsia="zh-CN" w:bidi="ar"/>
                    </w:rPr>
                    <w:t>10</w:t>
                  </w:r>
                </w:p>
              </w:tc>
            </w:tr>
            <w:tr w14:paraId="1C31CCC7">
              <w:tblPrEx>
                <w:tblBorders>
                  <w:top w:val="single" w:color="auto" w:sz="12" w:space="0"/>
                  <w:left w:val="none" w:color="auto" w:sz="0" w:space="0"/>
                  <w:bottom w:val="single" w:color="auto" w:sz="12" w:space="0"/>
                  <w:right w:val="none" w:color="auto" w:sz="0" w:space="0"/>
                  <w:insideH w:val="single" w:color="auto" w:sz="6" w:space="0"/>
                  <w:insideV w:val="single" w:color="auto" w:sz="4" w:space="0"/>
                </w:tblBorders>
                <w:tblCellMar>
                  <w:top w:w="0" w:type="dxa"/>
                  <w:left w:w="108" w:type="dxa"/>
                  <w:bottom w:w="0" w:type="dxa"/>
                  <w:right w:w="108" w:type="dxa"/>
                </w:tblCellMar>
              </w:tblPrEx>
              <w:trPr>
                <w:trHeight w:val="90" w:hRule="atLeast"/>
                <w:tblHeader/>
                <w:jc w:val="center"/>
              </w:trPr>
              <w:tc>
                <w:tcPr>
                  <w:tcW w:w="405" w:type="pct"/>
                  <w:vMerge w:val="continue"/>
                  <w:tcBorders>
                    <w:tl2br w:val="nil"/>
                    <w:tr2bl w:val="nil"/>
                  </w:tcBorders>
                  <w:shd w:val="clear" w:color="auto" w:fill="auto"/>
                  <w:noWrap w:val="0"/>
                  <w:vAlign w:val="center"/>
                </w:tcPr>
                <w:p w14:paraId="31E710A7">
                  <w:pPr>
                    <w:pStyle w:val="34"/>
                    <w:spacing w:before="0" w:beforeLines="0" w:after="0" w:afterLines="0" w:line="240" w:lineRule="auto"/>
                    <w:ind w:firstLine="0" w:firstLineChars="0"/>
                    <w:jc w:val="center"/>
                    <w:rPr>
                      <w:rFonts w:hint="eastAsia" w:ascii="Times New Roman" w:hAnsi="Times New Roman" w:eastAsia="宋体" w:cs="Times New Roman"/>
                      <w:color w:val="auto"/>
                      <w:sz w:val="21"/>
                      <w:szCs w:val="21"/>
                      <w:lang w:val="en-US" w:eastAsia="zh-CN"/>
                    </w:rPr>
                  </w:pPr>
                </w:p>
              </w:tc>
              <w:tc>
                <w:tcPr>
                  <w:tcW w:w="634" w:type="pct"/>
                  <w:tcBorders>
                    <w:tl2br w:val="nil"/>
                    <w:tr2bl w:val="nil"/>
                  </w:tcBorders>
                  <w:noWrap w:val="0"/>
                  <w:vAlign w:val="center"/>
                </w:tcPr>
                <w:p w14:paraId="255927A9">
                  <w:pPr>
                    <w:keepNext w:val="0"/>
                    <w:keepLines w:val="0"/>
                    <w:pageBreakBefore w:val="0"/>
                    <w:kinsoku/>
                    <w:wordWrap/>
                    <w:overflowPunct/>
                    <w:topLinePunct w:val="0"/>
                    <w:autoSpaceDE/>
                    <w:autoSpaceDN/>
                    <w:bidi w:val="0"/>
                    <w:spacing w:line="240" w:lineRule="auto"/>
                    <w:ind w:left="0"/>
                    <w:jc w:val="center"/>
                    <w:rPr>
                      <w:rFonts w:hint="default" w:ascii="Times New Roman" w:hAnsi="Times New Roman" w:eastAsia="宋体" w:cs="Times New Roman"/>
                      <w:snapToGrid w:val="0"/>
                      <w:color w:val="auto"/>
                      <w:sz w:val="21"/>
                      <w:szCs w:val="21"/>
                    </w:rPr>
                  </w:pPr>
                  <w:r>
                    <w:rPr>
                      <w:rFonts w:hint="default" w:ascii="Times New Roman" w:hAnsi="Times New Roman" w:eastAsia="宋体" w:cs="Times New Roman"/>
                      <w:snapToGrid w:val="0"/>
                      <w:color w:val="auto"/>
                      <w:sz w:val="21"/>
                      <w:szCs w:val="21"/>
                    </w:rPr>
                    <w:t>配料粉尘</w:t>
                  </w:r>
                </w:p>
              </w:tc>
              <w:tc>
                <w:tcPr>
                  <w:tcW w:w="577" w:type="pct"/>
                  <w:tcBorders>
                    <w:tl2br w:val="nil"/>
                    <w:tr2bl w:val="nil"/>
                  </w:tcBorders>
                  <w:shd w:val="clear" w:color="auto" w:fill="auto"/>
                  <w:noWrap w:val="0"/>
                  <w:vAlign w:val="center"/>
                </w:tcPr>
                <w:p w14:paraId="2499B31B">
                  <w:pPr>
                    <w:pStyle w:val="111"/>
                    <w:keepNext w:val="0"/>
                    <w:keepLines w:val="0"/>
                    <w:pageBreakBefore w:val="0"/>
                    <w:kinsoku/>
                    <w:wordWrap/>
                    <w:overflowPunct/>
                    <w:topLinePunct w:val="0"/>
                    <w:autoSpaceDE/>
                    <w:autoSpaceDN/>
                    <w:bidi w:val="0"/>
                    <w:spacing w:line="240" w:lineRule="auto"/>
                    <w:ind w:left="0" w:leftChars="0"/>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颗粒物</w:t>
                  </w:r>
                </w:p>
              </w:tc>
              <w:tc>
                <w:tcPr>
                  <w:tcW w:w="515" w:type="pct"/>
                  <w:tcBorders>
                    <w:tl2br w:val="nil"/>
                    <w:tr2bl w:val="nil"/>
                  </w:tcBorders>
                  <w:shd w:val="clear" w:color="auto" w:fill="auto"/>
                  <w:noWrap w:val="0"/>
                  <w:vAlign w:val="center"/>
                </w:tcPr>
                <w:p w14:paraId="5C792DC2">
                  <w:pPr>
                    <w:keepNext w:val="0"/>
                    <w:keepLines w:val="0"/>
                    <w:pageBreakBefore w:val="0"/>
                    <w:widowControl/>
                    <w:suppressLineNumbers w:val="0"/>
                    <w:kinsoku/>
                    <w:wordWrap/>
                    <w:overflowPunct/>
                    <w:topLinePunct w:val="0"/>
                    <w:bidi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0.0004</w:t>
                  </w:r>
                </w:p>
              </w:tc>
              <w:tc>
                <w:tcPr>
                  <w:tcW w:w="515" w:type="pct"/>
                  <w:tcBorders>
                    <w:tl2br w:val="nil"/>
                    <w:tr2bl w:val="nil"/>
                  </w:tcBorders>
                  <w:shd w:val="clear" w:color="auto" w:fill="auto"/>
                  <w:noWrap w:val="0"/>
                  <w:vAlign w:val="center"/>
                </w:tcPr>
                <w:p w14:paraId="30A6351A">
                  <w:pPr>
                    <w:keepNext w:val="0"/>
                    <w:keepLines w:val="0"/>
                    <w:widowControl/>
                    <w:suppressLineNumbers w:val="0"/>
                    <w:jc w:val="center"/>
                    <w:textAlignment w:val="center"/>
                    <w:rPr>
                      <w:rFonts w:hint="default" w:ascii="Times New Roman" w:hAnsi="Times New Roman" w:eastAsia="宋体" w:cs="Times New Roman"/>
                      <w:color w:val="auto"/>
                      <w:spacing w:val="-10"/>
                      <w:kern w:val="0"/>
                      <w:sz w:val="21"/>
                      <w:szCs w:val="21"/>
                      <w:lang w:val="en-US" w:eastAsia="zh-CN" w:bidi="ar"/>
                    </w:rPr>
                  </w:pPr>
                  <w:r>
                    <w:rPr>
                      <w:rFonts w:hint="eastAsia" w:cs="Times New Roman"/>
                      <w:color w:val="auto"/>
                      <w:spacing w:val="-10"/>
                      <w:kern w:val="0"/>
                      <w:sz w:val="21"/>
                      <w:szCs w:val="21"/>
                      <w:lang w:val="en-US" w:eastAsia="zh-CN"/>
                    </w:rPr>
                    <w:t>0.0011</w:t>
                  </w:r>
                </w:p>
              </w:tc>
              <w:tc>
                <w:tcPr>
                  <w:tcW w:w="515" w:type="pct"/>
                  <w:tcBorders>
                    <w:tl2br w:val="nil"/>
                    <w:tr2bl w:val="nil"/>
                  </w:tcBorders>
                  <w:shd w:val="clear" w:color="auto" w:fill="auto"/>
                  <w:noWrap w:val="0"/>
                  <w:vAlign w:val="center"/>
                </w:tcPr>
                <w:p w14:paraId="44604C84">
                  <w:pPr>
                    <w:keepNext w:val="0"/>
                    <w:keepLines w:val="0"/>
                    <w:pageBreakBefore w:val="0"/>
                    <w:widowControl/>
                    <w:suppressLineNumbers w:val="0"/>
                    <w:kinsoku/>
                    <w:wordWrap/>
                    <w:overflowPunct/>
                    <w:topLinePunct w:val="0"/>
                    <w:bidi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0.0001</w:t>
                  </w:r>
                </w:p>
              </w:tc>
              <w:tc>
                <w:tcPr>
                  <w:tcW w:w="515" w:type="pct"/>
                  <w:tcBorders>
                    <w:tl2br w:val="nil"/>
                    <w:tr2bl w:val="nil"/>
                  </w:tcBorders>
                  <w:shd w:val="clear" w:color="auto" w:fill="auto"/>
                  <w:noWrap w:val="0"/>
                  <w:vAlign w:val="center"/>
                </w:tcPr>
                <w:p w14:paraId="7402BB47">
                  <w:pPr>
                    <w:keepNext w:val="0"/>
                    <w:keepLines w:val="0"/>
                    <w:widowControl/>
                    <w:suppressLineNumbers w:val="0"/>
                    <w:jc w:val="center"/>
                    <w:textAlignment w:val="center"/>
                    <w:rPr>
                      <w:rFonts w:hint="default" w:ascii="Times New Roman" w:hAnsi="Times New Roman" w:eastAsia="宋体" w:cs="Times New Roman"/>
                      <w:color w:val="auto"/>
                      <w:spacing w:val="-10"/>
                      <w:kern w:val="0"/>
                      <w:sz w:val="21"/>
                      <w:szCs w:val="21"/>
                      <w:lang w:val="en-US" w:eastAsia="zh-CN" w:bidi="ar"/>
                    </w:rPr>
                  </w:pPr>
                  <w:r>
                    <w:rPr>
                      <w:rFonts w:hint="eastAsia" w:cs="Times New Roman"/>
                      <w:color w:val="auto"/>
                      <w:spacing w:val="-10"/>
                      <w:kern w:val="0"/>
                      <w:sz w:val="21"/>
                      <w:szCs w:val="21"/>
                      <w:lang w:val="en-US" w:eastAsia="zh-CN" w:bidi="ar"/>
                    </w:rPr>
                    <w:t>0.0003</w:t>
                  </w:r>
                </w:p>
              </w:tc>
              <w:tc>
                <w:tcPr>
                  <w:tcW w:w="697" w:type="pct"/>
                  <w:vMerge w:val="continue"/>
                  <w:tcBorders>
                    <w:tl2br w:val="nil"/>
                    <w:tr2bl w:val="nil"/>
                  </w:tcBorders>
                  <w:shd w:val="clear" w:color="auto" w:fill="auto"/>
                  <w:noWrap w:val="0"/>
                  <w:vAlign w:val="center"/>
                </w:tcPr>
                <w:p w14:paraId="75D70BAE">
                  <w:pPr>
                    <w:pStyle w:val="9"/>
                    <w:jc w:val="center"/>
                    <w:rPr>
                      <w:rFonts w:hint="eastAsia" w:cs="Times New Roman"/>
                      <w:bCs/>
                      <w:snapToGrid w:val="0"/>
                      <w:color w:val="auto"/>
                      <w:sz w:val="21"/>
                      <w:szCs w:val="21"/>
                      <w:lang w:val="en-US" w:eastAsia="zh-CN"/>
                    </w:rPr>
                  </w:pPr>
                </w:p>
              </w:tc>
              <w:tc>
                <w:tcPr>
                  <w:tcW w:w="624" w:type="pct"/>
                  <w:vMerge w:val="continue"/>
                  <w:tcBorders>
                    <w:tl2br w:val="nil"/>
                    <w:tr2bl w:val="nil"/>
                  </w:tcBorders>
                  <w:shd w:val="clear" w:color="auto" w:fill="auto"/>
                  <w:noWrap w:val="0"/>
                  <w:vAlign w:val="center"/>
                </w:tcPr>
                <w:p w14:paraId="300003B1">
                  <w:pPr>
                    <w:pStyle w:val="34"/>
                    <w:spacing w:before="0" w:beforeLines="0" w:after="0" w:afterLines="0" w:line="240" w:lineRule="auto"/>
                    <w:ind w:firstLine="0" w:firstLineChars="0"/>
                    <w:rPr>
                      <w:rFonts w:hint="eastAsia" w:ascii="Times New Roman" w:hAnsi="Times New Roman" w:eastAsia="宋体" w:cs="Times New Roman"/>
                      <w:bCs/>
                      <w:snapToGrid w:val="0"/>
                      <w:color w:val="auto"/>
                      <w:spacing w:val="0"/>
                      <w:sz w:val="21"/>
                      <w:szCs w:val="21"/>
                      <w:lang w:val="en-US" w:eastAsia="zh-CN"/>
                    </w:rPr>
                  </w:pPr>
                </w:p>
              </w:tc>
            </w:tr>
            <w:tr w14:paraId="38D32E75">
              <w:tblPrEx>
                <w:tblBorders>
                  <w:top w:val="single" w:color="auto" w:sz="12" w:space="0"/>
                  <w:left w:val="none" w:color="auto" w:sz="0" w:space="0"/>
                  <w:bottom w:val="single" w:color="auto" w:sz="12" w:space="0"/>
                  <w:right w:val="none" w:color="auto" w:sz="0" w:space="0"/>
                  <w:insideH w:val="single" w:color="auto" w:sz="6" w:space="0"/>
                  <w:insideV w:val="single" w:color="auto" w:sz="4" w:space="0"/>
                </w:tblBorders>
                <w:tblCellMar>
                  <w:top w:w="0" w:type="dxa"/>
                  <w:left w:w="108" w:type="dxa"/>
                  <w:bottom w:w="0" w:type="dxa"/>
                  <w:right w:w="108" w:type="dxa"/>
                </w:tblCellMar>
              </w:tblPrEx>
              <w:trPr>
                <w:trHeight w:val="90" w:hRule="atLeast"/>
                <w:tblHeader/>
                <w:jc w:val="center"/>
              </w:trPr>
              <w:tc>
                <w:tcPr>
                  <w:tcW w:w="405" w:type="pct"/>
                  <w:vMerge w:val="continue"/>
                  <w:tcBorders>
                    <w:tl2br w:val="nil"/>
                    <w:tr2bl w:val="nil"/>
                  </w:tcBorders>
                  <w:shd w:val="clear" w:color="auto" w:fill="auto"/>
                  <w:noWrap w:val="0"/>
                  <w:vAlign w:val="center"/>
                </w:tcPr>
                <w:p w14:paraId="36DB1486">
                  <w:pPr>
                    <w:pStyle w:val="34"/>
                    <w:spacing w:before="0" w:beforeLines="0" w:after="0" w:afterLines="0" w:line="240" w:lineRule="auto"/>
                    <w:ind w:firstLine="0" w:firstLineChars="0"/>
                    <w:jc w:val="center"/>
                    <w:rPr>
                      <w:rFonts w:hint="eastAsia" w:ascii="Times New Roman" w:hAnsi="Times New Roman" w:eastAsia="宋体" w:cs="Times New Roman"/>
                      <w:color w:val="auto"/>
                      <w:sz w:val="21"/>
                      <w:szCs w:val="21"/>
                      <w:lang w:val="en-US" w:eastAsia="zh-CN"/>
                    </w:rPr>
                  </w:pPr>
                </w:p>
              </w:tc>
              <w:tc>
                <w:tcPr>
                  <w:tcW w:w="634" w:type="pct"/>
                  <w:tcBorders>
                    <w:tl2br w:val="nil"/>
                    <w:tr2bl w:val="nil"/>
                  </w:tcBorders>
                  <w:noWrap w:val="0"/>
                  <w:vAlign w:val="center"/>
                </w:tcPr>
                <w:p w14:paraId="08206367">
                  <w:pPr>
                    <w:keepNext w:val="0"/>
                    <w:keepLines w:val="0"/>
                    <w:pageBreakBefore w:val="0"/>
                    <w:kinsoku/>
                    <w:wordWrap/>
                    <w:overflowPunct/>
                    <w:topLinePunct w:val="0"/>
                    <w:autoSpaceDE/>
                    <w:autoSpaceDN/>
                    <w:bidi w:val="0"/>
                    <w:spacing w:line="240" w:lineRule="auto"/>
                    <w:ind w:left="0"/>
                    <w:jc w:val="center"/>
                    <w:rPr>
                      <w:rFonts w:hint="default" w:ascii="Times New Roman" w:hAnsi="Times New Roman" w:eastAsia="宋体" w:cs="Times New Roman"/>
                      <w:snapToGrid w:val="0"/>
                      <w:color w:val="auto"/>
                      <w:sz w:val="21"/>
                      <w:szCs w:val="21"/>
                    </w:rPr>
                  </w:pPr>
                  <w:r>
                    <w:rPr>
                      <w:rFonts w:hint="default" w:ascii="Times New Roman" w:hAnsi="Times New Roman" w:eastAsia="宋体" w:cs="Times New Roman"/>
                      <w:snapToGrid w:val="0"/>
                      <w:color w:val="auto"/>
                      <w:sz w:val="21"/>
                      <w:szCs w:val="21"/>
                    </w:rPr>
                    <w:t>切削液废气</w:t>
                  </w:r>
                </w:p>
              </w:tc>
              <w:tc>
                <w:tcPr>
                  <w:tcW w:w="577" w:type="pct"/>
                  <w:tcBorders>
                    <w:tl2br w:val="nil"/>
                    <w:tr2bl w:val="nil"/>
                  </w:tcBorders>
                  <w:shd w:val="clear" w:color="auto" w:fill="auto"/>
                  <w:noWrap w:val="0"/>
                  <w:vAlign w:val="center"/>
                </w:tcPr>
                <w:p w14:paraId="61CDA31C">
                  <w:pPr>
                    <w:pStyle w:val="111"/>
                    <w:keepNext w:val="0"/>
                    <w:keepLines w:val="0"/>
                    <w:pageBreakBefore w:val="0"/>
                    <w:kinsoku/>
                    <w:wordWrap/>
                    <w:overflowPunct/>
                    <w:topLinePunct w:val="0"/>
                    <w:autoSpaceDE/>
                    <w:autoSpaceDN/>
                    <w:bidi w:val="0"/>
                    <w:spacing w:line="240" w:lineRule="auto"/>
                    <w:ind w:left="0" w:leftChars="0"/>
                    <w:jc w:val="center"/>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非甲烷总烃</w:t>
                  </w:r>
                </w:p>
              </w:tc>
              <w:tc>
                <w:tcPr>
                  <w:tcW w:w="515" w:type="pct"/>
                  <w:tcBorders>
                    <w:tl2br w:val="nil"/>
                    <w:tr2bl w:val="nil"/>
                  </w:tcBorders>
                  <w:shd w:val="clear" w:color="auto" w:fill="auto"/>
                  <w:noWrap w:val="0"/>
                  <w:vAlign w:val="center"/>
                </w:tcPr>
                <w:p w14:paraId="09780ACB">
                  <w:pPr>
                    <w:keepNext w:val="0"/>
                    <w:keepLines w:val="0"/>
                    <w:pageBreakBefore w:val="0"/>
                    <w:kinsoku/>
                    <w:wordWrap/>
                    <w:overflowPunct/>
                    <w:topLinePunct w:val="0"/>
                    <w:autoSpaceDE/>
                    <w:autoSpaceDN/>
                    <w:bidi w:val="0"/>
                    <w:spacing w:line="240" w:lineRule="auto"/>
                    <w:ind w:left="0" w:leftChars="0"/>
                    <w:jc w:val="center"/>
                    <w:rPr>
                      <w:rFonts w:hint="default" w:ascii="Times New Roman" w:hAnsi="Times New Roman" w:eastAsia="宋体" w:cs="Times New Roman"/>
                      <w:color w:val="auto"/>
                      <w:kern w:val="2"/>
                      <w:sz w:val="21"/>
                      <w:szCs w:val="21"/>
                      <w:lang w:val="en-US" w:eastAsia="zh-CN" w:bidi="ar"/>
                    </w:rPr>
                  </w:pPr>
                  <w:r>
                    <w:rPr>
                      <w:rFonts w:hint="eastAsia" w:ascii="Times New Roman" w:hAnsi="Times New Roman" w:eastAsia="宋体" w:cs="Times New Roman"/>
                      <w:color w:val="auto"/>
                      <w:kern w:val="2"/>
                      <w:sz w:val="21"/>
                      <w:szCs w:val="21"/>
                      <w:lang w:val="en-US" w:eastAsia="zh-CN" w:bidi="ar"/>
                    </w:rPr>
                    <w:t>0.0444</w:t>
                  </w:r>
                </w:p>
              </w:tc>
              <w:tc>
                <w:tcPr>
                  <w:tcW w:w="515" w:type="pct"/>
                  <w:tcBorders>
                    <w:tl2br w:val="nil"/>
                    <w:tr2bl w:val="nil"/>
                  </w:tcBorders>
                  <w:shd w:val="clear" w:color="auto" w:fill="auto"/>
                  <w:noWrap w:val="0"/>
                  <w:vAlign w:val="center"/>
                </w:tcPr>
                <w:p w14:paraId="24413AF2">
                  <w:pPr>
                    <w:keepNext w:val="0"/>
                    <w:keepLines w:val="0"/>
                    <w:widowControl/>
                    <w:suppressLineNumbers w:val="0"/>
                    <w:jc w:val="center"/>
                    <w:textAlignment w:val="center"/>
                    <w:rPr>
                      <w:rFonts w:hint="default" w:ascii="Times New Roman" w:hAnsi="Times New Roman" w:eastAsia="宋体" w:cs="Times New Roman"/>
                      <w:color w:val="auto"/>
                      <w:spacing w:val="-10"/>
                      <w:kern w:val="0"/>
                      <w:sz w:val="21"/>
                      <w:szCs w:val="21"/>
                      <w:lang w:val="en-US" w:eastAsia="zh-CN" w:bidi="ar"/>
                    </w:rPr>
                  </w:pPr>
                  <w:r>
                    <w:rPr>
                      <w:rFonts w:hint="eastAsia" w:ascii="Times New Roman" w:hAnsi="Times New Roman" w:eastAsia="宋体" w:cs="Times New Roman"/>
                      <w:color w:val="auto"/>
                      <w:spacing w:val="-10"/>
                      <w:kern w:val="0"/>
                      <w:sz w:val="21"/>
                      <w:szCs w:val="21"/>
                      <w:lang w:val="en-US" w:eastAsia="zh-CN" w:bidi="ar"/>
                    </w:rPr>
                    <w:t>0.0125</w:t>
                  </w:r>
                </w:p>
              </w:tc>
              <w:tc>
                <w:tcPr>
                  <w:tcW w:w="515" w:type="pct"/>
                  <w:tcBorders>
                    <w:tl2br w:val="nil"/>
                    <w:tr2bl w:val="nil"/>
                  </w:tcBorders>
                  <w:shd w:val="clear" w:color="auto" w:fill="auto"/>
                  <w:noWrap w:val="0"/>
                  <w:vAlign w:val="center"/>
                </w:tcPr>
                <w:p w14:paraId="6D577C4F">
                  <w:pPr>
                    <w:keepNext w:val="0"/>
                    <w:keepLines w:val="0"/>
                    <w:pageBreakBefore w:val="0"/>
                    <w:kinsoku/>
                    <w:wordWrap/>
                    <w:overflowPunct/>
                    <w:topLinePunct w:val="0"/>
                    <w:autoSpaceDE/>
                    <w:autoSpaceDN/>
                    <w:bidi w:val="0"/>
                    <w:spacing w:line="240" w:lineRule="auto"/>
                    <w:ind w:left="0" w:leftChars="0"/>
                    <w:jc w:val="center"/>
                    <w:rPr>
                      <w:rFonts w:hint="default" w:ascii="Times New Roman" w:hAnsi="Times New Roman" w:eastAsia="宋体" w:cs="Times New Roman"/>
                      <w:color w:val="auto"/>
                      <w:kern w:val="2"/>
                      <w:sz w:val="21"/>
                      <w:szCs w:val="21"/>
                      <w:lang w:val="en-US" w:eastAsia="zh-CN" w:bidi="ar"/>
                    </w:rPr>
                  </w:pPr>
                  <w:r>
                    <w:rPr>
                      <w:rFonts w:hint="eastAsia" w:ascii="Times New Roman" w:hAnsi="Times New Roman" w:eastAsia="宋体" w:cs="Times New Roman"/>
                      <w:color w:val="auto"/>
                      <w:kern w:val="2"/>
                      <w:sz w:val="21"/>
                      <w:szCs w:val="21"/>
                      <w:lang w:val="en-US" w:eastAsia="zh-CN" w:bidi="ar"/>
                    </w:rPr>
                    <w:t>0.0444</w:t>
                  </w:r>
                </w:p>
              </w:tc>
              <w:tc>
                <w:tcPr>
                  <w:tcW w:w="515" w:type="pct"/>
                  <w:tcBorders>
                    <w:tl2br w:val="nil"/>
                    <w:tr2bl w:val="nil"/>
                  </w:tcBorders>
                  <w:shd w:val="clear" w:color="auto" w:fill="auto"/>
                  <w:noWrap w:val="0"/>
                  <w:vAlign w:val="center"/>
                </w:tcPr>
                <w:p w14:paraId="5A139A0E">
                  <w:pPr>
                    <w:keepNext w:val="0"/>
                    <w:keepLines w:val="0"/>
                    <w:widowControl/>
                    <w:suppressLineNumbers w:val="0"/>
                    <w:jc w:val="center"/>
                    <w:textAlignment w:val="center"/>
                    <w:rPr>
                      <w:rFonts w:hint="default" w:ascii="Times New Roman" w:hAnsi="Times New Roman" w:eastAsia="宋体" w:cs="Times New Roman"/>
                      <w:color w:val="auto"/>
                      <w:spacing w:val="-10"/>
                      <w:kern w:val="0"/>
                      <w:sz w:val="21"/>
                      <w:szCs w:val="21"/>
                      <w:lang w:val="en-US" w:eastAsia="zh-CN" w:bidi="ar"/>
                    </w:rPr>
                  </w:pPr>
                  <w:r>
                    <w:rPr>
                      <w:rFonts w:hint="eastAsia" w:ascii="Times New Roman" w:hAnsi="Times New Roman" w:eastAsia="宋体" w:cs="Times New Roman"/>
                      <w:color w:val="auto"/>
                      <w:spacing w:val="-10"/>
                      <w:kern w:val="0"/>
                      <w:sz w:val="21"/>
                      <w:szCs w:val="21"/>
                      <w:lang w:val="en-US" w:eastAsia="zh-CN" w:bidi="ar"/>
                    </w:rPr>
                    <w:t>0.0125</w:t>
                  </w:r>
                </w:p>
              </w:tc>
              <w:tc>
                <w:tcPr>
                  <w:tcW w:w="697" w:type="pct"/>
                  <w:vMerge w:val="continue"/>
                  <w:tcBorders>
                    <w:tl2br w:val="nil"/>
                    <w:tr2bl w:val="nil"/>
                  </w:tcBorders>
                  <w:shd w:val="clear" w:color="auto" w:fill="auto"/>
                  <w:noWrap w:val="0"/>
                  <w:vAlign w:val="center"/>
                </w:tcPr>
                <w:p w14:paraId="5230600D">
                  <w:pPr>
                    <w:pStyle w:val="9"/>
                    <w:keepNext w:val="0"/>
                    <w:keepLines w:val="0"/>
                    <w:pageBreakBefore w:val="0"/>
                    <w:kinsoku/>
                    <w:wordWrap/>
                    <w:overflowPunct/>
                    <w:topLinePunct w:val="0"/>
                    <w:bidi w:val="0"/>
                    <w:jc w:val="center"/>
                    <w:rPr>
                      <w:rFonts w:hint="eastAsia" w:ascii="Times New Roman" w:hAnsi="Times New Roman" w:eastAsia="宋体" w:cs="Times New Roman"/>
                      <w:bCs/>
                      <w:snapToGrid w:val="0"/>
                      <w:color w:val="auto"/>
                      <w:kern w:val="0"/>
                      <w:sz w:val="21"/>
                      <w:szCs w:val="21"/>
                      <w:lang w:val="en-US" w:eastAsia="zh-CN" w:bidi="ar"/>
                    </w:rPr>
                  </w:pPr>
                </w:p>
              </w:tc>
              <w:tc>
                <w:tcPr>
                  <w:tcW w:w="624" w:type="pct"/>
                  <w:vMerge w:val="continue"/>
                  <w:tcBorders>
                    <w:tl2br w:val="nil"/>
                    <w:tr2bl w:val="nil"/>
                  </w:tcBorders>
                  <w:shd w:val="clear" w:color="auto" w:fill="auto"/>
                  <w:noWrap w:val="0"/>
                  <w:vAlign w:val="center"/>
                </w:tcPr>
                <w:p w14:paraId="6870F622">
                  <w:pPr>
                    <w:pStyle w:val="34"/>
                    <w:keepNext w:val="0"/>
                    <w:keepLines w:val="0"/>
                    <w:pageBreakBefore w:val="0"/>
                    <w:kinsoku/>
                    <w:wordWrap/>
                    <w:overflowPunct/>
                    <w:topLinePunct w:val="0"/>
                    <w:bidi w:val="0"/>
                    <w:spacing w:before="0" w:beforeLines="0" w:after="0" w:afterLines="0" w:line="240" w:lineRule="auto"/>
                    <w:ind w:firstLine="0" w:firstLineChars="0"/>
                    <w:jc w:val="center"/>
                    <w:rPr>
                      <w:rFonts w:hint="eastAsia" w:ascii="Times New Roman" w:hAnsi="Times New Roman" w:eastAsia="宋体" w:cs="Times New Roman"/>
                      <w:bCs/>
                      <w:snapToGrid w:val="0"/>
                      <w:color w:val="auto"/>
                      <w:spacing w:val="0"/>
                      <w:kern w:val="0"/>
                      <w:sz w:val="21"/>
                      <w:szCs w:val="21"/>
                      <w:lang w:val="en-US" w:eastAsia="zh-CN" w:bidi="ar"/>
                    </w:rPr>
                  </w:pPr>
                </w:p>
              </w:tc>
            </w:tr>
            <w:tr w14:paraId="2EA52433">
              <w:tblPrEx>
                <w:tblBorders>
                  <w:top w:val="single" w:color="auto" w:sz="12" w:space="0"/>
                  <w:left w:val="none" w:color="auto" w:sz="0" w:space="0"/>
                  <w:bottom w:val="single" w:color="auto" w:sz="12" w:space="0"/>
                  <w:right w:val="none" w:color="auto" w:sz="0" w:space="0"/>
                  <w:insideH w:val="single" w:color="auto" w:sz="6" w:space="0"/>
                  <w:insideV w:val="single" w:color="auto" w:sz="4" w:space="0"/>
                </w:tblBorders>
                <w:tblCellMar>
                  <w:top w:w="0" w:type="dxa"/>
                  <w:left w:w="108" w:type="dxa"/>
                  <w:bottom w:w="0" w:type="dxa"/>
                  <w:right w:w="108" w:type="dxa"/>
                </w:tblCellMar>
              </w:tblPrEx>
              <w:trPr>
                <w:trHeight w:val="90" w:hRule="atLeast"/>
                <w:jc w:val="center"/>
              </w:trPr>
              <w:tc>
                <w:tcPr>
                  <w:tcW w:w="405" w:type="pct"/>
                  <w:vMerge w:val="restart"/>
                  <w:tcBorders>
                    <w:tl2br w:val="nil"/>
                    <w:tr2bl w:val="nil"/>
                  </w:tcBorders>
                  <w:noWrap w:val="0"/>
                  <w:vAlign w:val="center"/>
                </w:tcPr>
                <w:p w14:paraId="4BB2F917">
                  <w:pPr>
                    <w:keepNext w:val="0"/>
                    <w:keepLines w:val="0"/>
                    <w:pageBreakBefore w:val="0"/>
                    <w:widowControl/>
                    <w:kinsoku/>
                    <w:wordWrap/>
                    <w:overflowPunct/>
                    <w:topLinePunct w:val="0"/>
                    <w:autoSpaceDE/>
                    <w:autoSpaceDN/>
                    <w:bidi w:val="0"/>
                    <w:spacing w:line="240" w:lineRule="auto"/>
                    <w:ind w:left="0"/>
                    <w:jc w:val="center"/>
                    <w:textAlignment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b/>
                      <w:color w:val="auto"/>
                      <w:sz w:val="21"/>
                      <w:szCs w:val="21"/>
                    </w:rPr>
                    <w:t>合计</w:t>
                  </w:r>
                </w:p>
              </w:tc>
              <w:tc>
                <w:tcPr>
                  <w:tcW w:w="634" w:type="pct"/>
                  <w:vMerge w:val="restart"/>
                  <w:tcBorders>
                    <w:tl2br w:val="nil"/>
                    <w:tr2bl w:val="nil"/>
                  </w:tcBorders>
                  <w:noWrap w:val="0"/>
                  <w:vAlign w:val="center"/>
                </w:tcPr>
                <w:p w14:paraId="3299CE37">
                  <w:pPr>
                    <w:keepNext w:val="0"/>
                    <w:keepLines w:val="0"/>
                    <w:pageBreakBefore w:val="0"/>
                    <w:widowControl/>
                    <w:kinsoku/>
                    <w:wordWrap/>
                    <w:overflowPunct/>
                    <w:topLinePunct w:val="0"/>
                    <w:autoSpaceDE/>
                    <w:autoSpaceDN/>
                    <w:bidi w:val="0"/>
                    <w:spacing w:line="240" w:lineRule="auto"/>
                    <w:ind w:left="0"/>
                    <w:jc w:val="center"/>
                    <w:textAlignment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color w:val="auto"/>
                      <w:sz w:val="21"/>
                      <w:szCs w:val="21"/>
                      <w:lang w:val="en-US" w:eastAsia="zh-CN"/>
                    </w:rPr>
                    <w:t>生产车间</w:t>
                  </w:r>
                </w:p>
              </w:tc>
              <w:tc>
                <w:tcPr>
                  <w:tcW w:w="577" w:type="pct"/>
                  <w:tcBorders>
                    <w:tl2br w:val="nil"/>
                    <w:tr2bl w:val="nil"/>
                  </w:tcBorders>
                  <w:shd w:val="clear" w:color="auto" w:fill="auto"/>
                  <w:noWrap w:val="0"/>
                  <w:vAlign w:val="center"/>
                </w:tcPr>
                <w:p w14:paraId="5A0DFA1F">
                  <w:pPr>
                    <w:pStyle w:val="111"/>
                    <w:keepNext w:val="0"/>
                    <w:keepLines w:val="0"/>
                    <w:pageBreakBefore w:val="0"/>
                    <w:kinsoku/>
                    <w:wordWrap/>
                    <w:overflowPunct/>
                    <w:topLinePunct w:val="0"/>
                    <w:autoSpaceDE/>
                    <w:autoSpaceDN/>
                    <w:bidi w:val="0"/>
                    <w:spacing w:line="240" w:lineRule="auto"/>
                    <w:ind w:left="0" w:leftChars="0"/>
                    <w:jc w:val="center"/>
                    <w:rPr>
                      <w:rFonts w:hint="default" w:ascii="Times New Roman" w:hAnsi="Times New Roman" w:eastAsia="宋体" w:cs="Times New Roman"/>
                      <w:color w:val="auto"/>
                      <w:kern w:val="2"/>
                      <w:sz w:val="21"/>
                      <w:szCs w:val="21"/>
                      <w:lang w:val="en-US" w:eastAsia="en-US" w:bidi="ar-SA"/>
                    </w:rPr>
                  </w:pPr>
                  <w:r>
                    <w:rPr>
                      <w:rFonts w:hint="eastAsia" w:ascii="Times New Roman" w:hAnsi="Times New Roman" w:eastAsia="宋体" w:cs="Times New Roman"/>
                      <w:color w:val="auto"/>
                      <w:kern w:val="2"/>
                      <w:sz w:val="21"/>
                      <w:szCs w:val="21"/>
                      <w:lang w:val="en-US" w:eastAsia="zh-CN" w:bidi="ar-SA"/>
                    </w:rPr>
                    <w:t>颗粒物</w:t>
                  </w:r>
                </w:p>
              </w:tc>
              <w:tc>
                <w:tcPr>
                  <w:tcW w:w="515" w:type="pct"/>
                  <w:tcBorders>
                    <w:tl2br w:val="nil"/>
                    <w:tr2bl w:val="nil"/>
                  </w:tcBorders>
                  <w:shd w:val="clear" w:color="auto" w:fill="auto"/>
                  <w:noWrap w:val="0"/>
                  <w:vAlign w:val="center"/>
                </w:tcPr>
                <w:p w14:paraId="0FF50845">
                  <w:pPr>
                    <w:keepNext w:val="0"/>
                    <w:keepLines w:val="0"/>
                    <w:widowControl/>
                    <w:suppressLineNumbers w:val="0"/>
                    <w:jc w:val="center"/>
                    <w:textAlignment w:val="center"/>
                    <w:rPr>
                      <w:rFonts w:hint="default" w:ascii="Times New Roman" w:hAnsi="Times New Roman" w:eastAsia="宋体" w:cs="Times New Roman"/>
                      <w:color w:val="auto"/>
                      <w:kern w:val="2"/>
                      <w:sz w:val="21"/>
                      <w:szCs w:val="21"/>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0.0434</w:t>
                  </w:r>
                </w:p>
              </w:tc>
              <w:tc>
                <w:tcPr>
                  <w:tcW w:w="515" w:type="pct"/>
                  <w:tcBorders>
                    <w:tl2br w:val="nil"/>
                    <w:tr2bl w:val="nil"/>
                  </w:tcBorders>
                  <w:shd w:val="clear" w:color="auto" w:fill="auto"/>
                  <w:noWrap w:val="0"/>
                  <w:vAlign w:val="center"/>
                </w:tcPr>
                <w:p w14:paraId="05F4C960">
                  <w:pPr>
                    <w:keepNext w:val="0"/>
                    <w:keepLines w:val="0"/>
                    <w:widowControl/>
                    <w:suppressLineNumbers w:val="0"/>
                    <w:jc w:val="center"/>
                    <w:textAlignment w:val="center"/>
                    <w:rPr>
                      <w:rFonts w:hint="default" w:ascii="Times New Roman" w:hAnsi="Times New Roman" w:eastAsia="宋体" w:cs="Times New Roman"/>
                      <w:color w:val="auto"/>
                      <w:spacing w:val="-10"/>
                      <w:kern w:val="0"/>
                      <w:sz w:val="21"/>
                      <w:szCs w:val="21"/>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0.0163</w:t>
                  </w:r>
                </w:p>
              </w:tc>
              <w:tc>
                <w:tcPr>
                  <w:tcW w:w="515" w:type="pct"/>
                  <w:tcBorders>
                    <w:tl2br w:val="nil"/>
                    <w:tr2bl w:val="nil"/>
                  </w:tcBorders>
                  <w:shd w:val="clear" w:color="auto" w:fill="auto"/>
                  <w:noWrap w:val="0"/>
                  <w:vAlign w:val="center"/>
                </w:tcPr>
                <w:p w14:paraId="0B448777">
                  <w:pPr>
                    <w:keepNext w:val="0"/>
                    <w:keepLines w:val="0"/>
                    <w:widowControl/>
                    <w:suppressLineNumbers w:val="0"/>
                    <w:jc w:val="center"/>
                    <w:textAlignment w:val="center"/>
                    <w:rPr>
                      <w:rFonts w:hint="default" w:ascii="Times New Roman" w:hAnsi="Times New Roman" w:eastAsia="宋体" w:cs="Times New Roman"/>
                      <w:color w:val="auto"/>
                      <w:kern w:val="2"/>
                      <w:sz w:val="21"/>
                      <w:szCs w:val="21"/>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0.0431</w:t>
                  </w:r>
                </w:p>
              </w:tc>
              <w:tc>
                <w:tcPr>
                  <w:tcW w:w="515" w:type="pct"/>
                  <w:tcBorders>
                    <w:tl2br w:val="nil"/>
                    <w:tr2bl w:val="nil"/>
                  </w:tcBorders>
                  <w:shd w:val="clear" w:color="auto" w:fill="auto"/>
                  <w:noWrap w:val="0"/>
                  <w:vAlign w:val="center"/>
                </w:tcPr>
                <w:p w14:paraId="31B0F2C3">
                  <w:pPr>
                    <w:keepNext w:val="0"/>
                    <w:keepLines w:val="0"/>
                    <w:widowControl/>
                    <w:suppressLineNumbers w:val="0"/>
                    <w:jc w:val="center"/>
                    <w:textAlignment w:val="center"/>
                    <w:rPr>
                      <w:rFonts w:hint="default" w:ascii="Times New Roman" w:hAnsi="Times New Roman" w:eastAsia="宋体" w:cs="Times New Roman"/>
                      <w:color w:val="auto"/>
                      <w:spacing w:val="-10"/>
                      <w:kern w:val="0"/>
                      <w:sz w:val="21"/>
                      <w:szCs w:val="21"/>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0.0155</w:t>
                  </w:r>
                </w:p>
              </w:tc>
              <w:tc>
                <w:tcPr>
                  <w:tcW w:w="697" w:type="pct"/>
                  <w:vMerge w:val="restart"/>
                  <w:tcBorders>
                    <w:tl2br w:val="nil"/>
                    <w:tr2bl w:val="nil"/>
                  </w:tcBorders>
                  <w:shd w:val="clear" w:color="auto" w:fill="auto"/>
                  <w:noWrap w:val="0"/>
                  <w:vAlign w:val="center"/>
                </w:tcPr>
                <w:p w14:paraId="28C40ECE">
                  <w:pPr>
                    <w:pStyle w:val="9"/>
                    <w:keepNext w:val="0"/>
                    <w:keepLines w:val="0"/>
                    <w:pageBreakBefore w:val="0"/>
                    <w:kinsoku/>
                    <w:wordWrap/>
                    <w:overflowPunct/>
                    <w:topLinePunct w:val="0"/>
                    <w:bidi w:val="0"/>
                    <w:jc w:val="center"/>
                    <w:rPr>
                      <w:rFonts w:hint="default" w:ascii="Times New Roman" w:hAnsi="Times New Roman" w:eastAsia="宋体" w:cs="Times New Roman"/>
                      <w:bCs/>
                      <w:snapToGrid w:val="0"/>
                      <w:color w:val="auto"/>
                      <w:kern w:val="0"/>
                      <w:sz w:val="21"/>
                      <w:szCs w:val="21"/>
                      <w:lang w:val="en-US" w:eastAsia="zh-CN" w:bidi="ar"/>
                    </w:rPr>
                  </w:pPr>
                  <w:r>
                    <w:rPr>
                      <w:rFonts w:hint="eastAsia" w:cs="Times New Roman"/>
                      <w:bCs/>
                      <w:snapToGrid w:val="0"/>
                      <w:color w:val="auto"/>
                      <w:sz w:val="21"/>
                      <w:szCs w:val="21"/>
                      <w:lang w:val="en-US" w:eastAsia="zh-CN"/>
                    </w:rPr>
                    <w:t>66*109</w:t>
                  </w:r>
                </w:p>
              </w:tc>
              <w:tc>
                <w:tcPr>
                  <w:tcW w:w="624" w:type="pct"/>
                  <w:vMerge w:val="restart"/>
                  <w:tcBorders>
                    <w:tl2br w:val="nil"/>
                    <w:tr2bl w:val="nil"/>
                  </w:tcBorders>
                  <w:shd w:val="clear" w:color="auto" w:fill="auto"/>
                  <w:noWrap w:val="0"/>
                  <w:vAlign w:val="center"/>
                </w:tcPr>
                <w:p w14:paraId="0A48BE7A">
                  <w:pPr>
                    <w:pStyle w:val="34"/>
                    <w:keepNext w:val="0"/>
                    <w:keepLines w:val="0"/>
                    <w:pageBreakBefore w:val="0"/>
                    <w:kinsoku/>
                    <w:wordWrap/>
                    <w:overflowPunct/>
                    <w:topLinePunct w:val="0"/>
                    <w:bidi w:val="0"/>
                    <w:spacing w:before="0" w:beforeLines="0" w:after="0" w:afterLines="0" w:line="240" w:lineRule="auto"/>
                    <w:ind w:firstLine="0" w:firstLineChars="0"/>
                    <w:jc w:val="center"/>
                    <w:rPr>
                      <w:rFonts w:hint="default" w:ascii="Times New Roman" w:hAnsi="Times New Roman" w:eastAsia="宋体" w:cs="Times New Roman"/>
                      <w:bCs/>
                      <w:snapToGrid w:val="0"/>
                      <w:color w:val="auto"/>
                      <w:spacing w:val="0"/>
                      <w:kern w:val="0"/>
                      <w:sz w:val="21"/>
                      <w:szCs w:val="21"/>
                      <w:lang w:val="en-US" w:eastAsia="zh-CN" w:bidi="ar"/>
                    </w:rPr>
                  </w:pPr>
                  <w:r>
                    <w:rPr>
                      <w:rFonts w:hint="default" w:ascii="Times New Roman" w:hAnsi="Times New Roman" w:eastAsia="宋体" w:cs="Times New Roman"/>
                      <w:bCs/>
                      <w:snapToGrid w:val="0"/>
                      <w:color w:val="auto"/>
                      <w:spacing w:val="0"/>
                      <w:kern w:val="0"/>
                      <w:sz w:val="21"/>
                      <w:szCs w:val="21"/>
                      <w:lang w:val="en-US" w:eastAsia="zh-CN" w:bidi="ar"/>
                    </w:rPr>
                    <w:t>10</w:t>
                  </w:r>
                </w:p>
              </w:tc>
            </w:tr>
            <w:tr w14:paraId="333C1B84">
              <w:tblPrEx>
                <w:tblBorders>
                  <w:top w:val="single" w:color="auto" w:sz="12" w:space="0"/>
                  <w:left w:val="none" w:color="auto" w:sz="0" w:space="0"/>
                  <w:bottom w:val="single" w:color="auto" w:sz="12" w:space="0"/>
                  <w:right w:val="none" w:color="auto" w:sz="0" w:space="0"/>
                  <w:insideH w:val="single" w:color="auto" w:sz="6" w:space="0"/>
                  <w:insideV w:val="single" w:color="auto" w:sz="4" w:space="0"/>
                </w:tblBorders>
                <w:tblCellMar>
                  <w:top w:w="0" w:type="dxa"/>
                  <w:left w:w="108" w:type="dxa"/>
                  <w:bottom w:w="0" w:type="dxa"/>
                  <w:right w:w="108" w:type="dxa"/>
                </w:tblCellMar>
              </w:tblPrEx>
              <w:trPr>
                <w:trHeight w:val="90" w:hRule="atLeast"/>
                <w:jc w:val="center"/>
              </w:trPr>
              <w:tc>
                <w:tcPr>
                  <w:tcW w:w="405" w:type="pct"/>
                  <w:vMerge w:val="continue"/>
                  <w:tcBorders>
                    <w:tl2br w:val="nil"/>
                    <w:tr2bl w:val="nil"/>
                  </w:tcBorders>
                  <w:noWrap w:val="0"/>
                  <w:vAlign w:val="center"/>
                </w:tcPr>
                <w:p w14:paraId="02C46C15">
                  <w:pPr>
                    <w:keepNext w:val="0"/>
                    <w:keepLines w:val="0"/>
                    <w:pageBreakBefore w:val="0"/>
                    <w:widowControl/>
                    <w:kinsoku/>
                    <w:wordWrap/>
                    <w:overflowPunct/>
                    <w:topLinePunct w:val="0"/>
                    <w:autoSpaceDE/>
                    <w:autoSpaceDN/>
                    <w:bidi w:val="0"/>
                    <w:spacing w:line="240" w:lineRule="auto"/>
                    <w:ind w:left="0"/>
                    <w:jc w:val="center"/>
                    <w:textAlignment w:val="center"/>
                    <w:rPr>
                      <w:rFonts w:hint="default" w:ascii="Times New Roman" w:hAnsi="Times New Roman" w:eastAsia="宋体" w:cs="Times New Roman"/>
                      <w:color w:val="auto"/>
                      <w:kern w:val="0"/>
                      <w:sz w:val="21"/>
                      <w:szCs w:val="21"/>
                    </w:rPr>
                  </w:pPr>
                </w:p>
              </w:tc>
              <w:tc>
                <w:tcPr>
                  <w:tcW w:w="634" w:type="pct"/>
                  <w:vMerge w:val="continue"/>
                  <w:tcBorders>
                    <w:tl2br w:val="nil"/>
                    <w:tr2bl w:val="nil"/>
                  </w:tcBorders>
                  <w:noWrap w:val="0"/>
                  <w:vAlign w:val="center"/>
                </w:tcPr>
                <w:p w14:paraId="27B83BF9">
                  <w:pPr>
                    <w:keepNext w:val="0"/>
                    <w:keepLines w:val="0"/>
                    <w:pageBreakBefore w:val="0"/>
                    <w:widowControl/>
                    <w:kinsoku/>
                    <w:wordWrap/>
                    <w:overflowPunct/>
                    <w:topLinePunct w:val="0"/>
                    <w:autoSpaceDE/>
                    <w:autoSpaceDN/>
                    <w:bidi w:val="0"/>
                    <w:spacing w:line="240" w:lineRule="auto"/>
                    <w:ind w:left="0"/>
                    <w:jc w:val="center"/>
                    <w:textAlignment w:val="center"/>
                    <w:rPr>
                      <w:rFonts w:hint="default" w:ascii="Times New Roman" w:hAnsi="Times New Roman" w:eastAsia="宋体" w:cs="Times New Roman"/>
                      <w:color w:val="auto"/>
                      <w:kern w:val="0"/>
                      <w:sz w:val="21"/>
                      <w:szCs w:val="21"/>
                    </w:rPr>
                  </w:pPr>
                </w:p>
              </w:tc>
              <w:tc>
                <w:tcPr>
                  <w:tcW w:w="577" w:type="pct"/>
                  <w:tcBorders>
                    <w:tl2br w:val="nil"/>
                    <w:tr2bl w:val="nil"/>
                  </w:tcBorders>
                  <w:shd w:val="clear" w:color="auto" w:fill="auto"/>
                  <w:noWrap w:val="0"/>
                  <w:vAlign w:val="center"/>
                </w:tcPr>
                <w:p w14:paraId="6E4A87E8">
                  <w:pPr>
                    <w:pStyle w:val="111"/>
                    <w:keepNext w:val="0"/>
                    <w:keepLines w:val="0"/>
                    <w:pageBreakBefore w:val="0"/>
                    <w:kinsoku/>
                    <w:wordWrap/>
                    <w:overflowPunct/>
                    <w:topLinePunct w:val="0"/>
                    <w:autoSpaceDE/>
                    <w:autoSpaceDN/>
                    <w:bidi w:val="0"/>
                    <w:spacing w:line="240" w:lineRule="auto"/>
                    <w:ind w:left="0" w:left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非甲烷总烃</w:t>
                  </w:r>
                </w:p>
              </w:tc>
              <w:tc>
                <w:tcPr>
                  <w:tcW w:w="515" w:type="pct"/>
                  <w:tcBorders>
                    <w:tl2br w:val="nil"/>
                    <w:tr2bl w:val="nil"/>
                  </w:tcBorders>
                  <w:shd w:val="clear" w:color="auto" w:fill="auto"/>
                  <w:noWrap w:val="0"/>
                  <w:vAlign w:val="center"/>
                </w:tcPr>
                <w:p w14:paraId="338A83F0">
                  <w:pPr>
                    <w:keepNext w:val="0"/>
                    <w:keepLines w:val="0"/>
                    <w:pageBreakBefore w:val="0"/>
                    <w:kinsoku/>
                    <w:wordWrap/>
                    <w:overflowPunct/>
                    <w:topLinePunct w:val="0"/>
                    <w:autoSpaceDE/>
                    <w:autoSpaceDN/>
                    <w:bidi w:val="0"/>
                    <w:spacing w:line="240" w:lineRule="auto"/>
                    <w:ind w:left="0" w:leftChars="0"/>
                    <w:jc w:val="center"/>
                    <w:rPr>
                      <w:rFonts w:hint="default" w:ascii="Times New Roman" w:hAnsi="Times New Roman" w:eastAsia="宋体" w:cs="Times New Roman"/>
                      <w:color w:val="auto"/>
                      <w:kern w:val="2"/>
                      <w:sz w:val="21"/>
                      <w:szCs w:val="21"/>
                      <w:lang w:val="en-US" w:eastAsia="zh-CN" w:bidi="ar"/>
                    </w:rPr>
                  </w:pPr>
                  <w:r>
                    <w:rPr>
                      <w:rFonts w:hint="eastAsia" w:ascii="Times New Roman" w:hAnsi="Times New Roman" w:eastAsia="宋体" w:cs="Times New Roman"/>
                      <w:color w:val="auto"/>
                      <w:kern w:val="2"/>
                      <w:sz w:val="21"/>
                      <w:szCs w:val="21"/>
                      <w:lang w:val="en-US" w:eastAsia="zh-CN" w:bidi="ar"/>
                    </w:rPr>
                    <w:t>0.0444</w:t>
                  </w:r>
                </w:p>
              </w:tc>
              <w:tc>
                <w:tcPr>
                  <w:tcW w:w="515" w:type="pct"/>
                  <w:tcBorders>
                    <w:tl2br w:val="nil"/>
                    <w:tr2bl w:val="nil"/>
                  </w:tcBorders>
                  <w:shd w:val="clear" w:color="auto" w:fill="auto"/>
                  <w:noWrap w:val="0"/>
                  <w:vAlign w:val="center"/>
                </w:tcPr>
                <w:p w14:paraId="7D5A7535">
                  <w:pPr>
                    <w:keepNext w:val="0"/>
                    <w:keepLines w:val="0"/>
                    <w:widowControl/>
                    <w:suppressLineNumbers w:val="0"/>
                    <w:jc w:val="center"/>
                    <w:textAlignment w:val="center"/>
                    <w:rPr>
                      <w:rFonts w:hint="default" w:ascii="Times New Roman" w:hAnsi="Times New Roman" w:eastAsia="宋体" w:cs="Times New Roman"/>
                      <w:color w:val="auto"/>
                      <w:spacing w:val="-10"/>
                      <w:kern w:val="0"/>
                      <w:sz w:val="21"/>
                      <w:szCs w:val="21"/>
                      <w:lang w:val="en-US" w:eastAsia="zh-CN" w:bidi="ar"/>
                    </w:rPr>
                  </w:pPr>
                  <w:r>
                    <w:rPr>
                      <w:rFonts w:hint="eastAsia" w:ascii="Times New Roman" w:hAnsi="Times New Roman" w:eastAsia="宋体" w:cs="Times New Roman"/>
                      <w:color w:val="auto"/>
                      <w:spacing w:val="-10"/>
                      <w:kern w:val="0"/>
                      <w:sz w:val="21"/>
                      <w:szCs w:val="21"/>
                      <w:lang w:val="en-US" w:eastAsia="zh-CN" w:bidi="ar"/>
                    </w:rPr>
                    <w:t>0.0125</w:t>
                  </w:r>
                </w:p>
              </w:tc>
              <w:tc>
                <w:tcPr>
                  <w:tcW w:w="515" w:type="pct"/>
                  <w:tcBorders>
                    <w:tl2br w:val="nil"/>
                    <w:tr2bl w:val="nil"/>
                  </w:tcBorders>
                  <w:shd w:val="clear" w:color="auto" w:fill="auto"/>
                  <w:noWrap w:val="0"/>
                  <w:vAlign w:val="center"/>
                </w:tcPr>
                <w:p w14:paraId="57E74FA5">
                  <w:pPr>
                    <w:keepNext w:val="0"/>
                    <w:keepLines w:val="0"/>
                    <w:pageBreakBefore w:val="0"/>
                    <w:kinsoku/>
                    <w:wordWrap/>
                    <w:overflowPunct/>
                    <w:topLinePunct w:val="0"/>
                    <w:autoSpaceDE/>
                    <w:autoSpaceDN/>
                    <w:bidi w:val="0"/>
                    <w:spacing w:line="240" w:lineRule="auto"/>
                    <w:ind w:left="0" w:leftChars="0"/>
                    <w:jc w:val="center"/>
                    <w:rPr>
                      <w:rFonts w:hint="default" w:ascii="Times New Roman" w:hAnsi="Times New Roman" w:eastAsia="宋体" w:cs="Times New Roman"/>
                      <w:color w:val="auto"/>
                      <w:kern w:val="2"/>
                      <w:sz w:val="21"/>
                      <w:szCs w:val="21"/>
                      <w:lang w:val="en-US" w:eastAsia="zh-CN" w:bidi="ar"/>
                    </w:rPr>
                  </w:pPr>
                  <w:r>
                    <w:rPr>
                      <w:rFonts w:hint="eastAsia" w:ascii="Times New Roman" w:hAnsi="Times New Roman" w:eastAsia="宋体" w:cs="Times New Roman"/>
                      <w:color w:val="auto"/>
                      <w:kern w:val="2"/>
                      <w:sz w:val="21"/>
                      <w:szCs w:val="21"/>
                      <w:lang w:val="en-US" w:eastAsia="zh-CN" w:bidi="ar"/>
                    </w:rPr>
                    <w:t>0.0444</w:t>
                  </w:r>
                </w:p>
              </w:tc>
              <w:tc>
                <w:tcPr>
                  <w:tcW w:w="515" w:type="pct"/>
                  <w:tcBorders>
                    <w:tl2br w:val="nil"/>
                    <w:tr2bl w:val="nil"/>
                  </w:tcBorders>
                  <w:shd w:val="clear" w:color="auto" w:fill="auto"/>
                  <w:noWrap w:val="0"/>
                  <w:vAlign w:val="center"/>
                </w:tcPr>
                <w:p w14:paraId="3AF70DDE">
                  <w:pPr>
                    <w:keepNext w:val="0"/>
                    <w:keepLines w:val="0"/>
                    <w:widowControl/>
                    <w:suppressLineNumbers w:val="0"/>
                    <w:jc w:val="center"/>
                    <w:textAlignment w:val="center"/>
                    <w:rPr>
                      <w:rFonts w:hint="default" w:ascii="Times New Roman" w:hAnsi="Times New Roman" w:eastAsia="宋体" w:cs="Times New Roman"/>
                      <w:color w:val="auto"/>
                      <w:spacing w:val="-10"/>
                      <w:kern w:val="0"/>
                      <w:sz w:val="21"/>
                      <w:szCs w:val="21"/>
                      <w:lang w:val="en-US" w:eastAsia="zh-CN" w:bidi="ar"/>
                    </w:rPr>
                  </w:pPr>
                  <w:r>
                    <w:rPr>
                      <w:rFonts w:hint="eastAsia" w:ascii="Times New Roman" w:hAnsi="Times New Roman" w:eastAsia="宋体" w:cs="Times New Roman"/>
                      <w:color w:val="auto"/>
                      <w:spacing w:val="-10"/>
                      <w:kern w:val="0"/>
                      <w:sz w:val="21"/>
                      <w:szCs w:val="21"/>
                      <w:lang w:val="en-US" w:eastAsia="zh-CN" w:bidi="ar"/>
                    </w:rPr>
                    <w:t>0.0125</w:t>
                  </w:r>
                </w:p>
              </w:tc>
              <w:tc>
                <w:tcPr>
                  <w:tcW w:w="697" w:type="pct"/>
                  <w:vMerge w:val="continue"/>
                  <w:tcBorders>
                    <w:tl2br w:val="nil"/>
                    <w:tr2bl w:val="nil"/>
                  </w:tcBorders>
                  <w:noWrap w:val="0"/>
                  <w:vAlign w:val="center"/>
                </w:tcPr>
                <w:p w14:paraId="2FF78C8C">
                  <w:pPr>
                    <w:pStyle w:val="34"/>
                    <w:keepNext w:val="0"/>
                    <w:keepLines w:val="0"/>
                    <w:pageBreakBefore w:val="0"/>
                    <w:kinsoku/>
                    <w:wordWrap/>
                    <w:overflowPunct/>
                    <w:topLinePunct w:val="0"/>
                    <w:autoSpaceDE/>
                    <w:autoSpaceDN/>
                    <w:bidi w:val="0"/>
                    <w:spacing w:before="0" w:beforeLines="0" w:after="0" w:afterLines="0" w:line="240" w:lineRule="auto"/>
                    <w:ind w:left="0"/>
                    <w:jc w:val="center"/>
                    <w:rPr>
                      <w:rFonts w:hint="default" w:ascii="Times New Roman" w:hAnsi="Times New Roman" w:eastAsia="宋体" w:cs="Times New Roman"/>
                      <w:snapToGrid w:val="0"/>
                      <w:color w:val="auto"/>
                      <w:spacing w:val="0"/>
                      <w:sz w:val="21"/>
                      <w:szCs w:val="21"/>
                    </w:rPr>
                  </w:pPr>
                </w:p>
              </w:tc>
              <w:tc>
                <w:tcPr>
                  <w:tcW w:w="624" w:type="pct"/>
                  <w:vMerge w:val="continue"/>
                  <w:tcBorders>
                    <w:tl2br w:val="nil"/>
                    <w:tr2bl w:val="nil"/>
                  </w:tcBorders>
                  <w:noWrap w:val="0"/>
                  <w:vAlign w:val="center"/>
                </w:tcPr>
                <w:p w14:paraId="7B73500C">
                  <w:pPr>
                    <w:pStyle w:val="34"/>
                    <w:keepNext w:val="0"/>
                    <w:keepLines w:val="0"/>
                    <w:pageBreakBefore w:val="0"/>
                    <w:kinsoku/>
                    <w:wordWrap/>
                    <w:overflowPunct/>
                    <w:topLinePunct w:val="0"/>
                    <w:autoSpaceDE/>
                    <w:autoSpaceDN/>
                    <w:bidi w:val="0"/>
                    <w:spacing w:before="0" w:beforeLines="0" w:after="0" w:afterLines="0" w:line="240" w:lineRule="auto"/>
                    <w:ind w:left="0"/>
                    <w:jc w:val="center"/>
                    <w:rPr>
                      <w:rFonts w:hint="default" w:ascii="Times New Roman" w:hAnsi="Times New Roman" w:eastAsia="宋体" w:cs="Times New Roman"/>
                      <w:snapToGrid w:val="0"/>
                      <w:color w:val="auto"/>
                      <w:spacing w:val="0"/>
                      <w:sz w:val="21"/>
                      <w:szCs w:val="21"/>
                    </w:rPr>
                  </w:pPr>
                </w:p>
              </w:tc>
            </w:tr>
          </w:tbl>
          <w:p w14:paraId="6F206918">
            <w:pPr>
              <w:spacing w:before="120" w:beforeLines="50" w:line="360" w:lineRule="auto"/>
              <w:ind w:firstLine="480" w:firstLineChars="200"/>
              <w:rPr>
                <w:rFonts w:hint="default" w:eastAsia="宋体"/>
                <w:color w:val="auto"/>
                <w:sz w:val="24"/>
                <w:szCs w:val="24"/>
                <w:lang w:val="en-US" w:eastAsia="zh-CN"/>
              </w:rPr>
            </w:pPr>
            <w:r>
              <w:rPr>
                <w:rFonts w:hint="eastAsia"/>
                <w:color w:val="auto"/>
                <w:sz w:val="24"/>
                <w:szCs w:val="24"/>
              </w:rPr>
              <w:t>非正常排放是指生产过程中开停车（工、炉）、设备检修、工艺设备运转异常等非正常工况下的污染物排放，以及污染物排放控制措施达不到应有效率等情况下的排放。根据</w:t>
            </w:r>
            <w:r>
              <w:rPr>
                <w:rFonts w:hint="eastAsia"/>
                <w:color w:val="auto"/>
                <w:sz w:val="24"/>
                <w:szCs w:val="24"/>
                <w:lang w:val="en-US" w:eastAsia="zh-CN"/>
              </w:rPr>
              <w:t>本</w:t>
            </w:r>
            <w:r>
              <w:rPr>
                <w:rFonts w:hint="eastAsia"/>
                <w:color w:val="auto"/>
                <w:sz w:val="24"/>
                <w:szCs w:val="24"/>
              </w:rPr>
              <w:t>项目废气产生及排放情况，本次评价考虑</w:t>
            </w:r>
            <w:r>
              <w:rPr>
                <w:rFonts w:hint="eastAsia"/>
                <w:color w:val="auto"/>
                <w:sz w:val="24"/>
                <w:szCs w:val="24"/>
                <w:lang w:val="en-US" w:eastAsia="zh-CN"/>
              </w:rPr>
              <w:t>废气处理设施故障导致</w:t>
            </w:r>
            <w:r>
              <w:rPr>
                <w:rFonts w:hint="eastAsia"/>
                <w:color w:val="auto"/>
                <w:sz w:val="24"/>
                <w:szCs w:val="24"/>
              </w:rPr>
              <w:t>处理效率下降为50%、非正常排放时间为1h的状况。非正常排放时大气污染物排放状况</w:t>
            </w:r>
            <w:r>
              <w:rPr>
                <w:rFonts w:hint="eastAsia"/>
                <w:color w:val="auto"/>
                <w:sz w:val="24"/>
                <w:szCs w:val="24"/>
                <w:lang w:val="en-US" w:eastAsia="zh-CN"/>
              </w:rPr>
              <w:t>见表4-5。</w:t>
            </w:r>
          </w:p>
          <w:p w14:paraId="22DCA074">
            <w:pPr>
              <w:jc w:val="center"/>
              <w:rPr>
                <w:rFonts w:hint="eastAsia"/>
                <w:b/>
                <w:bCs/>
                <w:color w:val="auto"/>
                <w:sz w:val="24"/>
                <w:szCs w:val="24"/>
                <w:lang w:val="en-US" w:eastAsia="zh-CN"/>
              </w:rPr>
            </w:pPr>
            <w:r>
              <w:rPr>
                <w:rFonts w:hint="eastAsia" w:ascii="Times New Roman" w:eastAsia="宋体"/>
                <w:b/>
                <w:bCs/>
                <w:color w:val="auto"/>
                <w:sz w:val="24"/>
                <w:szCs w:val="24"/>
                <w:lang w:val="en-US" w:eastAsia="zh-CN"/>
              </w:rPr>
              <w:t>表4-</w:t>
            </w:r>
            <w:r>
              <w:rPr>
                <w:rFonts w:hint="eastAsia"/>
                <w:b/>
                <w:bCs/>
                <w:color w:val="auto"/>
                <w:sz w:val="24"/>
                <w:szCs w:val="24"/>
                <w:lang w:val="en-US" w:eastAsia="zh-CN"/>
              </w:rPr>
              <w:t xml:space="preserve">5 </w:t>
            </w:r>
            <w:r>
              <w:rPr>
                <w:rFonts w:hint="eastAsia" w:ascii="Times New Roman" w:eastAsia="宋体"/>
                <w:b/>
                <w:bCs/>
                <w:color w:val="auto"/>
                <w:sz w:val="24"/>
                <w:szCs w:val="24"/>
                <w:lang w:val="en-US" w:eastAsia="zh-CN"/>
              </w:rPr>
              <w:t>非正常排放时大气污染物排放状况</w:t>
            </w:r>
          </w:p>
          <w:tbl>
            <w:tblPr>
              <w:tblStyle w:val="26"/>
              <w:tblW w:w="5009"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28" w:type="dxa"/>
                <w:bottom w:w="0" w:type="dxa"/>
                <w:right w:w="28" w:type="dxa"/>
              </w:tblCellMar>
            </w:tblPr>
            <w:tblGrid>
              <w:gridCol w:w="1201"/>
              <w:gridCol w:w="1920"/>
              <w:gridCol w:w="1339"/>
              <w:gridCol w:w="1538"/>
              <w:gridCol w:w="1674"/>
              <w:gridCol w:w="1684"/>
              <w:gridCol w:w="1331"/>
              <w:gridCol w:w="1285"/>
              <w:gridCol w:w="1008"/>
            </w:tblGrid>
            <w:tr w14:paraId="6F86542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523" w:hRule="atLeast"/>
                <w:jc w:val="center"/>
              </w:trPr>
              <w:tc>
                <w:tcPr>
                  <w:tcW w:w="462" w:type="pct"/>
                  <w:tcBorders>
                    <w:tl2br w:val="nil"/>
                    <w:tr2bl w:val="nil"/>
                  </w:tcBorders>
                  <w:vAlign w:val="center"/>
                </w:tcPr>
                <w:p w14:paraId="07D9AF3F">
                  <w:pPr>
                    <w:widowControl w:val="0"/>
                    <w:spacing w:line="240" w:lineRule="atLeast"/>
                    <w:jc w:val="center"/>
                    <w:rPr>
                      <w:rFonts w:ascii="Times New Roman" w:hAnsi="Times New Roman" w:eastAsia="宋体" w:cs="Times New Roman"/>
                      <w:b/>
                      <w:bCs/>
                      <w:color w:val="auto"/>
                      <w:sz w:val="21"/>
                      <w:szCs w:val="21"/>
                      <w:lang w:val="en-US" w:eastAsia="zh-CN" w:bidi="ar-SA"/>
                    </w:rPr>
                  </w:pPr>
                  <w:r>
                    <w:rPr>
                      <w:rFonts w:ascii="Times New Roman" w:hAnsi="Times New Roman" w:eastAsia="宋体" w:cs="Times New Roman"/>
                      <w:b/>
                      <w:bCs/>
                      <w:color w:val="auto"/>
                      <w:sz w:val="21"/>
                      <w:szCs w:val="21"/>
                      <w:lang w:val="en-US" w:eastAsia="zh-CN" w:bidi="ar-SA"/>
                    </w:rPr>
                    <w:t>编号</w:t>
                  </w:r>
                </w:p>
              </w:tc>
              <w:tc>
                <w:tcPr>
                  <w:tcW w:w="739" w:type="pct"/>
                  <w:tcBorders>
                    <w:tl2br w:val="nil"/>
                    <w:tr2bl w:val="nil"/>
                  </w:tcBorders>
                  <w:vAlign w:val="center"/>
                </w:tcPr>
                <w:p w14:paraId="329D5C42">
                  <w:pPr>
                    <w:widowControl w:val="0"/>
                    <w:spacing w:line="240" w:lineRule="atLeast"/>
                    <w:jc w:val="center"/>
                    <w:rPr>
                      <w:rFonts w:ascii="Times New Roman" w:hAnsi="Times New Roman" w:eastAsia="宋体" w:cs="Times New Roman"/>
                      <w:b/>
                      <w:bCs/>
                      <w:color w:val="auto"/>
                      <w:sz w:val="21"/>
                      <w:szCs w:val="21"/>
                      <w:lang w:val="en-US" w:eastAsia="zh-CN" w:bidi="ar-SA"/>
                    </w:rPr>
                  </w:pPr>
                  <w:r>
                    <w:rPr>
                      <w:rFonts w:hint="eastAsia" w:ascii="Times New Roman" w:hAnsi="Times New Roman" w:eastAsia="宋体" w:cs="Times New Roman"/>
                      <w:b/>
                      <w:bCs/>
                      <w:color w:val="auto"/>
                      <w:sz w:val="21"/>
                      <w:szCs w:val="21"/>
                      <w:lang w:val="en-US" w:eastAsia="zh-CN" w:bidi="ar-SA"/>
                    </w:rPr>
                    <w:t>非正常排放原因</w:t>
                  </w:r>
                </w:p>
              </w:tc>
              <w:tc>
                <w:tcPr>
                  <w:tcW w:w="515" w:type="pct"/>
                  <w:tcBorders>
                    <w:tl2br w:val="nil"/>
                    <w:tr2bl w:val="nil"/>
                  </w:tcBorders>
                  <w:vAlign w:val="center"/>
                </w:tcPr>
                <w:p w14:paraId="0936DF15">
                  <w:pPr>
                    <w:widowControl w:val="0"/>
                    <w:spacing w:line="240" w:lineRule="atLeast"/>
                    <w:jc w:val="center"/>
                    <w:rPr>
                      <w:rFonts w:ascii="Times New Roman" w:hAnsi="Times New Roman" w:eastAsia="宋体" w:cs="Times New Roman"/>
                      <w:b/>
                      <w:bCs/>
                      <w:color w:val="auto"/>
                      <w:sz w:val="21"/>
                      <w:szCs w:val="21"/>
                      <w:lang w:val="en-US" w:eastAsia="zh-CN" w:bidi="ar-SA"/>
                    </w:rPr>
                  </w:pPr>
                  <w:r>
                    <w:rPr>
                      <w:rFonts w:ascii="Times New Roman" w:hAnsi="Times New Roman" w:eastAsia="宋体" w:cs="Times New Roman"/>
                      <w:b/>
                      <w:bCs/>
                      <w:color w:val="auto"/>
                      <w:sz w:val="21"/>
                      <w:szCs w:val="21"/>
                      <w:lang w:val="en-US" w:eastAsia="zh-CN" w:bidi="ar-SA"/>
                    </w:rPr>
                    <w:t>排气量(m</w:t>
                  </w:r>
                  <w:r>
                    <w:rPr>
                      <w:rFonts w:ascii="Times New Roman" w:hAnsi="Times New Roman" w:eastAsia="宋体" w:cs="Times New Roman"/>
                      <w:b/>
                      <w:bCs/>
                      <w:color w:val="auto"/>
                      <w:sz w:val="21"/>
                      <w:szCs w:val="21"/>
                      <w:vertAlign w:val="superscript"/>
                      <w:lang w:val="en-US" w:eastAsia="zh-CN" w:bidi="ar-SA"/>
                    </w:rPr>
                    <w:t>3</w:t>
                  </w:r>
                  <w:r>
                    <w:rPr>
                      <w:rFonts w:ascii="Times New Roman" w:hAnsi="Times New Roman" w:eastAsia="宋体" w:cs="Times New Roman"/>
                      <w:b/>
                      <w:bCs/>
                      <w:color w:val="auto"/>
                      <w:sz w:val="21"/>
                      <w:szCs w:val="21"/>
                      <w:lang w:val="en-US" w:eastAsia="zh-CN" w:bidi="ar-SA"/>
                    </w:rPr>
                    <w:t>/h)</w:t>
                  </w:r>
                </w:p>
              </w:tc>
              <w:tc>
                <w:tcPr>
                  <w:tcW w:w="592" w:type="pct"/>
                  <w:tcBorders>
                    <w:tl2br w:val="nil"/>
                    <w:tr2bl w:val="nil"/>
                  </w:tcBorders>
                  <w:vAlign w:val="center"/>
                </w:tcPr>
                <w:p w14:paraId="4B629AA7">
                  <w:pPr>
                    <w:widowControl w:val="0"/>
                    <w:spacing w:line="240" w:lineRule="atLeast"/>
                    <w:jc w:val="center"/>
                    <w:rPr>
                      <w:rFonts w:ascii="Times New Roman" w:hAnsi="Times New Roman" w:eastAsia="宋体" w:cs="Times New Roman"/>
                      <w:b/>
                      <w:bCs/>
                      <w:color w:val="auto"/>
                      <w:sz w:val="21"/>
                      <w:szCs w:val="21"/>
                      <w:lang w:val="en-US" w:eastAsia="zh-CN" w:bidi="ar-SA"/>
                    </w:rPr>
                  </w:pPr>
                  <w:r>
                    <w:rPr>
                      <w:rFonts w:ascii="Times New Roman" w:hAnsi="Times New Roman" w:eastAsia="宋体" w:cs="Times New Roman"/>
                      <w:b/>
                      <w:bCs/>
                      <w:color w:val="auto"/>
                      <w:sz w:val="21"/>
                      <w:szCs w:val="21"/>
                      <w:lang w:val="en-US" w:eastAsia="zh-CN" w:bidi="ar-SA"/>
                    </w:rPr>
                    <w:t>污染物</w:t>
                  </w:r>
                </w:p>
                <w:p w14:paraId="20035D80">
                  <w:pPr>
                    <w:widowControl w:val="0"/>
                    <w:spacing w:line="240" w:lineRule="atLeast"/>
                    <w:jc w:val="center"/>
                    <w:rPr>
                      <w:rFonts w:ascii="Times New Roman" w:hAnsi="Times New Roman" w:eastAsia="宋体" w:cs="Times New Roman"/>
                      <w:b/>
                      <w:bCs/>
                      <w:color w:val="auto"/>
                      <w:sz w:val="21"/>
                      <w:szCs w:val="21"/>
                      <w:lang w:val="en-US" w:eastAsia="zh-CN" w:bidi="ar-SA"/>
                    </w:rPr>
                  </w:pPr>
                  <w:r>
                    <w:rPr>
                      <w:rFonts w:ascii="Times New Roman" w:hAnsi="Times New Roman" w:eastAsia="宋体" w:cs="Times New Roman"/>
                      <w:b/>
                      <w:bCs/>
                      <w:color w:val="auto"/>
                      <w:sz w:val="21"/>
                      <w:szCs w:val="21"/>
                      <w:lang w:val="en-US" w:eastAsia="zh-CN" w:bidi="ar-SA"/>
                    </w:rPr>
                    <w:t>名称</w:t>
                  </w:r>
                </w:p>
              </w:tc>
              <w:tc>
                <w:tcPr>
                  <w:tcW w:w="644" w:type="pct"/>
                  <w:tcBorders>
                    <w:tl2br w:val="nil"/>
                    <w:tr2bl w:val="nil"/>
                  </w:tcBorders>
                  <w:vAlign w:val="center"/>
                </w:tcPr>
                <w:p w14:paraId="18B6D530">
                  <w:pPr>
                    <w:widowControl w:val="0"/>
                    <w:spacing w:line="240" w:lineRule="atLeast"/>
                    <w:jc w:val="center"/>
                    <w:rPr>
                      <w:rFonts w:ascii="Times New Roman" w:hAnsi="Times New Roman" w:eastAsia="宋体" w:cs="Times New Roman"/>
                      <w:b/>
                      <w:bCs/>
                      <w:color w:val="auto"/>
                      <w:sz w:val="21"/>
                      <w:szCs w:val="21"/>
                      <w:lang w:val="en-US" w:eastAsia="zh-CN" w:bidi="ar-SA"/>
                    </w:rPr>
                  </w:pPr>
                  <w:r>
                    <w:rPr>
                      <w:rFonts w:hint="eastAsia" w:ascii="Times New Roman" w:hAnsi="Times New Roman" w:eastAsia="宋体" w:cs="Times New Roman"/>
                      <w:b/>
                      <w:bCs/>
                      <w:color w:val="auto"/>
                      <w:sz w:val="21"/>
                      <w:szCs w:val="21"/>
                      <w:lang w:val="en-US" w:eastAsia="zh-CN" w:bidi="ar-SA"/>
                    </w:rPr>
                    <w:t>非正常排放量(kg)</w:t>
                  </w:r>
                </w:p>
              </w:tc>
              <w:tc>
                <w:tcPr>
                  <w:tcW w:w="648" w:type="pct"/>
                  <w:tcBorders>
                    <w:tl2br w:val="nil"/>
                    <w:tr2bl w:val="nil"/>
                  </w:tcBorders>
                  <w:vAlign w:val="center"/>
                </w:tcPr>
                <w:p w14:paraId="69FED631">
                  <w:pPr>
                    <w:widowControl w:val="0"/>
                    <w:spacing w:line="240" w:lineRule="atLeast"/>
                    <w:jc w:val="center"/>
                    <w:rPr>
                      <w:rFonts w:ascii="Times New Roman" w:hAnsi="Times New Roman" w:eastAsia="宋体" w:cs="Times New Roman"/>
                      <w:b/>
                      <w:bCs/>
                      <w:color w:val="auto"/>
                      <w:sz w:val="21"/>
                      <w:szCs w:val="21"/>
                      <w:lang w:val="en-US" w:eastAsia="zh-CN" w:bidi="ar-SA"/>
                    </w:rPr>
                  </w:pPr>
                  <w:r>
                    <w:rPr>
                      <w:rFonts w:hint="eastAsia" w:ascii="Times New Roman" w:hAnsi="Times New Roman" w:eastAsia="宋体" w:cs="Times New Roman"/>
                      <w:b/>
                      <w:bCs/>
                      <w:color w:val="auto"/>
                      <w:sz w:val="21"/>
                      <w:szCs w:val="21"/>
                      <w:lang w:val="en-US" w:eastAsia="zh-CN" w:bidi="ar-SA"/>
                    </w:rPr>
                    <w:t>非正常排放速率(kg/h)</w:t>
                  </w:r>
                </w:p>
              </w:tc>
              <w:tc>
                <w:tcPr>
                  <w:tcW w:w="512" w:type="pct"/>
                  <w:tcBorders>
                    <w:tl2br w:val="nil"/>
                    <w:tr2bl w:val="nil"/>
                  </w:tcBorders>
                  <w:vAlign w:val="center"/>
                </w:tcPr>
                <w:p w14:paraId="79FC789B">
                  <w:pPr>
                    <w:widowControl w:val="0"/>
                    <w:spacing w:line="240" w:lineRule="atLeast"/>
                    <w:jc w:val="center"/>
                    <w:rPr>
                      <w:rFonts w:ascii="Times New Roman" w:hAnsi="Times New Roman" w:eastAsia="宋体" w:cs="Times New Roman"/>
                      <w:b/>
                      <w:bCs/>
                      <w:color w:val="auto"/>
                      <w:sz w:val="21"/>
                      <w:szCs w:val="21"/>
                      <w:lang w:val="en-US" w:eastAsia="zh-CN" w:bidi="ar-SA"/>
                    </w:rPr>
                  </w:pPr>
                  <w:r>
                    <w:rPr>
                      <w:rFonts w:hint="eastAsia" w:ascii="Times New Roman" w:hAnsi="Times New Roman" w:eastAsia="宋体" w:cs="Times New Roman"/>
                      <w:b/>
                      <w:bCs/>
                      <w:color w:val="auto"/>
                      <w:sz w:val="21"/>
                      <w:szCs w:val="21"/>
                      <w:lang w:val="en-US" w:eastAsia="zh-CN" w:bidi="ar-SA"/>
                    </w:rPr>
                    <w:t>非正常排放浓度(mg/m</w:t>
                  </w:r>
                  <w:r>
                    <w:rPr>
                      <w:rFonts w:hint="eastAsia" w:ascii="Times New Roman" w:hAnsi="Times New Roman" w:eastAsia="宋体" w:cs="Times New Roman"/>
                      <w:b/>
                      <w:bCs/>
                      <w:color w:val="auto"/>
                      <w:sz w:val="21"/>
                      <w:szCs w:val="21"/>
                      <w:vertAlign w:val="superscript"/>
                      <w:lang w:val="en-US" w:eastAsia="zh-CN" w:bidi="ar-SA"/>
                    </w:rPr>
                    <w:t>3</w:t>
                  </w:r>
                  <w:r>
                    <w:rPr>
                      <w:rFonts w:hint="eastAsia" w:ascii="Times New Roman" w:hAnsi="Times New Roman" w:eastAsia="宋体" w:cs="Times New Roman"/>
                      <w:b/>
                      <w:bCs/>
                      <w:color w:val="auto"/>
                      <w:sz w:val="21"/>
                      <w:szCs w:val="21"/>
                      <w:lang w:val="en-US" w:eastAsia="zh-CN" w:bidi="ar-SA"/>
                    </w:rPr>
                    <w:t>)</w:t>
                  </w:r>
                </w:p>
              </w:tc>
              <w:tc>
                <w:tcPr>
                  <w:tcW w:w="494" w:type="pct"/>
                  <w:tcBorders>
                    <w:tl2br w:val="nil"/>
                    <w:tr2bl w:val="nil"/>
                  </w:tcBorders>
                  <w:vAlign w:val="center"/>
                </w:tcPr>
                <w:p w14:paraId="7D2297ED">
                  <w:pPr>
                    <w:widowControl w:val="0"/>
                    <w:spacing w:line="240" w:lineRule="atLeast"/>
                    <w:jc w:val="center"/>
                    <w:rPr>
                      <w:rFonts w:hint="eastAsia" w:ascii="Times New Roman" w:hAnsi="Times New Roman" w:eastAsia="宋体" w:cs="Times New Roman"/>
                      <w:b/>
                      <w:bCs/>
                      <w:color w:val="auto"/>
                      <w:sz w:val="21"/>
                      <w:szCs w:val="21"/>
                      <w:lang w:val="en-US" w:eastAsia="zh-CN" w:bidi="ar-SA"/>
                    </w:rPr>
                  </w:pPr>
                  <w:r>
                    <w:rPr>
                      <w:rFonts w:hint="eastAsia" w:ascii="Times New Roman" w:hAnsi="Times New Roman" w:eastAsia="宋体" w:cs="Times New Roman"/>
                      <w:b/>
                      <w:bCs/>
                      <w:color w:val="auto"/>
                      <w:sz w:val="21"/>
                      <w:szCs w:val="21"/>
                      <w:lang w:val="en-US" w:eastAsia="zh-CN" w:bidi="ar-SA"/>
                    </w:rPr>
                    <w:t>单次持续时间(h)</w:t>
                  </w:r>
                </w:p>
              </w:tc>
              <w:tc>
                <w:tcPr>
                  <w:tcW w:w="388" w:type="pct"/>
                  <w:tcBorders>
                    <w:tl2br w:val="nil"/>
                    <w:tr2bl w:val="nil"/>
                  </w:tcBorders>
                  <w:vAlign w:val="center"/>
                </w:tcPr>
                <w:p w14:paraId="5606B9F4">
                  <w:pPr>
                    <w:widowControl w:val="0"/>
                    <w:spacing w:line="240" w:lineRule="atLeast"/>
                    <w:jc w:val="center"/>
                    <w:rPr>
                      <w:rFonts w:hint="eastAsia" w:ascii="Times New Roman" w:hAnsi="Times New Roman" w:eastAsia="宋体" w:cs="Times New Roman"/>
                      <w:b/>
                      <w:bCs/>
                      <w:color w:val="auto"/>
                      <w:sz w:val="21"/>
                      <w:szCs w:val="21"/>
                      <w:lang w:val="en-US" w:eastAsia="zh-CN" w:bidi="ar-SA"/>
                    </w:rPr>
                  </w:pPr>
                  <w:r>
                    <w:rPr>
                      <w:rFonts w:hint="eastAsia" w:ascii="Times New Roman" w:hAnsi="Times New Roman" w:eastAsia="宋体" w:cs="Times New Roman"/>
                      <w:b/>
                      <w:bCs/>
                      <w:color w:val="auto"/>
                      <w:sz w:val="21"/>
                      <w:szCs w:val="21"/>
                      <w:lang w:val="en-US" w:eastAsia="zh-CN" w:bidi="ar-SA"/>
                    </w:rPr>
                    <w:t>年发生频次(次)</w:t>
                  </w:r>
                </w:p>
              </w:tc>
            </w:tr>
            <w:tr w14:paraId="2FD2D14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234" w:hRule="atLeast"/>
                <w:jc w:val="center"/>
              </w:trPr>
              <w:tc>
                <w:tcPr>
                  <w:tcW w:w="462" w:type="pct"/>
                  <w:tcBorders>
                    <w:tl2br w:val="nil"/>
                    <w:tr2bl w:val="nil"/>
                  </w:tcBorders>
                  <w:shd w:val="clear" w:color="auto" w:fill="auto"/>
                  <w:vAlign w:val="center"/>
                </w:tcPr>
                <w:p w14:paraId="1C143A0E">
                  <w:pPr>
                    <w:keepNext w:val="0"/>
                    <w:keepLines w:val="0"/>
                    <w:pageBreakBefore w:val="0"/>
                    <w:kinsoku/>
                    <w:wordWrap/>
                    <w:overflowPunct/>
                    <w:topLinePunct w:val="0"/>
                    <w:autoSpaceDE/>
                    <w:autoSpaceDN/>
                    <w:bidi w:val="0"/>
                    <w:spacing w:line="240" w:lineRule="auto"/>
                    <w:ind w:left="0" w:leftChars="0"/>
                    <w:jc w:val="center"/>
                    <w:rPr>
                      <w:rFonts w:hint="default" w:ascii="Times New Roman" w:hAnsi="Times New Roman" w:eastAsia="宋体" w:cs="Times New Roman"/>
                      <w:color w:val="auto"/>
                      <w:kern w:val="2"/>
                      <w:sz w:val="21"/>
                      <w:szCs w:val="21"/>
                      <w:lang w:val="en-US" w:eastAsia="zh-CN" w:bidi="ar"/>
                    </w:rPr>
                  </w:pPr>
                  <w:r>
                    <w:rPr>
                      <w:rFonts w:hint="eastAsia" w:cs="Times New Roman"/>
                      <w:snapToGrid w:val="0"/>
                      <w:color w:val="auto"/>
                      <w:sz w:val="21"/>
                      <w:szCs w:val="21"/>
                      <w:lang w:val="en-US" w:eastAsia="zh-CN"/>
                    </w:rPr>
                    <w:t>DA001</w:t>
                  </w:r>
                </w:p>
              </w:tc>
              <w:tc>
                <w:tcPr>
                  <w:tcW w:w="739" w:type="pct"/>
                  <w:tcBorders>
                    <w:tl2br w:val="nil"/>
                    <w:tr2bl w:val="nil"/>
                  </w:tcBorders>
                  <w:shd w:val="clear" w:color="auto" w:fill="auto"/>
                  <w:vAlign w:val="center"/>
                </w:tcPr>
                <w:p w14:paraId="27D0485B">
                  <w:pPr>
                    <w:widowControl w:val="0"/>
                    <w:spacing w:line="240" w:lineRule="atLeast"/>
                    <w:jc w:val="center"/>
                    <w:rPr>
                      <w:rFonts w:hint="eastAsia" w:ascii="Times New Roman" w:hAnsi="Times New Roman" w:eastAsia="宋体" w:cs="Times New Roman"/>
                      <w:color w:val="auto"/>
                      <w:sz w:val="21"/>
                      <w:szCs w:val="21"/>
                      <w:lang w:val="en-US" w:eastAsia="zh-CN" w:bidi="ar-SA"/>
                    </w:rPr>
                  </w:pPr>
                  <w:r>
                    <w:rPr>
                      <w:rFonts w:hint="eastAsia" w:ascii="Times New Roman" w:hAnsi="Times New Roman" w:eastAsia="宋体" w:cs="Times New Roman"/>
                      <w:color w:val="auto"/>
                      <w:sz w:val="21"/>
                      <w:szCs w:val="21"/>
                      <w:lang w:val="en-US" w:eastAsia="zh-CN" w:bidi="ar-SA"/>
                    </w:rPr>
                    <w:t>废气处理装置处理效率降低为50%</w:t>
                  </w:r>
                </w:p>
              </w:tc>
              <w:tc>
                <w:tcPr>
                  <w:tcW w:w="515" w:type="pct"/>
                  <w:tcBorders>
                    <w:tl2br w:val="nil"/>
                    <w:tr2bl w:val="nil"/>
                  </w:tcBorders>
                  <w:shd w:val="clear" w:color="auto" w:fill="auto"/>
                  <w:vAlign w:val="center"/>
                </w:tcPr>
                <w:p w14:paraId="640C49B9">
                  <w:pPr>
                    <w:widowControl/>
                    <w:jc w:val="center"/>
                    <w:textAlignment w:val="center"/>
                    <w:rPr>
                      <w:rFonts w:hint="default"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bidi="ar-SA"/>
                    </w:rPr>
                    <w:t>1500</w:t>
                  </w:r>
                </w:p>
              </w:tc>
              <w:tc>
                <w:tcPr>
                  <w:tcW w:w="592" w:type="pct"/>
                  <w:tcBorders>
                    <w:tl2br w:val="nil"/>
                    <w:tr2bl w:val="nil"/>
                  </w:tcBorders>
                  <w:shd w:val="clear" w:color="auto" w:fill="auto"/>
                  <w:vAlign w:val="center"/>
                </w:tcPr>
                <w:p w14:paraId="7B4A87AD">
                  <w:pPr>
                    <w:jc w:val="center"/>
                    <w:rPr>
                      <w:rFonts w:hint="default" w:ascii="Times New Roman" w:hAnsi="Times New Roman" w:eastAsia="宋体" w:cs="Times New Roman"/>
                      <w:color w:val="auto"/>
                      <w:kern w:val="2"/>
                      <w:sz w:val="21"/>
                      <w:szCs w:val="21"/>
                      <w:lang w:val="en-US" w:eastAsia="zh-CN" w:bidi="ar"/>
                    </w:rPr>
                  </w:pPr>
                  <w:r>
                    <w:rPr>
                      <w:rFonts w:hint="eastAsia" w:ascii="Times New Roman" w:hAnsi="Times New Roman" w:eastAsia="宋体" w:cs="Times New Roman"/>
                      <w:color w:val="auto"/>
                      <w:kern w:val="2"/>
                      <w:sz w:val="21"/>
                      <w:szCs w:val="21"/>
                      <w:lang w:val="en-US" w:eastAsia="zh-CN" w:bidi="ar-SA"/>
                    </w:rPr>
                    <w:t>颗粒物</w:t>
                  </w:r>
                </w:p>
              </w:tc>
              <w:tc>
                <w:tcPr>
                  <w:tcW w:w="644" w:type="pct"/>
                  <w:tcBorders>
                    <w:tl2br w:val="nil"/>
                    <w:tr2bl w:val="nil"/>
                  </w:tcBorders>
                  <w:shd w:val="clear" w:color="auto" w:fill="auto"/>
                  <w:vAlign w:val="center"/>
                </w:tcPr>
                <w:p w14:paraId="5802AAC3">
                  <w:pPr>
                    <w:keepNext w:val="0"/>
                    <w:keepLines w:val="0"/>
                    <w:widowControl/>
                    <w:suppressLineNumbers w:val="0"/>
                    <w:jc w:val="center"/>
                    <w:textAlignment w:val="center"/>
                    <w:rPr>
                      <w:rFonts w:hint="default" w:ascii="Times New Roman" w:hAnsi="Times New Roman" w:eastAsia="宋体" w:cs="Times New Roman"/>
                      <w:color w:val="auto"/>
                      <w:kern w:val="2"/>
                      <w:sz w:val="21"/>
                      <w:szCs w:val="21"/>
                      <w:lang w:val="en-US" w:eastAsia="zh-CN" w:bidi="ar"/>
                    </w:rPr>
                  </w:pPr>
                  <w:r>
                    <w:rPr>
                      <w:rFonts w:hint="eastAsia" w:cs="Times New Roman"/>
                      <w:color w:val="auto"/>
                      <w:kern w:val="2"/>
                      <w:sz w:val="21"/>
                      <w:szCs w:val="21"/>
                      <w:lang w:val="en-US" w:eastAsia="zh-CN"/>
                    </w:rPr>
                    <w:t>0.0304</w:t>
                  </w:r>
                </w:p>
              </w:tc>
              <w:tc>
                <w:tcPr>
                  <w:tcW w:w="648" w:type="pct"/>
                  <w:tcBorders>
                    <w:tl2br w:val="nil"/>
                    <w:tr2bl w:val="nil"/>
                  </w:tcBorders>
                  <w:vAlign w:val="center"/>
                </w:tcPr>
                <w:p w14:paraId="588AC9AE">
                  <w:pPr>
                    <w:keepNext w:val="0"/>
                    <w:keepLines w:val="0"/>
                    <w:widowControl/>
                    <w:suppressLineNumbers w:val="0"/>
                    <w:jc w:val="center"/>
                    <w:textAlignment w:val="center"/>
                    <w:rPr>
                      <w:rFonts w:hint="default" w:ascii="Times New Roman" w:hAnsi="Times New Roman" w:eastAsia="宋体" w:cs="Times New Roman"/>
                      <w:color w:val="auto"/>
                      <w:kern w:val="2"/>
                      <w:sz w:val="21"/>
                      <w:szCs w:val="21"/>
                      <w:lang w:val="en-US" w:eastAsia="zh-CN"/>
                    </w:rPr>
                  </w:pPr>
                  <w:r>
                    <w:rPr>
                      <w:rFonts w:hint="eastAsia" w:cs="Times New Roman"/>
                      <w:color w:val="auto"/>
                      <w:kern w:val="2"/>
                      <w:sz w:val="21"/>
                      <w:szCs w:val="21"/>
                      <w:lang w:val="en-US" w:eastAsia="zh-CN"/>
                    </w:rPr>
                    <w:t>0.0304</w:t>
                  </w:r>
                </w:p>
              </w:tc>
              <w:tc>
                <w:tcPr>
                  <w:tcW w:w="512" w:type="pct"/>
                  <w:tcBorders>
                    <w:tl2br w:val="nil"/>
                    <w:tr2bl w:val="nil"/>
                  </w:tcBorders>
                  <w:vAlign w:val="center"/>
                </w:tcPr>
                <w:p w14:paraId="286FE2A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20.27</w:t>
                  </w:r>
                </w:p>
              </w:tc>
              <w:tc>
                <w:tcPr>
                  <w:tcW w:w="494" w:type="pct"/>
                  <w:tcBorders>
                    <w:tl2br w:val="nil"/>
                    <w:tr2bl w:val="nil"/>
                  </w:tcBorders>
                  <w:vAlign w:val="center"/>
                </w:tcPr>
                <w:p w14:paraId="28D56E0D">
                  <w:pPr>
                    <w:widowControl w:val="0"/>
                    <w:spacing w:line="240" w:lineRule="atLeast"/>
                    <w:jc w:val="center"/>
                    <w:rPr>
                      <w:rFonts w:hint="default" w:ascii="Times New Roman" w:hAnsi="Times New Roman" w:eastAsia="宋体" w:cs="Times New Roman"/>
                      <w:color w:val="auto"/>
                      <w:sz w:val="21"/>
                      <w:szCs w:val="21"/>
                      <w:lang w:val="en-US" w:eastAsia="zh-CN" w:bidi="ar-SA"/>
                    </w:rPr>
                  </w:pPr>
                  <w:r>
                    <w:rPr>
                      <w:rFonts w:hint="eastAsia" w:ascii="Times New Roman" w:hAnsi="Times New Roman" w:eastAsia="宋体" w:cs="Times New Roman"/>
                      <w:color w:val="auto"/>
                      <w:sz w:val="21"/>
                      <w:szCs w:val="21"/>
                      <w:lang w:val="en-US" w:eastAsia="zh-CN" w:bidi="ar-SA"/>
                    </w:rPr>
                    <w:t>1</w:t>
                  </w:r>
                </w:p>
              </w:tc>
              <w:tc>
                <w:tcPr>
                  <w:tcW w:w="388" w:type="pct"/>
                  <w:tcBorders>
                    <w:tl2br w:val="nil"/>
                    <w:tr2bl w:val="nil"/>
                  </w:tcBorders>
                  <w:vAlign w:val="center"/>
                </w:tcPr>
                <w:p w14:paraId="35F0ED39">
                  <w:pPr>
                    <w:widowControl w:val="0"/>
                    <w:spacing w:line="240" w:lineRule="atLeast"/>
                    <w:jc w:val="center"/>
                    <w:rPr>
                      <w:rFonts w:ascii="Times New Roman" w:hAnsi="Times New Roman" w:eastAsia="宋体" w:cs="Times New Roman"/>
                      <w:color w:val="auto"/>
                      <w:sz w:val="21"/>
                      <w:szCs w:val="21"/>
                      <w:lang w:val="en-US" w:eastAsia="zh-CN" w:bidi="ar-SA"/>
                    </w:rPr>
                  </w:pPr>
                  <w:r>
                    <w:rPr>
                      <w:rFonts w:hint="eastAsia" w:ascii="Times New Roman" w:hAnsi="Times New Roman" w:eastAsia="宋体" w:cs="Times New Roman"/>
                      <w:color w:val="auto"/>
                      <w:sz w:val="21"/>
                      <w:szCs w:val="21"/>
                      <w:lang w:val="en-US" w:eastAsia="zh-CN" w:bidi="ar-SA"/>
                    </w:rPr>
                    <w:t>0-1</w:t>
                  </w:r>
                </w:p>
              </w:tc>
            </w:tr>
          </w:tbl>
          <w:p w14:paraId="5EB2C80D">
            <w:pPr>
              <w:spacing w:before="120" w:beforeLines="50" w:line="360" w:lineRule="auto"/>
              <w:ind w:firstLine="480" w:firstLineChars="200"/>
              <w:rPr>
                <w:rFonts w:ascii="宋体" w:hAnsi="宋体" w:cs="宋体"/>
                <w:color w:val="auto"/>
                <w:sz w:val="24"/>
                <w:szCs w:val="24"/>
              </w:rPr>
            </w:pPr>
            <w:r>
              <w:rPr>
                <w:rFonts w:hint="eastAsia" w:ascii="宋体" w:hAnsi="宋体" w:cs="宋体"/>
                <w:color w:val="auto"/>
                <w:sz w:val="24"/>
                <w:szCs w:val="24"/>
              </w:rPr>
              <w:t>为杜绝</w:t>
            </w:r>
            <w:r>
              <w:rPr>
                <w:rFonts w:hint="eastAsia" w:ascii="宋体" w:hAnsi="宋体" w:cs="宋体"/>
                <w:color w:val="auto"/>
                <w:sz w:val="24"/>
                <w:szCs w:val="24"/>
                <w:lang w:val="en-US" w:eastAsia="zh-CN"/>
              </w:rPr>
              <w:t>废气</w:t>
            </w:r>
            <w:r>
              <w:rPr>
                <w:rFonts w:hint="eastAsia" w:ascii="宋体" w:hAnsi="宋体" w:cs="宋体"/>
                <w:color w:val="auto"/>
                <w:sz w:val="24"/>
                <w:szCs w:val="24"/>
              </w:rPr>
              <w:t>非正常排放</w:t>
            </w:r>
            <w:r>
              <w:rPr>
                <w:rFonts w:hint="eastAsia" w:ascii="宋体" w:hAnsi="宋体" w:cs="宋体"/>
                <w:color w:val="auto"/>
                <w:sz w:val="24"/>
                <w:szCs w:val="24"/>
                <w:lang w:val="en-US" w:eastAsia="zh-CN"/>
              </w:rPr>
              <w:t>事故</w:t>
            </w:r>
            <w:r>
              <w:rPr>
                <w:rFonts w:hint="eastAsia" w:ascii="宋体" w:hAnsi="宋体" w:cs="宋体"/>
                <w:color w:val="auto"/>
                <w:sz w:val="24"/>
                <w:szCs w:val="24"/>
              </w:rPr>
              <w:t>，</w:t>
            </w:r>
            <w:r>
              <w:rPr>
                <w:rFonts w:ascii="宋体" w:hAnsi="宋体" w:cs="宋体"/>
                <w:color w:val="auto"/>
                <w:sz w:val="24"/>
                <w:szCs w:val="24"/>
              </w:rPr>
              <w:t>企业必须做好污染治理设施的日常维护与检查，避免非正常排放的发生，定期进行污染排放监测，确保设施长期稳定正常运行。日常工作中，建议建设单位做好以下防范工作：</w:t>
            </w:r>
          </w:p>
          <w:p w14:paraId="33536066">
            <w:pPr>
              <w:spacing w:line="360" w:lineRule="auto"/>
              <w:ind w:firstLine="480" w:firstLineChars="200"/>
              <w:rPr>
                <w:rFonts w:ascii="宋体" w:hAnsi="宋体" w:cs="宋体"/>
                <w:color w:val="auto"/>
                <w:sz w:val="24"/>
                <w:szCs w:val="24"/>
              </w:rPr>
            </w:pPr>
            <w:r>
              <w:rPr>
                <w:rFonts w:ascii="宋体" w:hAnsi="宋体" w:cs="宋体"/>
                <w:color w:val="auto"/>
                <w:sz w:val="24"/>
                <w:szCs w:val="24"/>
              </w:rPr>
              <w:t>①平时注意废气处理设施的维护，及时发现处理设备的隐患，确保废气处理系统正常运行；开、停、检修要有预案，有严密周全的计划，避免非正常排放，使影响降到最小。</w:t>
            </w:r>
          </w:p>
          <w:p w14:paraId="1DD1BA94">
            <w:pPr>
              <w:spacing w:line="360" w:lineRule="auto"/>
              <w:ind w:firstLine="480" w:firstLineChars="200"/>
              <w:rPr>
                <w:rFonts w:ascii="宋体" w:hAnsi="宋体" w:cs="宋体"/>
                <w:color w:val="auto"/>
                <w:sz w:val="24"/>
                <w:szCs w:val="24"/>
              </w:rPr>
            </w:pPr>
            <w:r>
              <w:rPr>
                <w:rFonts w:ascii="宋体" w:hAnsi="宋体" w:cs="宋体"/>
                <w:color w:val="auto"/>
                <w:sz w:val="24"/>
                <w:szCs w:val="24"/>
              </w:rPr>
              <w:t>②</w:t>
            </w:r>
            <w:r>
              <w:rPr>
                <w:rFonts w:hint="eastAsia" w:ascii="宋体" w:hAnsi="宋体" w:cs="宋体"/>
                <w:color w:val="auto"/>
                <w:sz w:val="24"/>
                <w:szCs w:val="24"/>
              </w:rPr>
              <w:t>具有使用周期的环保设施应按时、足量进行更换，并做好台账记录。</w:t>
            </w:r>
          </w:p>
          <w:p w14:paraId="3DC25F69">
            <w:pPr>
              <w:spacing w:line="360" w:lineRule="auto"/>
              <w:ind w:firstLine="480" w:firstLineChars="200"/>
              <w:rPr>
                <w:rFonts w:ascii="宋体" w:hAnsi="宋体" w:cs="宋体"/>
                <w:color w:val="auto"/>
                <w:sz w:val="24"/>
                <w:szCs w:val="24"/>
              </w:rPr>
            </w:pPr>
            <w:r>
              <w:rPr>
                <w:rFonts w:ascii="宋体" w:hAnsi="宋体" w:cs="宋体"/>
                <w:color w:val="auto"/>
                <w:sz w:val="24"/>
                <w:szCs w:val="24"/>
              </w:rPr>
              <w:t>③应设有备用电源和备用处理设备和零件，以备停电或设备出现故障时保障及时更换使废气全部做到达标排放。</w:t>
            </w:r>
          </w:p>
          <w:p w14:paraId="238C9ACF">
            <w:pPr>
              <w:spacing w:line="360" w:lineRule="auto"/>
              <w:ind w:firstLine="480" w:firstLineChars="200"/>
              <w:rPr>
                <w:rFonts w:hint="eastAsia"/>
                <w:color w:val="auto"/>
                <w:sz w:val="24"/>
                <w:szCs w:val="24"/>
              </w:rPr>
            </w:pPr>
            <w:r>
              <w:rPr>
                <w:rFonts w:ascii="宋体" w:hAnsi="宋体" w:cs="宋体"/>
                <w:color w:val="auto"/>
                <w:sz w:val="24"/>
                <w:szCs w:val="24"/>
              </w:rPr>
              <w:t>④对员工进行岗位培训。做好值班记录，实行岗位责任制</w:t>
            </w:r>
            <w:r>
              <w:rPr>
                <w:rFonts w:hint="eastAsia"/>
                <w:color w:val="auto"/>
                <w:sz w:val="24"/>
                <w:szCs w:val="24"/>
              </w:rPr>
              <w:t>。</w:t>
            </w:r>
          </w:p>
          <w:p w14:paraId="63B848DB">
            <w:pPr>
              <w:spacing w:line="360" w:lineRule="auto"/>
              <w:ind w:firstLine="482" w:firstLineChars="200"/>
              <w:rPr>
                <w:rFonts w:hint="default" w:ascii="Times New Roman" w:hAnsi="Times New Roman" w:eastAsia="宋体" w:cs="Times New Roman"/>
                <w:b/>
                <w:bCs/>
                <w:color w:val="auto"/>
                <w:sz w:val="24"/>
                <w:szCs w:val="24"/>
                <w:lang w:bidi="ar-SA"/>
              </w:rPr>
            </w:pPr>
            <w:r>
              <w:rPr>
                <w:rFonts w:hint="eastAsia" w:ascii="Times New Roman" w:hAnsi="Times New Roman" w:eastAsia="宋体" w:cs="Times New Roman"/>
                <w:b/>
                <w:bCs/>
                <w:color w:val="auto"/>
                <w:sz w:val="24"/>
                <w:szCs w:val="24"/>
                <w:lang w:bidi="ar-SA"/>
              </w:rPr>
              <w:t>1.3恶臭影响分析</w:t>
            </w:r>
          </w:p>
          <w:p w14:paraId="6E8B0158">
            <w:pPr>
              <w:spacing w:line="360" w:lineRule="auto"/>
              <w:ind w:firstLine="480" w:firstLineChars="200"/>
              <w:rPr>
                <w:rFonts w:hint="default" w:ascii="Times New Roman" w:hAnsi="Times New Roman" w:eastAsia="宋体" w:cs="Times New Roman"/>
                <w:color w:val="auto"/>
                <w:sz w:val="24"/>
                <w:szCs w:val="24"/>
                <w:lang w:bidi="ar-SA"/>
              </w:rPr>
            </w:pPr>
            <w:r>
              <w:rPr>
                <w:rFonts w:hint="eastAsia" w:ascii="Times New Roman" w:hAnsi="Times New Roman" w:eastAsia="宋体" w:cs="Times New Roman"/>
                <w:color w:val="auto"/>
                <w:sz w:val="24"/>
                <w:szCs w:val="24"/>
                <w:lang w:bidi="ar-SA"/>
              </w:rPr>
              <w:t>a.恶臭强度等级</w:t>
            </w:r>
          </w:p>
          <w:p w14:paraId="62EEB659">
            <w:pPr>
              <w:spacing w:line="360" w:lineRule="auto"/>
              <w:ind w:firstLine="480" w:firstLineChars="200"/>
              <w:rPr>
                <w:rFonts w:hint="default" w:ascii="Times New Roman" w:hAnsi="Times New Roman" w:eastAsia="宋体" w:cs="Times New Roman"/>
                <w:color w:val="auto"/>
                <w:sz w:val="24"/>
                <w:szCs w:val="24"/>
                <w:lang w:bidi="ar-SA"/>
              </w:rPr>
            </w:pPr>
            <w:r>
              <w:rPr>
                <w:rFonts w:hint="eastAsia" w:ascii="Times New Roman" w:hAnsi="Times New Roman" w:eastAsia="宋体" w:cs="Times New Roman"/>
                <w:color w:val="auto"/>
                <w:sz w:val="24"/>
                <w:szCs w:val="24"/>
                <w:lang w:bidi="ar-SA"/>
              </w:rPr>
              <w:t>臭气浓度与臭气强度是表征异味污染对人的嗅觉刺激程度的两种常</w:t>
            </w:r>
            <w:r>
              <w:rPr>
                <w:rFonts w:hint="default" w:ascii="Times New Roman" w:hAnsi="Times New Roman" w:eastAsia="宋体" w:cs="Times New Roman"/>
                <w:color w:val="auto"/>
                <w:sz w:val="24"/>
                <w:szCs w:val="24"/>
                <w:lang w:bidi="ar-SA"/>
              </w:rPr>
              <w:t>用指标。臭气浓度是指用无臭的清洁空气稀释异味样品直至样品无味时所需的稀释倍数，我国《恶臭污染物排放标准》（GB14554-93）中对混合异味物质的臭气浓度排放阈值进行了限定；臭气强度是指异味气体在未经稀释的情况下对人体嗅觉器官的刺激程度，通常以数字的形式表示，可以简单、直观地反映异味污染的程度。因国家、地区的不同，臭气强度的分级方法也有所不同，美国纳得提出从“无气味”到臭气强度极强分为五级，具体分法见表4-</w:t>
            </w:r>
            <w:r>
              <w:rPr>
                <w:rFonts w:hint="eastAsia" w:cs="Times New Roman"/>
                <w:color w:val="auto"/>
                <w:sz w:val="24"/>
                <w:szCs w:val="24"/>
                <w:lang w:val="en-US" w:eastAsia="zh-CN" w:bidi="ar-SA"/>
              </w:rPr>
              <w:t>5</w:t>
            </w:r>
            <w:r>
              <w:rPr>
                <w:rFonts w:hint="default" w:ascii="Times New Roman" w:hAnsi="Times New Roman" w:eastAsia="宋体" w:cs="Times New Roman"/>
                <w:color w:val="auto"/>
                <w:sz w:val="24"/>
                <w:szCs w:val="24"/>
                <w:lang w:bidi="ar-SA"/>
              </w:rPr>
              <w:t>。</w:t>
            </w:r>
          </w:p>
          <w:p w14:paraId="17239D58">
            <w:pPr>
              <w:ind w:firstLine="482" w:firstLineChars="200"/>
              <w:jc w:val="center"/>
              <w:rPr>
                <w:rFonts w:hint="default" w:ascii="Times New Roman" w:hAnsi="Times New Roman" w:eastAsia="宋体" w:cs="Times New Roman"/>
                <w:b/>
                <w:bCs/>
                <w:color w:val="auto"/>
                <w:kern w:val="44"/>
                <w:sz w:val="24"/>
                <w:szCs w:val="24"/>
                <w:lang w:bidi="ar-SA"/>
              </w:rPr>
            </w:pPr>
            <w:r>
              <w:rPr>
                <w:rFonts w:hint="eastAsia" w:ascii="Times New Roman" w:hAnsi="Times New Roman" w:eastAsia="宋体" w:cs="Times New Roman"/>
                <w:b/>
                <w:bCs/>
                <w:color w:val="auto"/>
                <w:kern w:val="44"/>
                <w:sz w:val="24"/>
                <w:szCs w:val="24"/>
                <w:lang w:bidi="ar-SA"/>
              </w:rPr>
              <w:t>表4-</w:t>
            </w:r>
            <w:r>
              <w:rPr>
                <w:rFonts w:hint="eastAsia" w:cs="Times New Roman"/>
                <w:b/>
                <w:bCs/>
                <w:color w:val="auto"/>
                <w:kern w:val="44"/>
                <w:sz w:val="24"/>
                <w:szCs w:val="24"/>
                <w:lang w:val="en-US" w:eastAsia="zh-CN" w:bidi="ar-SA"/>
              </w:rPr>
              <w:t>6</w:t>
            </w:r>
            <w:r>
              <w:rPr>
                <w:rFonts w:hint="eastAsia" w:ascii="Times New Roman" w:hAnsi="Times New Roman" w:eastAsia="宋体" w:cs="Times New Roman"/>
                <w:b/>
                <w:bCs/>
                <w:color w:val="auto"/>
                <w:kern w:val="44"/>
                <w:sz w:val="24"/>
                <w:szCs w:val="24"/>
                <w:lang w:bidi="ar-SA"/>
              </w:rPr>
              <w:t xml:space="preserve"> 恶臭强度分级</w:t>
            </w:r>
          </w:p>
          <w:tbl>
            <w:tblPr>
              <w:tblStyle w:val="26"/>
              <w:tblW w:w="4985"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3956"/>
              <w:gridCol w:w="4572"/>
              <w:gridCol w:w="4389"/>
            </w:tblGrid>
            <w:tr w14:paraId="05853CF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tblHeader/>
                <w:jc w:val="center"/>
              </w:trPr>
              <w:tc>
                <w:tcPr>
                  <w:tcW w:w="2492" w:type="dxa"/>
                  <w:tcBorders>
                    <w:tl2br w:val="nil"/>
                    <w:tr2bl w:val="nil"/>
                  </w:tcBorders>
                  <w:vAlign w:val="center"/>
                </w:tcPr>
                <w:p w14:paraId="27068338">
                  <w:pPr>
                    <w:keepNext/>
                    <w:keepLines/>
                    <w:widowControl w:val="0"/>
                    <w:adjustRightInd w:val="0"/>
                    <w:snapToGrid w:val="0"/>
                    <w:spacing w:before="0" w:after="0" w:line="240" w:lineRule="auto"/>
                    <w:jc w:val="center"/>
                    <w:outlineLvl w:val="2"/>
                    <w:rPr>
                      <w:rFonts w:ascii="Times New Roman" w:hAnsi="Times New Roman" w:eastAsia="宋体" w:cs="Times New Roman"/>
                      <w:b/>
                      <w:bCs w:val="0"/>
                      <w:color w:val="auto"/>
                      <w:kern w:val="2"/>
                      <w:sz w:val="21"/>
                      <w:szCs w:val="21"/>
                      <w:lang w:val="en-US" w:eastAsia="zh-CN" w:bidi="ar-SA"/>
                    </w:rPr>
                  </w:pPr>
                  <w:r>
                    <w:rPr>
                      <w:rFonts w:ascii="Times New Roman" w:hAnsi="Times New Roman" w:eastAsia="宋体" w:cs="Times New Roman"/>
                      <w:b/>
                      <w:bCs w:val="0"/>
                      <w:color w:val="auto"/>
                      <w:kern w:val="2"/>
                      <w:sz w:val="21"/>
                      <w:szCs w:val="21"/>
                      <w:lang w:val="en-US" w:eastAsia="zh-CN" w:bidi="ar-SA"/>
                    </w:rPr>
                    <w:t>臭气强度分级</w:t>
                  </w:r>
                </w:p>
              </w:tc>
              <w:tc>
                <w:tcPr>
                  <w:tcW w:w="2880" w:type="dxa"/>
                  <w:tcBorders>
                    <w:tl2br w:val="nil"/>
                    <w:tr2bl w:val="nil"/>
                  </w:tcBorders>
                  <w:vAlign w:val="center"/>
                </w:tcPr>
                <w:p w14:paraId="255E2032">
                  <w:pPr>
                    <w:keepNext/>
                    <w:keepLines/>
                    <w:widowControl w:val="0"/>
                    <w:adjustRightInd w:val="0"/>
                    <w:snapToGrid w:val="0"/>
                    <w:spacing w:before="0" w:after="0" w:line="240" w:lineRule="auto"/>
                    <w:jc w:val="center"/>
                    <w:outlineLvl w:val="2"/>
                    <w:rPr>
                      <w:rFonts w:ascii="Times New Roman" w:hAnsi="Times New Roman" w:eastAsia="宋体" w:cs="Times New Roman"/>
                      <w:b/>
                      <w:bCs w:val="0"/>
                      <w:color w:val="auto"/>
                      <w:kern w:val="2"/>
                      <w:sz w:val="21"/>
                      <w:szCs w:val="21"/>
                      <w:lang w:val="en-US" w:eastAsia="zh-CN" w:bidi="ar-SA"/>
                    </w:rPr>
                  </w:pPr>
                  <w:r>
                    <w:rPr>
                      <w:rFonts w:ascii="Times New Roman" w:hAnsi="Times New Roman" w:eastAsia="宋体" w:cs="Times New Roman"/>
                      <w:b/>
                      <w:bCs w:val="0"/>
                      <w:color w:val="auto"/>
                      <w:kern w:val="2"/>
                      <w:sz w:val="21"/>
                      <w:szCs w:val="21"/>
                      <w:lang w:val="en-US" w:eastAsia="zh-CN" w:bidi="ar-SA"/>
                    </w:rPr>
                    <w:t>臭气感觉程度</w:t>
                  </w:r>
                </w:p>
              </w:tc>
              <w:tc>
                <w:tcPr>
                  <w:tcW w:w="2765" w:type="dxa"/>
                  <w:tcBorders>
                    <w:tl2br w:val="nil"/>
                    <w:tr2bl w:val="nil"/>
                  </w:tcBorders>
                  <w:vAlign w:val="center"/>
                </w:tcPr>
                <w:p w14:paraId="67341C52">
                  <w:pPr>
                    <w:keepNext/>
                    <w:keepLines/>
                    <w:widowControl w:val="0"/>
                    <w:adjustRightInd w:val="0"/>
                    <w:snapToGrid w:val="0"/>
                    <w:spacing w:before="0" w:after="0" w:line="240" w:lineRule="auto"/>
                    <w:jc w:val="center"/>
                    <w:outlineLvl w:val="2"/>
                    <w:rPr>
                      <w:rFonts w:ascii="Times New Roman" w:hAnsi="Times New Roman" w:eastAsia="宋体" w:cs="Times New Roman"/>
                      <w:b/>
                      <w:bCs w:val="0"/>
                      <w:color w:val="auto"/>
                      <w:kern w:val="2"/>
                      <w:sz w:val="21"/>
                      <w:szCs w:val="21"/>
                      <w:lang w:val="en-US" w:eastAsia="zh-CN" w:bidi="ar-SA"/>
                    </w:rPr>
                  </w:pPr>
                  <w:r>
                    <w:rPr>
                      <w:rFonts w:ascii="Times New Roman" w:hAnsi="Times New Roman" w:eastAsia="宋体" w:cs="Times New Roman"/>
                      <w:b/>
                      <w:bCs w:val="0"/>
                      <w:color w:val="auto"/>
                      <w:kern w:val="2"/>
                      <w:sz w:val="21"/>
                      <w:szCs w:val="21"/>
                      <w:lang w:val="en-US" w:eastAsia="zh-CN" w:bidi="ar-SA"/>
                    </w:rPr>
                    <w:t>污染程度</w:t>
                  </w:r>
                </w:p>
              </w:tc>
            </w:tr>
            <w:tr w14:paraId="156CCCE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tblHeader/>
                <w:jc w:val="center"/>
              </w:trPr>
              <w:tc>
                <w:tcPr>
                  <w:tcW w:w="2492" w:type="dxa"/>
                  <w:tcBorders>
                    <w:tl2br w:val="nil"/>
                    <w:tr2bl w:val="nil"/>
                  </w:tcBorders>
                  <w:vAlign w:val="center"/>
                </w:tcPr>
                <w:p w14:paraId="6D6B7B85">
                  <w:pPr>
                    <w:keepNext/>
                    <w:keepLines/>
                    <w:widowControl w:val="0"/>
                    <w:adjustRightInd w:val="0"/>
                    <w:snapToGrid w:val="0"/>
                    <w:spacing w:before="0" w:after="0" w:line="240" w:lineRule="auto"/>
                    <w:jc w:val="center"/>
                    <w:outlineLvl w:val="2"/>
                    <w:rPr>
                      <w:rFonts w:ascii="Times New Roman" w:hAnsi="Times New Roman" w:eastAsia="宋体" w:cs="Times New Roman"/>
                      <w:b w:val="0"/>
                      <w:bCs/>
                      <w:color w:val="auto"/>
                      <w:kern w:val="2"/>
                      <w:sz w:val="21"/>
                      <w:szCs w:val="21"/>
                      <w:lang w:val="en-US" w:eastAsia="zh-CN" w:bidi="ar-SA"/>
                    </w:rPr>
                  </w:pPr>
                  <w:r>
                    <w:rPr>
                      <w:rFonts w:ascii="Times New Roman" w:hAnsi="Times New Roman" w:eastAsia="宋体" w:cs="Times New Roman"/>
                      <w:b w:val="0"/>
                      <w:bCs/>
                      <w:color w:val="auto"/>
                      <w:kern w:val="2"/>
                      <w:sz w:val="21"/>
                      <w:szCs w:val="21"/>
                      <w:lang w:val="en-US" w:eastAsia="zh-CN" w:bidi="ar-SA"/>
                    </w:rPr>
                    <w:t>0</w:t>
                  </w:r>
                </w:p>
              </w:tc>
              <w:tc>
                <w:tcPr>
                  <w:tcW w:w="2880" w:type="dxa"/>
                  <w:tcBorders>
                    <w:tl2br w:val="nil"/>
                    <w:tr2bl w:val="nil"/>
                  </w:tcBorders>
                  <w:vAlign w:val="center"/>
                </w:tcPr>
                <w:p w14:paraId="68C1CE1F">
                  <w:pPr>
                    <w:keepNext/>
                    <w:keepLines/>
                    <w:widowControl w:val="0"/>
                    <w:adjustRightInd w:val="0"/>
                    <w:snapToGrid w:val="0"/>
                    <w:spacing w:before="0" w:after="0" w:line="240" w:lineRule="auto"/>
                    <w:jc w:val="center"/>
                    <w:outlineLvl w:val="2"/>
                    <w:rPr>
                      <w:rFonts w:ascii="Times New Roman" w:hAnsi="Times New Roman" w:eastAsia="宋体" w:cs="Times New Roman"/>
                      <w:b w:val="0"/>
                      <w:bCs/>
                      <w:color w:val="auto"/>
                      <w:kern w:val="2"/>
                      <w:sz w:val="21"/>
                      <w:szCs w:val="21"/>
                      <w:lang w:val="en-US" w:eastAsia="zh-CN" w:bidi="ar-SA"/>
                    </w:rPr>
                  </w:pPr>
                  <w:r>
                    <w:rPr>
                      <w:rFonts w:ascii="Times New Roman" w:hAnsi="Times New Roman" w:eastAsia="宋体" w:cs="Times New Roman"/>
                      <w:b w:val="0"/>
                      <w:bCs/>
                      <w:color w:val="auto"/>
                      <w:kern w:val="2"/>
                      <w:sz w:val="21"/>
                      <w:szCs w:val="21"/>
                      <w:lang w:val="en-US" w:eastAsia="zh-CN" w:bidi="ar-SA"/>
                    </w:rPr>
                    <w:t>无气味</w:t>
                  </w:r>
                </w:p>
              </w:tc>
              <w:tc>
                <w:tcPr>
                  <w:tcW w:w="2765" w:type="dxa"/>
                  <w:tcBorders>
                    <w:tl2br w:val="nil"/>
                    <w:tr2bl w:val="nil"/>
                  </w:tcBorders>
                  <w:vAlign w:val="center"/>
                </w:tcPr>
                <w:p w14:paraId="70F0FBBF">
                  <w:pPr>
                    <w:keepNext/>
                    <w:keepLines/>
                    <w:widowControl w:val="0"/>
                    <w:adjustRightInd w:val="0"/>
                    <w:snapToGrid w:val="0"/>
                    <w:spacing w:before="0" w:after="0" w:line="240" w:lineRule="auto"/>
                    <w:jc w:val="center"/>
                    <w:outlineLvl w:val="2"/>
                    <w:rPr>
                      <w:rFonts w:ascii="Times New Roman" w:hAnsi="Times New Roman" w:eastAsia="宋体" w:cs="Times New Roman"/>
                      <w:b w:val="0"/>
                      <w:bCs/>
                      <w:color w:val="auto"/>
                      <w:kern w:val="2"/>
                      <w:sz w:val="21"/>
                      <w:szCs w:val="21"/>
                      <w:lang w:val="en-US" w:eastAsia="zh-CN" w:bidi="ar-SA"/>
                    </w:rPr>
                  </w:pPr>
                  <w:r>
                    <w:rPr>
                      <w:rFonts w:ascii="Times New Roman" w:hAnsi="Times New Roman" w:eastAsia="宋体" w:cs="Times New Roman"/>
                      <w:b w:val="0"/>
                      <w:bCs/>
                      <w:color w:val="auto"/>
                      <w:kern w:val="2"/>
                      <w:sz w:val="21"/>
                      <w:szCs w:val="21"/>
                      <w:lang w:val="en-US" w:eastAsia="zh-CN" w:bidi="ar-SA"/>
                    </w:rPr>
                    <w:t>无污染</w:t>
                  </w:r>
                </w:p>
              </w:tc>
            </w:tr>
            <w:tr w14:paraId="0C9509C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tblHeader/>
                <w:jc w:val="center"/>
              </w:trPr>
              <w:tc>
                <w:tcPr>
                  <w:tcW w:w="2492" w:type="dxa"/>
                  <w:tcBorders>
                    <w:tl2br w:val="nil"/>
                    <w:tr2bl w:val="nil"/>
                  </w:tcBorders>
                  <w:vAlign w:val="center"/>
                </w:tcPr>
                <w:p w14:paraId="6B498CD0">
                  <w:pPr>
                    <w:keepNext/>
                    <w:keepLines/>
                    <w:widowControl w:val="0"/>
                    <w:adjustRightInd w:val="0"/>
                    <w:snapToGrid w:val="0"/>
                    <w:spacing w:before="0" w:after="0" w:line="240" w:lineRule="auto"/>
                    <w:jc w:val="center"/>
                    <w:outlineLvl w:val="2"/>
                    <w:rPr>
                      <w:rFonts w:ascii="Times New Roman" w:hAnsi="Times New Roman" w:eastAsia="宋体" w:cs="Times New Roman"/>
                      <w:b w:val="0"/>
                      <w:bCs/>
                      <w:color w:val="auto"/>
                      <w:kern w:val="2"/>
                      <w:sz w:val="21"/>
                      <w:szCs w:val="21"/>
                      <w:lang w:val="en-US" w:eastAsia="zh-CN" w:bidi="ar-SA"/>
                    </w:rPr>
                  </w:pPr>
                  <w:r>
                    <w:rPr>
                      <w:rFonts w:ascii="Times New Roman" w:hAnsi="Times New Roman" w:eastAsia="宋体" w:cs="Times New Roman"/>
                      <w:b w:val="0"/>
                      <w:bCs/>
                      <w:color w:val="auto"/>
                      <w:kern w:val="2"/>
                      <w:sz w:val="21"/>
                      <w:szCs w:val="21"/>
                      <w:lang w:val="en-US" w:eastAsia="zh-CN" w:bidi="ar-SA"/>
                    </w:rPr>
                    <w:t>1</w:t>
                  </w:r>
                </w:p>
              </w:tc>
              <w:tc>
                <w:tcPr>
                  <w:tcW w:w="2880" w:type="dxa"/>
                  <w:tcBorders>
                    <w:tl2br w:val="nil"/>
                    <w:tr2bl w:val="nil"/>
                  </w:tcBorders>
                  <w:vAlign w:val="center"/>
                </w:tcPr>
                <w:p w14:paraId="109D82E7">
                  <w:pPr>
                    <w:keepNext/>
                    <w:keepLines/>
                    <w:widowControl w:val="0"/>
                    <w:adjustRightInd w:val="0"/>
                    <w:snapToGrid w:val="0"/>
                    <w:spacing w:before="0" w:after="0" w:line="240" w:lineRule="auto"/>
                    <w:jc w:val="center"/>
                    <w:outlineLvl w:val="2"/>
                    <w:rPr>
                      <w:rFonts w:ascii="Times New Roman" w:hAnsi="Times New Roman" w:eastAsia="宋体" w:cs="Times New Roman"/>
                      <w:b w:val="0"/>
                      <w:bCs/>
                      <w:color w:val="auto"/>
                      <w:kern w:val="2"/>
                      <w:sz w:val="21"/>
                      <w:szCs w:val="21"/>
                      <w:lang w:val="en-US" w:eastAsia="zh-CN" w:bidi="ar-SA"/>
                    </w:rPr>
                  </w:pPr>
                  <w:r>
                    <w:rPr>
                      <w:rFonts w:ascii="Times New Roman" w:hAnsi="Times New Roman" w:eastAsia="宋体" w:cs="Times New Roman"/>
                      <w:b w:val="0"/>
                      <w:bCs/>
                      <w:color w:val="auto"/>
                      <w:kern w:val="2"/>
                      <w:sz w:val="21"/>
                      <w:szCs w:val="21"/>
                      <w:lang w:val="en-US" w:eastAsia="zh-CN" w:bidi="ar-SA"/>
                    </w:rPr>
                    <w:t>轻微感到有气味</w:t>
                  </w:r>
                </w:p>
              </w:tc>
              <w:tc>
                <w:tcPr>
                  <w:tcW w:w="2765" w:type="dxa"/>
                  <w:tcBorders>
                    <w:tl2br w:val="nil"/>
                    <w:tr2bl w:val="nil"/>
                  </w:tcBorders>
                  <w:vAlign w:val="center"/>
                </w:tcPr>
                <w:p w14:paraId="5E3AF7A2">
                  <w:pPr>
                    <w:keepNext/>
                    <w:keepLines/>
                    <w:widowControl w:val="0"/>
                    <w:adjustRightInd w:val="0"/>
                    <w:snapToGrid w:val="0"/>
                    <w:spacing w:before="0" w:after="0" w:line="240" w:lineRule="auto"/>
                    <w:jc w:val="center"/>
                    <w:outlineLvl w:val="2"/>
                    <w:rPr>
                      <w:rFonts w:ascii="Times New Roman" w:hAnsi="Times New Roman" w:eastAsia="宋体" w:cs="Times New Roman"/>
                      <w:b w:val="0"/>
                      <w:bCs/>
                      <w:color w:val="auto"/>
                      <w:kern w:val="2"/>
                      <w:sz w:val="21"/>
                      <w:szCs w:val="21"/>
                      <w:lang w:val="en-US" w:eastAsia="zh-CN" w:bidi="ar-SA"/>
                    </w:rPr>
                  </w:pPr>
                  <w:r>
                    <w:rPr>
                      <w:rFonts w:ascii="Times New Roman" w:hAnsi="Times New Roman" w:eastAsia="宋体" w:cs="Times New Roman"/>
                      <w:b w:val="0"/>
                      <w:bCs/>
                      <w:color w:val="auto"/>
                      <w:kern w:val="2"/>
                      <w:sz w:val="21"/>
                      <w:szCs w:val="21"/>
                      <w:lang w:val="en-US" w:eastAsia="zh-CN" w:bidi="ar-SA"/>
                    </w:rPr>
                    <w:t>轻度污染</w:t>
                  </w:r>
                </w:p>
              </w:tc>
            </w:tr>
            <w:tr w14:paraId="20FB3F5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tblHeader/>
                <w:jc w:val="center"/>
              </w:trPr>
              <w:tc>
                <w:tcPr>
                  <w:tcW w:w="2492" w:type="dxa"/>
                  <w:tcBorders>
                    <w:tl2br w:val="nil"/>
                    <w:tr2bl w:val="nil"/>
                  </w:tcBorders>
                  <w:vAlign w:val="center"/>
                </w:tcPr>
                <w:p w14:paraId="5EEB0D05">
                  <w:pPr>
                    <w:keepNext/>
                    <w:keepLines/>
                    <w:widowControl w:val="0"/>
                    <w:adjustRightInd w:val="0"/>
                    <w:snapToGrid w:val="0"/>
                    <w:spacing w:before="0" w:after="0" w:line="240" w:lineRule="auto"/>
                    <w:jc w:val="center"/>
                    <w:outlineLvl w:val="2"/>
                    <w:rPr>
                      <w:rFonts w:ascii="Times New Roman" w:hAnsi="Times New Roman" w:eastAsia="宋体" w:cs="Times New Roman"/>
                      <w:b w:val="0"/>
                      <w:bCs/>
                      <w:color w:val="auto"/>
                      <w:kern w:val="2"/>
                      <w:sz w:val="21"/>
                      <w:szCs w:val="21"/>
                      <w:lang w:val="en-US" w:eastAsia="zh-CN" w:bidi="ar-SA"/>
                    </w:rPr>
                  </w:pPr>
                  <w:r>
                    <w:rPr>
                      <w:rFonts w:ascii="Times New Roman" w:hAnsi="Times New Roman" w:eastAsia="宋体" w:cs="Times New Roman"/>
                      <w:b w:val="0"/>
                      <w:bCs/>
                      <w:color w:val="auto"/>
                      <w:kern w:val="2"/>
                      <w:sz w:val="21"/>
                      <w:szCs w:val="21"/>
                      <w:lang w:val="en-US" w:eastAsia="zh-CN" w:bidi="ar-SA"/>
                    </w:rPr>
                    <w:t>2</w:t>
                  </w:r>
                </w:p>
              </w:tc>
              <w:tc>
                <w:tcPr>
                  <w:tcW w:w="2880" w:type="dxa"/>
                  <w:tcBorders>
                    <w:tl2br w:val="nil"/>
                    <w:tr2bl w:val="nil"/>
                  </w:tcBorders>
                  <w:vAlign w:val="center"/>
                </w:tcPr>
                <w:p w14:paraId="67200F20">
                  <w:pPr>
                    <w:keepNext/>
                    <w:keepLines/>
                    <w:widowControl w:val="0"/>
                    <w:adjustRightInd w:val="0"/>
                    <w:snapToGrid w:val="0"/>
                    <w:spacing w:before="0" w:after="0" w:line="240" w:lineRule="auto"/>
                    <w:jc w:val="center"/>
                    <w:outlineLvl w:val="2"/>
                    <w:rPr>
                      <w:rFonts w:ascii="Times New Roman" w:hAnsi="Times New Roman" w:eastAsia="宋体" w:cs="Times New Roman"/>
                      <w:b w:val="0"/>
                      <w:bCs/>
                      <w:color w:val="auto"/>
                      <w:kern w:val="2"/>
                      <w:sz w:val="21"/>
                      <w:szCs w:val="21"/>
                      <w:lang w:val="en-US" w:eastAsia="zh-CN" w:bidi="ar-SA"/>
                    </w:rPr>
                  </w:pPr>
                  <w:r>
                    <w:rPr>
                      <w:rFonts w:ascii="Times New Roman" w:hAnsi="Times New Roman" w:eastAsia="宋体" w:cs="Times New Roman"/>
                      <w:b w:val="0"/>
                      <w:bCs/>
                      <w:color w:val="auto"/>
                      <w:kern w:val="2"/>
                      <w:sz w:val="21"/>
                      <w:szCs w:val="21"/>
                      <w:lang w:val="en-US" w:eastAsia="zh-CN" w:bidi="ar-SA"/>
                    </w:rPr>
                    <w:t>明显感到有气味</w:t>
                  </w:r>
                </w:p>
              </w:tc>
              <w:tc>
                <w:tcPr>
                  <w:tcW w:w="2765" w:type="dxa"/>
                  <w:tcBorders>
                    <w:tl2br w:val="nil"/>
                    <w:tr2bl w:val="nil"/>
                  </w:tcBorders>
                  <w:vAlign w:val="center"/>
                </w:tcPr>
                <w:p w14:paraId="25CD61E5">
                  <w:pPr>
                    <w:keepNext/>
                    <w:keepLines/>
                    <w:widowControl w:val="0"/>
                    <w:adjustRightInd w:val="0"/>
                    <w:snapToGrid w:val="0"/>
                    <w:spacing w:before="0" w:after="0" w:line="240" w:lineRule="auto"/>
                    <w:jc w:val="center"/>
                    <w:outlineLvl w:val="2"/>
                    <w:rPr>
                      <w:rFonts w:ascii="Times New Roman" w:hAnsi="Times New Roman" w:eastAsia="宋体" w:cs="Times New Roman"/>
                      <w:b w:val="0"/>
                      <w:bCs/>
                      <w:color w:val="auto"/>
                      <w:kern w:val="2"/>
                      <w:sz w:val="21"/>
                      <w:szCs w:val="21"/>
                      <w:lang w:val="en-US" w:eastAsia="zh-CN" w:bidi="ar-SA"/>
                    </w:rPr>
                  </w:pPr>
                  <w:r>
                    <w:rPr>
                      <w:rFonts w:ascii="Times New Roman" w:hAnsi="Times New Roman" w:eastAsia="宋体" w:cs="Times New Roman"/>
                      <w:b w:val="0"/>
                      <w:bCs/>
                      <w:color w:val="auto"/>
                      <w:kern w:val="2"/>
                      <w:sz w:val="21"/>
                      <w:szCs w:val="21"/>
                      <w:lang w:val="en-US" w:eastAsia="zh-CN" w:bidi="ar-SA"/>
                    </w:rPr>
                    <w:t>中等污染</w:t>
                  </w:r>
                </w:p>
              </w:tc>
            </w:tr>
            <w:tr w14:paraId="0CE9C77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8" w:hRule="atLeast"/>
                <w:tblHeader/>
                <w:jc w:val="center"/>
              </w:trPr>
              <w:tc>
                <w:tcPr>
                  <w:tcW w:w="2492" w:type="dxa"/>
                  <w:tcBorders>
                    <w:tl2br w:val="nil"/>
                    <w:tr2bl w:val="nil"/>
                  </w:tcBorders>
                  <w:vAlign w:val="center"/>
                </w:tcPr>
                <w:p w14:paraId="2EC210F9">
                  <w:pPr>
                    <w:keepNext/>
                    <w:keepLines/>
                    <w:widowControl w:val="0"/>
                    <w:adjustRightInd w:val="0"/>
                    <w:snapToGrid w:val="0"/>
                    <w:spacing w:before="0" w:after="0" w:line="240" w:lineRule="auto"/>
                    <w:jc w:val="center"/>
                    <w:outlineLvl w:val="2"/>
                    <w:rPr>
                      <w:rFonts w:ascii="Times New Roman" w:hAnsi="Times New Roman" w:eastAsia="宋体" w:cs="Times New Roman"/>
                      <w:b w:val="0"/>
                      <w:bCs/>
                      <w:color w:val="auto"/>
                      <w:kern w:val="2"/>
                      <w:sz w:val="21"/>
                      <w:szCs w:val="21"/>
                      <w:lang w:val="en-US" w:eastAsia="zh-CN" w:bidi="ar-SA"/>
                    </w:rPr>
                  </w:pPr>
                  <w:r>
                    <w:rPr>
                      <w:rFonts w:ascii="Times New Roman" w:hAnsi="Times New Roman" w:eastAsia="宋体" w:cs="Times New Roman"/>
                      <w:b w:val="0"/>
                      <w:bCs/>
                      <w:color w:val="auto"/>
                      <w:kern w:val="2"/>
                      <w:sz w:val="21"/>
                      <w:szCs w:val="21"/>
                      <w:lang w:val="en-US" w:eastAsia="zh-CN" w:bidi="ar-SA"/>
                    </w:rPr>
                    <w:t>3</w:t>
                  </w:r>
                </w:p>
              </w:tc>
              <w:tc>
                <w:tcPr>
                  <w:tcW w:w="2880" w:type="dxa"/>
                  <w:tcBorders>
                    <w:tl2br w:val="nil"/>
                    <w:tr2bl w:val="nil"/>
                  </w:tcBorders>
                  <w:vAlign w:val="center"/>
                </w:tcPr>
                <w:p w14:paraId="30F9E349">
                  <w:pPr>
                    <w:keepNext/>
                    <w:keepLines/>
                    <w:widowControl w:val="0"/>
                    <w:adjustRightInd w:val="0"/>
                    <w:snapToGrid w:val="0"/>
                    <w:spacing w:before="0" w:after="0" w:line="240" w:lineRule="auto"/>
                    <w:jc w:val="center"/>
                    <w:outlineLvl w:val="2"/>
                    <w:rPr>
                      <w:rFonts w:ascii="Times New Roman" w:hAnsi="Times New Roman" w:eastAsia="宋体" w:cs="Times New Roman"/>
                      <w:b w:val="0"/>
                      <w:bCs/>
                      <w:color w:val="auto"/>
                      <w:kern w:val="2"/>
                      <w:sz w:val="21"/>
                      <w:szCs w:val="21"/>
                      <w:lang w:val="en-US" w:eastAsia="zh-CN" w:bidi="ar-SA"/>
                    </w:rPr>
                  </w:pPr>
                  <w:r>
                    <w:rPr>
                      <w:rFonts w:ascii="Times New Roman" w:hAnsi="Times New Roman" w:eastAsia="宋体" w:cs="Times New Roman"/>
                      <w:b w:val="0"/>
                      <w:bCs/>
                      <w:color w:val="auto"/>
                      <w:kern w:val="2"/>
                      <w:sz w:val="21"/>
                      <w:szCs w:val="21"/>
                      <w:lang w:val="en-US" w:eastAsia="zh-CN" w:bidi="ar-SA"/>
                    </w:rPr>
                    <w:t>感到有强烈气味</w:t>
                  </w:r>
                </w:p>
              </w:tc>
              <w:tc>
                <w:tcPr>
                  <w:tcW w:w="2765" w:type="dxa"/>
                  <w:tcBorders>
                    <w:tl2br w:val="nil"/>
                    <w:tr2bl w:val="nil"/>
                  </w:tcBorders>
                  <w:vAlign w:val="center"/>
                </w:tcPr>
                <w:p w14:paraId="010D6B1B">
                  <w:pPr>
                    <w:keepNext/>
                    <w:keepLines/>
                    <w:widowControl w:val="0"/>
                    <w:adjustRightInd w:val="0"/>
                    <w:snapToGrid w:val="0"/>
                    <w:spacing w:before="0" w:after="0" w:line="240" w:lineRule="auto"/>
                    <w:jc w:val="center"/>
                    <w:outlineLvl w:val="2"/>
                    <w:rPr>
                      <w:rFonts w:ascii="Times New Roman" w:hAnsi="Times New Roman" w:eastAsia="宋体" w:cs="Times New Roman"/>
                      <w:b w:val="0"/>
                      <w:bCs/>
                      <w:color w:val="auto"/>
                      <w:kern w:val="2"/>
                      <w:sz w:val="21"/>
                      <w:szCs w:val="21"/>
                      <w:lang w:val="en-US" w:eastAsia="zh-CN" w:bidi="ar-SA"/>
                    </w:rPr>
                  </w:pPr>
                  <w:r>
                    <w:rPr>
                      <w:rFonts w:ascii="Times New Roman" w:hAnsi="Times New Roman" w:eastAsia="宋体" w:cs="Times New Roman"/>
                      <w:b w:val="0"/>
                      <w:bCs/>
                      <w:color w:val="auto"/>
                      <w:kern w:val="2"/>
                      <w:sz w:val="21"/>
                      <w:szCs w:val="21"/>
                      <w:lang w:val="en-US" w:eastAsia="zh-CN" w:bidi="ar-SA"/>
                    </w:rPr>
                    <w:t>重污染</w:t>
                  </w:r>
                </w:p>
              </w:tc>
            </w:tr>
            <w:tr w14:paraId="57CF45B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8" w:hRule="atLeast"/>
                <w:tblHeader/>
                <w:jc w:val="center"/>
              </w:trPr>
              <w:tc>
                <w:tcPr>
                  <w:tcW w:w="2492" w:type="dxa"/>
                  <w:tcBorders>
                    <w:tl2br w:val="nil"/>
                    <w:tr2bl w:val="nil"/>
                  </w:tcBorders>
                  <w:vAlign w:val="center"/>
                </w:tcPr>
                <w:p w14:paraId="0150F81F">
                  <w:pPr>
                    <w:keepNext/>
                    <w:keepLines/>
                    <w:widowControl w:val="0"/>
                    <w:adjustRightInd w:val="0"/>
                    <w:snapToGrid w:val="0"/>
                    <w:spacing w:before="0" w:after="0" w:line="240" w:lineRule="auto"/>
                    <w:jc w:val="center"/>
                    <w:outlineLvl w:val="2"/>
                    <w:rPr>
                      <w:rFonts w:ascii="Times New Roman" w:hAnsi="Times New Roman" w:eastAsia="宋体" w:cs="Times New Roman"/>
                      <w:b w:val="0"/>
                      <w:bCs/>
                      <w:color w:val="auto"/>
                      <w:kern w:val="2"/>
                      <w:sz w:val="21"/>
                      <w:szCs w:val="21"/>
                      <w:lang w:val="en-US" w:eastAsia="zh-CN" w:bidi="ar-SA"/>
                    </w:rPr>
                  </w:pPr>
                  <w:r>
                    <w:rPr>
                      <w:rFonts w:ascii="Times New Roman" w:hAnsi="Times New Roman" w:eastAsia="宋体" w:cs="Times New Roman"/>
                      <w:b w:val="0"/>
                      <w:bCs/>
                      <w:color w:val="auto"/>
                      <w:kern w:val="2"/>
                      <w:sz w:val="21"/>
                      <w:szCs w:val="21"/>
                      <w:lang w:val="en-US" w:eastAsia="zh-CN" w:bidi="ar-SA"/>
                    </w:rPr>
                    <w:t>4</w:t>
                  </w:r>
                </w:p>
              </w:tc>
              <w:tc>
                <w:tcPr>
                  <w:tcW w:w="2880" w:type="dxa"/>
                  <w:tcBorders>
                    <w:tl2br w:val="nil"/>
                    <w:tr2bl w:val="nil"/>
                  </w:tcBorders>
                  <w:vAlign w:val="center"/>
                </w:tcPr>
                <w:p w14:paraId="68FDD56D">
                  <w:pPr>
                    <w:keepNext/>
                    <w:keepLines/>
                    <w:widowControl w:val="0"/>
                    <w:adjustRightInd w:val="0"/>
                    <w:snapToGrid w:val="0"/>
                    <w:spacing w:before="0" w:after="0" w:line="240" w:lineRule="auto"/>
                    <w:jc w:val="center"/>
                    <w:outlineLvl w:val="2"/>
                    <w:rPr>
                      <w:rFonts w:ascii="Times New Roman" w:hAnsi="Times New Roman" w:eastAsia="宋体" w:cs="Times New Roman"/>
                      <w:b w:val="0"/>
                      <w:bCs/>
                      <w:color w:val="auto"/>
                      <w:kern w:val="2"/>
                      <w:sz w:val="21"/>
                      <w:szCs w:val="21"/>
                      <w:lang w:val="en-US" w:eastAsia="zh-CN" w:bidi="ar-SA"/>
                    </w:rPr>
                  </w:pPr>
                  <w:r>
                    <w:rPr>
                      <w:rFonts w:ascii="Times New Roman" w:hAnsi="Times New Roman" w:eastAsia="宋体" w:cs="Times New Roman"/>
                      <w:b w:val="0"/>
                      <w:bCs/>
                      <w:color w:val="auto"/>
                      <w:kern w:val="2"/>
                      <w:sz w:val="21"/>
                      <w:szCs w:val="21"/>
                      <w:lang w:val="en-US" w:eastAsia="zh-CN" w:bidi="ar-SA"/>
                    </w:rPr>
                    <w:t>无法忍受的强臭味</w:t>
                  </w:r>
                </w:p>
              </w:tc>
              <w:tc>
                <w:tcPr>
                  <w:tcW w:w="2765" w:type="dxa"/>
                  <w:tcBorders>
                    <w:tl2br w:val="nil"/>
                    <w:tr2bl w:val="nil"/>
                  </w:tcBorders>
                  <w:vAlign w:val="center"/>
                </w:tcPr>
                <w:p w14:paraId="3F393EC9">
                  <w:pPr>
                    <w:keepNext/>
                    <w:keepLines/>
                    <w:widowControl w:val="0"/>
                    <w:adjustRightInd w:val="0"/>
                    <w:snapToGrid w:val="0"/>
                    <w:spacing w:before="0" w:after="0" w:line="240" w:lineRule="auto"/>
                    <w:jc w:val="center"/>
                    <w:outlineLvl w:val="2"/>
                    <w:rPr>
                      <w:rFonts w:ascii="Times New Roman" w:hAnsi="Times New Roman" w:eastAsia="宋体" w:cs="Times New Roman"/>
                      <w:b w:val="0"/>
                      <w:bCs/>
                      <w:color w:val="auto"/>
                      <w:kern w:val="2"/>
                      <w:sz w:val="21"/>
                      <w:szCs w:val="21"/>
                      <w:lang w:val="en-US" w:eastAsia="zh-CN" w:bidi="ar-SA"/>
                    </w:rPr>
                  </w:pPr>
                  <w:r>
                    <w:rPr>
                      <w:rFonts w:ascii="Times New Roman" w:hAnsi="Times New Roman" w:eastAsia="宋体" w:cs="Times New Roman"/>
                      <w:b w:val="0"/>
                      <w:bCs/>
                      <w:color w:val="auto"/>
                      <w:kern w:val="2"/>
                      <w:sz w:val="21"/>
                      <w:szCs w:val="21"/>
                      <w:lang w:val="en-US" w:eastAsia="zh-CN" w:bidi="ar-SA"/>
                    </w:rPr>
                    <w:t>严重污染</w:t>
                  </w:r>
                </w:p>
              </w:tc>
            </w:tr>
          </w:tbl>
          <w:p w14:paraId="18D93BD1">
            <w:pPr>
              <w:spacing w:line="360" w:lineRule="auto"/>
              <w:ind w:firstLine="480" w:firstLineChars="200"/>
              <w:rPr>
                <w:rFonts w:hint="default" w:ascii="Times New Roman" w:hAnsi="Times New Roman" w:eastAsia="宋体" w:cs="Times New Roman"/>
                <w:color w:val="auto"/>
                <w:sz w:val="24"/>
                <w:szCs w:val="24"/>
                <w:lang w:bidi="ar-SA"/>
              </w:rPr>
            </w:pPr>
            <w:r>
              <w:rPr>
                <w:rFonts w:hint="eastAsia" w:ascii="Times New Roman" w:hAnsi="Times New Roman" w:eastAsia="宋体" w:cs="Times New Roman"/>
                <w:color w:val="auto"/>
                <w:sz w:val="24"/>
                <w:szCs w:val="24"/>
                <w:lang w:bidi="ar-SA"/>
              </w:rPr>
              <w:t>b.恶臭污染的特点</w:t>
            </w:r>
          </w:p>
          <w:p w14:paraId="7B1CEE7C">
            <w:pPr>
              <w:spacing w:line="360" w:lineRule="auto"/>
              <w:ind w:firstLine="480" w:firstLineChars="200"/>
              <w:rPr>
                <w:rFonts w:hint="default" w:ascii="Times New Roman" w:hAnsi="Times New Roman" w:eastAsia="宋体" w:cs="Times New Roman"/>
                <w:color w:val="auto"/>
                <w:sz w:val="24"/>
                <w:szCs w:val="24"/>
                <w:lang w:bidi="ar-SA"/>
              </w:rPr>
            </w:pPr>
            <w:r>
              <w:rPr>
                <w:rFonts w:hint="eastAsia" w:ascii="Times New Roman" w:hAnsi="Times New Roman" w:eastAsia="宋体" w:cs="Times New Roman"/>
                <w:color w:val="auto"/>
                <w:sz w:val="24"/>
                <w:szCs w:val="24"/>
                <w:lang w:bidi="ar-SA"/>
              </w:rPr>
              <w:t>恶臭是感觉性公害，判断恶臭对人们的影响，主要是以给人们带来不舒服感觉的影响为中心进行的，是一种心理上的反应，故主观因素很强。然而，人们的嗅觉鉴别能力要比其他感觉能力强，因此受影响者的主观感觉是评价恶臭污染程度的主要依据；</w:t>
            </w:r>
          </w:p>
          <w:p w14:paraId="0F2305BF">
            <w:pPr>
              <w:spacing w:line="360" w:lineRule="auto"/>
              <w:ind w:firstLine="480" w:firstLineChars="200"/>
              <w:rPr>
                <w:rFonts w:hint="default" w:ascii="Times New Roman" w:hAnsi="Times New Roman" w:eastAsia="宋体" w:cs="Times New Roman"/>
                <w:color w:val="auto"/>
                <w:sz w:val="24"/>
                <w:szCs w:val="24"/>
                <w:lang w:bidi="ar-SA"/>
              </w:rPr>
            </w:pPr>
            <w:r>
              <w:rPr>
                <w:rFonts w:hint="eastAsia" w:ascii="Times New Roman" w:hAnsi="Times New Roman" w:eastAsia="宋体" w:cs="Times New Roman"/>
                <w:color w:val="auto"/>
                <w:sz w:val="24"/>
                <w:szCs w:val="24"/>
                <w:lang w:bidi="ar-SA"/>
              </w:rPr>
              <w:t>恶臭通常是由多种成分气体形成的，各种成分气体的阈值或最小检知浓度不相同，在浓度较低时，一般不易察觉，但是恶臭一旦达到阈值以后，大多会立即发生强烈的恶臭反应；</w:t>
            </w:r>
          </w:p>
          <w:p w14:paraId="00105427">
            <w:pPr>
              <w:spacing w:line="360" w:lineRule="auto"/>
              <w:ind w:firstLine="480" w:firstLineChars="200"/>
              <w:rPr>
                <w:rFonts w:hint="default" w:ascii="Times New Roman" w:hAnsi="Times New Roman" w:eastAsia="宋体" w:cs="Times New Roman"/>
                <w:color w:val="auto"/>
                <w:sz w:val="24"/>
                <w:szCs w:val="24"/>
                <w:lang w:bidi="ar-SA"/>
              </w:rPr>
            </w:pPr>
            <w:r>
              <w:rPr>
                <w:rFonts w:hint="eastAsia" w:ascii="Times New Roman" w:hAnsi="Times New Roman" w:eastAsia="宋体" w:cs="Times New Roman"/>
                <w:color w:val="auto"/>
                <w:sz w:val="24"/>
                <w:szCs w:val="24"/>
                <w:lang w:bidi="ar-SA"/>
              </w:rPr>
              <w:t>人们对恶臭的厌恶感与恶臭气体成分的性质、强度及浓度有关，并且包含周边环境、气象条件和个人条件（身体条件和精神状况等）等因素在内。恶臭成分大部分被去除后，在人的嗅觉中并不会感到相应程度的降低或减轻。因此，对于防治恶臭污染而言，受影响者并不是要求减轻或降低恶臭气味，而是要求必须没有恶臭气味；</w:t>
            </w:r>
          </w:p>
          <w:p w14:paraId="6B4F514C">
            <w:pPr>
              <w:spacing w:line="360" w:lineRule="auto"/>
              <w:ind w:firstLine="480" w:firstLineChars="200"/>
              <w:rPr>
                <w:rFonts w:hint="default" w:ascii="Times New Roman" w:hAnsi="Times New Roman" w:eastAsia="宋体" w:cs="Times New Roman"/>
                <w:color w:val="auto"/>
                <w:sz w:val="24"/>
                <w:szCs w:val="24"/>
                <w:lang w:bidi="ar-SA"/>
              </w:rPr>
            </w:pPr>
            <w:r>
              <w:rPr>
                <w:rFonts w:hint="eastAsia" w:ascii="Times New Roman" w:hAnsi="Times New Roman" w:eastAsia="宋体" w:cs="Times New Roman"/>
                <w:color w:val="auto"/>
                <w:sz w:val="24"/>
                <w:szCs w:val="24"/>
                <w:lang w:bidi="ar-SA"/>
              </w:rPr>
              <w:t>受到恶臭污染影响的人一般立即离开，到清洁空气环境内，积极换气就可以解除受到的污染影响。</w:t>
            </w:r>
          </w:p>
          <w:p w14:paraId="4AF34ABC">
            <w:pPr>
              <w:spacing w:line="360" w:lineRule="auto"/>
              <w:ind w:firstLine="480" w:firstLineChars="200"/>
              <w:rPr>
                <w:rFonts w:hint="default" w:ascii="Times New Roman" w:hAnsi="Times New Roman" w:eastAsia="宋体" w:cs="Times New Roman"/>
                <w:color w:val="auto"/>
                <w:sz w:val="24"/>
                <w:szCs w:val="24"/>
                <w:lang w:bidi="ar-SA"/>
              </w:rPr>
            </w:pPr>
            <w:r>
              <w:rPr>
                <w:rFonts w:hint="eastAsia" w:ascii="Times New Roman" w:hAnsi="Times New Roman" w:eastAsia="宋体" w:cs="Times New Roman"/>
                <w:color w:val="auto"/>
                <w:sz w:val="24"/>
                <w:szCs w:val="24"/>
                <w:lang w:bidi="ar-SA"/>
              </w:rPr>
              <w:t>c.恶臭影响分析</w:t>
            </w:r>
          </w:p>
          <w:p w14:paraId="055C3394">
            <w:pPr>
              <w:spacing w:line="360" w:lineRule="auto"/>
              <w:ind w:firstLine="480" w:firstLineChars="200"/>
              <w:rPr>
                <w:rFonts w:hint="default" w:ascii="Times New Roman" w:hAnsi="Times New Roman" w:eastAsia="宋体" w:cs="Times New Roman"/>
                <w:color w:val="auto"/>
                <w:sz w:val="24"/>
                <w:szCs w:val="24"/>
                <w:lang w:bidi="ar-SA"/>
              </w:rPr>
            </w:pPr>
            <w:r>
              <w:rPr>
                <w:rFonts w:hint="eastAsia" w:ascii="Times New Roman" w:hAnsi="Times New Roman" w:eastAsia="宋体" w:cs="Times New Roman"/>
                <w:color w:val="auto"/>
                <w:sz w:val="24"/>
                <w:szCs w:val="24"/>
                <w:lang w:bidi="ar-SA"/>
              </w:rPr>
              <w:t>恶臭物质在空气中浓度小于嗅觉阈值时，感觉不到臭味；空气中浓度等于嗅觉阈值时，勉强可感到臭味。</w:t>
            </w:r>
          </w:p>
          <w:p w14:paraId="3834F15D">
            <w:pPr>
              <w:keepNext w:val="0"/>
              <w:keepLines w:val="0"/>
              <w:suppressLineNumbers w:val="0"/>
              <w:spacing w:before="0" w:beforeAutospacing="0" w:after="0" w:afterAutospacing="0" w:line="360" w:lineRule="auto"/>
              <w:ind w:left="0" w:right="0" w:firstLine="480" w:firstLineChars="200"/>
              <w:rPr>
                <w:rFonts w:hint="default"/>
                <w:color w:val="auto"/>
                <w:lang w:val="en-US" w:eastAsia="zh-CN"/>
              </w:rPr>
            </w:pPr>
            <w:r>
              <w:rPr>
                <w:rFonts w:hint="eastAsia" w:ascii="Times New Roman" w:hAnsi="Times New Roman" w:eastAsia="宋体" w:cs="Times New Roman"/>
                <w:color w:val="auto"/>
                <w:sz w:val="24"/>
                <w:szCs w:val="24"/>
                <w:lang w:bidi="ar-SA"/>
              </w:rPr>
              <w:t>本项目</w:t>
            </w:r>
            <w:r>
              <w:rPr>
                <w:rFonts w:hint="eastAsia" w:cs="Times New Roman"/>
                <w:color w:val="auto"/>
                <w:sz w:val="24"/>
                <w:szCs w:val="24"/>
                <w:lang w:val="en-US" w:eastAsia="zh-CN" w:bidi="ar-SA"/>
              </w:rPr>
              <w:t>废水处理过程</w:t>
            </w:r>
            <w:r>
              <w:rPr>
                <w:rFonts w:hint="eastAsia" w:ascii="Times New Roman" w:hAnsi="Times New Roman" w:eastAsia="宋体" w:cs="Times New Roman"/>
                <w:color w:val="auto"/>
                <w:sz w:val="24"/>
                <w:szCs w:val="24"/>
                <w:lang w:bidi="ar-SA"/>
              </w:rPr>
              <w:t>会产生极少量异味，在可控制范围内，对周围环境及周边敏感目标影响较小。</w:t>
            </w:r>
          </w:p>
        </w:tc>
      </w:tr>
    </w:tbl>
    <w:p w14:paraId="1B26E26A">
      <w:pPr>
        <w:pStyle w:val="22"/>
        <w:jc w:val="center"/>
        <w:outlineLvl w:val="0"/>
        <w:rPr>
          <w:rFonts w:ascii="黑体" w:hAnsi="黑体" w:eastAsia="黑体"/>
          <w:snapToGrid w:val="0"/>
          <w:color w:val="auto"/>
          <w:sz w:val="30"/>
          <w:szCs w:val="30"/>
        </w:rPr>
        <w:sectPr>
          <w:pgSz w:w="16838" w:h="11906" w:orient="landscape"/>
          <w:pgMar w:top="1531" w:right="1701" w:bottom="1531" w:left="1701" w:header="851" w:footer="851" w:gutter="0"/>
          <w:pgBorders>
            <w:top w:val="none" w:sz="0" w:space="0"/>
            <w:left w:val="none" w:sz="0" w:space="0"/>
            <w:bottom w:val="none" w:sz="0" w:space="0"/>
            <w:right w:val="none" w:sz="0" w:space="0"/>
          </w:pgBorders>
          <w:cols w:space="720" w:num="1"/>
          <w:docGrid w:linePitch="312" w:charSpace="0"/>
        </w:sectPr>
      </w:pPr>
      <w:bookmarkStart w:id="27" w:name="PageNo100480047"/>
    </w:p>
    <w:bookmarkEnd w:id="27"/>
    <w:tbl>
      <w:tblPr>
        <w:tblStyle w:val="26"/>
        <w:tblpPr w:leftFromText="180" w:rightFromText="180" w:vertAnchor="text" w:tblpXSpec="center" w:tblpY="1"/>
        <w:tblOverlap w:val="never"/>
        <w:tblW w:w="898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04"/>
        <w:gridCol w:w="8377"/>
      </w:tblGrid>
      <w:tr w14:paraId="3DC2B60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694" w:hRule="atLeast"/>
          <w:jc w:val="center"/>
        </w:trPr>
        <w:tc>
          <w:tcPr>
            <w:tcW w:w="604" w:type="dxa"/>
            <w:tcMar>
              <w:left w:w="28" w:type="dxa"/>
              <w:right w:w="28" w:type="dxa"/>
            </w:tcMar>
            <w:vAlign w:val="center"/>
          </w:tcPr>
          <w:p w14:paraId="7F09BAB1">
            <w:pPr>
              <w:adjustRightInd w:val="0"/>
              <w:snapToGrid w:val="0"/>
              <w:jc w:val="center"/>
              <w:rPr>
                <w:rFonts w:ascii="宋体" w:hAnsi="宋体" w:cs="宋体"/>
                <w:bCs/>
                <w:color w:val="auto"/>
                <w:sz w:val="24"/>
                <w:szCs w:val="24"/>
              </w:rPr>
            </w:pPr>
            <w:r>
              <w:rPr>
                <w:rFonts w:hint="eastAsia" w:ascii="宋体" w:hAnsi="宋体" w:cs="宋体"/>
                <w:bCs/>
                <w:color w:val="auto"/>
                <w:sz w:val="24"/>
                <w:szCs w:val="24"/>
              </w:rPr>
              <w:t>运营</w:t>
            </w:r>
          </w:p>
          <w:p w14:paraId="278F1796">
            <w:pPr>
              <w:adjustRightInd w:val="0"/>
              <w:snapToGrid w:val="0"/>
              <w:jc w:val="center"/>
              <w:rPr>
                <w:rFonts w:ascii="宋体" w:hAnsi="宋体" w:cs="宋体"/>
                <w:bCs/>
                <w:color w:val="auto"/>
                <w:sz w:val="24"/>
                <w:szCs w:val="24"/>
              </w:rPr>
            </w:pPr>
            <w:r>
              <w:rPr>
                <w:rFonts w:hint="eastAsia" w:ascii="宋体" w:hAnsi="宋体" w:cs="宋体"/>
                <w:bCs/>
                <w:color w:val="auto"/>
                <w:sz w:val="24"/>
                <w:szCs w:val="24"/>
              </w:rPr>
              <w:t>期环</w:t>
            </w:r>
          </w:p>
          <w:p w14:paraId="2E0717D1">
            <w:pPr>
              <w:adjustRightInd w:val="0"/>
              <w:snapToGrid w:val="0"/>
              <w:jc w:val="center"/>
              <w:rPr>
                <w:rFonts w:ascii="宋体" w:hAnsi="宋体" w:cs="宋体"/>
                <w:bCs/>
                <w:color w:val="auto"/>
                <w:sz w:val="24"/>
                <w:szCs w:val="24"/>
              </w:rPr>
            </w:pPr>
            <w:r>
              <w:rPr>
                <w:rFonts w:hint="eastAsia" w:ascii="宋体" w:hAnsi="宋体" w:cs="宋体"/>
                <w:bCs/>
                <w:color w:val="auto"/>
                <w:sz w:val="24"/>
                <w:szCs w:val="24"/>
              </w:rPr>
              <w:t>境影</w:t>
            </w:r>
          </w:p>
          <w:p w14:paraId="5D5D639C">
            <w:pPr>
              <w:adjustRightInd w:val="0"/>
              <w:snapToGrid w:val="0"/>
              <w:jc w:val="center"/>
              <w:rPr>
                <w:rFonts w:ascii="宋体" w:hAnsi="宋体" w:cs="宋体"/>
                <w:bCs/>
                <w:color w:val="auto"/>
                <w:sz w:val="24"/>
                <w:szCs w:val="24"/>
              </w:rPr>
            </w:pPr>
            <w:r>
              <w:rPr>
                <w:rFonts w:hint="eastAsia" w:ascii="宋体" w:hAnsi="宋体" w:cs="宋体"/>
                <w:bCs/>
                <w:color w:val="auto"/>
                <w:sz w:val="24"/>
                <w:szCs w:val="24"/>
              </w:rPr>
              <w:t>响和</w:t>
            </w:r>
          </w:p>
          <w:p w14:paraId="0C65DD1E">
            <w:pPr>
              <w:adjustRightInd w:val="0"/>
              <w:snapToGrid w:val="0"/>
              <w:jc w:val="center"/>
              <w:rPr>
                <w:rFonts w:ascii="宋体" w:hAnsi="宋体" w:cs="宋体"/>
                <w:bCs/>
                <w:color w:val="auto"/>
                <w:sz w:val="24"/>
                <w:szCs w:val="24"/>
              </w:rPr>
            </w:pPr>
            <w:r>
              <w:rPr>
                <w:rFonts w:hint="eastAsia" w:ascii="宋体" w:hAnsi="宋体" w:cs="宋体"/>
                <w:bCs/>
                <w:color w:val="auto"/>
                <w:sz w:val="24"/>
                <w:szCs w:val="24"/>
              </w:rPr>
              <w:t>保护</w:t>
            </w:r>
          </w:p>
          <w:p w14:paraId="234CE5C6">
            <w:pPr>
              <w:adjustRightInd w:val="0"/>
              <w:snapToGrid w:val="0"/>
              <w:jc w:val="center"/>
              <w:rPr>
                <w:rFonts w:ascii="宋体" w:hAnsi="宋体" w:cs="宋体"/>
                <w:bCs/>
                <w:color w:val="auto"/>
                <w:sz w:val="24"/>
                <w:szCs w:val="24"/>
              </w:rPr>
            </w:pPr>
            <w:r>
              <w:rPr>
                <w:rFonts w:hint="eastAsia" w:ascii="宋体" w:hAnsi="宋体" w:cs="宋体"/>
                <w:bCs/>
                <w:color w:val="auto"/>
                <w:sz w:val="24"/>
                <w:szCs w:val="24"/>
              </w:rPr>
              <w:t>措施</w:t>
            </w:r>
          </w:p>
        </w:tc>
        <w:tc>
          <w:tcPr>
            <w:tcW w:w="8377" w:type="dxa"/>
          </w:tcPr>
          <w:p w14:paraId="573A87B0">
            <w:pPr>
              <w:spacing w:before="120" w:beforeLines="50" w:line="360" w:lineRule="auto"/>
              <w:ind w:firstLine="482" w:firstLineChars="200"/>
              <w:rPr>
                <w:b/>
                <w:bCs/>
                <w:color w:val="auto"/>
                <w:sz w:val="24"/>
                <w:szCs w:val="24"/>
              </w:rPr>
            </w:pPr>
            <w:r>
              <w:rPr>
                <w:rFonts w:hint="eastAsia"/>
                <w:b/>
                <w:bCs/>
                <w:color w:val="auto"/>
                <w:sz w:val="24"/>
                <w:szCs w:val="24"/>
              </w:rPr>
              <w:t>1.</w:t>
            </w:r>
            <w:r>
              <w:rPr>
                <w:rFonts w:hint="eastAsia"/>
                <w:b/>
                <w:bCs/>
                <w:color w:val="auto"/>
                <w:sz w:val="24"/>
                <w:szCs w:val="24"/>
                <w:lang w:val="en-US" w:eastAsia="zh-CN"/>
              </w:rPr>
              <w:t>4</w:t>
            </w:r>
            <w:r>
              <w:rPr>
                <w:rFonts w:hint="eastAsia"/>
                <w:b/>
                <w:bCs/>
                <w:color w:val="auto"/>
                <w:sz w:val="24"/>
                <w:szCs w:val="24"/>
              </w:rPr>
              <w:t>大气污染源监测计划</w:t>
            </w:r>
          </w:p>
          <w:p w14:paraId="6F5ABB69">
            <w:pPr>
              <w:spacing w:line="360" w:lineRule="auto"/>
              <w:ind w:firstLine="480" w:firstLineChars="200"/>
              <w:rPr>
                <w:rFonts w:cs="宋体"/>
                <w:bCs/>
                <w:color w:val="auto"/>
                <w:sz w:val="24"/>
                <w:szCs w:val="24"/>
              </w:rPr>
            </w:pPr>
            <w:r>
              <w:rPr>
                <w:rFonts w:hint="eastAsia"/>
                <w:color w:val="auto"/>
                <w:sz w:val="24"/>
                <w:szCs w:val="24"/>
                <w:lang w:val="en-US" w:eastAsia="zh-CN"/>
              </w:rPr>
              <w:t>根据《排污单位自行监测技术指南 总则》（HJ819-2017）等文件要求</w:t>
            </w:r>
            <w:r>
              <w:rPr>
                <w:color w:val="auto"/>
                <w:sz w:val="24"/>
                <w:szCs w:val="24"/>
              </w:rPr>
              <w:t>，</w:t>
            </w:r>
            <w:bookmarkStart w:id="28" w:name="OLE_LINK103"/>
            <w:r>
              <w:rPr>
                <w:rFonts w:cs="宋体"/>
                <w:bCs/>
                <w:color w:val="auto"/>
                <w:sz w:val="24"/>
                <w:szCs w:val="24"/>
              </w:rPr>
              <w:t>建设单位定期委托有资质的检（监）测机构代其开展自行监测，根据监测结果编写自行监测年度报告并上报当地环境保护主管部门。按照相关环保规定要求，排气筒应设置便于采样、监测的采样口和采样监测平台。排放废气的环境保护图形标志牌应设在排气筒附近地面醒目处。另需根据废气污染物无组织排放情况在厂界设置采样点</w:t>
            </w:r>
            <w:r>
              <w:rPr>
                <w:color w:val="auto"/>
                <w:sz w:val="24"/>
                <w:szCs w:val="24"/>
              </w:rPr>
              <w:t>。</w:t>
            </w:r>
          </w:p>
          <w:bookmarkEnd w:id="28"/>
          <w:p w14:paraId="2DF27F04">
            <w:pPr>
              <w:jc w:val="center"/>
              <w:rPr>
                <w:b/>
                <w:bCs/>
                <w:color w:val="auto"/>
                <w:sz w:val="24"/>
                <w:szCs w:val="24"/>
              </w:rPr>
            </w:pPr>
            <w:r>
              <w:rPr>
                <w:rFonts w:hint="eastAsia"/>
                <w:b/>
                <w:bCs/>
                <w:color w:val="auto"/>
                <w:sz w:val="24"/>
                <w:szCs w:val="24"/>
              </w:rPr>
              <w:t>表4-</w:t>
            </w:r>
            <w:r>
              <w:rPr>
                <w:rFonts w:hint="eastAsia"/>
                <w:b/>
                <w:bCs/>
                <w:color w:val="auto"/>
                <w:sz w:val="24"/>
                <w:szCs w:val="24"/>
                <w:lang w:val="en-US" w:eastAsia="zh-CN"/>
              </w:rPr>
              <w:t>7</w:t>
            </w:r>
            <w:r>
              <w:rPr>
                <w:rFonts w:hint="eastAsia"/>
                <w:b/>
                <w:bCs/>
                <w:color w:val="auto"/>
                <w:sz w:val="24"/>
                <w:szCs w:val="24"/>
              </w:rPr>
              <w:t xml:space="preserve"> </w:t>
            </w:r>
            <w:r>
              <w:rPr>
                <w:rFonts w:hint="eastAsia"/>
                <w:b/>
                <w:bCs/>
                <w:color w:val="auto"/>
                <w:sz w:val="24"/>
                <w:szCs w:val="24"/>
                <w:lang w:val="en-US" w:eastAsia="zh-CN"/>
              </w:rPr>
              <w:t>本项目</w:t>
            </w:r>
            <w:r>
              <w:rPr>
                <w:b/>
                <w:bCs/>
                <w:color w:val="auto"/>
                <w:sz w:val="24"/>
                <w:szCs w:val="24"/>
              </w:rPr>
              <w:t>废气污染源监测计划</w:t>
            </w:r>
          </w:p>
          <w:tbl>
            <w:tblPr>
              <w:tblStyle w:val="26"/>
              <w:tblW w:w="8161"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27"/>
              <w:gridCol w:w="403"/>
              <w:gridCol w:w="865"/>
              <w:gridCol w:w="1686"/>
              <w:gridCol w:w="1248"/>
              <w:gridCol w:w="3532"/>
            </w:tblGrid>
            <w:tr w14:paraId="5647F99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27" w:type="dxa"/>
                  <w:tcBorders>
                    <w:tl2br w:val="nil"/>
                    <w:tr2bl w:val="nil"/>
                  </w:tcBorders>
                  <w:vAlign w:val="center"/>
                </w:tcPr>
                <w:p w14:paraId="6474DA10">
                  <w:pPr>
                    <w:keepNext w:val="0"/>
                    <w:keepLines w:val="0"/>
                    <w:pageBreakBefore w:val="0"/>
                    <w:widowControl w:val="0"/>
                    <w:kinsoku/>
                    <w:wordWrap/>
                    <w:overflowPunct/>
                    <w:topLinePunct w:val="0"/>
                    <w:autoSpaceDE/>
                    <w:autoSpaceDN/>
                    <w:bidi w:val="0"/>
                    <w:snapToGrid w:val="0"/>
                    <w:jc w:val="center"/>
                    <w:textAlignment w:val="auto"/>
                    <w:rPr>
                      <w:b/>
                      <w:color w:val="auto"/>
                      <w:sz w:val="21"/>
                      <w:szCs w:val="21"/>
                    </w:rPr>
                  </w:pPr>
                  <w:r>
                    <w:rPr>
                      <w:b/>
                      <w:color w:val="auto"/>
                      <w:sz w:val="21"/>
                      <w:szCs w:val="21"/>
                    </w:rPr>
                    <w:t>类别</w:t>
                  </w:r>
                </w:p>
              </w:tc>
              <w:tc>
                <w:tcPr>
                  <w:tcW w:w="1268" w:type="dxa"/>
                  <w:gridSpan w:val="2"/>
                  <w:tcBorders>
                    <w:tl2br w:val="nil"/>
                    <w:tr2bl w:val="nil"/>
                  </w:tcBorders>
                  <w:vAlign w:val="center"/>
                </w:tcPr>
                <w:p w14:paraId="55BA38E6">
                  <w:pPr>
                    <w:keepNext w:val="0"/>
                    <w:keepLines w:val="0"/>
                    <w:pageBreakBefore w:val="0"/>
                    <w:widowControl w:val="0"/>
                    <w:kinsoku/>
                    <w:wordWrap/>
                    <w:overflowPunct/>
                    <w:topLinePunct w:val="0"/>
                    <w:autoSpaceDE/>
                    <w:autoSpaceDN/>
                    <w:bidi w:val="0"/>
                    <w:snapToGrid w:val="0"/>
                    <w:jc w:val="center"/>
                    <w:textAlignment w:val="auto"/>
                    <w:rPr>
                      <w:b/>
                      <w:color w:val="auto"/>
                      <w:sz w:val="21"/>
                      <w:szCs w:val="21"/>
                    </w:rPr>
                  </w:pPr>
                  <w:r>
                    <w:rPr>
                      <w:b/>
                      <w:color w:val="auto"/>
                      <w:sz w:val="21"/>
                      <w:szCs w:val="21"/>
                    </w:rPr>
                    <w:t>监测点位</w:t>
                  </w:r>
                </w:p>
              </w:tc>
              <w:tc>
                <w:tcPr>
                  <w:tcW w:w="1686" w:type="dxa"/>
                  <w:tcBorders>
                    <w:tl2br w:val="nil"/>
                    <w:tr2bl w:val="nil"/>
                  </w:tcBorders>
                  <w:vAlign w:val="center"/>
                </w:tcPr>
                <w:p w14:paraId="79444631">
                  <w:pPr>
                    <w:keepNext w:val="0"/>
                    <w:keepLines w:val="0"/>
                    <w:pageBreakBefore w:val="0"/>
                    <w:widowControl w:val="0"/>
                    <w:kinsoku/>
                    <w:wordWrap/>
                    <w:overflowPunct/>
                    <w:topLinePunct w:val="0"/>
                    <w:autoSpaceDE/>
                    <w:autoSpaceDN/>
                    <w:bidi w:val="0"/>
                    <w:snapToGrid w:val="0"/>
                    <w:jc w:val="center"/>
                    <w:textAlignment w:val="auto"/>
                    <w:rPr>
                      <w:b/>
                      <w:color w:val="auto"/>
                      <w:sz w:val="21"/>
                      <w:szCs w:val="21"/>
                    </w:rPr>
                  </w:pPr>
                  <w:r>
                    <w:rPr>
                      <w:b/>
                      <w:color w:val="auto"/>
                      <w:sz w:val="21"/>
                      <w:szCs w:val="21"/>
                    </w:rPr>
                    <w:t>监测项目</w:t>
                  </w:r>
                </w:p>
              </w:tc>
              <w:tc>
                <w:tcPr>
                  <w:tcW w:w="1248" w:type="dxa"/>
                  <w:tcBorders>
                    <w:tl2br w:val="nil"/>
                    <w:tr2bl w:val="nil"/>
                  </w:tcBorders>
                  <w:vAlign w:val="center"/>
                </w:tcPr>
                <w:p w14:paraId="67764088">
                  <w:pPr>
                    <w:keepNext w:val="0"/>
                    <w:keepLines w:val="0"/>
                    <w:pageBreakBefore w:val="0"/>
                    <w:widowControl w:val="0"/>
                    <w:kinsoku/>
                    <w:wordWrap/>
                    <w:overflowPunct/>
                    <w:topLinePunct w:val="0"/>
                    <w:autoSpaceDE/>
                    <w:autoSpaceDN/>
                    <w:bidi w:val="0"/>
                    <w:snapToGrid w:val="0"/>
                    <w:jc w:val="center"/>
                    <w:textAlignment w:val="auto"/>
                    <w:rPr>
                      <w:b/>
                      <w:color w:val="auto"/>
                      <w:sz w:val="21"/>
                      <w:szCs w:val="21"/>
                    </w:rPr>
                  </w:pPr>
                  <w:r>
                    <w:rPr>
                      <w:b/>
                      <w:color w:val="auto"/>
                      <w:sz w:val="21"/>
                      <w:szCs w:val="21"/>
                    </w:rPr>
                    <w:t>监测频率</w:t>
                  </w:r>
                </w:p>
              </w:tc>
              <w:tc>
                <w:tcPr>
                  <w:tcW w:w="3532" w:type="dxa"/>
                  <w:tcBorders>
                    <w:tl2br w:val="nil"/>
                    <w:tr2bl w:val="nil"/>
                  </w:tcBorders>
                  <w:vAlign w:val="center"/>
                </w:tcPr>
                <w:p w14:paraId="2A6AEF9E">
                  <w:pPr>
                    <w:keepNext w:val="0"/>
                    <w:keepLines w:val="0"/>
                    <w:pageBreakBefore w:val="0"/>
                    <w:widowControl w:val="0"/>
                    <w:kinsoku/>
                    <w:wordWrap/>
                    <w:overflowPunct/>
                    <w:topLinePunct w:val="0"/>
                    <w:autoSpaceDE/>
                    <w:autoSpaceDN/>
                    <w:bidi w:val="0"/>
                    <w:snapToGrid w:val="0"/>
                    <w:jc w:val="center"/>
                    <w:textAlignment w:val="auto"/>
                    <w:rPr>
                      <w:b/>
                      <w:color w:val="auto"/>
                      <w:sz w:val="21"/>
                      <w:szCs w:val="21"/>
                    </w:rPr>
                  </w:pPr>
                  <w:r>
                    <w:rPr>
                      <w:b/>
                      <w:color w:val="auto"/>
                      <w:sz w:val="21"/>
                      <w:szCs w:val="21"/>
                    </w:rPr>
                    <w:t>执行排放标准</w:t>
                  </w:r>
                </w:p>
              </w:tc>
            </w:tr>
            <w:tr w14:paraId="4B013BA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27" w:type="dxa"/>
                  <w:vMerge w:val="restart"/>
                  <w:tcBorders>
                    <w:tl2br w:val="nil"/>
                    <w:tr2bl w:val="nil"/>
                  </w:tcBorders>
                  <w:vAlign w:val="center"/>
                </w:tcPr>
                <w:p w14:paraId="0C43B42C">
                  <w:pPr>
                    <w:keepNext w:val="0"/>
                    <w:keepLines w:val="0"/>
                    <w:pageBreakBefore w:val="0"/>
                    <w:widowControl w:val="0"/>
                    <w:kinsoku/>
                    <w:wordWrap/>
                    <w:overflowPunct/>
                    <w:topLinePunct w:val="0"/>
                    <w:autoSpaceDE/>
                    <w:autoSpaceDN/>
                    <w:bidi w:val="0"/>
                    <w:snapToGrid w:val="0"/>
                    <w:jc w:val="center"/>
                    <w:textAlignment w:val="auto"/>
                    <w:rPr>
                      <w:rFonts w:hint="eastAsia" w:eastAsia="宋体"/>
                      <w:color w:val="auto"/>
                      <w:sz w:val="21"/>
                      <w:szCs w:val="21"/>
                      <w:lang w:val="en-US" w:eastAsia="zh-CN"/>
                    </w:rPr>
                  </w:pPr>
                  <w:r>
                    <w:rPr>
                      <w:rFonts w:hint="eastAsia"/>
                      <w:color w:val="auto"/>
                      <w:sz w:val="21"/>
                      <w:szCs w:val="21"/>
                      <w:lang w:val="en-US" w:eastAsia="zh-CN"/>
                    </w:rPr>
                    <w:t>废气</w:t>
                  </w:r>
                </w:p>
              </w:tc>
              <w:tc>
                <w:tcPr>
                  <w:tcW w:w="403" w:type="dxa"/>
                  <w:tcBorders>
                    <w:tl2br w:val="nil"/>
                    <w:tr2bl w:val="nil"/>
                  </w:tcBorders>
                  <w:vAlign w:val="center"/>
                </w:tcPr>
                <w:p w14:paraId="2F215556">
                  <w:pPr>
                    <w:keepNext w:val="0"/>
                    <w:keepLines w:val="0"/>
                    <w:pageBreakBefore w:val="0"/>
                    <w:widowControl w:val="0"/>
                    <w:kinsoku/>
                    <w:wordWrap/>
                    <w:overflowPunct/>
                    <w:topLinePunct w:val="0"/>
                    <w:autoSpaceDE/>
                    <w:autoSpaceDN/>
                    <w:bidi w:val="0"/>
                    <w:snapToGrid w:val="0"/>
                    <w:jc w:val="center"/>
                    <w:textAlignment w:val="auto"/>
                    <w:rPr>
                      <w:rFonts w:hint="eastAsia" w:eastAsia="宋体"/>
                      <w:color w:val="auto"/>
                      <w:sz w:val="21"/>
                      <w:szCs w:val="21"/>
                      <w:lang w:val="en-US" w:eastAsia="zh-CN"/>
                    </w:rPr>
                  </w:pPr>
                  <w:r>
                    <w:rPr>
                      <w:rFonts w:hint="eastAsia"/>
                      <w:color w:val="auto"/>
                      <w:sz w:val="21"/>
                      <w:szCs w:val="21"/>
                      <w:lang w:val="en-US" w:eastAsia="zh-CN"/>
                    </w:rPr>
                    <w:t>有组织</w:t>
                  </w:r>
                </w:p>
              </w:tc>
              <w:tc>
                <w:tcPr>
                  <w:tcW w:w="865" w:type="dxa"/>
                  <w:tcBorders>
                    <w:tl2br w:val="nil"/>
                    <w:tr2bl w:val="nil"/>
                  </w:tcBorders>
                  <w:vAlign w:val="center"/>
                </w:tcPr>
                <w:p w14:paraId="1170448B">
                  <w:pPr>
                    <w:keepNext w:val="0"/>
                    <w:keepLines w:val="0"/>
                    <w:pageBreakBefore w:val="0"/>
                    <w:widowControl w:val="0"/>
                    <w:kinsoku/>
                    <w:wordWrap/>
                    <w:overflowPunct/>
                    <w:topLinePunct w:val="0"/>
                    <w:autoSpaceDE/>
                    <w:autoSpaceDN/>
                    <w:bidi w:val="0"/>
                    <w:snapToGrid w:val="0"/>
                    <w:jc w:val="center"/>
                    <w:textAlignment w:val="auto"/>
                    <w:rPr>
                      <w:rFonts w:hint="default" w:eastAsia="宋体"/>
                      <w:color w:val="auto"/>
                      <w:sz w:val="21"/>
                      <w:szCs w:val="21"/>
                      <w:lang w:val="en-US" w:eastAsia="zh-CN"/>
                    </w:rPr>
                  </w:pPr>
                  <w:r>
                    <w:rPr>
                      <w:rFonts w:hint="eastAsia"/>
                      <w:color w:val="auto"/>
                      <w:sz w:val="21"/>
                      <w:szCs w:val="21"/>
                      <w:lang w:val="en-US" w:eastAsia="zh-CN"/>
                    </w:rPr>
                    <w:t>DA001</w:t>
                  </w:r>
                </w:p>
              </w:tc>
              <w:tc>
                <w:tcPr>
                  <w:tcW w:w="1686" w:type="dxa"/>
                  <w:tcBorders>
                    <w:tl2br w:val="nil"/>
                    <w:tr2bl w:val="nil"/>
                  </w:tcBorders>
                  <w:vAlign w:val="center"/>
                </w:tcPr>
                <w:p w14:paraId="106DD716">
                  <w:pPr>
                    <w:keepNext w:val="0"/>
                    <w:keepLines w:val="0"/>
                    <w:pageBreakBefore w:val="0"/>
                    <w:widowControl w:val="0"/>
                    <w:kinsoku/>
                    <w:wordWrap/>
                    <w:overflowPunct/>
                    <w:topLinePunct w:val="0"/>
                    <w:autoSpaceDE/>
                    <w:autoSpaceDN/>
                    <w:bidi w:val="0"/>
                    <w:jc w:val="center"/>
                    <w:textAlignment w:val="auto"/>
                    <w:rPr>
                      <w:rFonts w:hint="eastAsia" w:ascii="Times New Roman" w:hAnsi="Times New Roman" w:eastAsia="宋体" w:cs="Times New Roman"/>
                      <w:color w:val="auto"/>
                      <w:kern w:val="2"/>
                      <w:sz w:val="21"/>
                      <w:szCs w:val="21"/>
                      <w:lang w:val="en-US" w:eastAsia="zh-CN" w:bidi="ar"/>
                    </w:rPr>
                  </w:pPr>
                  <w:r>
                    <w:rPr>
                      <w:rFonts w:hint="default" w:eastAsia="宋体"/>
                      <w:color w:val="auto"/>
                      <w:sz w:val="21"/>
                      <w:szCs w:val="21"/>
                      <w:lang w:val="en-US" w:eastAsia="zh-CN"/>
                    </w:rPr>
                    <w:t>颗粒物</w:t>
                  </w:r>
                </w:p>
              </w:tc>
              <w:tc>
                <w:tcPr>
                  <w:tcW w:w="1248" w:type="dxa"/>
                  <w:tcBorders>
                    <w:tl2br w:val="nil"/>
                    <w:tr2bl w:val="nil"/>
                  </w:tcBorders>
                  <w:vAlign w:val="center"/>
                </w:tcPr>
                <w:p w14:paraId="115BAB69">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color w:val="auto"/>
                      <w:sz w:val="21"/>
                      <w:szCs w:val="21"/>
                      <w:lang w:val="en-US" w:eastAsia="zh-CN"/>
                    </w:rPr>
                  </w:pPr>
                  <w:r>
                    <w:rPr>
                      <w:rFonts w:hint="eastAsia"/>
                      <w:color w:val="auto"/>
                      <w:sz w:val="21"/>
                      <w:szCs w:val="21"/>
                      <w:lang w:val="en-US" w:eastAsia="zh-CN"/>
                    </w:rPr>
                    <w:t>一年一次</w:t>
                  </w:r>
                </w:p>
              </w:tc>
              <w:tc>
                <w:tcPr>
                  <w:tcW w:w="3532" w:type="dxa"/>
                  <w:tcBorders>
                    <w:tl2br w:val="nil"/>
                    <w:tr2bl w:val="nil"/>
                  </w:tcBorders>
                  <w:vAlign w:val="center"/>
                </w:tcPr>
                <w:p w14:paraId="3998F1E6">
                  <w:pPr>
                    <w:keepNext w:val="0"/>
                    <w:keepLines w:val="0"/>
                    <w:pageBreakBefore w:val="0"/>
                    <w:widowControl w:val="0"/>
                    <w:kinsoku/>
                    <w:wordWrap/>
                    <w:overflowPunct/>
                    <w:topLinePunct w:val="0"/>
                    <w:autoSpaceDE/>
                    <w:autoSpaceDN/>
                    <w:bidi w:val="0"/>
                    <w:snapToGrid w:val="0"/>
                    <w:jc w:val="center"/>
                    <w:textAlignment w:val="auto"/>
                    <w:rPr>
                      <w:rFonts w:hint="eastAsia" w:eastAsia="宋体"/>
                      <w:color w:val="auto"/>
                      <w:sz w:val="21"/>
                      <w:szCs w:val="21"/>
                      <w:lang w:eastAsia="zh-CN"/>
                    </w:rPr>
                  </w:pPr>
                  <w:r>
                    <w:rPr>
                      <w:rFonts w:hint="eastAsia"/>
                      <w:color w:val="auto"/>
                      <w:sz w:val="21"/>
                      <w:szCs w:val="21"/>
                    </w:rPr>
                    <w:t>《大气污染物综合排放标准》（DB32/4041-2021）表</w:t>
                  </w:r>
                  <w:r>
                    <w:rPr>
                      <w:rFonts w:hint="eastAsia"/>
                      <w:color w:val="auto"/>
                      <w:sz w:val="21"/>
                      <w:szCs w:val="21"/>
                      <w:lang w:val="en-US" w:eastAsia="zh-CN"/>
                    </w:rPr>
                    <w:t>1</w:t>
                  </w:r>
                </w:p>
              </w:tc>
            </w:tr>
            <w:tr w14:paraId="742844A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27" w:type="dxa"/>
                  <w:vMerge w:val="continue"/>
                  <w:tcBorders>
                    <w:tl2br w:val="nil"/>
                    <w:tr2bl w:val="nil"/>
                  </w:tcBorders>
                  <w:vAlign w:val="center"/>
                </w:tcPr>
                <w:p w14:paraId="672252F5">
                  <w:pPr>
                    <w:keepNext w:val="0"/>
                    <w:keepLines w:val="0"/>
                    <w:pageBreakBefore w:val="0"/>
                    <w:widowControl w:val="0"/>
                    <w:kinsoku/>
                    <w:wordWrap/>
                    <w:overflowPunct/>
                    <w:topLinePunct w:val="0"/>
                    <w:autoSpaceDE/>
                    <w:autoSpaceDN/>
                    <w:bidi w:val="0"/>
                    <w:snapToGrid w:val="0"/>
                    <w:jc w:val="center"/>
                    <w:textAlignment w:val="auto"/>
                    <w:rPr>
                      <w:rFonts w:hint="eastAsia" w:eastAsia="宋体"/>
                      <w:color w:val="auto"/>
                      <w:sz w:val="21"/>
                      <w:szCs w:val="21"/>
                      <w:lang w:val="en-US" w:eastAsia="zh-CN"/>
                    </w:rPr>
                  </w:pPr>
                </w:p>
              </w:tc>
              <w:tc>
                <w:tcPr>
                  <w:tcW w:w="403" w:type="dxa"/>
                  <w:vMerge w:val="restart"/>
                  <w:tcBorders>
                    <w:tl2br w:val="nil"/>
                    <w:tr2bl w:val="nil"/>
                  </w:tcBorders>
                  <w:vAlign w:val="center"/>
                </w:tcPr>
                <w:p w14:paraId="01985747">
                  <w:pPr>
                    <w:keepNext w:val="0"/>
                    <w:keepLines w:val="0"/>
                    <w:pageBreakBefore w:val="0"/>
                    <w:widowControl w:val="0"/>
                    <w:kinsoku/>
                    <w:wordWrap/>
                    <w:overflowPunct/>
                    <w:topLinePunct w:val="0"/>
                    <w:autoSpaceDE/>
                    <w:autoSpaceDN/>
                    <w:bidi w:val="0"/>
                    <w:snapToGrid w:val="0"/>
                    <w:jc w:val="center"/>
                    <w:textAlignment w:val="auto"/>
                    <w:rPr>
                      <w:color w:val="auto"/>
                      <w:sz w:val="21"/>
                      <w:szCs w:val="21"/>
                    </w:rPr>
                  </w:pPr>
                  <w:r>
                    <w:rPr>
                      <w:color w:val="auto"/>
                      <w:sz w:val="21"/>
                      <w:szCs w:val="21"/>
                    </w:rPr>
                    <w:t>无组织</w:t>
                  </w:r>
                </w:p>
              </w:tc>
              <w:tc>
                <w:tcPr>
                  <w:tcW w:w="865" w:type="dxa"/>
                  <w:tcBorders>
                    <w:tl2br w:val="nil"/>
                    <w:tr2bl w:val="nil"/>
                  </w:tcBorders>
                  <w:vAlign w:val="center"/>
                </w:tcPr>
                <w:p w14:paraId="35507D40">
                  <w:pPr>
                    <w:keepNext w:val="0"/>
                    <w:keepLines w:val="0"/>
                    <w:pageBreakBefore w:val="0"/>
                    <w:widowControl w:val="0"/>
                    <w:kinsoku/>
                    <w:wordWrap/>
                    <w:overflowPunct/>
                    <w:topLinePunct w:val="0"/>
                    <w:autoSpaceDE/>
                    <w:autoSpaceDN/>
                    <w:bidi w:val="0"/>
                    <w:snapToGrid w:val="0"/>
                    <w:jc w:val="center"/>
                    <w:textAlignment w:val="auto"/>
                    <w:rPr>
                      <w:color w:val="auto"/>
                      <w:sz w:val="21"/>
                      <w:szCs w:val="21"/>
                    </w:rPr>
                  </w:pPr>
                  <w:r>
                    <w:rPr>
                      <w:color w:val="auto"/>
                      <w:sz w:val="21"/>
                      <w:szCs w:val="21"/>
                    </w:rPr>
                    <w:t>厂界</w:t>
                  </w:r>
                </w:p>
              </w:tc>
              <w:tc>
                <w:tcPr>
                  <w:tcW w:w="1686" w:type="dxa"/>
                  <w:tcBorders>
                    <w:tl2br w:val="nil"/>
                    <w:tr2bl w:val="nil"/>
                  </w:tcBorders>
                  <w:vAlign w:val="center"/>
                </w:tcPr>
                <w:p w14:paraId="316CC59B">
                  <w:pPr>
                    <w:keepNext w:val="0"/>
                    <w:keepLines w:val="0"/>
                    <w:pageBreakBefore w:val="0"/>
                    <w:widowControl w:val="0"/>
                    <w:kinsoku/>
                    <w:wordWrap/>
                    <w:overflowPunct/>
                    <w:topLinePunct w:val="0"/>
                    <w:autoSpaceDE/>
                    <w:autoSpaceDN/>
                    <w:bidi w:val="0"/>
                    <w:jc w:val="center"/>
                    <w:textAlignment w:val="auto"/>
                    <w:rPr>
                      <w:rFonts w:hint="default"/>
                      <w:color w:val="auto"/>
                      <w:sz w:val="21"/>
                      <w:szCs w:val="21"/>
                      <w:lang w:val="en-US"/>
                    </w:rPr>
                  </w:pPr>
                  <w:r>
                    <w:rPr>
                      <w:rFonts w:hint="eastAsia" w:ascii="Times New Roman" w:hAnsi="Times New Roman" w:eastAsia="宋体" w:cs="Times New Roman"/>
                      <w:color w:val="auto"/>
                      <w:kern w:val="2"/>
                      <w:sz w:val="21"/>
                      <w:szCs w:val="21"/>
                      <w:lang w:val="en-US" w:eastAsia="zh-CN" w:bidi="ar"/>
                    </w:rPr>
                    <w:t>非甲烷总烃、</w:t>
                  </w:r>
                  <w:r>
                    <w:rPr>
                      <w:rFonts w:hint="default" w:eastAsia="宋体"/>
                      <w:color w:val="auto"/>
                      <w:sz w:val="21"/>
                      <w:szCs w:val="21"/>
                      <w:lang w:val="en-US" w:eastAsia="zh-CN"/>
                    </w:rPr>
                    <w:t>颗粒物</w:t>
                  </w:r>
                  <w:r>
                    <w:rPr>
                      <w:rFonts w:hint="eastAsia"/>
                      <w:color w:val="auto"/>
                      <w:sz w:val="21"/>
                      <w:szCs w:val="21"/>
                      <w:lang w:val="en-US" w:eastAsia="zh-CN"/>
                    </w:rPr>
                    <w:t>、硫化氢、氨气、</w:t>
                  </w:r>
                  <w:r>
                    <w:rPr>
                      <w:rFonts w:hint="default" w:eastAsia="宋体"/>
                      <w:color w:val="auto"/>
                      <w:sz w:val="21"/>
                      <w:szCs w:val="21"/>
                      <w:lang w:val="en-US" w:eastAsia="zh-CN"/>
                    </w:rPr>
                    <w:t>臭气浓度</w:t>
                  </w:r>
                </w:p>
              </w:tc>
              <w:tc>
                <w:tcPr>
                  <w:tcW w:w="1248" w:type="dxa"/>
                  <w:tcBorders>
                    <w:tl2br w:val="nil"/>
                    <w:tr2bl w:val="nil"/>
                  </w:tcBorders>
                  <w:vAlign w:val="center"/>
                </w:tcPr>
                <w:p w14:paraId="4A6549B9">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eastAsia="宋体"/>
                      <w:color w:val="auto"/>
                      <w:sz w:val="21"/>
                      <w:szCs w:val="21"/>
                      <w:lang w:val="en-US" w:eastAsia="zh-CN"/>
                    </w:rPr>
                  </w:pPr>
                  <w:r>
                    <w:rPr>
                      <w:rFonts w:hint="eastAsia"/>
                      <w:color w:val="auto"/>
                      <w:sz w:val="21"/>
                      <w:szCs w:val="21"/>
                      <w:lang w:val="en-US" w:eastAsia="zh-CN"/>
                    </w:rPr>
                    <w:t>一年一次</w:t>
                  </w:r>
                </w:p>
              </w:tc>
              <w:tc>
                <w:tcPr>
                  <w:tcW w:w="3532" w:type="dxa"/>
                  <w:tcBorders>
                    <w:tl2br w:val="nil"/>
                    <w:tr2bl w:val="nil"/>
                  </w:tcBorders>
                  <w:vAlign w:val="center"/>
                </w:tcPr>
                <w:p w14:paraId="65884DA9">
                  <w:pPr>
                    <w:keepNext w:val="0"/>
                    <w:keepLines w:val="0"/>
                    <w:pageBreakBefore w:val="0"/>
                    <w:widowControl w:val="0"/>
                    <w:kinsoku/>
                    <w:wordWrap/>
                    <w:overflowPunct/>
                    <w:topLinePunct w:val="0"/>
                    <w:autoSpaceDE/>
                    <w:autoSpaceDN/>
                    <w:bidi w:val="0"/>
                    <w:snapToGrid w:val="0"/>
                    <w:jc w:val="center"/>
                    <w:textAlignment w:val="auto"/>
                    <w:rPr>
                      <w:color w:val="auto"/>
                      <w:sz w:val="21"/>
                      <w:szCs w:val="21"/>
                    </w:rPr>
                  </w:pPr>
                  <w:r>
                    <w:rPr>
                      <w:rFonts w:hint="eastAsia"/>
                      <w:color w:val="auto"/>
                      <w:sz w:val="21"/>
                      <w:szCs w:val="21"/>
                    </w:rPr>
                    <w:t>《大气污染物综合排放标准》（DB32/4041-2021）表3</w:t>
                  </w:r>
                  <w:r>
                    <w:rPr>
                      <w:rFonts w:hint="eastAsia"/>
                      <w:color w:val="auto"/>
                      <w:sz w:val="21"/>
                      <w:szCs w:val="21"/>
                      <w:lang w:eastAsia="zh-CN"/>
                    </w:rPr>
                    <w:t>、</w:t>
                  </w:r>
                  <w:r>
                    <w:rPr>
                      <w:rFonts w:hint="eastAsia"/>
                      <w:color w:val="auto"/>
                      <w:sz w:val="21"/>
                      <w:szCs w:val="21"/>
                    </w:rPr>
                    <w:t>《恶臭污染物排放标准》（GB14554-93）表1</w:t>
                  </w:r>
                </w:p>
              </w:tc>
            </w:tr>
            <w:tr w14:paraId="3BFE421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27" w:type="dxa"/>
                  <w:vMerge w:val="continue"/>
                  <w:tcBorders>
                    <w:tl2br w:val="nil"/>
                    <w:tr2bl w:val="nil"/>
                  </w:tcBorders>
                  <w:vAlign w:val="center"/>
                </w:tcPr>
                <w:p w14:paraId="0F48A128">
                  <w:pPr>
                    <w:keepNext w:val="0"/>
                    <w:keepLines w:val="0"/>
                    <w:pageBreakBefore w:val="0"/>
                    <w:widowControl w:val="0"/>
                    <w:kinsoku/>
                    <w:wordWrap/>
                    <w:overflowPunct/>
                    <w:topLinePunct w:val="0"/>
                    <w:autoSpaceDE/>
                    <w:autoSpaceDN/>
                    <w:bidi w:val="0"/>
                    <w:snapToGrid w:val="0"/>
                    <w:jc w:val="center"/>
                    <w:textAlignment w:val="auto"/>
                    <w:rPr>
                      <w:color w:val="auto"/>
                      <w:sz w:val="21"/>
                      <w:szCs w:val="21"/>
                    </w:rPr>
                  </w:pPr>
                </w:p>
              </w:tc>
              <w:tc>
                <w:tcPr>
                  <w:tcW w:w="403" w:type="dxa"/>
                  <w:vMerge w:val="continue"/>
                  <w:tcBorders>
                    <w:tl2br w:val="nil"/>
                    <w:tr2bl w:val="nil"/>
                  </w:tcBorders>
                  <w:vAlign w:val="center"/>
                </w:tcPr>
                <w:p w14:paraId="484AE16E">
                  <w:pPr>
                    <w:keepNext w:val="0"/>
                    <w:keepLines w:val="0"/>
                    <w:pageBreakBefore w:val="0"/>
                    <w:widowControl w:val="0"/>
                    <w:kinsoku/>
                    <w:wordWrap/>
                    <w:overflowPunct/>
                    <w:topLinePunct w:val="0"/>
                    <w:autoSpaceDE/>
                    <w:autoSpaceDN/>
                    <w:bidi w:val="0"/>
                    <w:snapToGrid w:val="0"/>
                    <w:jc w:val="center"/>
                    <w:textAlignment w:val="auto"/>
                    <w:rPr>
                      <w:color w:val="auto"/>
                      <w:sz w:val="21"/>
                      <w:szCs w:val="21"/>
                    </w:rPr>
                  </w:pPr>
                </w:p>
              </w:tc>
              <w:tc>
                <w:tcPr>
                  <w:tcW w:w="865" w:type="dxa"/>
                  <w:tcBorders>
                    <w:tl2br w:val="nil"/>
                    <w:tr2bl w:val="nil"/>
                  </w:tcBorders>
                  <w:shd w:val="clear" w:color="auto" w:fill="auto"/>
                  <w:vAlign w:val="center"/>
                </w:tcPr>
                <w:p w14:paraId="1487E8A0">
                  <w:pPr>
                    <w:keepNext w:val="0"/>
                    <w:keepLines w:val="0"/>
                    <w:pageBreakBefore w:val="0"/>
                    <w:widowControl w:val="0"/>
                    <w:kinsoku/>
                    <w:wordWrap/>
                    <w:overflowPunct/>
                    <w:topLinePunct w:val="0"/>
                    <w:autoSpaceDE/>
                    <w:autoSpaceDN/>
                    <w:bidi w:val="0"/>
                    <w:snapToGrid w:val="0"/>
                    <w:jc w:val="center"/>
                    <w:textAlignment w:val="auto"/>
                    <w:rPr>
                      <w:rFonts w:hint="default" w:ascii="Times New Roman" w:hAnsi="Times New Roman" w:eastAsia="宋体" w:cs="Times New Roman"/>
                      <w:color w:val="auto"/>
                      <w:kern w:val="2"/>
                      <w:sz w:val="21"/>
                      <w:szCs w:val="21"/>
                      <w:lang w:val="en-US" w:eastAsia="zh-CN" w:bidi="ar"/>
                    </w:rPr>
                  </w:pPr>
                  <w:r>
                    <w:rPr>
                      <w:rFonts w:hint="eastAsia"/>
                      <w:color w:val="auto"/>
                      <w:sz w:val="21"/>
                      <w:szCs w:val="21"/>
                    </w:rPr>
                    <w:t>厂房外</w:t>
                  </w:r>
                </w:p>
              </w:tc>
              <w:tc>
                <w:tcPr>
                  <w:tcW w:w="1686" w:type="dxa"/>
                  <w:tcBorders>
                    <w:tl2br w:val="nil"/>
                    <w:tr2bl w:val="nil"/>
                  </w:tcBorders>
                  <w:shd w:val="clear" w:color="auto" w:fill="auto"/>
                  <w:vAlign w:val="center"/>
                </w:tcPr>
                <w:p w14:paraId="4AD78519">
                  <w:pPr>
                    <w:keepNext w:val="0"/>
                    <w:keepLines w:val="0"/>
                    <w:pageBreakBefore w:val="0"/>
                    <w:widowControl w:val="0"/>
                    <w:kinsoku/>
                    <w:wordWrap/>
                    <w:overflowPunct/>
                    <w:topLinePunct w:val="0"/>
                    <w:autoSpaceDE/>
                    <w:autoSpaceDN/>
                    <w:bidi w:val="0"/>
                    <w:snapToGrid w:val="0"/>
                    <w:jc w:val="center"/>
                    <w:textAlignment w:val="auto"/>
                    <w:rPr>
                      <w:rFonts w:hint="eastAsia" w:ascii="Times New Roman" w:hAnsi="Times New Roman" w:eastAsia="宋体" w:cs="Times New Roman"/>
                      <w:color w:val="auto"/>
                      <w:kern w:val="2"/>
                      <w:sz w:val="21"/>
                      <w:szCs w:val="21"/>
                      <w:lang w:val="en-US" w:eastAsia="zh-CN" w:bidi="ar"/>
                    </w:rPr>
                  </w:pPr>
                  <w:r>
                    <w:rPr>
                      <w:rFonts w:hint="eastAsia" w:ascii="Times New Roman" w:hAnsi="Times New Roman" w:eastAsia="宋体" w:cs="Times New Roman"/>
                      <w:color w:val="auto"/>
                      <w:kern w:val="2"/>
                      <w:sz w:val="21"/>
                      <w:szCs w:val="21"/>
                      <w:lang w:val="en-US" w:eastAsia="zh-CN" w:bidi="ar"/>
                    </w:rPr>
                    <w:t>非甲烷总烃</w:t>
                  </w:r>
                </w:p>
              </w:tc>
              <w:tc>
                <w:tcPr>
                  <w:tcW w:w="1248" w:type="dxa"/>
                  <w:tcBorders>
                    <w:tl2br w:val="nil"/>
                    <w:tr2bl w:val="nil"/>
                  </w:tcBorders>
                  <w:shd w:val="clear" w:color="auto" w:fill="auto"/>
                  <w:vAlign w:val="center"/>
                </w:tcPr>
                <w:p w14:paraId="3ACC8847">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auto"/>
                      <w:kern w:val="2"/>
                      <w:sz w:val="21"/>
                      <w:szCs w:val="21"/>
                      <w:lang w:val="en-US" w:eastAsia="zh-CN" w:bidi="ar"/>
                    </w:rPr>
                  </w:pPr>
                  <w:r>
                    <w:rPr>
                      <w:rFonts w:hint="eastAsia"/>
                      <w:color w:val="auto"/>
                      <w:sz w:val="21"/>
                      <w:szCs w:val="21"/>
                      <w:lang w:val="en-US" w:eastAsia="zh-CN"/>
                    </w:rPr>
                    <w:t>一年一次</w:t>
                  </w:r>
                </w:p>
              </w:tc>
              <w:tc>
                <w:tcPr>
                  <w:tcW w:w="3532" w:type="dxa"/>
                  <w:tcBorders>
                    <w:tl2br w:val="nil"/>
                    <w:tr2bl w:val="nil"/>
                  </w:tcBorders>
                  <w:shd w:val="clear" w:color="auto" w:fill="auto"/>
                  <w:vAlign w:val="center"/>
                </w:tcPr>
                <w:p w14:paraId="048E63D4">
                  <w:pPr>
                    <w:keepNext w:val="0"/>
                    <w:keepLines w:val="0"/>
                    <w:pageBreakBefore w:val="0"/>
                    <w:widowControl w:val="0"/>
                    <w:kinsoku/>
                    <w:wordWrap/>
                    <w:overflowPunct/>
                    <w:topLinePunct w:val="0"/>
                    <w:autoSpaceDE/>
                    <w:autoSpaceDN/>
                    <w:bidi w:val="0"/>
                    <w:snapToGrid w:val="0"/>
                    <w:jc w:val="center"/>
                    <w:textAlignment w:val="auto"/>
                    <w:rPr>
                      <w:rFonts w:hint="eastAsia" w:ascii="Times New Roman" w:hAnsi="Times New Roman" w:eastAsia="宋体" w:cs="Times New Roman"/>
                      <w:color w:val="auto"/>
                      <w:kern w:val="2"/>
                      <w:sz w:val="21"/>
                      <w:szCs w:val="21"/>
                      <w:lang w:val="en-US" w:eastAsia="zh-CN" w:bidi="ar"/>
                    </w:rPr>
                  </w:pPr>
                  <w:r>
                    <w:rPr>
                      <w:rFonts w:hint="eastAsia" w:ascii="Times New Roman" w:hAnsi="Times New Roman" w:eastAsia="宋体" w:cs="Times New Roman"/>
                      <w:color w:val="auto"/>
                      <w:kern w:val="2"/>
                      <w:sz w:val="21"/>
                      <w:szCs w:val="21"/>
                      <w:lang w:val="en-US" w:eastAsia="zh-CN" w:bidi="ar"/>
                    </w:rPr>
                    <w:t>《大气污染物综合排放标准》（DB32/4041-2021）表2</w:t>
                  </w:r>
                </w:p>
              </w:tc>
            </w:tr>
          </w:tbl>
          <w:p w14:paraId="08B05B3E">
            <w:pPr>
              <w:spacing w:before="120" w:beforeLines="50" w:line="360" w:lineRule="auto"/>
              <w:ind w:firstLine="482" w:firstLineChars="200"/>
              <w:rPr>
                <w:b/>
                <w:bCs/>
                <w:color w:val="auto"/>
                <w:sz w:val="24"/>
                <w:szCs w:val="24"/>
              </w:rPr>
            </w:pPr>
            <w:r>
              <w:rPr>
                <w:b/>
                <w:bCs/>
                <w:color w:val="auto"/>
                <w:sz w:val="24"/>
                <w:szCs w:val="24"/>
              </w:rPr>
              <w:t>1.</w:t>
            </w:r>
            <w:r>
              <w:rPr>
                <w:rFonts w:hint="eastAsia"/>
                <w:b/>
                <w:bCs/>
                <w:color w:val="auto"/>
                <w:sz w:val="24"/>
                <w:szCs w:val="24"/>
                <w:lang w:val="en-US" w:eastAsia="zh-CN"/>
              </w:rPr>
              <w:t>4</w:t>
            </w:r>
            <w:r>
              <w:rPr>
                <w:rFonts w:hint="eastAsia"/>
                <w:b/>
                <w:bCs/>
                <w:color w:val="auto"/>
                <w:sz w:val="24"/>
                <w:szCs w:val="24"/>
              </w:rPr>
              <w:t>废气污染治理设施可行性分析</w:t>
            </w:r>
          </w:p>
          <w:p w14:paraId="5B827C44">
            <w:pPr>
              <w:spacing w:line="360" w:lineRule="auto"/>
              <w:ind w:firstLine="480"/>
              <w:rPr>
                <w:rFonts w:cs="宋体"/>
                <w:bCs/>
                <w:color w:val="auto"/>
                <w:sz w:val="24"/>
                <w:szCs w:val="24"/>
              </w:rPr>
            </w:pPr>
            <w:r>
              <w:rPr>
                <w:rFonts w:hint="eastAsia" w:cs="宋体"/>
                <w:bCs/>
                <w:color w:val="auto"/>
                <w:sz w:val="24"/>
                <w:szCs w:val="24"/>
              </w:rPr>
              <w:t>处理措施评价：</w:t>
            </w:r>
          </w:p>
          <w:p w14:paraId="28FAB4E3">
            <w:pPr>
              <w:spacing w:line="360" w:lineRule="auto"/>
              <w:ind w:firstLine="480"/>
              <w:rPr>
                <w:color w:val="auto"/>
                <w:sz w:val="24"/>
                <w:szCs w:val="24"/>
              </w:rPr>
            </w:pPr>
            <w:r>
              <w:rPr>
                <w:color w:val="auto"/>
                <w:sz w:val="24"/>
                <w:szCs w:val="24"/>
              </w:rPr>
              <w:t>本项目运营期</w:t>
            </w:r>
            <w:r>
              <w:rPr>
                <w:rFonts w:hint="eastAsia"/>
                <w:color w:val="auto"/>
                <w:sz w:val="24"/>
                <w:szCs w:val="24"/>
              </w:rPr>
              <w:t>废气收集治理走向流程</w:t>
            </w:r>
            <w:r>
              <w:rPr>
                <w:color w:val="auto"/>
                <w:sz w:val="24"/>
                <w:szCs w:val="24"/>
              </w:rPr>
              <w:t>见图4-1。</w:t>
            </w:r>
          </w:p>
          <w:p w14:paraId="136EE90E">
            <w:pPr>
              <w:adjustRightInd w:val="0"/>
              <w:snapToGrid w:val="0"/>
              <w:jc w:val="center"/>
              <w:rPr>
                <w:b/>
                <w:bCs/>
                <w:color w:val="auto"/>
                <w:sz w:val="24"/>
                <w:szCs w:val="24"/>
              </w:rPr>
            </w:pPr>
            <w:r>
              <w:rPr>
                <w:color w:val="auto"/>
                <w:sz w:val="24"/>
                <w:szCs w:val="24"/>
              </w:rPr>
              <mc:AlternateContent>
                <mc:Choice Requires="wpc">
                  <w:drawing>
                    <wp:inline distT="0" distB="0" distL="114300" distR="114300">
                      <wp:extent cx="5285740" cy="931545"/>
                      <wp:effectExtent l="0" t="0" r="0" b="1905"/>
                      <wp:docPr id="68" name="画布 68"/>
                      <wp:cNvGraphicFramePr/>
                      <a:graphic xmlns:a="http://schemas.openxmlformats.org/drawingml/2006/main">
                        <a:graphicData uri="http://schemas.microsoft.com/office/word/2010/wordprocessingCanvas">
                          <wpc:wpc>
                            <wpc:bg/>
                            <wpc:whole/>
                            <wps:wsp>
                              <wps:cNvPr id="44" name="矩形 15"/>
                              <wps:cNvSpPr/>
                              <wps:spPr>
                                <a:xfrm>
                                  <a:off x="454660" y="730250"/>
                                  <a:ext cx="2362835" cy="180340"/>
                                </a:xfrm>
                                <a:prstGeom prst="rect">
                                  <a:avLst/>
                                </a:prstGeom>
                                <a:noFill/>
                                <a:ln w="6350" cap="flat" cmpd="sng" algn="ctr">
                                  <a:solidFill>
                                    <a:sysClr val="windowText" lastClr="000000"/>
                                  </a:solidFill>
                                  <a:prstDash val="solid"/>
                                </a:ln>
                                <a:effectLst/>
                              </wps:spPr>
                              <wps:style>
                                <a:lnRef idx="2">
                                  <a:schemeClr val="accent1">
                                    <a:lumMod val="75000"/>
                                  </a:schemeClr>
                                </a:lnRef>
                                <a:fillRef idx="1">
                                  <a:schemeClr val="accent1"/>
                                </a:fillRef>
                                <a:effectRef idx="0">
                                  <a:srgbClr val="FFFFFF"/>
                                </a:effectRef>
                                <a:fontRef idx="minor">
                                  <a:schemeClr val="lt1"/>
                                </a:fontRef>
                              </wps:style>
                              <wps:txbx>
                                <w:txbxContent>
                                  <w:p w14:paraId="706412B0">
                                    <w:pPr>
                                      <w:jc w:val="center"/>
                                      <w:rPr>
                                        <w:rFonts w:hint="default" w:eastAsia="宋体"/>
                                        <w:color w:val="000000" w:themeColor="text1"/>
                                        <w:sz w:val="18"/>
                                        <w:szCs w:val="18"/>
                                        <w:lang w:val="en-US" w:eastAsia="zh-CN"/>
                                        <w14:textFill>
                                          <w14:solidFill>
                                            <w14:schemeClr w14:val="tx1"/>
                                          </w14:solidFill>
                                        </w14:textFill>
                                        <w14:props3d w14:extrusionH="0" w14:contourW="0" w14:prstMaterial="clear"/>
                                      </w:rPr>
                                    </w:pPr>
                                    <w:r>
                                      <w:rPr>
                                        <w:rFonts w:hint="default" w:eastAsia="宋体"/>
                                        <w:color w:val="000000" w:themeColor="text1"/>
                                        <w:sz w:val="18"/>
                                        <w:szCs w:val="18"/>
                                        <w:lang w:val="en-US" w:eastAsia="zh-CN"/>
                                        <w14:textFill>
                                          <w14:solidFill>
                                            <w14:schemeClr w14:val="tx1"/>
                                          </w14:solidFill>
                                        </w14:textFill>
                                        <w14:props3d w14:extrusionH="0" w14:contourW="0" w14:prstMaterial="clear"/>
                                      </w:rPr>
                                      <w:t>切削液废气</w:t>
                                    </w:r>
                                    <w:r>
                                      <w:rPr>
                                        <w:rFonts w:hint="eastAsia"/>
                                        <w:color w:val="000000" w:themeColor="text1"/>
                                        <w:sz w:val="18"/>
                                        <w:szCs w:val="18"/>
                                        <w:lang w:val="en-US" w:eastAsia="zh-CN"/>
                                        <w14:textFill>
                                          <w14:solidFill>
                                            <w14:schemeClr w14:val="tx1"/>
                                          </w14:solidFill>
                                        </w14:textFill>
                                        <w14:props3d w14:extrusionH="0" w14:contourW="0" w14:prstMaterial="clear"/>
                                      </w:rPr>
                                      <w:t>、危废贮存废气、废水处理废气</w:t>
                                    </w:r>
                                  </w:p>
                                  <w:p w14:paraId="45474AAA">
                                    <w:pPr>
                                      <w:jc w:val="center"/>
                                      <w:rPr>
                                        <w:rFonts w:hint="default" w:eastAsia="宋体"/>
                                        <w:color w:val="000000" w:themeColor="text1"/>
                                        <w:sz w:val="18"/>
                                        <w:szCs w:val="18"/>
                                        <w:lang w:val="en-US" w:eastAsia="zh-CN"/>
                                        <w14:textFill>
                                          <w14:solidFill>
                                            <w14:schemeClr w14:val="tx1"/>
                                          </w14:solidFill>
                                        </w14:textFill>
                                        <w14:props3d w14:extrusionH="0" w14:contourW="0" w14:prstMaterial="clear"/>
                                      </w:rPr>
                                    </w:pPr>
                                  </w:p>
                                </w:txbxContent>
                              </wps:txbx>
                              <wps:bodyPr rot="0" spcFirstLastPara="0" vertOverflow="overflow" horzOverflow="overflow" vert="horz" wrap="square" lIns="0" tIns="0" rIns="0" bIns="0" numCol="1" spcCol="0" rtlCol="0" fromWordArt="0" anchor="ctr" anchorCtr="0" forceAA="0" compatLnSpc="1">
                                <a:noAutofit/>
                              </wps:bodyPr>
                            </wps:wsp>
                            <wps:wsp>
                              <wps:cNvPr id="50" name="矩形 15"/>
                              <wps:cNvSpPr/>
                              <wps:spPr>
                                <a:xfrm>
                                  <a:off x="3478530" y="112395"/>
                                  <a:ext cx="1636395" cy="179705"/>
                                </a:xfrm>
                                <a:prstGeom prst="rect">
                                  <a:avLst/>
                                </a:prstGeom>
                                <a:noFill/>
                                <a:ln w="6350" cap="flat" cmpd="sng" algn="ctr">
                                  <a:solidFill>
                                    <a:sysClr val="windowText" lastClr="000000"/>
                                  </a:solidFill>
                                  <a:prstDash val="solid"/>
                                </a:ln>
                                <a:effectLst/>
                              </wps:spPr>
                              <wps:style>
                                <a:lnRef idx="2">
                                  <a:schemeClr val="accent1">
                                    <a:lumMod val="75000"/>
                                  </a:schemeClr>
                                </a:lnRef>
                                <a:fillRef idx="1">
                                  <a:schemeClr val="accent1"/>
                                </a:fillRef>
                                <a:effectRef idx="0">
                                  <a:srgbClr val="FFFFFF"/>
                                </a:effectRef>
                                <a:fontRef idx="minor">
                                  <a:schemeClr val="lt1"/>
                                </a:fontRef>
                              </wps:style>
                              <wps:txbx>
                                <w:txbxContent>
                                  <w:p w14:paraId="18B9421B">
                                    <w:pPr>
                                      <w:jc w:val="center"/>
                                      <w:rPr>
                                        <w:rFonts w:hint="default" w:eastAsia="宋体"/>
                                        <w:color w:val="000000" w:themeColor="text1"/>
                                        <w:sz w:val="18"/>
                                        <w:szCs w:val="18"/>
                                        <w:lang w:val="en-US" w:eastAsia="zh-CN"/>
                                        <w14:textFill>
                                          <w14:solidFill>
                                            <w14:schemeClr w14:val="tx1"/>
                                          </w14:solidFill>
                                        </w14:textFill>
                                        <w14:props3d w14:extrusionH="0" w14:contourW="0" w14:prstMaterial="clear"/>
                                      </w:rPr>
                                    </w:pPr>
                                    <w:r>
                                      <w:rPr>
                                        <w:rFonts w:hint="eastAsia"/>
                                        <w:color w:val="000000" w:themeColor="text1"/>
                                        <w:sz w:val="18"/>
                                        <w:szCs w:val="18"/>
                                        <w:lang w:val="en-US" w:eastAsia="zh-CN"/>
                                        <w14:textFill>
                                          <w14:solidFill>
                                            <w14:schemeClr w14:val="tx1"/>
                                          </w14:solidFill>
                                        </w14:textFill>
                                        <w14:props3d w14:extrusionH="0" w14:contourW="0" w14:prstMaterial="clear"/>
                                      </w:rPr>
                                      <w:t>15m高排气筒排放（DA001）</w:t>
                                    </w:r>
                                  </w:p>
                                </w:txbxContent>
                              </wps:txbx>
                              <wps:bodyPr rot="0" spcFirstLastPara="0" vertOverflow="overflow" horzOverflow="overflow" vert="horz" wrap="square" lIns="0" tIns="0" rIns="0" bIns="0" numCol="1" spcCol="0" rtlCol="0" fromWordArt="0" anchor="ctr" anchorCtr="0" forceAA="0" compatLnSpc="1">
                                <a:noAutofit/>
                              </wps:bodyPr>
                            </wps:wsp>
                            <wps:wsp>
                              <wps:cNvPr id="83" name="矩形 15"/>
                              <wps:cNvSpPr/>
                              <wps:spPr>
                                <a:xfrm>
                                  <a:off x="128905" y="106045"/>
                                  <a:ext cx="1175385" cy="179705"/>
                                </a:xfrm>
                                <a:prstGeom prst="rect">
                                  <a:avLst/>
                                </a:prstGeom>
                                <a:noFill/>
                                <a:ln w="6350" cap="flat" cmpd="sng" algn="ctr">
                                  <a:solidFill>
                                    <a:sysClr val="windowText" lastClr="000000"/>
                                  </a:solidFill>
                                  <a:prstDash val="solid"/>
                                </a:ln>
                                <a:effectLst/>
                              </wps:spPr>
                              <wps:style>
                                <a:lnRef idx="2">
                                  <a:schemeClr val="accent1">
                                    <a:lumMod val="75000"/>
                                  </a:schemeClr>
                                </a:lnRef>
                                <a:fillRef idx="1">
                                  <a:schemeClr val="accent1"/>
                                </a:fillRef>
                                <a:effectRef idx="0">
                                  <a:srgbClr val="FFFFFF"/>
                                </a:effectRef>
                                <a:fontRef idx="minor">
                                  <a:schemeClr val="lt1"/>
                                </a:fontRef>
                              </wps:style>
                              <wps:txbx>
                                <w:txbxContent>
                                  <w:p w14:paraId="229C2CA3">
                                    <w:pPr>
                                      <w:jc w:val="center"/>
                                      <w:rPr>
                                        <w:rFonts w:hint="default" w:ascii="Times New Roman" w:hAnsi="Times New Roman" w:eastAsia="宋体" w:cs="Times New Roman"/>
                                        <w:color w:val="000000" w:themeColor="text1"/>
                                        <w:sz w:val="18"/>
                                        <w:szCs w:val="18"/>
                                        <w:lang w:val="en-US" w:eastAsia="zh-CN"/>
                                        <w14:textFill>
                                          <w14:solidFill>
                                            <w14:schemeClr w14:val="tx1"/>
                                          </w14:solidFill>
                                        </w14:textFill>
                                        <w14:props3d w14:extrusionH="0" w14:contourW="0" w14:prstMaterial="clear"/>
                                      </w:rPr>
                                    </w:pPr>
                                    <w:r>
                                      <w:rPr>
                                        <w:rFonts w:hint="eastAsia" w:ascii="Times New Roman" w:hAnsi="Times New Roman" w:eastAsia="宋体" w:cs="Times New Roman"/>
                                        <w:color w:val="000000" w:themeColor="text1"/>
                                        <w:sz w:val="18"/>
                                        <w:szCs w:val="18"/>
                                        <w:lang w:val="en-US" w:eastAsia="zh-CN"/>
                                        <w14:textFill>
                                          <w14:solidFill>
                                            <w14:schemeClr w14:val="tx1"/>
                                          </w14:solidFill>
                                        </w14:textFill>
                                        <w14:props3d w14:extrusionH="0" w14:contourW="0" w14:prstMaterial="clear"/>
                                      </w:rPr>
                                      <w:t>制粒粉尘</w:t>
                                    </w:r>
                                  </w:p>
                                </w:txbxContent>
                              </wps:txbx>
                              <wps:bodyPr rot="0" spcFirstLastPara="0" vertOverflow="overflow" horzOverflow="overflow" vert="horz" wrap="square" lIns="0" tIns="0" rIns="0" bIns="0" numCol="1" spcCol="0" rtlCol="0" fromWordArt="0" anchor="ctr" anchorCtr="0" forceAA="0" compatLnSpc="1">
                                <a:noAutofit/>
                              </wps:bodyPr>
                            </wps:wsp>
                            <wps:wsp>
                              <wps:cNvPr id="84" name="直接箭头连接符 10"/>
                              <wps:cNvCnPr/>
                              <wps:spPr>
                                <a:xfrm flipV="1">
                                  <a:off x="2979420" y="193040"/>
                                  <a:ext cx="493395" cy="6350"/>
                                </a:xfrm>
                                <a:prstGeom prst="straightConnector1">
                                  <a:avLst/>
                                </a:prstGeom>
                                <a:noFill/>
                                <a:ln w="6350" cap="flat" cmpd="sng" algn="ctr">
                                  <a:solidFill>
                                    <a:sysClr val="windowText" lastClr="000000"/>
                                  </a:solidFill>
                                  <a:prstDash val="solid"/>
                                  <a:tailEnd type="triangle" w="med" len="lg"/>
                                </a:ln>
                                <a:effectLst/>
                              </wps:spPr>
                              <wps:style>
                                <a:lnRef idx="2">
                                  <a:schemeClr val="accent1"/>
                                </a:lnRef>
                                <a:fillRef idx="0">
                                  <a:srgbClr val="FFFFFF"/>
                                </a:fillRef>
                                <a:effectRef idx="0">
                                  <a:srgbClr val="FFFFFF"/>
                                </a:effectRef>
                                <a:fontRef idx="minor">
                                  <a:schemeClr val="tx1"/>
                                </a:fontRef>
                              </wps:style>
                              <wps:bodyPr/>
                            </wps:wsp>
                            <wps:wsp>
                              <wps:cNvPr id="136" name="直接箭头连接符 10"/>
                              <wps:cNvCnPr/>
                              <wps:spPr>
                                <a:xfrm flipV="1">
                                  <a:off x="1295400" y="190500"/>
                                  <a:ext cx="492125" cy="0"/>
                                </a:xfrm>
                                <a:prstGeom prst="straightConnector1">
                                  <a:avLst/>
                                </a:prstGeom>
                                <a:noFill/>
                                <a:ln w="6350" cap="flat" cmpd="sng" algn="ctr">
                                  <a:solidFill>
                                    <a:sysClr val="windowText" lastClr="000000"/>
                                  </a:solidFill>
                                  <a:prstDash val="solid"/>
                                  <a:tailEnd type="triangle" w="med" len="lg"/>
                                </a:ln>
                                <a:effectLst/>
                              </wps:spPr>
                              <wps:style>
                                <a:lnRef idx="2">
                                  <a:schemeClr val="accent1"/>
                                </a:lnRef>
                                <a:fillRef idx="0">
                                  <a:srgbClr val="FFFFFF"/>
                                </a:fillRef>
                                <a:effectRef idx="0">
                                  <a:srgbClr val="FFFFFF"/>
                                </a:effectRef>
                                <a:fontRef idx="minor">
                                  <a:schemeClr val="tx1"/>
                                </a:fontRef>
                              </wps:style>
                              <wps:bodyPr/>
                            </wps:wsp>
                            <wps:wsp>
                              <wps:cNvPr id="137" name="矩形 15"/>
                              <wps:cNvSpPr/>
                              <wps:spPr>
                                <a:xfrm>
                                  <a:off x="1805940" y="109855"/>
                                  <a:ext cx="1175385" cy="179705"/>
                                </a:xfrm>
                                <a:prstGeom prst="rect">
                                  <a:avLst/>
                                </a:prstGeom>
                                <a:noFill/>
                                <a:ln w="6350" cap="flat" cmpd="sng" algn="ctr">
                                  <a:solidFill>
                                    <a:sysClr val="windowText" lastClr="000000"/>
                                  </a:solidFill>
                                  <a:prstDash val="solid"/>
                                </a:ln>
                                <a:effectLst/>
                              </wps:spPr>
                              <wps:style>
                                <a:lnRef idx="2">
                                  <a:schemeClr val="accent1">
                                    <a:lumMod val="75000"/>
                                  </a:schemeClr>
                                </a:lnRef>
                                <a:fillRef idx="1">
                                  <a:schemeClr val="accent1"/>
                                </a:fillRef>
                                <a:effectRef idx="0">
                                  <a:srgbClr val="FFFFFF"/>
                                </a:effectRef>
                                <a:fontRef idx="minor">
                                  <a:schemeClr val="lt1"/>
                                </a:fontRef>
                              </wps:style>
                              <wps:txbx>
                                <w:txbxContent>
                                  <w:p w14:paraId="724D2C86">
                                    <w:pPr>
                                      <w:jc w:val="center"/>
                                      <w:rPr>
                                        <w:rFonts w:hint="default" w:ascii="Times New Roman" w:hAnsi="Times New Roman" w:eastAsia="宋体" w:cs="Times New Roman"/>
                                        <w:color w:val="000000" w:themeColor="text1"/>
                                        <w:sz w:val="18"/>
                                        <w:szCs w:val="18"/>
                                        <w:lang w:val="en-US" w:eastAsia="zh-CN"/>
                                        <w14:textFill>
                                          <w14:solidFill>
                                            <w14:schemeClr w14:val="tx1"/>
                                          </w14:solidFill>
                                        </w14:textFill>
                                        <w14:props3d w14:extrusionH="0" w14:contourW="0" w14:prstMaterial="clear"/>
                                      </w:rPr>
                                    </w:pPr>
                                    <w:r>
                                      <w:rPr>
                                        <w:rFonts w:hint="eastAsia" w:cs="Times New Roman"/>
                                        <w:color w:val="000000" w:themeColor="text1"/>
                                        <w:sz w:val="18"/>
                                        <w:szCs w:val="18"/>
                                        <w:lang w:val="en-US" w:eastAsia="zh-CN"/>
                                        <w14:textFill>
                                          <w14:solidFill>
                                            <w14:schemeClr w14:val="tx1"/>
                                          </w14:solidFill>
                                        </w14:textFill>
                                        <w14:props3d w14:extrusionH="0" w14:contourW="0" w14:prstMaterial="clear"/>
                                      </w:rPr>
                                      <w:t>布袋除尘</w:t>
                                    </w:r>
                                    <w:r>
                                      <w:rPr>
                                        <w:rFonts w:hint="eastAsia" w:ascii="Times New Roman" w:hAnsi="Times New Roman" w:eastAsia="宋体" w:cs="Times New Roman"/>
                                        <w:color w:val="000000" w:themeColor="text1"/>
                                        <w:sz w:val="18"/>
                                        <w:szCs w:val="18"/>
                                        <w:lang w:val="en-US" w:eastAsia="zh-CN"/>
                                        <w14:textFill>
                                          <w14:solidFill>
                                            <w14:schemeClr w14:val="tx1"/>
                                          </w14:solidFill>
                                        </w14:textFill>
                                        <w14:props3d w14:extrusionH="0" w14:contourW="0" w14:prstMaterial="clear"/>
                                      </w:rPr>
                                      <w:t>器</w:t>
                                    </w:r>
                                  </w:p>
                                </w:txbxContent>
                              </wps:txbx>
                              <wps:bodyPr rot="0" spcFirstLastPara="0" vertOverflow="overflow" horzOverflow="overflow" vert="horz" wrap="square" lIns="0" tIns="0" rIns="0" bIns="0" numCol="1" spcCol="0" rtlCol="0" fromWordArt="0" anchor="ctr" anchorCtr="0" forceAA="0" compatLnSpc="1">
                                <a:noAutofit/>
                              </wps:bodyPr>
                            </wps:wsp>
                            <wpg:wgp>
                              <wpg:cNvPr id="12" name="组合 12"/>
                              <wpg:cNvGrpSpPr/>
                              <wpg:grpSpPr>
                                <a:xfrm>
                                  <a:off x="121920" y="414020"/>
                                  <a:ext cx="5064125" cy="193675"/>
                                  <a:chOff x="203" y="652"/>
                                  <a:chExt cx="7975" cy="305"/>
                                </a:xfrm>
                              </wpg:grpSpPr>
                              <wps:wsp>
                                <wps:cNvPr id="7" name="矩形 15"/>
                                <wps:cNvSpPr/>
                                <wps:spPr>
                                  <a:xfrm>
                                    <a:off x="6328" y="675"/>
                                    <a:ext cx="1851" cy="283"/>
                                  </a:xfrm>
                                  <a:prstGeom prst="rect">
                                    <a:avLst/>
                                  </a:prstGeom>
                                  <a:noFill/>
                                  <a:ln w="6350" cap="flat" cmpd="sng" algn="ctr">
                                    <a:solidFill>
                                      <a:sysClr val="windowText" lastClr="000000"/>
                                    </a:solidFill>
                                    <a:prstDash val="solid"/>
                                  </a:ln>
                                  <a:effectLst/>
                                </wps:spPr>
                                <wps:style>
                                  <a:lnRef idx="2">
                                    <a:schemeClr val="accent1">
                                      <a:lumMod val="75000"/>
                                    </a:schemeClr>
                                  </a:lnRef>
                                  <a:fillRef idx="1">
                                    <a:schemeClr val="accent1"/>
                                  </a:fillRef>
                                  <a:effectRef idx="0">
                                    <a:srgbClr val="FFFFFF"/>
                                  </a:effectRef>
                                  <a:fontRef idx="minor">
                                    <a:schemeClr val="lt1"/>
                                  </a:fontRef>
                                </wps:style>
                                <wps:txbx>
                                  <w:txbxContent>
                                    <w:p w14:paraId="001B4B84">
                                      <w:pPr>
                                        <w:jc w:val="center"/>
                                        <w:rPr>
                                          <w:rFonts w:hint="default" w:eastAsia="宋体"/>
                                          <w:color w:val="000000" w:themeColor="text1"/>
                                          <w:sz w:val="18"/>
                                          <w:szCs w:val="18"/>
                                          <w:lang w:val="en-US" w:eastAsia="zh-CN"/>
                                          <w14:textFill>
                                            <w14:solidFill>
                                              <w14:schemeClr w14:val="tx1"/>
                                            </w14:solidFill>
                                          </w14:textFill>
                                          <w14:props3d w14:extrusionH="0" w14:contourW="0" w14:prstMaterial="clear"/>
                                        </w:rPr>
                                      </w:pPr>
                                      <w:r>
                                        <w:rPr>
                                          <w:rFonts w:hint="eastAsia"/>
                                          <w:color w:val="000000" w:themeColor="text1"/>
                                          <w:sz w:val="18"/>
                                          <w:szCs w:val="18"/>
                                          <w:lang w:val="en-US" w:eastAsia="zh-CN"/>
                                          <w14:textFill>
                                            <w14:solidFill>
                                              <w14:schemeClr w14:val="tx1"/>
                                            </w14:solidFill>
                                          </w14:textFill>
                                          <w14:props3d w14:extrusionH="0" w14:contourW="0" w14:prstMaterial="clear"/>
                                        </w:rPr>
                                        <w:t>无组织排放</w:t>
                                      </w:r>
                                    </w:p>
                                  </w:txbxContent>
                                </wps:txbx>
                                <wps:bodyPr rot="0" spcFirstLastPara="0" vertOverflow="overflow" horzOverflow="overflow" vert="horz" wrap="square" lIns="0" tIns="0" rIns="0" bIns="0" numCol="1" spcCol="0" rtlCol="0" fromWordArt="0" anchor="ctr" anchorCtr="0" forceAA="0" compatLnSpc="1">
                                  <a:noAutofit/>
                                </wps:bodyPr>
                              </wps:wsp>
                              <wps:wsp>
                                <wps:cNvPr id="8" name="矩形 15"/>
                                <wps:cNvSpPr/>
                                <wps:spPr>
                                  <a:xfrm>
                                    <a:off x="203" y="652"/>
                                    <a:ext cx="1851" cy="283"/>
                                  </a:xfrm>
                                  <a:prstGeom prst="rect">
                                    <a:avLst/>
                                  </a:prstGeom>
                                  <a:noFill/>
                                  <a:ln w="6350" cap="flat" cmpd="sng" algn="ctr">
                                    <a:solidFill>
                                      <a:sysClr val="windowText" lastClr="000000"/>
                                    </a:solidFill>
                                    <a:prstDash val="solid"/>
                                  </a:ln>
                                  <a:effectLst/>
                                </wps:spPr>
                                <wps:style>
                                  <a:lnRef idx="2">
                                    <a:schemeClr val="accent1">
                                      <a:lumMod val="75000"/>
                                    </a:schemeClr>
                                  </a:lnRef>
                                  <a:fillRef idx="1">
                                    <a:schemeClr val="accent1"/>
                                  </a:fillRef>
                                  <a:effectRef idx="0">
                                    <a:srgbClr val="FFFFFF"/>
                                  </a:effectRef>
                                  <a:fontRef idx="minor">
                                    <a:schemeClr val="lt1"/>
                                  </a:fontRef>
                                </wps:style>
                                <wps:txbx>
                                  <w:txbxContent>
                                    <w:p w14:paraId="060F69CB">
                                      <w:pPr>
                                        <w:jc w:val="center"/>
                                        <w:rPr>
                                          <w:rFonts w:hint="default" w:ascii="Times New Roman" w:hAnsi="Times New Roman" w:eastAsia="宋体" w:cs="Times New Roman"/>
                                          <w:color w:val="000000" w:themeColor="text1"/>
                                          <w:sz w:val="18"/>
                                          <w:szCs w:val="18"/>
                                          <w:lang w:val="en-US" w:eastAsia="zh-CN"/>
                                          <w14:textFill>
                                            <w14:solidFill>
                                              <w14:schemeClr w14:val="tx1"/>
                                            </w14:solidFill>
                                          </w14:textFill>
                                          <w14:props3d w14:extrusionH="0" w14:contourW="0" w14:prstMaterial="clear"/>
                                        </w:rPr>
                                      </w:pPr>
                                      <w:r>
                                        <w:rPr>
                                          <w:rFonts w:hint="eastAsia" w:ascii="Times New Roman" w:hAnsi="Times New Roman" w:eastAsia="宋体" w:cs="Times New Roman"/>
                                          <w:color w:val="000000" w:themeColor="text1"/>
                                          <w:sz w:val="18"/>
                                          <w:szCs w:val="18"/>
                                          <w:lang w:val="en-US" w:eastAsia="zh-CN"/>
                                          <w14:textFill>
                                            <w14:solidFill>
                                              <w14:schemeClr w14:val="tx1"/>
                                            </w14:solidFill>
                                          </w14:textFill>
                                          <w14:props3d w14:extrusionH="0" w14:contourW="0" w14:prstMaterial="clear"/>
                                        </w:rPr>
                                        <w:t>配料粉尘</w:t>
                                      </w:r>
                                    </w:p>
                                  </w:txbxContent>
                                </wps:txbx>
                                <wps:bodyPr rot="0" spcFirstLastPara="0" vertOverflow="overflow" horzOverflow="overflow" vert="horz" wrap="square" lIns="0" tIns="0" rIns="0" bIns="0" numCol="1" spcCol="0" rtlCol="0" fromWordArt="0" anchor="ctr" anchorCtr="0" forceAA="0" compatLnSpc="1">
                                  <a:noAutofit/>
                                </wps:bodyPr>
                              </wps:wsp>
                              <wps:wsp>
                                <wps:cNvPr id="9" name="直接箭头连接符 10"/>
                                <wps:cNvCnPr/>
                                <wps:spPr>
                                  <a:xfrm flipV="1">
                                    <a:off x="5105" y="790"/>
                                    <a:ext cx="1205" cy="10"/>
                                  </a:xfrm>
                                  <a:prstGeom prst="straightConnector1">
                                    <a:avLst/>
                                  </a:prstGeom>
                                  <a:noFill/>
                                  <a:ln w="6350" cap="flat" cmpd="sng" algn="ctr">
                                    <a:solidFill>
                                      <a:sysClr val="windowText" lastClr="000000"/>
                                    </a:solidFill>
                                    <a:prstDash val="solid"/>
                                    <a:tailEnd type="triangle" w="med" len="lg"/>
                                  </a:ln>
                                  <a:effectLst/>
                                </wps:spPr>
                                <wps:style>
                                  <a:lnRef idx="2">
                                    <a:schemeClr val="accent1"/>
                                  </a:lnRef>
                                  <a:fillRef idx="0">
                                    <a:srgbClr val="FFFFFF"/>
                                  </a:fillRef>
                                  <a:effectRef idx="0">
                                    <a:srgbClr val="FFFFFF"/>
                                  </a:effectRef>
                                  <a:fontRef idx="minor">
                                    <a:schemeClr val="tx1"/>
                                  </a:fontRef>
                                </wps:style>
                                <wps:bodyPr/>
                              </wps:wsp>
                              <wps:wsp>
                                <wps:cNvPr id="10" name="直接箭头连接符 10"/>
                                <wps:cNvCnPr/>
                                <wps:spPr>
                                  <a:xfrm>
                                    <a:off x="2040" y="792"/>
                                    <a:ext cx="1205" cy="10"/>
                                  </a:xfrm>
                                  <a:prstGeom prst="straightConnector1">
                                    <a:avLst/>
                                  </a:prstGeom>
                                  <a:noFill/>
                                  <a:ln w="6350" cap="flat" cmpd="sng" algn="ctr">
                                    <a:solidFill>
                                      <a:sysClr val="windowText" lastClr="000000"/>
                                    </a:solidFill>
                                    <a:prstDash val="solid"/>
                                    <a:tailEnd type="triangle" w="med" len="lg"/>
                                  </a:ln>
                                  <a:effectLst/>
                                </wps:spPr>
                                <wps:style>
                                  <a:lnRef idx="2">
                                    <a:schemeClr val="accent1"/>
                                  </a:lnRef>
                                  <a:fillRef idx="0">
                                    <a:srgbClr val="FFFFFF"/>
                                  </a:fillRef>
                                  <a:effectRef idx="0">
                                    <a:srgbClr val="FFFFFF"/>
                                  </a:effectRef>
                                  <a:fontRef idx="minor">
                                    <a:schemeClr val="tx1"/>
                                  </a:fontRef>
                                </wps:style>
                                <wps:bodyPr/>
                              </wps:wsp>
                              <wps:wsp>
                                <wps:cNvPr id="11" name="矩形 15"/>
                                <wps:cNvSpPr/>
                                <wps:spPr>
                                  <a:xfrm>
                                    <a:off x="3256" y="660"/>
                                    <a:ext cx="1851" cy="283"/>
                                  </a:xfrm>
                                  <a:prstGeom prst="rect">
                                    <a:avLst/>
                                  </a:prstGeom>
                                  <a:noFill/>
                                  <a:ln w="6350" cap="flat" cmpd="sng" algn="ctr">
                                    <a:solidFill>
                                      <a:sysClr val="windowText" lastClr="000000"/>
                                    </a:solidFill>
                                    <a:prstDash val="solid"/>
                                  </a:ln>
                                  <a:effectLst/>
                                </wps:spPr>
                                <wps:style>
                                  <a:lnRef idx="2">
                                    <a:schemeClr val="accent1">
                                      <a:lumMod val="75000"/>
                                    </a:schemeClr>
                                  </a:lnRef>
                                  <a:fillRef idx="1">
                                    <a:schemeClr val="accent1"/>
                                  </a:fillRef>
                                  <a:effectRef idx="0">
                                    <a:srgbClr val="FFFFFF"/>
                                  </a:effectRef>
                                  <a:fontRef idx="minor">
                                    <a:schemeClr val="lt1"/>
                                  </a:fontRef>
                                </wps:style>
                                <wps:txbx>
                                  <w:txbxContent>
                                    <w:p w14:paraId="1D802DA2">
                                      <w:pPr>
                                        <w:jc w:val="center"/>
                                        <w:rPr>
                                          <w:rFonts w:hint="default" w:ascii="Times New Roman" w:hAnsi="Times New Roman" w:eastAsia="宋体" w:cs="Times New Roman"/>
                                          <w:color w:val="000000" w:themeColor="text1"/>
                                          <w:sz w:val="18"/>
                                          <w:szCs w:val="18"/>
                                          <w:lang w:val="en-US" w:eastAsia="zh-CN"/>
                                          <w14:textFill>
                                            <w14:solidFill>
                                              <w14:schemeClr w14:val="tx1"/>
                                            </w14:solidFill>
                                          </w14:textFill>
                                          <w14:props3d w14:extrusionH="0" w14:contourW="0" w14:prstMaterial="clear"/>
                                        </w:rPr>
                                      </w:pPr>
                                      <w:r>
                                        <w:rPr>
                                          <w:rFonts w:hint="eastAsia" w:ascii="Times New Roman" w:hAnsi="Times New Roman" w:eastAsia="宋体" w:cs="Times New Roman"/>
                                          <w:color w:val="000000" w:themeColor="text1"/>
                                          <w:sz w:val="18"/>
                                          <w:szCs w:val="18"/>
                                          <w:lang w:val="en-US" w:eastAsia="zh-CN"/>
                                          <w14:textFill>
                                            <w14:solidFill>
                                              <w14:schemeClr w14:val="tx1"/>
                                            </w14:solidFill>
                                          </w14:textFill>
                                          <w14:props3d w14:extrusionH="0" w14:contourW="0" w14:prstMaterial="clear"/>
                                        </w:rPr>
                                        <w:t>移动式</w:t>
                                      </w:r>
                                      <w:r>
                                        <w:rPr>
                                          <w:rFonts w:hint="eastAsia" w:cs="Times New Roman"/>
                                          <w:color w:val="000000" w:themeColor="text1"/>
                                          <w:sz w:val="18"/>
                                          <w:szCs w:val="18"/>
                                          <w:lang w:val="en-US" w:eastAsia="zh-CN"/>
                                          <w14:textFill>
                                            <w14:solidFill>
                                              <w14:schemeClr w14:val="tx1"/>
                                            </w14:solidFill>
                                          </w14:textFill>
                                          <w14:props3d w14:extrusionH="0" w14:contourW="0" w14:prstMaterial="clear"/>
                                        </w:rPr>
                                        <w:t>布袋除尘</w:t>
                                      </w:r>
                                      <w:r>
                                        <w:rPr>
                                          <w:rFonts w:hint="eastAsia" w:ascii="Times New Roman" w:hAnsi="Times New Roman" w:eastAsia="宋体" w:cs="Times New Roman"/>
                                          <w:color w:val="000000" w:themeColor="text1"/>
                                          <w:sz w:val="18"/>
                                          <w:szCs w:val="18"/>
                                          <w:lang w:val="en-US" w:eastAsia="zh-CN"/>
                                          <w14:textFill>
                                            <w14:solidFill>
                                              <w14:schemeClr w14:val="tx1"/>
                                            </w14:solidFill>
                                          </w14:textFill>
                                          <w14:props3d w14:extrusionH="0" w14:contourW="0" w14:prstMaterial="clear"/>
                                        </w:rPr>
                                        <w:t>器</w:t>
                                      </w:r>
                                    </w:p>
                                  </w:txbxContent>
                                </wps:txbx>
                                <wps:bodyPr rot="0" spcFirstLastPara="0" vertOverflow="overflow" horzOverflow="overflow" vert="horz" wrap="square" lIns="0" tIns="0" rIns="0" bIns="0" numCol="1" spcCol="0" rtlCol="0" fromWordArt="0" anchor="ctr" anchorCtr="0" forceAA="0" compatLnSpc="1">
                                  <a:noAutofit/>
                                </wps:bodyPr>
                              </wps:wsp>
                            </wpg:wgp>
                            <wps:wsp>
                              <wps:cNvPr id="14" name="直接箭头连接符 10"/>
                              <wps:cNvCnPr/>
                              <wps:spPr>
                                <a:xfrm>
                                  <a:off x="2814320" y="817880"/>
                                  <a:ext cx="765175" cy="6350"/>
                                </a:xfrm>
                                <a:prstGeom prst="straightConnector1">
                                  <a:avLst/>
                                </a:prstGeom>
                                <a:noFill/>
                                <a:ln w="6350" cap="flat" cmpd="sng" algn="ctr">
                                  <a:solidFill>
                                    <a:sysClr val="windowText" lastClr="000000"/>
                                  </a:solidFill>
                                  <a:prstDash val="solid"/>
                                  <a:tailEnd type="triangle" w="med" len="lg"/>
                                </a:ln>
                                <a:effectLst/>
                              </wps:spPr>
                              <wps:style>
                                <a:lnRef idx="2">
                                  <a:schemeClr val="accent1"/>
                                </a:lnRef>
                                <a:fillRef idx="0">
                                  <a:srgbClr val="FFFFFF"/>
                                </a:fillRef>
                                <a:effectRef idx="0">
                                  <a:srgbClr val="FFFFFF"/>
                                </a:effectRef>
                                <a:fontRef idx="minor">
                                  <a:schemeClr val="tx1"/>
                                </a:fontRef>
                              </wps:style>
                              <wps:bodyPr/>
                            </wps:wsp>
                            <wps:wsp>
                              <wps:cNvPr id="15" name="矩形 15"/>
                              <wps:cNvSpPr/>
                              <wps:spPr>
                                <a:xfrm>
                                  <a:off x="3595370" y="743585"/>
                                  <a:ext cx="1175385" cy="179705"/>
                                </a:xfrm>
                                <a:prstGeom prst="rect">
                                  <a:avLst/>
                                </a:prstGeom>
                                <a:noFill/>
                                <a:ln w="6350" cap="flat" cmpd="sng" algn="ctr">
                                  <a:solidFill>
                                    <a:sysClr val="windowText" lastClr="000000"/>
                                  </a:solidFill>
                                  <a:prstDash val="solid"/>
                                </a:ln>
                                <a:effectLst/>
                              </wps:spPr>
                              <wps:style>
                                <a:lnRef idx="2">
                                  <a:schemeClr val="accent1">
                                    <a:lumMod val="75000"/>
                                  </a:schemeClr>
                                </a:lnRef>
                                <a:fillRef idx="1">
                                  <a:schemeClr val="accent1"/>
                                </a:fillRef>
                                <a:effectRef idx="0">
                                  <a:srgbClr val="FFFFFF"/>
                                </a:effectRef>
                                <a:fontRef idx="minor">
                                  <a:schemeClr val="lt1"/>
                                </a:fontRef>
                              </wps:style>
                              <wps:txbx>
                                <w:txbxContent>
                                  <w:p w14:paraId="7658120D">
                                    <w:pPr>
                                      <w:jc w:val="center"/>
                                      <w:rPr>
                                        <w:rFonts w:hint="default" w:eastAsia="宋体"/>
                                        <w:color w:val="000000" w:themeColor="text1"/>
                                        <w:sz w:val="18"/>
                                        <w:szCs w:val="18"/>
                                        <w:lang w:val="en-US" w:eastAsia="zh-CN"/>
                                        <w14:textFill>
                                          <w14:solidFill>
                                            <w14:schemeClr w14:val="tx1"/>
                                          </w14:solidFill>
                                        </w14:textFill>
                                        <w14:props3d w14:extrusionH="0" w14:contourW="0" w14:prstMaterial="clear"/>
                                      </w:rPr>
                                    </w:pPr>
                                    <w:r>
                                      <w:rPr>
                                        <w:rFonts w:hint="eastAsia"/>
                                        <w:color w:val="000000" w:themeColor="text1"/>
                                        <w:sz w:val="18"/>
                                        <w:szCs w:val="18"/>
                                        <w:lang w:val="en-US" w:eastAsia="zh-CN"/>
                                        <w14:textFill>
                                          <w14:solidFill>
                                            <w14:schemeClr w14:val="tx1"/>
                                          </w14:solidFill>
                                        </w14:textFill>
                                        <w14:props3d w14:extrusionH="0" w14:contourW="0" w14:prstMaterial="clear"/>
                                      </w:rPr>
                                      <w:t>无组织排放</w:t>
                                    </w:r>
                                  </w:p>
                                </w:txbxContent>
                              </wps:txbx>
                              <wps:bodyPr rot="0" spcFirstLastPara="0" vertOverflow="overflow" horzOverflow="overflow" vert="horz" wrap="square" lIns="0" tIns="0" rIns="0" bIns="0" numCol="1" spcCol="0" rtlCol="0" fromWordArt="0" anchor="ctr" anchorCtr="0" forceAA="0" compatLnSpc="1">
                                <a:noAutofit/>
                              </wps:bodyPr>
                            </wps:wsp>
                          </wpc:wpc>
                        </a:graphicData>
                      </a:graphic>
                    </wp:inline>
                  </w:drawing>
                </mc:Choice>
                <mc:Fallback>
                  <w:pict>
                    <v:group id="_x0000_s1026" o:spid="_x0000_s1026" o:spt="203" style="height:73.35pt;width:416.2pt;" coordsize="5285740,931545" editas="canvas" o:gfxdata="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">
                      <o:lock v:ext="edit" aspectratio="f"/>
                      <v:shape id="_x0000_s1026" o:spid="_x0000_s1026" style="position:absolute;left:0;top:0;height:931545;width:5285740;" filled="f" stroked="f" coordsize="21600,21600" o:gfxdata="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">
                        <v:fill on="f" focussize="0,0"/>
                        <v:stroke on="f"/>
                        <v:imagedata o:title=""/>
                        <o:lock v:ext="edit" aspectratio="f"/>
                      </v:shape>
                      <v:rect id="矩形 15" o:spid="_x0000_s1026" o:spt="1" style="position:absolute;left:454660;top:730250;height:180340;width:2362835;v-text-anchor:middle;" filled="f" stroked="t" coordsize="21600,21600" o:gfxdata="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LyQoztMAAAAFAQAADwAAAAAAAAABACAAAAAiAAAAZHJzL2Rv&#10;d25yZXYueG1sUEsBAhQAFAAAAAgAh07iQOCnOnN4AgAA3AQAAA4AAAAAAAAAAQAgAAAAIgEAAGRy&#10;cy9lMm9Eb2MueG1sUEsFBgAAAAAGAAYAWQEAAAwGAAAAAA==&#10;">
                        <v:fill on="f" focussize="0,0"/>
                        <v:stroke weight="0.5pt" color="#000000 [2404]" joinstyle="round"/>
                        <v:imagedata o:title=""/>
                        <o:lock v:ext="edit" aspectratio="f"/>
                        <v:textbox inset="0mm,0mm,0mm,0mm">
                          <w:txbxContent>
                            <w:p w14:paraId="706412B0">
                              <w:pPr>
                                <w:jc w:val="center"/>
                                <w:rPr>
                                  <w:rFonts w:hint="default" w:eastAsia="宋体"/>
                                  <w:color w:val="000000" w:themeColor="text1"/>
                                  <w:sz w:val="18"/>
                                  <w:szCs w:val="18"/>
                                  <w:lang w:val="en-US" w:eastAsia="zh-CN"/>
                                  <w14:textFill>
                                    <w14:solidFill>
                                      <w14:schemeClr w14:val="tx1"/>
                                    </w14:solidFill>
                                  </w14:textFill>
                                  <w14:props3d w14:extrusionH="0" w14:contourW="0" w14:prstMaterial="clear"/>
                                </w:rPr>
                              </w:pPr>
                              <w:r>
                                <w:rPr>
                                  <w:rFonts w:hint="default" w:eastAsia="宋体"/>
                                  <w:color w:val="000000" w:themeColor="text1"/>
                                  <w:sz w:val="18"/>
                                  <w:szCs w:val="18"/>
                                  <w:lang w:val="en-US" w:eastAsia="zh-CN"/>
                                  <w14:textFill>
                                    <w14:solidFill>
                                      <w14:schemeClr w14:val="tx1"/>
                                    </w14:solidFill>
                                  </w14:textFill>
                                  <w14:props3d w14:extrusionH="0" w14:contourW="0" w14:prstMaterial="clear"/>
                                </w:rPr>
                                <w:t>切削液废气</w:t>
                              </w:r>
                              <w:r>
                                <w:rPr>
                                  <w:rFonts w:hint="eastAsia"/>
                                  <w:color w:val="000000" w:themeColor="text1"/>
                                  <w:sz w:val="18"/>
                                  <w:szCs w:val="18"/>
                                  <w:lang w:val="en-US" w:eastAsia="zh-CN"/>
                                  <w14:textFill>
                                    <w14:solidFill>
                                      <w14:schemeClr w14:val="tx1"/>
                                    </w14:solidFill>
                                  </w14:textFill>
                                  <w14:props3d w14:extrusionH="0" w14:contourW="0" w14:prstMaterial="clear"/>
                                </w:rPr>
                                <w:t>、危废贮存废气、废水处理废气</w:t>
                              </w:r>
                            </w:p>
                            <w:p w14:paraId="45474AAA">
                              <w:pPr>
                                <w:jc w:val="center"/>
                                <w:rPr>
                                  <w:rFonts w:hint="default" w:eastAsia="宋体"/>
                                  <w:color w:val="000000" w:themeColor="text1"/>
                                  <w:sz w:val="18"/>
                                  <w:szCs w:val="18"/>
                                  <w:lang w:val="en-US" w:eastAsia="zh-CN"/>
                                  <w14:textFill>
                                    <w14:solidFill>
                                      <w14:schemeClr w14:val="tx1"/>
                                    </w14:solidFill>
                                  </w14:textFill>
                                  <w14:props3d w14:extrusionH="0" w14:contourW="0" w14:prstMaterial="clear"/>
                                </w:rPr>
                              </w:pPr>
                            </w:p>
                          </w:txbxContent>
                        </v:textbox>
                      </v:rect>
                      <v:rect id="矩形 15" o:spid="_x0000_s1026" o:spt="1" style="position:absolute;left:3478530;top:112395;height:179705;width:1636395;v-text-anchor:middle;" filled="f" stroked="t" coordsize="21600,21600" o:gfxdata="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C8kKM7TAAAABQEAAA8AAAAAAAAAAQAgAAAAIgAAAGRycy9k&#10;b3ducmV2LnhtbFBLAQIUABQAAAAIAIdO4kAQq9VKeQIAAN0EAAAOAAAAAAAAAAEAIAAAACIBAABk&#10;cnMvZTJvRG9jLnhtbFBLBQYAAAAABgAGAFkBAAANBgAAAAA=&#10;">
                        <v:fill on="f" focussize="0,0"/>
                        <v:stroke weight="0.5pt" color="#000000 [2404]" joinstyle="round"/>
                        <v:imagedata o:title=""/>
                        <o:lock v:ext="edit" aspectratio="f"/>
                        <v:textbox inset="0mm,0mm,0mm,0mm">
                          <w:txbxContent>
                            <w:p w14:paraId="18B9421B">
                              <w:pPr>
                                <w:jc w:val="center"/>
                                <w:rPr>
                                  <w:rFonts w:hint="default" w:eastAsia="宋体"/>
                                  <w:color w:val="000000" w:themeColor="text1"/>
                                  <w:sz w:val="18"/>
                                  <w:szCs w:val="18"/>
                                  <w:lang w:val="en-US" w:eastAsia="zh-CN"/>
                                  <w14:textFill>
                                    <w14:solidFill>
                                      <w14:schemeClr w14:val="tx1"/>
                                    </w14:solidFill>
                                  </w14:textFill>
                                  <w14:props3d w14:extrusionH="0" w14:contourW="0" w14:prstMaterial="clear"/>
                                </w:rPr>
                              </w:pPr>
                              <w:r>
                                <w:rPr>
                                  <w:rFonts w:hint="eastAsia"/>
                                  <w:color w:val="000000" w:themeColor="text1"/>
                                  <w:sz w:val="18"/>
                                  <w:szCs w:val="18"/>
                                  <w:lang w:val="en-US" w:eastAsia="zh-CN"/>
                                  <w14:textFill>
                                    <w14:solidFill>
                                      <w14:schemeClr w14:val="tx1"/>
                                    </w14:solidFill>
                                  </w14:textFill>
                                  <w14:props3d w14:extrusionH="0" w14:contourW="0" w14:prstMaterial="clear"/>
                                </w:rPr>
                                <w:t>15m高排气筒排放（DA001）</w:t>
                              </w:r>
                            </w:p>
                          </w:txbxContent>
                        </v:textbox>
                      </v:rect>
                      <v:rect id="矩形 15" o:spid="_x0000_s1026" o:spt="1" style="position:absolute;left:128905;top:106045;height:179705;width:1175385;v-text-anchor:middle;" filled="f" stroked="t" coordsize="21600,21600" o:gfxdata="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C8kKM7TAAAABQEAAA8AAAAAAAAAAQAgAAAAIgAAAGRycy9k&#10;b3ducmV2LnhtbFBLAQIUABQAAAAIAIdO4kCa3rIbeQIAANwEAAAOAAAAAAAAAAEAIAAAACIBAABk&#10;cnMvZTJvRG9jLnhtbFBLBQYAAAAABgAGAFkBAAANBgAAAAA=&#10;">
                        <v:fill on="f" focussize="0,0"/>
                        <v:stroke weight="0.5pt" color="#000000 [2404]" joinstyle="round"/>
                        <v:imagedata o:title=""/>
                        <o:lock v:ext="edit" aspectratio="f"/>
                        <v:textbox inset="0mm,0mm,0mm,0mm">
                          <w:txbxContent>
                            <w:p w14:paraId="229C2CA3">
                              <w:pPr>
                                <w:jc w:val="center"/>
                                <w:rPr>
                                  <w:rFonts w:hint="default" w:ascii="Times New Roman" w:hAnsi="Times New Roman" w:eastAsia="宋体" w:cs="Times New Roman"/>
                                  <w:color w:val="000000" w:themeColor="text1"/>
                                  <w:sz w:val="18"/>
                                  <w:szCs w:val="18"/>
                                  <w:lang w:val="en-US" w:eastAsia="zh-CN"/>
                                  <w14:textFill>
                                    <w14:solidFill>
                                      <w14:schemeClr w14:val="tx1"/>
                                    </w14:solidFill>
                                  </w14:textFill>
                                  <w14:props3d w14:extrusionH="0" w14:contourW="0" w14:prstMaterial="clear"/>
                                </w:rPr>
                              </w:pPr>
                              <w:r>
                                <w:rPr>
                                  <w:rFonts w:hint="eastAsia" w:ascii="Times New Roman" w:hAnsi="Times New Roman" w:eastAsia="宋体" w:cs="Times New Roman"/>
                                  <w:color w:val="000000" w:themeColor="text1"/>
                                  <w:sz w:val="18"/>
                                  <w:szCs w:val="18"/>
                                  <w:lang w:val="en-US" w:eastAsia="zh-CN"/>
                                  <w14:textFill>
                                    <w14:solidFill>
                                      <w14:schemeClr w14:val="tx1"/>
                                    </w14:solidFill>
                                  </w14:textFill>
                                  <w14:props3d w14:extrusionH="0" w14:contourW="0" w14:prstMaterial="clear"/>
                                </w:rPr>
                                <w:t>制粒粉尘</w:t>
                              </w:r>
                            </w:p>
                          </w:txbxContent>
                        </v:textbox>
                      </v:rect>
                      <v:shape id="直接箭头连接符 10" o:spid="_x0000_s1026" o:spt="32" type="#_x0000_t32" style="position:absolute;left:2979420;top:193040;flip:y;height:6350;width:493395;" filled="f" stroked="t" coordsize="21600,21600" o:gfxdata="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AnQeK61gAAAAUBAAAPAAAAAAAAAAEAIAAAACIAAABkcnMvZG93bnJldi54bWxQSwECFAAUAAAA&#10;CACHTuJAGGtT4CkCAAAWBAAADgAAAAAAAAABACAAAAAlAQAAZHJzL2Uyb0RvYy54bWxQSwUGAAAA&#10;AAYABgBZAQAAwAUAAAAA&#10;">
                        <v:fill on="f" focussize="0,0"/>
                        <v:stroke weight="0.5pt" color="#000000 [3204]" joinstyle="round" endarrow="block" endarrowlength="long"/>
                        <v:imagedata o:title=""/>
                        <o:lock v:ext="edit" aspectratio="f"/>
                      </v:shape>
                      <v:shape id="直接箭头连接符 10" o:spid="_x0000_s1026" o:spt="32" type="#_x0000_t32" style="position:absolute;left:1295400;top:190500;flip:y;height:0;width:492125;" filled="f" stroked="t" coordsize="21600,21600" o:gfxdata="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J0HiutYAAAAFAQAADwAAAAAAAAABACAAAAAiAAAAZHJzL2Rvd25yZXYueG1sUEsBAhQAFAAAAAgA&#10;h07iQFlwLoYnAgAAFAQAAA4AAAAAAAAAAQAgAAAAJQEAAGRycy9lMm9Eb2MueG1sUEsFBgAAAAAG&#10;AAYAWQEAAL4FAAAAAA==&#10;">
                        <v:fill on="f" focussize="0,0"/>
                        <v:stroke weight="0.5pt" color="#000000 [3204]" joinstyle="round" endarrow="block" endarrowlength="long"/>
                        <v:imagedata o:title=""/>
                        <o:lock v:ext="edit" aspectratio="f"/>
                      </v:shape>
                      <v:rect id="矩形 15" o:spid="_x0000_s1026" o:spt="1" style="position:absolute;left:1805940;top:109855;height:179705;width:1175385;v-text-anchor:middle;" filled="f" stroked="t" coordsize="21600,21600" o:gfxdata="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AvJCjO0wAAAAUBAAAPAAAAAAAAAAEAIAAAACIAAABkcnMv&#10;ZG93bnJldi54bWxQSwECFAAUAAAACACHTuJA+F4TInoCAADeBAAADgAAAAAAAAABACAAAAAiAQAA&#10;ZHJzL2Uyb0RvYy54bWxQSwUGAAAAAAYABgBZAQAADgYAAAAA&#10;">
                        <v:fill on="f" focussize="0,0"/>
                        <v:stroke weight="0.5pt" color="#000000 [2404]" joinstyle="round"/>
                        <v:imagedata o:title=""/>
                        <o:lock v:ext="edit" aspectratio="f"/>
                        <v:textbox inset="0mm,0mm,0mm,0mm">
                          <w:txbxContent>
                            <w:p w14:paraId="724D2C86">
                              <w:pPr>
                                <w:jc w:val="center"/>
                                <w:rPr>
                                  <w:rFonts w:hint="default" w:ascii="Times New Roman" w:hAnsi="Times New Roman" w:eastAsia="宋体" w:cs="Times New Roman"/>
                                  <w:color w:val="000000" w:themeColor="text1"/>
                                  <w:sz w:val="18"/>
                                  <w:szCs w:val="18"/>
                                  <w:lang w:val="en-US" w:eastAsia="zh-CN"/>
                                  <w14:textFill>
                                    <w14:solidFill>
                                      <w14:schemeClr w14:val="tx1"/>
                                    </w14:solidFill>
                                  </w14:textFill>
                                  <w14:props3d w14:extrusionH="0" w14:contourW="0" w14:prstMaterial="clear"/>
                                </w:rPr>
                              </w:pPr>
                              <w:r>
                                <w:rPr>
                                  <w:rFonts w:hint="eastAsia" w:cs="Times New Roman"/>
                                  <w:color w:val="000000" w:themeColor="text1"/>
                                  <w:sz w:val="18"/>
                                  <w:szCs w:val="18"/>
                                  <w:lang w:val="en-US" w:eastAsia="zh-CN"/>
                                  <w14:textFill>
                                    <w14:solidFill>
                                      <w14:schemeClr w14:val="tx1"/>
                                    </w14:solidFill>
                                  </w14:textFill>
                                  <w14:props3d w14:extrusionH="0" w14:contourW="0" w14:prstMaterial="clear"/>
                                </w:rPr>
                                <w:t>布袋除尘</w:t>
                              </w:r>
                              <w:r>
                                <w:rPr>
                                  <w:rFonts w:hint="eastAsia" w:ascii="Times New Roman" w:hAnsi="Times New Roman" w:eastAsia="宋体" w:cs="Times New Roman"/>
                                  <w:color w:val="000000" w:themeColor="text1"/>
                                  <w:sz w:val="18"/>
                                  <w:szCs w:val="18"/>
                                  <w:lang w:val="en-US" w:eastAsia="zh-CN"/>
                                  <w14:textFill>
                                    <w14:solidFill>
                                      <w14:schemeClr w14:val="tx1"/>
                                    </w14:solidFill>
                                  </w14:textFill>
                                  <w14:props3d w14:extrusionH="0" w14:contourW="0" w14:prstMaterial="clear"/>
                                </w:rPr>
                                <w:t>器</w:t>
                              </w:r>
                            </w:p>
                          </w:txbxContent>
                        </v:textbox>
                      </v:rect>
                      <v:group id="_x0000_s1026" o:spid="_x0000_s1026" o:spt="203" style="position:absolute;left:121920;top:414020;height:193675;width:5064125;" coordorigin="203,652" coordsize="7975,305" o:gfxdata="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">
                        <o:lock v:ext="edit" aspectratio="f"/>
                        <v:rect id="矩形 15" o:spid="_x0000_s1026" o:spt="1" style="position:absolute;left:6328;top:675;height:283;width:1851;v-text-anchor:middle;" filled="f" stroked="t" coordsize="21600,21600" o:gfxdata="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A8/9odtwAAANoAAAAP&#10;AAAAAAAAAAEAIAAAACIAAABkcnMvZG93bnJldi54bWxQSwECFAAUAAAACACHTuJAMy8FnjsAAAA5&#10;AAAAEAAAAAAAAAABACAAAAAGAQAAZHJzL3NoYXBleG1sLnhtbFBLBQYAAAAABgAGAFsBAACwAwAA&#10;AAA=&#10;">
                          <v:fill on="f" focussize="0,0"/>
                          <v:stroke weight="0.5pt" color="#000000 [2404]" joinstyle="round"/>
                          <v:imagedata o:title=""/>
                          <o:lock v:ext="edit" aspectratio="f"/>
                          <v:textbox inset="0mm,0mm,0mm,0mm">
                            <w:txbxContent>
                              <w:p w14:paraId="001B4B84">
                                <w:pPr>
                                  <w:jc w:val="center"/>
                                  <w:rPr>
                                    <w:rFonts w:hint="default" w:eastAsia="宋体"/>
                                    <w:color w:val="000000" w:themeColor="text1"/>
                                    <w:sz w:val="18"/>
                                    <w:szCs w:val="18"/>
                                    <w:lang w:val="en-US" w:eastAsia="zh-CN"/>
                                    <w14:textFill>
                                      <w14:solidFill>
                                        <w14:schemeClr w14:val="tx1"/>
                                      </w14:solidFill>
                                    </w14:textFill>
                                    <w14:props3d w14:extrusionH="0" w14:contourW="0" w14:prstMaterial="clear"/>
                                  </w:rPr>
                                </w:pPr>
                                <w:r>
                                  <w:rPr>
                                    <w:rFonts w:hint="eastAsia"/>
                                    <w:color w:val="000000" w:themeColor="text1"/>
                                    <w:sz w:val="18"/>
                                    <w:szCs w:val="18"/>
                                    <w:lang w:val="en-US" w:eastAsia="zh-CN"/>
                                    <w14:textFill>
                                      <w14:solidFill>
                                        <w14:schemeClr w14:val="tx1"/>
                                      </w14:solidFill>
                                    </w14:textFill>
                                    <w14:props3d w14:extrusionH="0" w14:contourW="0" w14:prstMaterial="clear"/>
                                  </w:rPr>
                                  <w:t>无组织排放</w:t>
                                </w:r>
                              </w:p>
                            </w:txbxContent>
                          </v:textbox>
                        </v:rect>
                        <v:rect id="矩形 15" o:spid="_x0000_s1026" o:spt="1" style="position:absolute;left:203;top:652;height:283;width:1851;v-text-anchor:middle;" filled="f" stroked="t" coordsize="21600,21600" o:gfxdata="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">
                          <v:fill on="f" focussize="0,0"/>
                          <v:stroke weight="0.5pt" color="#000000 [2404]" joinstyle="round"/>
                          <v:imagedata o:title=""/>
                          <o:lock v:ext="edit" aspectratio="f"/>
                          <v:textbox inset="0mm,0mm,0mm,0mm">
                            <w:txbxContent>
                              <w:p w14:paraId="060F69CB">
                                <w:pPr>
                                  <w:jc w:val="center"/>
                                  <w:rPr>
                                    <w:rFonts w:hint="default" w:ascii="Times New Roman" w:hAnsi="Times New Roman" w:eastAsia="宋体" w:cs="Times New Roman"/>
                                    <w:color w:val="000000" w:themeColor="text1"/>
                                    <w:sz w:val="18"/>
                                    <w:szCs w:val="18"/>
                                    <w:lang w:val="en-US" w:eastAsia="zh-CN"/>
                                    <w14:textFill>
                                      <w14:solidFill>
                                        <w14:schemeClr w14:val="tx1"/>
                                      </w14:solidFill>
                                    </w14:textFill>
                                    <w14:props3d w14:extrusionH="0" w14:contourW="0" w14:prstMaterial="clear"/>
                                  </w:rPr>
                                </w:pPr>
                                <w:r>
                                  <w:rPr>
                                    <w:rFonts w:hint="eastAsia" w:ascii="Times New Roman" w:hAnsi="Times New Roman" w:eastAsia="宋体" w:cs="Times New Roman"/>
                                    <w:color w:val="000000" w:themeColor="text1"/>
                                    <w:sz w:val="18"/>
                                    <w:szCs w:val="18"/>
                                    <w:lang w:val="en-US" w:eastAsia="zh-CN"/>
                                    <w14:textFill>
                                      <w14:solidFill>
                                        <w14:schemeClr w14:val="tx1"/>
                                      </w14:solidFill>
                                    </w14:textFill>
                                    <w14:props3d w14:extrusionH="0" w14:contourW="0" w14:prstMaterial="clear"/>
                                  </w:rPr>
                                  <w:t>配料粉尘</w:t>
                                </w:r>
                              </w:p>
                            </w:txbxContent>
                          </v:textbox>
                        </v:rect>
                        <v:shape id="直接箭头连接符 10" o:spid="_x0000_s1026" o:spt="32" type="#_x0000_t32" style="position:absolute;left:5105;top:790;flip:y;height:10;width:1205;" filled="f" stroked="t" coordsize="21600,21600" o:gfxdata="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JMIl0vQAA&#10;ANoAAAAPAAAAAAAAAAEAIAAAACIAAABkcnMvZG93bnJldi54bWxQSwECFAAUAAAACACHTuJAMy8F&#10;njsAAAA5AAAAEAAAAAAAAAABACAAAAAMAQAAZHJzL3NoYXBleG1sLnhtbFBLBQYAAAAABgAGAFsB&#10;AAC2AwAAAAA=&#10;">
                          <v:fill on="f" focussize="0,0"/>
                          <v:stroke weight="0.5pt" color="#000000 [3204]" joinstyle="round" endarrow="block" endarrowlength="long"/>
                          <v:imagedata o:title=""/>
                          <o:lock v:ext="edit" aspectratio="f"/>
                        </v:shape>
                        <v:shape id="_x0000_s1026" o:spid="_x0000_s1026" o:spt="32" type="#_x0000_t32" style="position:absolute;left:2040;top:792;height:10;width:1205;" filled="f" stroked="t" coordsize="21600,21600" o:gfxdata="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3eu3BvQAA&#10;ANsAAAAPAAAAAAAAAAEAIAAAACIAAABkcnMvZG93bnJldi54bWxQSwECFAAUAAAACACHTuJAMy8F&#10;njsAAAA5AAAAEAAAAAAAAAABACAAAAAMAQAAZHJzL3NoYXBleG1sLnhtbFBLBQYAAAAABgAGAFsB&#10;AAC2AwAAAAA=&#10;">
                          <v:fill on="f" focussize="0,0"/>
                          <v:stroke weight="0.5pt" color="#000000 [3204]" joinstyle="round" endarrow="block" endarrowlength="long"/>
                          <v:imagedata o:title=""/>
                          <o:lock v:ext="edit" aspectratio="f"/>
                        </v:shape>
                        <v:rect id="矩形 15" o:spid="_x0000_s1026" o:spt="1" style="position:absolute;left:3256;top:660;height:283;width:1851;v-text-anchor:middle;" filled="f" stroked="t" coordsize="21600,21600" o:gfxdata="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ea0JlrUAAADbAAAADwAA&#10;AAAAAAABACAAAAAiAAAAZHJzL2Rvd25yZXYueG1sUEsBAhQAFAAAAAgAh07iQDMvBZ47AAAAOQAA&#10;ABAAAAAAAAAAAQAgAAAABAEAAGRycy9zaGFwZXhtbC54bWxQSwUGAAAAAAYABgBbAQAArgMAAAAA&#10;">
                          <v:fill on="f" focussize="0,0"/>
                          <v:stroke weight="0.5pt" color="#000000 [2404]" joinstyle="round"/>
                          <v:imagedata o:title=""/>
                          <o:lock v:ext="edit" aspectratio="f"/>
                          <v:textbox inset="0mm,0mm,0mm,0mm">
                            <w:txbxContent>
                              <w:p w14:paraId="1D802DA2">
                                <w:pPr>
                                  <w:jc w:val="center"/>
                                  <w:rPr>
                                    <w:rFonts w:hint="default" w:ascii="Times New Roman" w:hAnsi="Times New Roman" w:eastAsia="宋体" w:cs="Times New Roman"/>
                                    <w:color w:val="000000" w:themeColor="text1"/>
                                    <w:sz w:val="18"/>
                                    <w:szCs w:val="18"/>
                                    <w:lang w:val="en-US" w:eastAsia="zh-CN"/>
                                    <w14:textFill>
                                      <w14:solidFill>
                                        <w14:schemeClr w14:val="tx1"/>
                                      </w14:solidFill>
                                    </w14:textFill>
                                    <w14:props3d w14:extrusionH="0" w14:contourW="0" w14:prstMaterial="clear"/>
                                  </w:rPr>
                                </w:pPr>
                                <w:r>
                                  <w:rPr>
                                    <w:rFonts w:hint="eastAsia" w:ascii="Times New Roman" w:hAnsi="Times New Roman" w:eastAsia="宋体" w:cs="Times New Roman"/>
                                    <w:color w:val="000000" w:themeColor="text1"/>
                                    <w:sz w:val="18"/>
                                    <w:szCs w:val="18"/>
                                    <w:lang w:val="en-US" w:eastAsia="zh-CN"/>
                                    <w14:textFill>
                                      <w14:solidFill>
                                        <w14:schemeClr w14:val="tx1"/>
                                      </w14:solidFill>
                                    </w14:textFill>
                                    <w14:props3d w14:extrusionH="0" w14:contourW="0" w14:prstMaterial="clear"/>
                                  </w:rPr>
                                  <w:t>移动式</w:t>
                                </w:r>
                                <w:r>
                                  <w:rPr>
                                    <w:rFonts w:hint="eastAsia" w:cs="Times New Roman"/>
                                    <w:color w:val="000000" w:themeColor="text1"/>
                                    <w:sz w:val="18"/>
                                    <w:szCs w:val="18"/>
                                    <w:lang w:val="en-US" w:eastAsia="zh-CN"/>
                                    <w14:textFill>
                                      <w14:solidFill>
                                        <w14:schemeClr w14:val="tx1"/>
                                      </w14:solidFill>
                                    </w14:textFill>
                                    <w14:props3d w14:extrusionH="0" w14:contourW="0" w14:prstMaterial="clear"/>
                                  </w:rPr>
                                  <w:t>布袋除尘</w:t>
                                </w:r>
                                <w:r>
                                  <w:rPr>
                                    <w:rFonts w:hint="eastAsia" w:ascii="Times New Roman" w:hAnsi="Times New Roman" w:eastAsia="宋体" w:cs="Times New Roman"/>
                                    <w:color w:val="000000" w:themeColor="text1"/>
                                    <w:sz w:val="18"/>
                                    <w:szCs w:val="18"/>
                                    <w:lang w:val="en-US" w:eastAsia="zh-CN"/>
                                    <w14:textFill>
                                      <w14:solidFill>
                                        <w14:schemeClr w14:val="tx1"/>
                                      </w14:solidFill>
                                    </w14:textFill>
                                    <w14:props3d w14:extrusionH="0" w14:contourW="0" w14:prstMaterial="clear"/>
                                  </w:rPr>
                                  <w:t>器</w:t>
                                </w:r>
                              </w:p>
                            </w:txbxContent>
                          </v:textbox>
                        </v:rect>
                      </v:group>
                      <v:shape id="直接箭头连接符 10" o:spid="_x0000_s1026" o:spt="32" type="#_x0000_t32" style="position:absolute;left:2814320;top:817880;height:6350;width:765175;" filled="f" stroked="t" coordsize="21600,21600" o:gfxdata="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CaaWcI1AAA&#10;AAUBAAAPAAAAAAAAAAEAIAAAACIAAABkcnMvZG93bnJldi54bWxQSwECFAAUAAAACACHTuJAisk0&#10;mCICAAAMBAAADgAAAAAAAAABACAAAAAjAQAAZHJzL2Uyb0RvYy54bWxQSwUGAAAAAAYABgBZAQAA&#10;twUAAAAA&#10;">
                        <v:fill on="f" focussize="0,0"/>
                        <v:stroke weight="0.5pt" color="#000000 [3204]" joinstyle="round" endarrow="block" endarrowlength="long"/>
                        <v:imagedata o:title=""/>
                        <o:lock v:ext="edit" aspectratio="f"/>
                      </v:shape>
                      <v:rect id="_x0000_s1026" o:spid="_x0000_s1026" o:spt="1" style="position:absolute;left:3595370;top:743585;height:179705;width:1175385;v-text-anchor:middle;" filled="f" stroked="t" coordsize="21600,21600" o:gfxdata="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&#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">
                        <v:fill on="f" focussize="0,0"/>
                        <v:stroke weight="0.5pt" color="#000000 [2404]" joinstyle="round"/>
                        <v:imagedata o:title=""/>
                        <o:lock v:ext="edit" aspectratio="f"/>
                        <v:textbox inset="0mm,0mm,0mm,0mm">
                          <w:txbxContent>
                            <w:p w14:paraId="7658120D">
                              <w:pPr>
                                <w:jc w:val="center"/>
                                <w:rPr>
                                  <w:rFonts w:hint="default" w:eastAsia="宋体"/>
                                  <w:color w:val="000000" w:themeColor="text1"/>
                                  <w:sz w:val="18"/>
                                  <w:szCs w:val="18"/>
                                  <w:lang w:val="en-US" w:eastAsia="zh-CN"/>
                                  <w14:textFill>
                                    <w14:solidFill>
                                      <w14:schemeClr w14:val="tx1"/>
                                    </w14:solidFill>
                                  </w14:textFill>
                                  <w14:props3d w14:extrusionH="0" w14:contourW="0" w14:prstMaterial="clear"/>
                                </w:rPr>
                              </w:pPr>
                              <w:r>
                                <w:rPr>
                                  <w:rFonts w:hint="eastAsia"/>
                                  <w:color w:val="000000" w:themeColor="text1"/>
                                  <w:sz w:val="18"/>
                                  <w:szCs w:val="18"/>
                                  <w:lang w:val="en-US" w:eastAsia="zh-CN"/>
                                  <w14:textFill>
                                    <w14:solidFill>
                                      <w14:schemeClr w14:val="tx1"/>
                                    </w14:solidFill>
                                  </w14:textFill>
                                  <w14:props3d w14:extrusionH="0" w14:contourW="0" w14:prstMaterial="clear"/>
                                </w:rPr>
                                <w:t>无组织排放</w:t>
                              </w:r>
                            </w:p>
                          </w:txbxContent>
                        </v:textbox>
                      </v:rect>
                      <w10:wrap type="none"/>
                      <w10:anchorlock/>
                    </v:group>
                  </w:pict>
                </mc:Fallback>
              </mc:AlternateContent>
            </w:r>
          </w:p>
          <w:p w14:paraId="4384745B">
            <w:pPr>
              <w:pStyle w:val="10"/>
              <w:jc w:val="center"/>
              <w:rPr>
                <w:color w:val="auto"/>
                <w:sz w:val="24"/>
                <w:szCs w:val="24"/>
              </w:rPr>
            </w:pPr>
            <w:r>
              <w:rPr>
                <w:rFonts w:hint="eastAsia"/>
                <w:b/>
                <w:bCs/>
                <w:color w:val="auto"/>
                <w:sz w:val="24"/>
                <w:szCs w:val="24"/>
              </w:rPr>
              <w:t>图4-1 废气收集治理走向流程图</w:t>
            </w:r>
          </w:p>
          <w:p w14:paraId="044136BC">
            <w:pPr>
              <w:spacing w:line="360" w:lineRule="auto"/>
              <w:ind w:firstLine="482" w:firstLineChars="200"/>
              <w:jc w:val="left"/>
              <w:rPr>
                <w:b/>
                <w:color w:val="auto"/>
                <w:sz w:val="24"/>
                <w:szCs w:val="24"/>
              </w:rPr>
            </w:pPr>
            <w:r>
              <w:rPr>
                <w:b/>
                <w:color w:val="auto"/>
                <w:sz w:val="24"/>
                <w:szCs w:val="24"/>
              </w:rPr>
              <w:t>1）废气收集可行性</w:t>
            </w:r>
          </w:p>
          <w:p w14:paraId="1D2E9EC0">
            <w:pPr>
              <w:adjustRightInd w:val="0"/>
              <w:snapToGrid w:val="0"/>
              <w:spacing w:line="360" w:lineRule="auto"/>
              <w:ind w:firstLine="480" w:firstLineChars="200"/>
              <w:rPr>
                <w:bCs/>
                <w:color w:val="auto"/>
                <w:sz w:val="24"/>
                <w:szCs w:val="24"/>
              </w:rPr>
            </w:pPr>
            <w:r>
              <w:rPr>
                <w:rFonts w:hint="eastAsia" w:eastAsia="宋体"/>
                <w:color w:val="auto"/>
                <w:sz w:val="24"/>
                <w:szCs w:val="24"/>
                <w:lang w:bidi="ar"/>
              </w:rPr>
              <w:t>本</w:t>
            </w:r>
            <w:r>
              <w:rPr>
                <w:rFonts w:hint="eastAsia" w:eastAsia="宋体"/>
                <w:color w:val="auto"/>
                <w:sz w:val="24"/>
                <w:szCs w:val="24"/>
                <w:lang w:val="en-US" w:eastAsia="zh-CN" w:bidi="ar"/>
              </w:rPr>
              <w:t>次扩建共新增2</w:t>
            </w:r>
            <w:r>
              <w:rPr>
                <w:rFonts w:hint="eastAsia"/>
                <w:color w:val="auto"/>
                <w:sz w:val="24"/>
                <w:szCs w:val="24"/>
                <w:lang w:val="en-US" w:eastAsia="zh-CN" w:bidi="ar"/>
              </w:rPr>
              <w:t>台抛光机用于抛光测试，抛光测试产生制粒粉尘，</w:t>
            </w:r>
            <w:r>
              <w:rPr>
                <w:rFonts w:hint="eastAsia" w:eastAsia="宋体"/>
                <w:color w:val="auto"/>
                <w:sz w:val="24"/>
                <w:szCs w:val="24"/>
                <w:lang w:bidi="ar"/>
              </w:rPr>
              <w:t>在抛光机</w:t>
            </w:r>
            <w:r>
              <w:rPr>
                <w:rFonts w:hint="eastAsia"/>
                <w:color w:val="auto"/>
                <w:sz w:val="24"/>
                <w:szCs w:val="24"/>
                <w:lang w:val="en-US" w:eastAsia="zh-CN" w:bidi="ar"/>
              </w:rPr>
              <w:t>上</w:t>
            </w:r>
            <w:r>
              <w:rPr>
                <w:rFonts w:hint="eastAsia" w:eastAsia="宋体"/>
                <w:color w:val="auto"/>
                <w:sz w:val="24"/>
                <w:szCs w:val="24"/>
                <w:lang w:val="en-US" w:eastAsia="zh-CN" w:bidi="ar"/>
              </w:rPr>
              <w:t>方0.2m处</w:t>
            </w:r>
            <w:r>
              <w:rPr>
                <w:rFonts w:hint="eastAsia" w:eastAsia="宋体"/>
                <w:color w:val="auto"/>
                <w:sz w:val="24"/>
                <w:szCs w:val="24"/>
                <w:lang w:bidi="ar"/>
              </w:rPr>
              <w:t>设置集气罩</w:t>
            </w:r>
            <w:r>
              <w:rPr>
                <w:rFonts w:hint="eastAsia" w:eastAsia="宋体"/>
                <w:color w:val="auto"/>
                <w:kern w:val="0"/>
                <w:sz w:val="24"/>
                <w:szCs w:val="24"/>
              </w:rPr>
              <w:t>，</w:t>
            </w:r>
            <w:r>
              <w:rPr>
                <w:rFonts w:hint="eastAsia"/>
                <w:bCs/>
                <w:color w:val="auto"/>
                <w:sz w:val="24"/>
                <w:szCs w:val="24"/>
              </w:rPr>
              <w:t>集气罩长</w:t>
            </w:r>
            <w:r>
              <w:rPr>
                <w:rFonts w:hint="eastAsia"/>
                <w:bCs/>
                <w:color w:val="auto"/>
                <w:sz w:val="24"/>
                <w:szCs w:val="24"/>
                <w:lang w:val="en-US" w:eastAsia="zh-CN"/>
              </w:rPr>
              <w:t>0.75</w:t>
            </w:r>
            <w:r>
              <w:rPr>
                <w:rFonts w:hint="eastAsia"/>
                <w:bCs/>
                <w:color w:val="auto"/>
                <w:sz w:val="24"/>
                <w:szCs w:val="24"/>
              </w:rPr>
              <w:t>m，宽0.</w:t>
            </w:r>
            <w:r>
              <w:rPr>
                <w:rFonts w:hint="eastAsia"/>
                <w:bCs/>
                <w:color w:val="auto"/>
                <w:sz w:val="24"/>
                <w:szCs w:val="24"/>
                <w:lang w:val="en-US" w:eastAsia="zh-CN"/>
              </w:rPr>
              <w:t>25</w:t>
            </w:r>
            <w:r>
              <w:rPr>
                <w:rFonts w:hint="eastAsia"/>
                <w:bCs/>
                <w:color w:val="auto"/>
                <w:sz w:val="24"/>
                <w:szCs w:val="24"/>
              </w:rPr>
              <w:t>m，则集气罩面积约为</w:t>
            </w:r>
            <w:r>
              <w:rPr>
                <w:rFonts w:hint="eastAsia"/>
                <w:bCs/>
                <w:color w:val="auto"/>
                <w:sz w:val="24"/>
                <w:szCs w:val="24"/>
                <w:lang w:val="en-US" w:eastAsia="zh-CN"/>
              </w:rPr>
              <w:t>0.1875</w:t>
            </w:r>
            <w:r>
              <w:rPr>
                <w:rFonts w:hint="eastAsia"/>
                <w:bCs/>
                <w:color w:val="auto"/>
                <w:sz w:val="24"/>
                <w:szCs w:val="24"/>
              </w:rPr>
              <w:t>m</w:t>
            </w:r>
            <w:r>
              <w:rPr>
                <w:rFonts w:hint="eastAsia"/>
                <w:bCs/>
                <w:color w:val="auto"/>
                <w:sz w:val="24"/>
                <w:szCs w:val="24"/>
                <w:vertAlign w:val="superscript"/>
              </w:rPr>
              <w:t>2</w:t>
            </w:r>
            <w:r>
              <w:rPr>
                <w:rFonts w:hint="eastAsia"/>
                <w:bCs/>
                <w:color w:val="auto"/>
                <w:sz w:val="24"/>
                <w:szCs w:val="24"/>
              </w:rPr>
              <w:t>。</w:t>
            </w:r>
          </w:p>
          <w:p w14:paraId="6FD78DE8">
            <w:pPr>
              <w:spacing w:line="360" w:lineRule="auto"/>
              <w:ind w:firstLine="480" w:firstLineChars="200"/>
              <w:rPr>
                <w:color w:val="auto"/>
                <w:sz w:val="24"/>
                <w:szCs w:val="24"/>
              </w:rPr>
            </w:pPr>
            <w:r>
              <w:rPr>
                <w:color w:val="auto"/>
                <w:sz w:val="24"/>
                <w:szCs w:val="24"/>
                <w:lang w:bidi="ar"/>
              </w:rPr>
              <w:t>集气罩风量按下式计算：</w:t>
            </w:r>
          </w:p>
          <w:p w14:paraId="716C76C6">
            <w:pPr>
              <w:adjustRightInd w:val="0"/>
              <w:snapToGrid w:val="0"/>
              <w:spacing w:before="120" w:beforeLines="50" w:line="360" w:lineRule="auto"/>
              <w:ind w:firstLine="482" w:firstLineChars="200"/>
              <w:jc w:val="center"/>
              <w:rPr>
                <w:b/>
                <w:bCs/>
                <w:color w:val="auto"/>
                <w:sz w:val="24"/>
                <w:szCs w:val="24"/>
              </w:rPr>
            </w:pPr>
            <w:r>
              <w:rPr>
                <w:b/>
                <w:bCs/>
                <w:color w:val="auto"/>
                <w:sz w:val="24"/>
                <w:szCs w:val="24"/>
              </w:rPr>
              <w:t>Q=vF</w:t>
            </w:r>
          </w:p>
          <w:p w14:paraId="60226CDF">
            <w:pPr>
              <w:adjustRightInd w:val="0"/>
              <w:snapToGrid w:val="0"/>
              <w:spacing w:line="360" w:lineRule="auto"/>
              <w:ind w:firstLine="480" w:firstLineChars="200"/>
              <w:rPr>
                <w:b/>
                <w:bCs/>
                <w:color w:val="auto"/>
                <w:sz w:val="24"/>
                <w:szCs w:val="24"/>
              </w:rPr>
            </w:pPr>
            <w:r>
              <w:rPr>
                <w:rFonts w:hint="default" w:ascii="Times New Roman" w:hAnsi="Times New Roman" w:cs="Times New Roman"/>
                <w:bCs/>
                <w:color w:val="auto"/>
                <w:sz w:val="24"/>
                <w:szCs w:val="24"/>
                <w:lang w:val="en-US" w:eastAsia="zh-CN"/>
              </w:rPr>
              <w:t>v—</w:t>
            </w:r>
            <w:r>
              <w:rPr>
                <w:rFonts w:hint="eastAsia" w:ascii="Times New Roman" w:hAnsi="Times New Roman" w:eastAsia="宋体" w:cs="Times New Roman"/>
                <w:color w:val="auto"/>
                <w:sz w:val="24"/>
                <w:szCs w:val="24"/>
                <w:lang w:bidi="ar-SA"/>
              </w:rPr>
              <w:t>测定断面的气体平均流速，参考《除尘工程</w:t>
            </w:r>
            <w:r>
              <w:rPr>
                <w:rFonts w:hint="eastAsia" w:ascii="Times New Roman" w:hAnsi="Times New Roman" w:eastAsia="宋体" w:cs="Times New Roman"/>
                <w:color w:val="auto"/>
                <w:sz w:val="24"/>
                <w:szCs w:val="24"/>
                <w:lang w:val="en-US" w:eastAsia="zh-CN" w:bidi="ar-SA"/>
              </w:rPr>
              <w:t>设计</w:t>
            </w:r>
            <w:r>
              <w:rPr>
                <w:rFonts w:hint="eastAsia" w:ascii="Times New Roman" w:hAnsi="Times New Roman" w:eastAsia="宋体" w:cs="Times New Roman"/>
                <w:color w:val="auto"/>
                <w:sz w:val="24"/>
                <w:szCs w:val="24"/>
                <w:lang w:bidi="ar-SA"/>
              </w:rPr>
              <w:t>手册》风速控制在0.5</w:t>
            </w:r>
            <w:r>
              <w:rPr>
                <w:rFonts w:hint="eastAsia" w:cs="Times New Roman"/>
                <w:color w:val="auto"/>
                <w:sz w:val="24"/>
                <w:szCs w:val="24"/>
                <w:lang w:eastAsia="zh-CN" w:bidi="ar-SA"/>
              </w:rPr>
              <w:t>～</w:t>
            </w:r>
            <w:r>
              <w:rPr>
                <w:rFonts w:hint="eastAsia" w:ascii="Times New Roman" w:hAnsi="Times New Roman" w:eastAsia="宋体" w:cs="Times New Roman"/>
                <w:color w:val="auto"/>
                <w:sz w:val="24"/>
                <w:szCs w:val="24"/>
                <w:lang w:bidi="ar-SA"/>
              </w:rPr>
              <w:t>1.0m/s</w:t>
            </w:r>
            <w:r>
              <w:rPr>
                <w:rFonts w:hint="default" w:ascii="Times New Roman" w:hAnsi="Times New Roman" w:cs="Times New Roman"/>
                <w:bCs/>
                <w:color w:val="auto"/>
                <w:sz w:val="24"/>
                <w:szCs w:val="24"/>
                <w:lang w:val="en-US" w:eastAsia="zh-CN"/>
              </w:rPr>
              <w:t>；</w:t>
            </w:r>
          </w:p>
          <w:p w14:paraId="4AC21936">
            <w:pPr>
              <w:adjustRightInd w:val="0"/>
              <w:snapToGrid w:val="0"/>
              <w:spacing w:line="360" w:lineRule="auto"/>
              <w:ind w:firstLine="480" w:firstLineChars="200"/>
              <w:rPr>
                <w:color w:val="auto"/>
                <w:sz w:val="24"/>
                <w:szCs w:val="24"/>
              </w:rPr>
            </w:pPr>
            <w:r>
              <w:rPr>
                <w:color w:val="auto"/>
                <w:sz w:val="24"/>
                <w:szCs w:val="24"/>
              </w:rPr>
              <w:t>F—</w:t>
            </w:r>
            <w:r>
              <w:rPr>
                <w:rFonts w:hint="eastAsia" w:ascii="Times New Roman" w:hAnsi="Times New Roman" w:eastAsia="宋体" w:cs="Times New Roman"/>
                <w:color w:val="auto"/>
                <w:sz w:val="24"/>
                <w:szCs w:val="24"/>
                <w:lang w:bidi="ar-SA"/>
              </w:rPr>
              <w:t>测定断面面积m</w:t>
            </w:r>
            <w:r>
              <w:rPr>
                <w:rFonts w:hint="eastAsia" w:ascii="Times New Roman" w:hAnsi="Times New Roman" w:eastAsia="宋体" w:cs="Times New Roman"/>
                <w:color w:val="auto"/>
                <w:sz w:val="24"/>
                <w:szCs w:val="24"/>
                <w:vertAlign w:val="superscript"/>
                <w:lang w:bidi="ar-SA"/>
              </w:rPr>
              <w:t>2</w:t>
            </w:r>
            <w:r>
              <w:rPr>
                <w:rFonts w:hint="eastAsia" w:ascii="Times New Roman" w:hAnsi="Times New Roman" w:eastAsia="宋体" w:cs="Times New Roman"/>
                <w:color w:val="auto"/>
                <w:sz w:val="24"/>
                <w:szCs w:val="24"/>
                <w:lang w:bidi="ar-SA"/>
              </w:rPr>
              <w:t>，</w:t>
            </w:r>
            <w:r>
              <w:rPr>
                <w:rFonts w:hint="eastAsia" w:cs="Times New Roman"/>
                <w:color w:val="auto"/>
                <w:sz w:val="24"/>
                <w:szCs w:val="24"/>
                <w:lang w:val="en-US" w:eastAsia="zh-CN" w:bidi="ar-SA"/>
              </w:rPr>
              <w:t>扩建</w:t>
            </w:r>
            <w:r>
              <w:rPr>
                <w:rFonts w:hint="eastAsia" w:cs="Times New Roman"/>
                <w:color w:val="auto"/>
                <w:sz w:val="24"/>
                <w:szCs w:val="24"/>
                <w:lang w:eastAsia="zh-CN" w:bidi="ar-SA"/>
              </w:rPr>
              <w:t>项目</w:t>
            </w:r>
            <w:r>
              <w:rPr>
                <w:rFonts w:hint="eastAsia" w:ascii="Times New Roman" w:hAnsi="Times New Roman" w:eastAsia="宋体" w:cs="Times New Roman"/>
                <w:color w:val="auto"/>
                <w:sz w:val="24"/>
                <w:szCs w:val="24"/>
                <w:lang w:bidi="ar-SA"/>
              </w:rPr>
              <w:t>断面面积为0.</w:t>
            </w:r>
            <w:r>
              <w:rPr>
                <w:rFonts w:hint="eastAsia" w:ascii="Times New Roman" w:hAnsi="Times New Roman" w:eastAsia="宋体" w:cs="Times New Roman"/>
                <w:color w:val="auto"/>
                <w:sz w:val="24"/>
                <w:szCs w:val="24"/>
                <w:lang w:val="en-US" w:eastAsia="zh-CN" w:bidi="ar-SA"/>
              </w:rPr>
              <w:t>1875</w:t>
            </w:r>
            <w:r>
              <w:rPr>
                <w:rFonts w:hint="eastAsia" w:ascii="Times New Roman" w:hAnsi="Times New Roman" w:eastAsia="宋体" w:cs="Times New Roman"/>
                <w:color w:val="auto"/>
                <w:sz w:val="24"/>
                <w:szCs w:val="24"/>
                <w:lang w:bidi="ar-SA"/>
              </w:rPr>
              <w:t>m</w:t>
            </w:r>
            <w:r>
              <w:rPr>
                <w:rFonts w:hint="eastAsia" w:ascii="Times New Roman" w:hAnsi="Times New Roman" w:eastAsia="宋体" w:cs="Times New Roman"/>
                <w:color w:val="auto"/>
                <w:sz w:val="24"/>
                <w:szCs w:val="24"/>
                <w:vertAlign w:val="superscript"/>
                <w:lang w:bidi="ar-SA"/>
              </w:rPr>
              <w:t>2</w:t>
            </w:r>
            <w:r>
              <w:rPr>
                <w:color w:val="auto"/>
                <w:sz w:val="24"/>
                <w:szCs w:val="24"/>
              </w:rPr>
              <w:t>；</w:t>
            </w:r>
          </w:p>
          <w:p w14:paraId="6A4C93F2">
            <w:pPr>
              <w:adjustRightInd w:val="0"/>
              <w:snapToGrid w:val="0"/>
              <w:spacing w:line="360" w:lineRule="auto"/>
              <w:ind w:firstLine="480" w:firstLineChars="200"/>
              <w:rPr>
                <w:rFonts w:hint="default" w:eastAsia="宋体"/>
                <w:color w:val="auto"/>
                <w:kern w:val="0"/>
                <w:sz w:val="24"/>
                <w:szCs w:val="24"/>
                <w:lang w:val="en-US" w:eastAsia="zh-CN"/>
              </w:rPr>
            </w:pPr>
            <w:r>
              <w:rPr>
                <w:rFonts w:hint="default" w:ascii="Times New Roman" w:hAnsi="Times New Roman" w:eastAsia="宋体" w:cs="Times New Roman"/>
                <w:color w:val="auto"/>
                <w:sz w:val="24"/>
                <w:szCs w:val="32"/>
                <w:lang w:bidi="ar-SA"/>
              </w:rPr>
              <w:t>根据《大气污染治理工程技术导则》(HJ2000-2010)，除尘系统的漏风率宜采用5%</w:t>
            </w:r>
            <w:r>
              <w:rPr>
                <w:rFonts w:hint="eastAsia" w:cs="Times New Roman"/>
                <w:color w:val="auto"/>
                <w:sz w:val="24"/>
                <w:szCs w:val="32"/>
                <w:lang w:eastAsia="zh-CN" w:bidi="ar-SA"/>
              </w:rPr>
              <w:t>～</w:t>
            </w:r>
            <w:r>
              <w:rPr>
                <w:rFonts w:hint="default" w:ascii="Times New Roman" w:hAnsi="Times New Roman" w:eastAsia="宋体" w:cs="Times New Roman"/>
                <w:color w:val="auto"/>
                <w:sz w:val="24"/>
                <w:szCs w:val="32"/>
                <w:lang w:bidi="ar-SA"/>
              </w:rPr>
              <w:t>10%，</w:t>
            </w:r>
            <w:r>
              <w:rPr>
                <w:rFonts w:hint="eastAsia" w:cs="Times New Roman"/>
                <w:color w:val="auto"/>
                <w:sz w:val="24"/>
                <w:szCs w:val="32"/>
                <w:lang w:val="en-US" w:eastAsia="zh-CN" w:bidi="ar-SA"/>
              </w:rPr>
              <w:t>扩建</w:t>
            </w:r>
            <w:r>
              <w:rPr>
                <w:rFonts w:hint="eastAsia" w:cs="Times New Roman"/>
                <w:color w:val="auto"/>
                <w:sz w:val="24"/>
                <w:szCs w:val="32"/>
                <w:lang w:eastAsia="zh-CN" w:bidi="ar-SA"/>
              </w:rPr>
              <w:t>项目</w:t>
            </w:r>
            <w:r>
              <w:rPr>
                <w:rFonts w:hint="default" w:ascii="Times New Roman" w:hAnsi="Times New Roman" w:eastAsia="宋体" w:cs="Times New Roman"/>
                <w:color w:val="auto"/>
                <w:sz w:val="24"/>
                <w:szCs w:val="32"/>
                <w:lang w:bidi="ar-SA"/>
              </w:rPr>
              <w:t>除尘系统漏风率小，取5%，</w:t>
            </w:r>
            <w:r>
              <w:rPr>
                <w:rFonts w:hint="eastAsia" w:ascii="Times New Roman" w:hAnsi="Times New Roman" w:eastAsia="宋体" w:cs="Times New Roman"/>
                <w:color w:val="auto"/>
                <w:sz w:val="24"/>
                <w:szCs w:val="32"/>
                <w:lang w:val="en-US" w:eastAsia="zh-CN" w:bidi="ar-SA"/>
              </w:rPr>
              <w:t>则收集制粒粉尘设置的</w:t>
            </w:r>
            <w:r>
              <w:rPr>
                <w:rFonts w:hint="default" w:ascii="Times New Roman" w:hAnsi="Times New Roman" w:eastAsia="宋体" w:cs="Times New Roman"/>
                <w:color w:val="auto"/>
                <w:sz w:val="24"/>
                <w:szCs w:val="32"/>
                <w:lang w:bidi="ar-SA"/>
              </w:rPr>
              <w:t>集气罩风量：Q=空气流速×截面面积=3600*0.</w:t>
            </w:r>
            <w:r>
              <w:rPr>
                <w:rFonts w:hint="eastAsia" w:ascii="Times New Roman" w:hAnsi="Times New Roman" w:eastAsia="宋体" w:cs="Times New Roman"/>
                <w:color w:val="auto"/>
                <w:sz w:val="24"/>
                <w:szCs w:val="32"/>
                <w:lang w:val="en-US" w:eastAsia="zh-CN" w:bidi="ar-SA"/>
              </w:rPr>
              <w:t>1875</w:t>
            </w:r>
            <w:r>
              <w:rPr>
                <w:rFonts w:hint="default" w:ascii="Times New Roman" w:hAnsi="Times New Roman" w:eastAsia="宋体" w:cs="Times New Roman"/>
                <w:color w:val="auto"/>
                <w:sz w:val="24"/>
                <w:szCs w:val="32"/>
                <w:lang w:bidi="ar-SA"/>
              </w:rPr>
              <w:t>*</w:t>
            </w:r>
            <w:r>
              <w:rPr>
                <w:rFonts w:hint="eastAsia" w:ascii="Times New Roman" w:hAnsi="Times New Roman" w:eastAsia="宋体" w:cs="Times New Roman"/>
                <w:color w:val="auto"/>
                <w:sz w:val="24"/>
                <w:szCs w:val="32"/>
                <w:lang w:val="en-US" w:eastAsia="zh-CN" w:bidi="ar-SA"/>
              </w:rPr>
              <w:t>2*</w:t>
            </w:r>
            <w:r>
              <w:rPr>
                <w:rFonts w:hint="default" w:ascii="Times New Roman" w:hAnsi="Times New Roman" w:eastAsia="宋体" w:cs="Times New Roman"/>
                <w:color w:val="auto"/>
                <w:sz w:val="24"/>
                <w:szCs w:val="32"/>
                <w:lang w:bidi="ar-SA"/>
              </w:rPr>
              <w:t>（0.5~1）</w:t>
            </w:r>
            <w:r>
              <w:rPr>
                <w:rFonts w:hint="eastAsia" w:ascii="Times New Roman" w:hAnsi="Times New Roman" w:eastAsia="宋体" w:cs="Times New Roman"/>
                <w:color w:val="auto"/>
                <w:sz w:val="24"/>
                <w:szCs w:val="32"/>
                <w:lang w:val="en-US" w:eastAsia="zh-CN" w:bidi="ar-SA"/>
              </w:rPr>
              <w:t>/0.95</w:t>
            </w:r>
            <w:r>
              <w:rPr>
                <w:rFonts w:hint="default" w:ascii="Times New Roman" w:hAnsi="Times New Roman" w:eastAsia="宋体" w:cs="Times New Roman"/>
                <w:color w:val="auto"/>
                <w:sz w:val="24"/>
                <w:szCs w:val="32"/>
                <w:lang w:bidi="ar-SA"/>
              </w:rPr>
              <w:t>=</w:t>
            </w:r>
            <w:r>
              <w:rPr>
                <w:rFonts w:hint="eastAsia" w:ascii="Times New Roman" w:hAnsi="Times New Roman" w:eastAsia="宋体" w:cs="Times New Roman"/>
                <w:color w:val="auto"/>
                <w:sz w:val="24"/>
                <w:szCs w:val="32"/>
                <w:lang w:val="en-US" w:eastAsia="zh-CN" w:bidi="ar-SA"/>
              </w:rPr>
              <w:t>711</w:t>
            </w:r>
            <w:r>
              <w:rPr>
                <w:rFonts w:hint="default" w:ascii="Times New Roman" w:hAnsi="Times New Roman" w:eastAsia="宋体" w:cs="Times New Roman"/>
                <w:color w:val="auto"/>
                <w:sz w:val="24"/>
                <w:szCs w:val="32"/>
                <w:lang w:bidi="ar-SA"/>
              </w:rPr>
              <w:t>~</w:t>
            </w:r>
            <w:r>
              <w:rPr>
                <w:rFonts w:hint="eastAsia" w:ascii="Times New Roman" w:hAnsi="Times New Roman" w:eastAsia="宋体" w:cs="Times New Roman"/>
                <w:color w:val="auto"/>
                <w:sz w:val="24"/>
                <w:szCs w:val="32"/>
                <w:lang w:val="en-US" w:eastAsia="zh-CN" w:bidi="ar-SA"/>
              </w:rPr>
              <w:t>1421</w:t>
            </w:r>
            <w:r>
              <w:rPr>
                <w:rFonts w:hint="default" w:ascii="Times New Roman" w:hAnsi="Times New Roman" w:eastAsia="宋体" w:cs="Times New Roman"/>
                <w:color w:val="auto"/>
                <w:sz w:val="24"/>
                <w:szCs w:val="32"/>
                <w:lang w:bidi="ar-SA"/>
              </w:rPr>
              <w:t>m</w:t>
            </w:r>
            <w:r>
              <w:rPr>
                <w:rFonts w:hint="default" w:ascii="Times New Roman" w:hAnsi="Times New Roman" w:eastAsia="宋体" w:cs="Times New Roman"/>
                <w:color w:val="auto"/>
                <w:sz w:val="24"/>
                <w:szCs w:val="32"/>
                <w:vertAlign w:val="superscript"/>
                <w:lang w:bidi="ar-SA"/>
              </w:rPr>
              <w:t>3</w:t>
            </w:r>
            <w:r>
              <w:rPr>
                <w:rFonts w:hint="default" w:ascii="Times New Roman" w:hAnsi="Times New Roman" w:eastAsia="宋体" w:cs="Times New Roman"/>
                <w:color w:val="auto"/>
                <w:sz w:val="24"/>
                <w:szCs w:val="32"/>
                <w:lang w:bidi="ar-SA"/>
              </w:rPr>
              <w:t>/h</w:t>
            </w:r>
            <w:r>
              <w:rPr>
                <w:rFonts w:hint="eastAsia" w:ascii="Times New Roman" w:hAnsi="Times New Roman" w:eastAsia="宋体" w:cs="Times New Roman"/>
                <w:color w:val="auto"/>
                <w:sz w:val="24"/>
                <w:szCs w:val="32"/>
                <w:lang w:eastAsia="zh-CN" w:bidi="ar-SA"/>
              </w:rPr>
              <w:t>，</w:t>
            </w:r>
            <w:r>
              <w:rPr>
                <w:rFonts w:hint="eastAsia" w:ascii="Times New Roman" w:hAnsi="Times New Roman" w:eastAsia="宋体" w:cs="Times New Roman"/>
                <w:color w:val="auto"/>
                <w:sz w:val="24"/>
                <w:szCs w:val="32"/>
                <w:lang w:val="en-US" w:eastAsia="zh-CN" w:bidi="ar-SA"/>
              </w:rPr>
              <w:t>则制粒粉尘收集风量取1500</w:t>
            </w:r>
            <w:r>
              <w:rPr>
                <w:rFonts w:hint="default" w:ascii="Times New Roman" w:hAnsi="Times New Roman" w:eastAsia="宋体" w:cs="Times New Roman"/>
                <w:color w:val="auto"/>
                <w:sz w:val="24"/>
                <w:szCs w:val="32"/>
                <w:lang w:bidi="ar-SA"/>
              </w:rPr>
              <w:t>m</w:t>
            </w:r>
            <w:r>
              <w:rPr>
                <w:rFonts w:hint="default" w:ascii="Times New Roman" w:hAnsi="Times New Roman" w:eastAsia="宋体" w:cs="Times New Roman"/>
                <w:color w:val="auto"/>
                <w:sz w:val="24"/>
                <w:szCs w:val="32"/>
                <w:vertAlign w:val="superscript"/>
                <w:lang w:bidi="ar-SA"/>
              </w:rPr>
              <w:t>3</w:t>
            </w:r>
            <w:r>
              <w:rPr>
                <w:rFonts w:hint="default" w:ascii="Times New Roman" w:hAnsi="Times New Roman" w:eastAsia="宋体" w:cs="Times New Roman"/>
                <w:color w:val="auto"/>
                <w:sz w:val="24"/>
                <w:szCs w:val="32"/>
                <w:lang w:bidi="ar-SA"/>
              </w:rPr>
              <w:t>/h</w:t>
            </w:r>
            <w:r>
              <w:rPr>
                <w:rFonts w:hint="eastAsia" w:ascii="Times New Roman" w:hAnsi="Times New Roman" w:eastAsia="宋体" w:cs="Times New Roman"/>
                <w:color w:val="auto"/>
                <w:sz w:val="24"/>
                <w:szCs w:val="32"/>
                <w:lang w:val="en-US" w:eastAsia="zh-CN" w:bidi="ar-SA"/>
              </w:rPr>
              <w:t>合理</w:t>
            </w:r>
            <w:r>
              <w:rPr>
                <w:rFonts w:hint="default" w:ascii="Times New Roman" w:hAnsi="Times New Roman" w:eastAsia="宋体" w:cs="Times New Roman"/>
                <w:color w:val="auto"/>
                <w:sz w:val="24"/>
                <w:szCs w:val="24"/>
                <w:lang w:bidi="ar-SA"/>
              </w:rPr>
              <w:t>。</w:t>
            </w:r>
          </w:p>
          <w:p w14:paraId="15685192">
            <w:pPr>
              <w:spacing w:line="360" w:lineRule="auto"/>
              <w:ind w:firstLine="482" w:firstLineChars="200"/>
              <w:rPr>
                <w:b/>
                <w:color w:val="auto"/>
                <w:sz w:val="24"/>
                <w:szCs w:val="24"/>
              </w:rPr>
            </w:pPr>
            <w:r>
              <w:rPr>
                <w:rFonts w:hint="eastAsia"/>
                <w:b/>
                <w:color w:val="auto"/>
                <w:sz w:val="24"/>
                <w:szCs w:val="24"/>
              </w:rPr>
              <w:t>2）排气筒设置合理性分析</w:t>
            </w:r>
          </w:p>
          <w:p w14:paraId="5E0E09C1">
            <w:pPr>
              <w:adjustRightInd w:val="0"/>
              <w:snapToGrid w:val="0"/>
              <w:spacing w:line="360" w:lineRule="auto"/>
              <w:ind w:firstLine="480" w:firstLineChars="200"/>
              <w:rPr>
                <w:color w:val="auto"/>
                <w:sz w:val="24"/>
                <w:szCs w:val="24"/>
              </w:rPr>
            </w:pPr>
            <w:r>
              <w:rPr>
                <w:rFonts w:hint="eastAsia"/>
                <w:color w:val="auto"/>
                <w:sz w:val="24"/>
                <w:szCs w:val="24"/>
              </w:rPr>
              <w:t>本项目排气筒高度为15m，满足《大气污染物综合排放标准》（DB32/4041-2021）4.1.4中排放光气、氰化氢和氯气的排气筒高度不低于25m，其他排气筒高度不低于15m的要求。</w:t>
            </w:r>
          </w:p>
          <w:p w14:paraId="5B992866">
            <w:pPr>
              <w:jc w:val="center"/>
              <w:rPr>
                <w:b/>
                <w:bCs/>
                <w:color w:val="auto"/>
                <w:sz w:val="24"/>
                <w:szCs w:val="24"/>
              </w:rPr>
            </w:pPr>
            <w:r>
              <w:rPr>
                <w:rFonts w:hint="eastAsia"/>
                <w:b/>
                <w:bCs/>
                <w:color w:val="auto"/>
                <w:sz w:val="24"/>
                <w:szCs w:val="24"/>
              </w:rPr>
              <w:t>表4-</w:t>
            </w:r>
            <w:r>
              <w:rPr>
                <w:rFonts w:hint="eastAsia"/>
                <w:b/>
                <w:bCs/>
                <w:color w:val="auto"/>
                <w:sz w:val="24"/>
                <w:szCs w:val="24"/>
                <w:lang w:val="en-US" w:eastAsia="zh-CN"/>
              </w:rPr>
              <w:t>8</w:t>
            </w:r>
            <w:r>
              <w:rPr>
                <w:rFonts w:hint="eastAsia"/>
                <w:b/>
                <w:bCs/>
                <w:color w:val="auto"/>
                <w:sz w:val="24"/>
                <w:szCs w:val="24"/>
              </w:rPr>
              <w:t xml:space="preserve"> 本项目排气筒参数一览表</w:t>
            </w:r>
          </w:p>
          <w:tbl>
            <w:tblPr>
              <w:tblStyle w:val="26"/>
              <w:tblW w:w="4998" w:type="pct"/>
              <w:jc w:val="center"/>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Layout w:type="fixed"/>
              <w:tblCellMar>
                <w:top w:w="0" w:type="dxa"/>
                <w:left w:w="0" w:type="dxa"/>
                <w:bottom w:w="0" w:type="dxa"/>
                <w:right w:w="0" w:type="dxa"/>
              </w:tblCellMar>
            </w:tblPr>
            <w:tblGrid>
              <w:gridCol w:w="1055"/>
              <w:gridCol w:w="1480"/>
              <w:gridCol w:w="1597"/>
              <w:gridCol w:w="1408"/>
              <w:gridCol w:w="1380"/>
              <w:gridCol w:w="1238"/>
            </w:tblGrid>
            <w:tr w14:paraId="643C2667">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03" w:hRule="atLeast"/>
                <w:jc w:val="center"/>
              </w:trPr>
              <w:tc>
                <w:tcPr>
                  <w:tcW w:w="646" w:type="pct"/>
                  <w:noWrap/>
                  <w:tcMar>
                    <w:top w:w="15" w:type="dxa"/>
                    <w:left w:w="15" w:type="dxa"/>
                    <w:right w:w="15" w:type="dxa"/>
                  </w:tcMar>
                  <w:vAlign w:val="center"/>
                </w:tcPr>
                <w:p w14:paraId="1DAFB17D">
                  <w:pPr>
                    <w:widowControl/>
                    <w:adjustRightInd w:val="0"/>
                    <w:snapToGrid w:val="0"/>
                    <w:jc w:val="center"/>
                    <w:textAlignment w:val="baseline"/>
                    <w:rPr>
                      <w:b/>
                      <w:color w:val="auto"/>
                      <w:spacing w:val="6"/>
                    </w:rPr>
                  </w:pPr>
                  <w:r>
                    <w:rPr>
                      <w:rFonts w:hint="eastAsia"/>
                      <w:b/>
                      <w:color w:val="auto"/>
                      <w:spacing w:val="6"/>
                    </w:rPr>
                    <w:t>序号</w:t>
                  </w:r>
                </w:p>
              </w:tc>
              <w:tc>
                <w:tcPr>
                  <w:tcW w:w="907" w:type="pct"/>
                  <w:noWrap/>
                  <w:tcMar>
                    <w:top w:w="15" w:type="dxa"/>
                    <w:left w:w="15" w:type="dxa"/>
                    <w:right w:w="15" w:type="dxa"/>
                  </w:tcMar>
                  <w:vAlign w:val="center"/>
                </w:tcPr>
                <w:p w14:paraId="7838D97B">
                  <w:pPr>
                    <w:widowControl/>
                    <w:adjustRightInd w:val="0"/>
                    <w:snapToGrid w:val="0"/>
                    <w:jc w:val="center"/>
                    <w:textAlignment w:val="baseline"/>
                    <w:rPr>
                      <w:b/>
                      <w:color w:val="auto"/>
                      <w:spacing w:val="6"/>
                    </w:rPr>
                  </w:pPr>
                  <w:r>
                    <w:rPr>
                      <w:rFonts w:hint="eastAsia"/>
                      <w:b/>
                      <w:color w:val="auto"/>
                      <w:spacing w:val="6"/>
                    </w:rPr>
                    <w:t>排气筒编号</w:t>
                  </w:r>
                </w:p>
              </w:tc>
              <w:tc>
                <w:tcPr>
                  <w:tcW w:w="978" w:type="pct"/>
                  <w:noWrap/>
                  <w:tcMar>
                    <w:top w:w="15" w:type="dxa"/>
                    <w:left w:w="15" w:type="dxa"/>
                    <w:right w:w="15" w:type="dxa"/>
                  </w:tcMar>
                  <w:vAlign w:val="center"/>
                </w:tcPr>
                <w:p w14:paraId="37FC320E">
                  <w:pPr>
                    <w:widowControl/>
                    <w:adjustRightInd w:val="0"/>
                    <w:snapToGrid w:val="0"/>
                    <w:jc w:val="center"/>
                    <w:textAlignment w:val="baseline"/>
                    <w:rPr>
                      <w:b/>
                      <w:color w:val="auto"/>
                      <w:spacing w:val="6"/>
                    </w:rPr>
                  </w:pPr>
                  <w:r>
                    <w:rPr>
                      <w:b/>
                      <w:color w:val="auto"/>
                      <w:spacing w:val="6"/>
                    </w:rPr>
                    <w:t>风量m</w:t>
                  </w:r>
                  <w:r>
                    <w:rPr>
                      <w:b/>
                      <w:color w:val="auto"/>
                      <w:spacing w:val="6"/>
                      <w:vertAlign w:val="superscript"/>
                    </w:rPr>
                    <w:t>3</w:t>
                  </w:r>
                  <w:r>
                    <w:rPr>
                      <w:b/>
                      <w:color w:val="auto"/>
                      <w:spacing w:val="6"/>
                    </w:rPr>
                    <w:t>/h</w:t>
                  </w:r>
                </w:p>
              </w:tc>
              <w:tc>
                <w:tcPr>
                  <w:tcW w:w="862" w:type="pct"/>
                  <w:noWrap/>
                  <w:tcMar>
                    <w:top w:w="15" w:type="dxa"/>
                    <w:left w:w="15" w:type="dxa"/>
                    <w:right w:w="15" w:type="dxa"/>
                  </w:tcMar>
                  <w:vAlign w:val="center"/>
                </w:tcPr>
                <w:p w14:paraId="61190BFD">
                  <w:pPr>
                    <w:widowControl/>
                    <w:adjustRightInd w:val="0"/>
                    <w:snapToGrid w:val="0"/>
                    <w:jc w:val="center"/>
                    <w:textAlignment w:val="baseline"/>
                    <w:rPr>
                      <w:b/>
                      <w:color w:val="auto"/>
                      <w:spacing w:val="6"/>
                    </w:rPr>
                  </w:pPr>
                  <w:r>
                    <w:rPr>
                      <w:rFonts w:hint="eastAsia"/>
                      <w:b/>
                      <w:color w:val="auto"/>
                      <w:spacing w:val="6"/>
                    </w:rPr>
                    <w:t>高度m</w:t>
                  </w:r>
                </w:p>
              </w:tc>
              <w:tc>
                <w:tcPr>
                  <w:tcW w:w="845" w:type="pct"/>
                  <w:noWrap/>
                  <w:tcMar>
                    <w:top w:w="15" w:type="dxa"/>
                    <w:left w:w="15" w:type="dxa"/>
                    <w:right w:w="15" w:type="dxa"/>
                  </w:tcMar>
                  <w:vAlign w:val="center"/>
                </w:tcPr>
                <w:p w14:paraId="18EDDF00">
                  <w:pPr>
                    <w:widowControl/>
                    <w:adjustRightInd w:val="0"/>
                    <w:snapToGrid w:val="0"/>
                    <w:jc w:val="center"/>
                    <w:textAlignment w:val="baseline"/>
                    <w:rPr>
                      <w:b/>
                      <w:color w:val="auto"/>
                      <w:spacing w:val="6"/>
                    </w:rPr>
                  </w:pPr>
                  <w:r>
                    <w:rPr>
                      <w:rFonts w:hint="eastAsia"/>
                      <w:b/>
                      <w:color w:val="auto"/>
                      <w:spacing w:val="6"/>
                    </w:rPr>
                    <w:t>内径m</w:t>
                  </w:r>
                </w:p>
              </w:tc>
              <w:tc>
                <w:tcPr>
                  <w:tcW w:w="758" w:type="pct"/>
                  <w:noWrap/>
                  <w:tcMar>
                    <w:top w:w="15" w:type="dxa"/>
                    <w:left w:w="15" w:type="dxa"/>
                    <w:right w:w="15" w:type="dxa"/>
                  </w:tcMar>
                  <w:vAlign w:val="center"/>
                </w:tcPr>
                <w:p w14:paraId="7890C0AA">
                  <w:pPr>
                    <w:widowControl/>
                    <w:adjustRightInd w:val="0"/>
                    <w:snapToGrid w:val="0"/>
                    <w:jc w:val="center"/>
                    <w:textAlignment w:val="baseline"/>
                    <w:rPr>
                      <w:b/>
                      <w:color w:val="auto"/>
                      <w:spacing w:val="6"/>
                    </w:rPr>
                  </w:pPr>
                  <w:r>
                    <w:rPr>
                      <w:rFonts w:hint="eastAsia"/>
                      <w:b/>
                      <w:color w:val="auto"/>
                      <w:spacing w:val="6"/>
                    </w:rPr>
                    <w:t>风速m/s</w:t>
                  </w:r>
                </w:p>
              </w:tc>
            </w:tr>
            <w:tr w14:paraId="0633BAB5">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29" w:hRule="atLeast"/>
                <w:jc w:val="center"/>
              </w:trPr>
              <w:tc>
                <w:tcPr>
                  <w:tcW w:w="646" w:type="pct"/>
                  <w:noWrap/>
                  <w:tcMar>
                    <w:top w:w="15" w:type="dxa"/>
                    <w:left w:w="15" w:type="dxa"/>
                    <w:right w:w="15" w:type="dxa"/>
                  </w:tcMar>
                  <w:vAlign w:val="center"/>
                </w:tcPr>
                <w:p w14:paraId="729A25F1">
                  <w:pPr>
                    <w:widowControl/>
                    <w:adjustRightInd w:val="0"/>
                    <w:snapToGrid w:val="0"/>
                    <w:jc w:val="center"/>
                    <w:textAlignment w:val="baseline"/>
                    <w:rPr>
                      <w:color w:val="auto"/>
                      <w:spacing w:val="6"/>
                    </w:rPr>
                  </w:pPr>
                  <w:r>
                    <w:rPr>
                      <w:rFonts w:hint="eastAsia"/>
                      <w:color w:val="auto"/>
                      <w:spacing w:val="6"/>
                    </w:rPr>
                    <w:t>1</w:t>
                  </w:r>
                </w:p>
              </w:tc>
              <w:tc>
                <w:tcPr>
                  <w:tcW w:w="907" w:type="pct"/>
                  <w:shd w:val="clear" w:color="auto" w:fill="auto"/>
                  <w:noWrap/>
                  <w:tcMar>
                    <w:top w:w="15" w:type="dxa"/>
                    <w:left w:w="15" w:type="dxa"/>
                    <w:right w:w="15" w:type="dxa"/>
                  </w:tcMar>
                  <w:vAlign w:val="center"/>
                </w:tcPr>
                <w:p w14:paraId="1EAE774E">
                  <w:pPr>
                    <w:jc w:val="center"/>
                    <w:rPr>
                      <w:color w:val="auto"/>
                    </w:rPr>
                  </w:pPr>
                  <w:r>
                    <w:rPr>
                      <w:rFonts w:hint="eastAsia"/>
                      <w:color w:val="auto"/>
                      <w:lang w:bidi="ar"/>
                    </w:rPr>
                    <w:t>DA001</w:t>
                  </w:r>
                </w:p>
              </w:tc>
              <w:tc>
                <w:tcPr>
                  <w:tcW w:w="978" w:type="pct"/>
                  <w:shd w:val="clear" w:color="auto" w:fill="auto"/>
                  <w:noWrap/>
                  <w:tcMar>
                    <w:top w:w="15" w:type="dxa"/>
                    <w:left w:w="15" w:type="dxa"/>
                    <w:right w:w="15" w:type="dxa"/>
                  </w:tcMar>
                  <w:vAlign w:val="center"/>
                </w:tcPr>
                <w:p w14:paraId="26239C6A">
                  <w:pPr>
                    <w:widowControl/>
                    <w:jc w:val="center"/>
                    <w:textAlignment w:val="center"/>
                    <w:rPr>
                      <w:rFonts w:hint="default" w:eastAsia="宋体"/>
                      <w:color w:val="auto"/>
                      <w:kern w:val="0"/>
                      <w:lang w:val="en-US" w:eastAsia="zh-CN"/>
                    </w:rPr>
                  </w:pPr>
                  <w:r>
                    <w:rPr>
                      <w:rFonts w:hint="eastAsia"/>
                      <w:color w:val="auto"/>
                      <w:kern w:val="0"/>
                      <w:lang w:val="en-US" w:eastAsia="zh-CN"/>
                    </w:rPr>
                    <w:t>1500</w:t>
                  </w:r>
                </w:p>
              </w:tc>
              <w:tc>
                <w:tcPr>
                  <w:tcW w:w="862" w:type="pct"/>
                  <w:noWrap/>
                  <w:tcMar>
                    <w:top w:w="15" w:type="dxa"/>
                    <w:left w:w="15" w:type="dxa"/>
                    <w:right w:w="15" w:type="dxa"/>
                  </w:tcMar>
                  <w:vAlign w:val="center"/>
                </w:tcPr>
                <w:p w14:paraId="3F346760">
                  <w:pPr>
                    <w:widowControl/>
                    <w:adjustRightInd w:val="0"/>
                    <w:snapToGrid w:val="0"/>
                    <w:jc w:val="center"/>
                    <w:textAlignment w:val="baseline"/>
                    <w:rPr>
                      <w:color w:val="auto"/>
                      <w:spacing w:val="6"/>
                    </w:rPr>
                  </w:pPr>
                  <w:r>
                    <w:rPr>
                      <w:rFonts w:hint="eastAsia"/>
                      <w:color w:val="auto"/>
                      <w:spacing w:val="6"/>
                    </w:rPr>
                    <w:t>15</w:t>
                  </w:r>
                </w:p>
              </w:tc>
              <w:tc>
                <w:tcPr>
                  <w:tcW w:w="845" w:type="pct"/>
                  <w:noWrap/>
                  <w:tcMar>
                    <w:top w:w="15" w:type="dxa"/>
                    <w:left w:w="15" w:type="dxa"/>
                    <w:right w:w="15" w:type="dxa"/>
                  </w:tcMar>
                  <w:vAlign w:val="center"/>
                </w:tcPr>
                <w:p w14:paraId="586E91AF">
                  <w:pPr>
                    <w:jc w:val="center"/>
                    <w:rPr>
                      <w:rFonts w:hint="default" w:eastAsia="宋体"/>
                      <w:color w:val="auto"/>
                      <w:spacing w:val="6"/>
                      <w:lang w:val="en-US" w:eastAsia="zh-CN"/>
                    </w:rPr>
                  </w:pPr>
                  <w:r>
                    <w:rPr>
                      <w:rFonts w:hint="eastAsia"/>
                      <w:color w:val="auto"/>
                      <w:spacing w:val="6"/>
                      <w:lang w:val="en-US" w:eastAsia="zh-CN"/>
                    </w:rPr>
                    <w:t>0.19</w:t>
                  </w:r>
                </w:p>
              </w:tc>
              <w:tc>
                <w:tcPr>
                  <w:tcW w:w="758" w:type="pct"/>
                  <w:noWrap/>
                  <w:tcMar>
                    <w:top w:w="15" w:type="dxa"/>
                    <w:left w:w="15" w:type="dxa"/>
                    <w:right w:w="15" w:type="dxa"/>
                  </w:tcMar>
                  <w:vAlign w:val="center"/>
                </w:tcPr>
                <w:p w14:paraId="24D7CF2D">
                  <w:pPr>
                    <w:snapToGrid w:val="0"/>
                    <w:spacing w:line="240" w:lineRule="atLeast"/>
                    <w:jc w:val="center"/>
                    <w:rPr>
                      <w:rFonts w:hint="default" w:eastAsia="宋体"/>
                      <w:color w:val="auto"/>
                      <w:spacing w:val="6"/>
                      <w:lang w:val="en-US" w:eastAsia="zh-CN"/>
                    </w:rPr>
                  </w:pPr>
                  <w:r>
                    <w:rPr>
                      <w:rFonts w:hint="eastAsia"/>
                      <w:color w:val="auto"/>
                      <w:spacing w:val="6"/>
                      <w:lang w:val="en-US" w:eastAsia="zh-CN"/>
                    </w:rPr>
                    <w:t>14.7</w:t>
                  </w:r>
                </w:p>
              </w:tc>
            </w:tr>
          </w:tbl>
          <w:p w14:paraId="266AF521">
            <w:pPr>
              <w:spacing w:before="120" w:beforeLines="50" w:line="360" w:lineRule="auto"/>
              <w:ind w:firstLine="480" w:firstLineChars="200"/>
              <w:rPr>
                <w:color w:val="auto"/>
                <w:sz w:val="24"/>
                <w:szCs w:val="24"/>
              </w:rPr>
            </w:pPr>
            <w:r>
              <w:rPr>
                <w:rFonts w:hint="eastAsia"/>
                <w:color w:val="auto"/>
                <w:sz w:val="24"/>
                <w:szCs w:val="24"/>
              </w:rPr>
              <w:t>从上表可以看出本项目排气筒风速均符合《大气污染治理工程技术导则》（HJ2000-2010）中流速宜取15m/s的要求。</w:t>
            </w:r>
          </w:p>
          <w:p w14:paraId="704ACD20">
            <w:pPr>
              <w:spacing w:line="360" w:lineRule="auto"/>
              <w:ind w:firstLine="480" w:firstLineChars="200"/>
              <w:rPr>
                <w:color w:val="auto"/>
                <w:sz w:val="24"/>
                <w:szCs w:val="24"/>
              </w:rPr>
            </w:pPr>
            <w:r>
              <w:rPr>
                <w:rFonts w:hint="eastAsia"/>
                <w:color w:val="auto"/>
                <w:sz w:val="24"/>
                <w:szCs w:val="24"/>
              </w:rPr>
              <w:t>因此，本项目排气筒的设置是合理的。</w:t>
            </w:r>
          </w:p>
          <w:p w14:paraId="12FC5C9C">
            <w:pPr>
              <w:spacing w:line="360" w:lineRule="auto"/>
              <w:ind w:firstLine="482" w:firstLineChars="200"/>
              <w:rPr>
                <w:b/>
                <w:color w:val="auto"/>
                <w:sz w:val="24"/>
                <w:szCs w:val="24"/>
              </w:rPr>
            </w:pPr>
            <w:r>
              <w:rPr>
                <w:rFonts w:hint="eastAsia"/>
                <w:b/>
                <w:color w:val="auto"/>
                <w:sz w:val="24"/>
                <w:szCs w:val="24"/>
                <w:lang w:val="en-US" w:eastAsia="zh-CN"/>
              </w:rPr>
              <w:t>3</w:t>
            </w:r>
            <w:r>
              <w:rPr>
                <w:rFonts w:hint="eastAsia"/>
                <w:b/>
                <w:color w:val="auto"/>
                <w:sz w:val="24"/>
                <w:szCs w:val="24"/>
              </w:rPr>
              <w:t>）</w:t>
            </w:r>
            <w:r>
              <w:rPr>
                <w:b/>
                <w:color w:val="auto"/>
                <w:sz w:val="24"/>
                <w:szCs w:val="24"/>
              </w:rPr>
              <w:t>废气处理可行性</w:t>
            </w:r>
          </w:p>
          <w:p w14:paraId="690D8B0A">
            <w:pPr>
              <w:widowControl/>
              <w:spacing w:line="360" w:lineRule="auto"/>
              <w:ind w:firstLine="482" w:firstLineChars="200"/>
              <w:rPr>
                <w:rFonts w:cs="宋体"/>
                <w:color w:val="auto"/>
                <w:sz w:val="24"/>
                <w:szCs w:val="32"/>
              </w:rPr>
            </w:pPr>
            <w:r>
              <w:rPr>
                <w:rFonts w:hint="eastAsia"/>
                <w:b/>
                <w:color w:val="auto"/>
                <w:sz w:val="24"/>
                <w:szCs w:val="24"/>
                <w:lang w:bidi="ar"/>
              </w:rPr>
              <w:t>布袋</w:t>
            </w:r>
            <w:r>
              <w:rPr>
                <w:b/>
                <w:color w:val="auto"/>
                <w:sz w:val="24"/>
                <w:szCs w:val="24"/>
                <w:lang w:bidi="ar"/>
              </w:rPr>
              <w:t>除尘器原理：</w:t>
            </w:r>
            <w:r>
              <w:rPr>
                <w:rFonts w:hint="eastAsia" w:cs="宋体"/>
                <w:color w:val="auto"/>
                <w:sz w:val="24"/>
                <w:szCs w:val="32"/>
                <w:lang w:bidi="ar"/>
              </w:rPr>
              <w:t>含尘气体从布袋式除尘器入口进入后，由导流管进入各单元室，在导流装置的作用下，大颗粒粉尘分离后直接落入灰斗，其余粉尘随气流均匀进入各仓室过滤区中的滤袋，当含尘气体穿过滤袋时，粉尘即被吸附在滤袋上，而被净化的气体从滤袋内排</w:t>
            </w:r>
            <w:r>
              <w:rPr>
                <w:rFonts w:hint="eastAsia" w:cs="宋体"/>
                <w:color w:val="auto"/>
                <w:sz w:val="24"/>
                <w:szCs w:val="32"/>
                <w:lang w:val="en-US" w:eastAsia="zh-CN" w:bidi="ar"/>
              </w:rPr>
              <w:t>出</w:t>
            </w:r>
            <w:r>
              <w:rPr>
                <w:rFonts w:hint="eastAsia" w:cs="宋体"/>
                <w:color w:val="auto"/>
                <w:sz w:val="24"/>
                <w:szCs w:val="32"/>
                <w:lang w:bidi="ar"/>
              </w:rPr>
              <w:t>。布袋除尘器的除尘效率可达</w:t>
            </w:r>
            <w:r>
              <w:rPr>
                <w:rFonts w:hint="eastAsia"/>
                <w:color w:val="auto"/>
                <w:sz w:val="24"/>
                <w:szCs w:val="32"/>
                <w:lang w:bidi="ar"/>
              </w:rPr>
              <w:t>95</w:t>
            </w:r>
            <w:r>
              <w:rPr>
                <w:color w:val="auto"/>
                <w:sz w:val="24"/>
                <w:szCs w:val="32"/>
                <w:lang w:bidi="ar"/>
              </w:rPr>
              <w:t>%</w:t>
            </w:r>
            <w:r>
              <w:rPr>
                <w:rFonts w:hint="eastAsia" w:cs="宋体"/>
                <w:color w:val="auto"/>
                <w:sz w:val="24"/>
                <w:szCs w:val="32"/>
                <w:lang w:bidi="ar"/>
              </w:rPr>
              <w:t>。</w:t>
            </w:r>
          </w:p>
          <w:p w14:paraId="016FC742">
            <w:pPr>
              <w:tabs>
                <w:tab w:val="left" w:pos="420"/>
              </w:tabs>
              <w:jc w:val="center"/>
              <w:rPr>
                <w:rFonts w:cs="宋体"/>
                <w:b/>
                <w:color w:val="auto"/>
                <w:sz w:val="24"/>
                <w:szCs w:val="24"/>
              </w:rPr>
            </w:pPr>
            <w:r>
              <w:rPr>
                <w:rFonts w:hint="eastAsia" w:cs="宋体"/>
                <w:b/>
                <w:color w:val="auto"/>
                <w:sz w:val="24"/>
                <w:szCs w:val="24"/>
                <w:lang w:bidi="ar"/>
              </w:rPr>
              <w:t>表</w:t>
            </w:r>
            <w:r>
              <w:rPr>
                <w:rFonts w:hint="eastAsia"/>
                <w:b/>
                <w:color w:val="auto"/>
                <w:sz w:val="24"/>
                <w:szCs w:val="24"/>
                <w:lang w:bidi="ar"/>
              </w:rPr>
              <w:t>4-</w:t>
            </w:r>
            <w:r>
              <w:rPr>
                <w:rFonts w:hint="eastAsia"/>
                <w:b/>
                <w:color w:val="auto"/>
                <w:sz w:val="24"/>
                <w:szCs w:val="24"/>
                <w:lang w:val="en-US" w:eastAsia="zh-CN" w:bidi="ar"/>
              </w:rPr>
              <w:t>9</w:t>
            </w:r>
            <w:r>
              <w:rPr>
                <w:b/>
                <w:color w:val="auto"/>
                <w:sz w:val="24"/>
                <w:szCs w:val="24"/>
                <w:lang w:bidi="ar"/>
              </w:rPr>
              <w:t xml:space="preserve"> </w:t>
            </w:r>
            <w:r>
              <w:rPr>
                <w:rFonts w:hint="eastAsia"/>
                <w:b/>
                <w:color w:val="auto"/>
                <w:sz w:val="24"/>
                <w:szCs w:val="24"/>
                <w:lang w:bidi="ar"/>
              </w:rPr>
              <w:t>布袋除尘器</w:t>
            </w:r>
            <w:r>
              <w:rPr>
                <w:rFonts w:hint="eastAsia" w:cs="宋体"/>
                <w:b/>
                <w:color w:val="auto"/>
                <w:sz w:val="24"/>
                <w:szCs w:val="24"/>
                <w:lang w:bidi="ar"/>
              </w:rPr>
              <w:t>设备参数</w:t>
            </w:r>
          </w:p>
          <w:tbl>
            <w:tblPr>
              <w:tblStyle w:val="26"/>
              <w:tblW w:w="4995" w:type="pct"/>
              <w:jc w:val="center"/>
              <w:tblBorders>
                <w:top w:val="single" w:color="000000" w:sz="12" w:space="0"/>
                <w:left w:val="none" w:color="auto" w:sz="0" w:space="0"/>
                <w:bottom w:val="single" w:color="000000" w:sz="12" w:space="0"/>
                <w:right w:val="none" w:color="auto" w:sz="0" w:space="0"/>
                <w:insideH w:val="single" w:color="000000" w:sz="6" w:space="0"/>
                <w:insideV w:val="single" w:color="000000" w:sz="2" w:space="0"/>
              </w:tblBorders>
              <w:tblLayout w:type="fixed"/>
              <w:tblCellMar>
                <w:top w:w="0" w:type="dxa"/>
                <w:left w:w="0" w:type="dxa"/>
                <w:bottom w:w="0" w:type="dxa"/>
                <w:right w:w="0" w:type="dxa"/>
              </w:tblCellMar>
            </w:tblPr>
            <w:tblGrid>
              <w:gridCol w:w="1242"/>
              <w:gridCol w:w="1385"/>
              <w:gridCol w:w="981"/>
              <w:gridCol w:w="1116"/>
              <w:gridCol w:w="913"/>
              <w:gridCol w:w="775"/>
              <w:gridCol w:w="1075"/>
              <w:gridCol w:w="666"/>
            </w:tblGrid>
            <w:tr w14:paraId="35D6C733">
              <w:tblPrEx>
                <w:tblBorders>
                  <w:top w:val="single" w:color="000000" w:sz="12" w:space="0"/>
                  <w:left w:val="none" w:color="auto" w:sz="0" w:space="0"/>
                  <w:bottom w:val="single" w:color="000000" w:sz="12" w:space="0"/>
                  <w:right w:val="none" w:color="auto" w:sz="0" w:space="0"/>
                  <w:insideH w:val="single" w:color="000000" w:sz="6" w:space="0"/>
                  <w:insideV w:val="single" w:color="000000" w:sz="2" w:space="0"/>
                </w:tblBorders>
                <w:tblCellMar>
                  <w:top w:w="0" w:type="dxa"/>
                  <w:left w:w="0" w:type="dxa"/>
                  <w:bottom w:w="0" w:type="dxa"/>
                  <w:right w:w="0" w:type="dxa"/>
                </w:tblCellMar>
              </w:tblPrEx>
              <w:trPr>
                <w:trHeight w:val="23" w:hRule="atLeast"/>
                <w:jc w:val="center"/>
              </w:trPr>
              <w:tc>
                <w:tcPr>
                  <w:tcW w:w="761" w:type="pct"/>
                  <w:tcBorders>
                    <w:tl2br w:val="nil"/>
                    <w:tr2bl w:val="nil"/>
                  </w:tcBorders>
                  <w:noWrap/>
                  <w:tcMar>
                    <w:top w:w="15" w:type="dxa"/>
                    <w:left w:w="15" w:type="dxa"/>
                    <w:right w:w="15" w:type="dxa"/>
                  </w:tcMar>
                  <w:vAlign w:val="center"/>
                </w:tcPr>
                <w:p w14:paraId="383BD7AA">
                  <w:pPr>
                    <w:widowControl/>
                    <w:adjustRightInd w:val="0"/>
                    <w:snapToGrid w:val="0"/>
                    <w:jc w:val="center"/>
                    <w:textAlignment w:val="baseline"/>
                    <w:rPr>
                      <w:b/>
                      <w:color w:val="auto"/>
                      <w:spacing w:val="6"/>
                    </w:rPr>
                  </w:pPr>
                  <w:r>
                    <w:rPr>
                      <w:rFonts w:hint="eastAsia"/>
                      <w:b/>
                      <w:color w:val="auto"/>
                      <w:spacing w:val="6"/>
                      <w:lang w:bidi="ar"/>
                    </w:rPr>
                    <w:t>处理对象</w:t>
                  </w:r>
                </w:p>
              </w:tc>
              <w:tc>
                <w:tcPr>
                  <w:tcW w:w="849" w:type="pct"/>
                  <w:tcBorders>
                    <w:tl2br w:val="nil"/>
                    <w:tr2bl w:val="nil"/>
                  </w:tcBorders>
                  <w:noWrap/>
                  <w:tcMar>
                    <w:top w:w="15" w:type="dxa"/>
                    <w:left w:w="15" w:type="dxa"/>
                    <w:right w:w="15" w:type="dxa"/>
                  </w:tcMar>
                  <w:vAlign w:val="center"/>
                </w:tcPr>
                <w:p w14:paraId="6ACD606F">
                  <w:pPr>
                    <w:widowControl/>
                    <w:adjustRightInd w:val="0"/>
                    <w:snapToGrid w:val="0"/>
                    <w:jc w:val="center"/>
                    <w:textAlignment w:val="baseline"/>
                    <w:rPr>
                      <w:rFonts w:cs="宋体"/>
                      <w:b/>
                      <w:color w:val="auto"/>
                      <w:spacing w:val="6"/>
                    </w:rPr>
                  </w:pPr>
                  <w:r>
                    <w:rPr>
                      <w:rFonts w:hint="eastAsia" w:cs="宋体"/>
                      <w:b/>
                      <w:color w:val="auto"/>
                      <w:spacing w:val="6"/>
                      <w:lang w:bidi="ar"/>
                    </w:rPr>
                    <w:t>设备尺寸（</w:t>
                  </w:r>
                  <w:r>
                    <w:rPr>
                      <w:b/>
                      <w:color w:val="auto"/>
                      <w:spacing w:val="6"/>
                      <w:lang w:bidi="ar"/>
                    </w:rPr>
                    <w:t>mm</w:t>
                  </w:r>
                  <w:r>
                    <w:rPr>
                      <w:rFonts w:hint="eastAsia" w:cs="宋体"/>
                      <w:b/>
                      <w:color w:val="auto"/>
                      <w:spacing w:val="6"/>
                      <w:lang w:bidi="ar"/>
                    </w:rPr>
                    <w:t>）</w:t>
                  </w:r>
                </w:p>
              </w:tc>
              <w:tc>
                <w:tcPr>
                  <w:tcW w:w="601" w:type="pct"/>
                  <w:tcBorders>
                    <w:tl2br w:val="nil"/>
                    <w:tr2bl w:val="nil"/>
                  </w:tcBorders>
                </w:tcPr>
                <w:p w14:paraId="63F97929">
                  <w:pPr>
                    <w:widowControl/>
                    <w:adjustRightInd w:val="0"/>
                    <w:snapToGrid w:val="0"/>
                    <w:jc w:val="center"/>
                    <w:textAlignment w:val="baseline"/>
                    <w:rPr>
                      <w:b/>
                      <w:color w:val="auto"/>
                      <w:spacing w:val="6"/>
                    </w:rPr>
                  </w:pPr>
                  <w:r>
                    <w:rPr>
                      <w:rFonts w:hint="eastAsia" w:cs="宋体"/>
                      <w:b/>
                      <w:color w:val="auto"/>
                      <w:spacing w:val="6"/>
                      <w:lang w:bidi="ar"/>
                    </w:rPr>
                    <w:t>风量（</w:t>
                  </w:r>
                  <w:r>
                    <w:rPr>
                      <w:b/>
                      <w:color w:val="auto"/>
                      <w:spacing w:val="6"/>
                      <w:lang w:bidi="ar"/>
                    </w:rPr>
                    <w:t>m</w:t>
                  </w:r>
                  <w:r>
                    <w:rPr>
                      <w:b/>
                      <w:color w:val="auto"/>
                      <w:spacing w:val="6"/>
                      <w:vertAlign w:val="superscript"/>
                      <w:lang w:bidi="ar"/>
                    </w:rPr>
                    <w:t>3</w:t>
                  </w:r>
                  <w:r>
                    <w:rPr>
                      <w:b/>
                      <w:color w:val="auto"/>
                      <w:spacing w:val="6"/>
                      <w:lang w:bidi="ar"/>
                    </w:rPr>
                    <w:t>/h</w:t>
                  </w:r>
                  <w:r>
                    <w:rPr>
                      <w:rFonts w:hint="eastAsia" w:cs="宋体"/>
                      <w:b/>
                      <w:color w:val="auto"/>
                      <w:spacing w:val="6"/>
                      <w:lang w:bidi="ar"/>
                    </w:rPr>
                    <w:t>）</w:t>
                  </w:r>
                </w:p>
              </w:tc>
              <w:tc>
                <w:tcPr>
                  <w:tcW w:w="684" w:type="pct"/>
                  <w:tcBorders>
                    <w:tl2br w:val="nil"/>
                    <w:tr2bl w:val="nil"/>
                  </w:tcBorders>
                  <w:noWrap/>
                  <w:tcMar>
                    <w:top w:w="15" w:type="dxa"/>
                    <w:left w:w="15" w:type="dxa"/>
                    <w:right w:w="15" w:type="dxa"/>
                  </w:tcMar>
                  <w:vAlign w:val="center"/>
                </w:tcPr>
                <w:p w14:paraId="74A9F707">
                  <w:pPr>
                    <w:widowControl/>
                    <w:adjustRightInd w:val="0"/>
                    <w:snapToGrid w:val="0"/>
                    <w:jc w:val="center"/>
                    <w:textAlignment w:val="baseline"/>
                    <w:rPr>
                      <w:b/>
                      <w:color w:val="auto"/>
                      <w:spacing w:val="6"/>
                    </w:rPr>
                  </w:pPr>
                  <w:r>
                    <w:rPr>
                      <w:rFonts w:hint="eastAsia" w:cs="宋体"/>
                      <w:b/>
                      <w:color w:val="auto"/>
                      <w:spacing w:val="6"/>
                      <w:lang w:bidi="ar"/>
                    </w:rPr>
                    <w:t>收集效率（</w:t>
                  </w:r>
                  <w:r>
                    <w:rPr>
                      <w:b/>
                      <w:color w:val="auto"/>
                      <w:spacing w:val="6"/>
                      <w:lang w:bidi="ar"/>
                    </w:rPr>
                    <w:t>%</w:t>
                  </w:r>
                  <w:r>
                    <w:rPr>
                      <w:rFonts w:hint="eastAsia" w:cs="宋体"/>
                      <w:b/>
                      <w:color w:val="auto"/>
                      <w:spacing w:val="6"/>
                      <w:lang w:bidi="ar"/>
                    </w:rPr>
                    <w:t>）</w:t>
                  </w:r>
                </w:p>
              </w:tc>
              <w:tc>
                <w:tcPr>
                  <w:tcW w:w="559" w:type="pct"/>
                  <w:tcBorders>
                    <w:tl2br w:val="nil"/>
                    <w:tr2bl w:val="nil"/>
                  </w:tcBorders>
                  <w:noWrap/>
                  <w:tcMar>
                    <w:top w:w="15" w:type="dxa"/>
                    <w:left w:w="15" w:type="dxa"/>
                    <w:right w:w="15" w:type="dxa"/>
                  </w:tcMar>
                  <w:vAlign w:val="center"/>
                </w:tcPr>
                <w:p w14:paraId="3776BF47">
                  <w:pPr>
                    <w:widowControl/>
                    <w:adjustRightInd w:val="0"/>
                    <w:snapToGrid w:val="0"/>
                    <w:jc w:val="center"/>
                    <w:textAlignment w:val="baseline"/>
                    <w:rPr>
                      <w:b/>
                      <w:color w:val="auto"/>
                      <w:spacing w:val="6"/>
                    </w:rPr>
                  </w:pPr>
                  <w:r>
                    <w:rPr>
                      <w:rFonts w:hint="eastAsia" w:cs="宋体"/>
                      <w:b/>
                      <w:color w:val="auto"/>
                      <w:spacing w:val="6"/>
                      <w:lang w:bidi="ar"/>
                    </w:rPr>
                    <w:t>处理效率（</w:t>
                  </w:r>
                  <w:r>
                    <w:rPr>
                      <w:b/>
                      <w:color w:val="auto"/>
                      <w:spacing w:val="6"/>
                      <w:lang w:bidi="ar"/>
                    </w:rPr>
                    <w:t>%</w:t>
                  </w:r>
                  <w:r>
                    <w:rPr>
                      <w:rFonts w:hint="eastAsia" w:cs="宋体"/>
                      <w:b/>
                      <w:color w:val="auto"/>
                      <w:spacing w:val="6"/>
                      <w:lang w:bidi="ar"/>
                    </w:rPr>
                    <w:t>）</w:t>
                  </w:r>
                </w:p>
              </w:tc>
              <w:tc>
                <w:tcPr>
                  <w:tcW w:w="475" w:type="pct"/>
                  <w:tcBorders>
                    <w:tl2br w:val="nil"/>
                    <w:tr2bl w:val="nil"/>
                  </w:tcBorders>
                  <w:noWrap/>
                  <w:tcMar>
                    <w:top w:w="15" w:type="dxa"/>
                    <w:left w:w="15" w:type="dxa"/>
                    <w:right w:w="15" w:type="dxa"/>
                  </w:tcMar>
                  <w:vAlign w:val="center"/>
                </w:tcPr>
                <w:p w14:paraId="6194EAD2">
                  <w:pPr>
                    <w:widowControl/>
                    <w:adjustRightInd w:val="0"/>
                    <w:snapToGrid w:val="0"/>
                    <w:jc w:val="center"/>
                    <w:textAlignment w:val="baseline"/>
                    <w:rPr>
                      <w:b/>
                      <w:color w:val="auto"/>
                      <w:spacing w:val="6"/>
                    </w:rPr>
                  </w:pPr>
                  <w:r>
                    <w:rPr>
                      <w:rFonts w:hint="eastAsia" w:cs="宋体"/>
                      <w:b/>
                      <w:color w:val="auto"/>
                      <w:spacing w:val="6"/>
                      <w:lang w:bidi="ar"/>
                    </w:rPr>
                    <w:t>功率（</w:t>
                  </w:r>
                  <w:r>
                    <w:rPr>
                      <w:b/>
                      <w:color w:val="auto"/>
                      <w:spacing w:val="6"/>
                      <w:lang w:bidi="ar"/>
                    </w:rPr>
                    <w:t>kW</w:t>
                  </w:r>
                  <w:r>
                    <w:rPr>
                      <w:rFonts w:hint="eastAsia" w:cs="宋体"/>
                      <w:b/>
                      <w:color w:val="auto"/>
                      <w:spacing w:val="6"/>
                      <w:lang w:bidi="ar"/>
                    </w:rPr>
                    <w:t>）</w:t>
                  </w:r>
                </w:p>
              </w:tc>
              <w:tc>
                <w:tcPr>
                  <w:tcW w:w="659" w:type="pct"/>
                  <w:tcBorders>
                    <w:tl2br w:val="nil"/>
                    <w:tr2bl w:val="nil"/>
                  </w:tcBorders>
                  <w:shd w:val="clear" w:color="auto" w:fill="auto"/>
                  <w:noWrap/>
                  <w:tcMar>
                    <w:top w:w="15" w:type="dxa"/>
                    <w:left w:w="15" w:type="dxa"/>
                    <w:right w:w="15" w:type="dxa"/>
                  </w:tcMar>
                  <w:vAlign w:val="center"/>
                </w:tcPr>
                <w:p w14:paraId="522BB4AC">
                  <w:pPr>
                    <w:widowControl/>
                    <w:adjustRightInd w:val="0"/>
                    <w:snapToGrid w:val="0"/>
                    <w:jc w:val="center"/>
                    <w:textAlignment w:val="baseline"/>
                    <w:rPr>
                      <w:rFonts w:hint="eastAsia" w:ascii="Times New Roman" w:hAnsi="Times New Roman" w:eastAsia="宋体" w:cs="Times New Roman"/>
                      <w:b/>
                      <w:color w:val="auto"/>
                      <w:spacing w:val="6"/>
                      <w:kern w:val="2"/>
                      <w:sz w:val="21"/>
                      <w:szCs w:val="21"/>
                      <w:lang w:val="en-US" w:eastAsia="zh-CN" w:bidi="ar"/>
                    </w:rPr>
                  </w:pPr>
                  <w:r>
                    <w:rPr>
                      <w:b/>
                      <w:color w:val="auto"/>
                      <w:spacing w:val="6"/>
                      <w:lang w:bidi="ar"/>
                    </w:rPr>
                    <w:t>过滤风速（m/min）</w:t>
                  </w:r>
                </w:p>
              </w:tc>
              <w:tc>
                <w:tcPr>
                  <w:tcW w:w="408" w:type="pct"/>
                  <w:tcBorders>
                    <w:tl2br w:val="nil"/>
                    <w:tr2bl w:val="nil"/>
                  </w:tcBorders>
                  <w:noWrap/>
                  <w:tcMar>
                    <w:top w:w="15" w:type="dxa"/>
                    <w:left w:w="15" w:type="dxa"/>
                    <w:right w:w="15" w:type="dxa"/>
                  </w:tcMar>
                  <w:vAlign w:val="center"/>
                </w:tcPr>
                <w:p w14:paraId="290166F0">
                  <w:pPr>
                    <w:widowControl/>
                    <w:adjustRightInd w:val="0"/>
                    <w:snapToGrid w:val="0"/>
                    <w:jc w:val="center"/>
                    <w:textAlignment w:val="baseline"/>
                    <w:rPr>
                      <w:b/>
                      <w:color w:val="auto"/>
                      <w:spacing w:val="6"/>
                    </w:rPr>
                  </w:pPr>
                  <w:r>
                    <w:rPr>
                      <w:rFonts w:hint="eastAsia" w:cs="宋体"/>
                      <w:b/>
                      <w:color w:val="auto"/>
                      <w:spacing w:val="6"/>
                      <w:lang w:bidi="ar"/>
                    </w:rPr>
                    <w:t>过滤材质</w:t>
                  </w:r>
                </w:p>
              </w:tc>
            </w:tr>
            <w:tr w14:paraId="35675BFD">
              <w:tblPrEx>
                <w:tblBorders>
                  <w:top w:val="single" w:color="000000" w:sz="12" w:space="0"/>
                  <w:left w:val="none" w:color="auto" w:sz="0" w:space="0"/>
                  <w:bottom w:val="single" w:color="000000" w:sz="12" w:space="0"/>
                  <w:right w:val="none" w:color="auto" w:sz="0" w:space="0"/>
                  <w:insideH w:val="single" w:color="000000" w:sz="6" w:space="0"/>
                  <w:insideV w:val="single" w:color="000000" w:sz="2" w:space="0"/>
                </w:tblBorders>
                <w:tblCellMar>
                  <w:top w:w="0" w:type="dxa"/>
                  <w:left w:w="0" w:type="dxa"/>
                  <w:bottom w:w="0" w:type="dxa"/>
                  <w:right w:w="0" w:type="dxa"/>
                </w:tblCellMar>
              </w:tblPrEx>
              <w:trPr>
                <w:trHeight w:val="23" w:hRule="atLeast"/>
                <w:jc w:val="center"/>
              </w:trPr>
              <w:tc>
                <w:tcPr>
                  <w:tcW w:w="761" w:type="pct"/>
                  <w:tcBorders>
                    <w:tl2br w:val="nil"/>
                    <w:tr2bl w:val="nil"/>
                  </w:tcBorders>
                  <w:noWrap/>
                  <w:tcMar>
                    <w:top w:w="15" w:type="dxa"/>
                    <w:left w:w="15" w:type="dxa"/>
                    <w:right w:w="15" w:type="dxa"/>
                  </w:tcMar>
                  <w:vAlign w:val="center"/>
                </w:tcPr>
                <w:p w14:paraId="0BA4CA58">
                  <w:pPr>
                    <w:widowControl/>
                    <w:adjustRightInd w:val="0"/>
                    <w:snapToGrid w:val="0"/>
                    <w:jc w:val="center"/>
                    <w:textAlignment w:val="baseline"/>
                    <w:rPr>
                      <w:rFonts w:hint="default" w:eastAsia="宋体"/>
                      <w:color w:val="auto"/>
                      <w:spacing w:val="6"/>
                      <w:lang w:val="en-US" w:eastAsia="zh-CN"/>
                    </w:rPr>
                  </w:pPr>
                  <w:r>
                    <w:rPr>
                      <w:rFonts w:hint="eastAsia"/>
                      <w:color w:val="auto"/>
                      <w:spacing w:val="6"/>
                      <w:lang w:val="en-US" w:eastAsia="zh-CN"/>
                    </w:rPr>
                    <w:t>制粒粉尘</w:t>
                  </w:r>
                </w:p>
              </w:tc>
              <w:tc>
                <w:tcPr>
                  <w:tcW w:w="849" w:type="pct"/>
                  <w:tcBorders>
                    <w:tl2br w:val="nil"/>
                    <w:tr2bl w:val="nil"/>
                  </w:tcBorders>
                  <w:noWrap/>
                  <w:tcMar>
                    <w:top w:w="15" w:type="dxa"/>
                    <w:left w:w="15" w:type="dxa"/>
                    <w:right w:w="15" w:type="dxa"/>
                  </w:tcMar>
                  <w:vAlign w:val="center"/>
                </w:tcPr>
                <w:p w14:paraId="4BF34B23">
                  <w:pPr>
                    <w:widowControl/>
                    <w:adjustRightInd w:val="0"/>
                    <w:snapToGrid w:val="0"/>
                    <w:jc w:val="center"/>
                    <w:textAlignment w:val="baseline"/>
                    <w:rPr>
                      <w:color w:val="auto"/>
                      <w:spacing w:val="6"/>
                    </w:rPr>
                  </w:pPr>
                  <w:r>
                    <w:rPr>
                      <w:rFonts w:hint="eastAsia"/>
                      <w:color w:val="auto"/>
                      <w:spacing w:val="6"/>
                      <w:lang w:bidi="ar"/>
                    </w:rPr>
                    <w:t>4</w:t>
                  </w:r>
                  <w:r>
                    <w:rPr>
                      <w:color w:val="auto"/>
                      <w:spacing w:val="6"/>
                      <w:lang w:bidi="ar"/>
                    </w:rPr>
                    <w:t>00*</w:t>
                  </w:r>
                  <w:r>
                    <w:rPr>
                      <w:rFonts w:hint="eastAsia"/>
                      <w:color w:val="auto"/>
                      <w:spacing w:val="6"/>
                      <w:lang w:bidi="ar"/>
                    </w:rPr>
                    <w:t>4</w:t>
                  </w:r>
                  <w:r>
                    <w:rPr>
                      <w:color w:val="auto"/>
                      <w:spacing w:val="6"/>
                      <w:lang w:bidi="ar"/>
                    </w:rPr>
                    <w:t>00*</w:t>
                  </w:r>
                  <w:r>
                    <w:rPr>
                      <w:rFonts w:hint="eastAsia"/>
                      <w:color w:val="auto"/>
                      <w:spacing w:val="6"/>
                      <w:lang w:bidi="ar"/>
                    </w:rPr>
                    <w:t>600</w:t>
                  </w:r>
                </w:p>
              </w:tc>
              <w:tc>
                <w:tcPr>
                  <w:tcW w:w="601" w:type="pct"/>
                  <w:tcBorders>
                    <w:tl2br w:val="nil"/>
                    <w:tr2bl w:val="nil"/>
                  </w:tcBorders>
                  <w:vAlign w:val="center"/>
                </w:tcPr>
                <w:p w14:paraId="4F966E42">
                  <w:pPr>
                    <w:widowControl/>
                    <w:adjustRightInd w:val="0"/>
                    <w:snapToGrid w:val="0"/>
                    <w:jc w:val="center"/>
                    <w:textAlignment w:val="baseline"/>
                    <w:rPr>
                      <w:color w:val="auto"/>
                      <w:spacing w:val="6"/>
                    </w:rPr>
                  </w:pPr>
                  <w:r>
                    <w:rPr>
                      <w:rFonts w:hint="eastAsia"/>
                      <w:color w:val="auto"/>
                      <w:spacing w:val="6"/>
                      <w:lang w:bidi="ar"/>
                    </w:rPr>
                    <w:t>1500</w:t>
                  </w:r>
                </w:p>
              </w:tc>
              <w:tc>
                <w:tcPr>
                  <w:tcW w:w="684" w:type="pct"/>
                  <w:tcBorders>
                    <w:tl2br w:val="nil"/>
                    <w:tr2bl w:val="nil"/>
                  </w:tcBorders>
                  <w:noWrap/>
                  <w:tcMar>
                    <w:top w:w="15" w:type="dxa"/>
                    <w:left w:w="15" w:type="dxa"/>
                    <w:right w:w="15" w:type="dxa"/>
                  </w:tcMar>
                  <w:vAlign w:val="center"/>
                </w:tcPr>
                <w:p w14:paraId="5910AD12">
                  <w:pPr>
                    <w:widowControl/>
                    <w:adjustRightInd w:val="0"/>
                    <w:snapToGrid w:val="0"/>
                    <w:ind w:firstLine="175" w:firstLineChars="79"/>
                    <w:jc w:val="center"/>
                    <w:textAlignment w:val="baseline"/>
                    <w:rPr>
                      <w:color w:val="auto"/>
                      <w:spacing w:val="6"/>
                    </w:rPr>
                  </w:pPr>
                  <w:r>
                    <w:rPr>
                      <w:color w:val="auto"/>
                      <w:spacing w:val="6"/>
                      <w:lang w:bidi="ar"/>
                    </w:rPr>
                    <w:t>≥</w:t>
                  </w:r>
                  <w:r>
                    <w:rPr>
                      <w:rFonts w:hint="eastAsia"/>
                      <w:color w:val="auto"/>
                      <w:spacing w:val="6"/>
                      <w:lang w:bidi="ar"/>
                    </w:rPr>
                    <w:t>80</w:t>
                  </w:r>
                </w:p>
              </w:tc>
              <w:tc>
                <w:tcPr>
                  <w:tcW w:w="559" w:type="pct"/>
                  <w:tcBorders>
                    <w:tl2br w:val="nil"/>
                    <w:tr2bl w:val="nil"/>
                  </w:tcBorders>
                  <w:noWrap/>
                  <w:tcMar>
                    <w:top w:w="15" w:type="dxa"/>
                    <w:left w:w="15" w:type="dxa"/>
                    <w:right w:w="15" w:type="dxa"/>
                  </w:tcMar>
                  <w:vAlign w:val="center"/>
                </w:tcPr>
                <w:p w14:paraId="6FCC763C">
                  <w:pPr>
                    <w:widowControl/>
                    <w:adjustRightInd w:val="0"/>
                    <w:snapToGrid w:val="0"/>
                    <w:jc w:val="center"/>
                    <w:textAlignment w:val="baseline"/>
                    <w:rPr>
                      <w:color w:val="auto"/>
                      <w:spacing w:val="6"/>
                    </w:rPr>
                  </w:pPr>
                  <w:r>
                    <w:rPr>
                      <w:color w:val="auto"/>
                      <w:spacing w:val="6"/>
                      <w:lang w:bidi="ar"/>
                    </w:rPr>
                    <w:t>≥9</w:t>
                  </w:r>
                  <w:r>
                    <w:rPr>
                      <w:rFonts w:hint="eastAsia"/>
                      <w:color w:val="auto"/>
                      <w:spacing w:val="6"/>
                      <w:lang w:bidi="ar"/>
                    </w:rPr>
                    <w:t>5</w:t>
                  </w:r>
                </w:p>
              </w:tc>
              <w:tc>
                <w:tcPr>
                  <w:tcW w:w="475" w:type="pct"/>
                  <w:tcBorders>
                    <w:tl2br w:val="nil"/>
                    <w:tr2bl w:val="nil"/>
                  </w:tcBorders>
                  <w:noWrap/>
                  <w:tcMar>
                    <w:top w:w="15" w:type="dxa"/>
                    <w:left w:w="15" w:type="dxa"/>
                    <w:right w:w="15" w:type="dxa"/>
                  </w:tcMar>
                  <w:vAlign w:val="center"/>
                </w:tcPr>
                <w:p w14:paraId="11E0CED1">
                  <w:pPr>
                    <w:widowControl/>
                    <w:adjustRightInd w:val="0"/>
                    <w:snapToGrid w:val="0"/>
                    <w:jc w:val="center"/>
                    <w:textAlignment w:val="baseline"/>
                    <w:rPr>
                      <w:color w:val="auto"/>
                      <w:spacing w:val="6"/>
                    </w:rPr>
                  </w:pPr>
                  <w:r>
                    <w:rPr>
                      <w:color w:val="auto"/>
                      <w:spacing w:val="6"/>
                      <w:lang w:bidi="ar"/>
                    </w:rPr>
                    <w:t>2.5</w:t>
                  </w:r>
                </w:p>
              </w:tc>
              <w:tc>
                <w:tcPr>
                  <w:tcW w:w="659" w:type="pct"/>
                  <w:tcBorders>
                    <w:tl2br w:val="nil"/>
                    <w:tr2bl w:val="nil"/>
                  </w:tcBorders>
                  <w:shd w:val="clear" w:color="auto" w:fill="auto"/>
                  <w:noWrap/>
                  <w:tcMar>
                    <w:top w:w="15" w:type="dxa"/>
                    <w:left w:w="15" w:type="dxa"/>
                    <w:right w:w="15" w:type="dxa"/>
                  </w:tcMar>
                  <w:vAlign w:val="center"/>
                </w:tcPr>
                <w:p w14:paraId="137D27B8">
                  <w:pPr>
                    <w:widowControl/>
                    <w:adjustRightInd w:val="0"/>
                    <w:snapToGrid w:val="0"/>
                    <w:jc w:val="center"/>
                    <w:textAlignment w:val="baseline"/>
                    <w:rPr>
                      <w:rFonts w:hint="default" w:ascii="Times New Roman" w:hAnsi="Times New Roman" w:eastAsia="宋体" w:cs="Times New Roman"/>
                      <w:color w:val="auto"/>
                      <w:spacing w:val="6"/>
                      <w:kern w:val="2"/>
                      <w:sz w:val="21"/>
                      <w:szCs w:val="21"/>
                      <w:lang w:val="en-US" w:eastAsia="zh-CN" w:bidi="ar"/>
                    </w:rPr>
                  </w:pPr>
                  <w:r>
                    <w:rPr>
                      <w:rFonts w:hint="eastAsia"/>
                      <w:color w:val="auto"/>
                      <w:spacing w:val="6"/>
                      <w:lang w:val="en-US" w:eastAsia="zh-CN" w:bidi="ar"/>
                    </w:rPr>
                    <w:t>1.5</w:t>
                  </w:r>
                </w:p>
              </w:tc>
              <w:tc>
                <w:tcPr>
                  <w:tcW w:w="408" w:type="pct"/>
                  <w:tcBorders>
                    <w:tl2br w:val="nil"/>
                    <w:tr2bl w:val="nil"/>
                  </w:tcBorders>
                  <w:noWrap/>
                  <w:tcMar>
                    <w:top w:w="15" w:type="dxa"/>
                    <w:left w:w="15" w:type="dxa"/>
                    <w:right w:w="15" w:type="dxa"/>
                  </w:tcMar>
                  <w:vAlign w:val="center"/>
                </w:tcPr>
                <w:p w14:paraId="786AD481">
                  <w:pPr>
                    <w:widowControl/>
                    <w:adjustRightInd w:val="0"/>
                    <w:snapToGrid w:val="0"/>
                    <w:jc w:val="center"/>
                    <w:textAlignment w:val="baseline"/>
                    <w:rPr>
                      <w:rFonts w:cs="宋体"/>
                      <w:color w:val="auto"/>
                    </w:rPr>
                  </w:pPr>
                  <w:r>
                    <w:rPr>
                      <w:rFonts w:hint="eastAsia" w:cs="宋体"/>
                      <w:color w:val="auto"/>
                      <w:lang w:bidi="ar"/>
                    </w:rPr>
                    <w:t>滤袋</w:t>
                  </w:r>
                </w:p>
              </w:tc>
            </w:tr>
            <w:tr w14:paraId="5A46CF42">
              <w:tblPrEx>
                <w:tblBorders>
                  <w:top w:val="single" w:color="000000" w:sz="12" w:space="0"/>
                  <w:left w:val="none" w:color="auto" w:sz="0" w:space="0"/>
                  <w:bottom w:val="single" w:color="000000" w:sz="12" w:space="0"/>
                  <w:right w:val="none" w:color="auto" w:sz="0" w:space="0"/>
                  <w:insideH w:val="single" w:color="000000" w:sz="6" w:space="0"/>
                  <w:insideV w:val="single" w:color="000000" w:sz="2" w:space="0"/>
                </w:tblBorders>
                <w:tblCellMar>
                  <w:top w:w="0" w:type="dxa"/>
                  <w:left w:w="0" w:type="dxa"/>
                  <w:bottom w:w="0" w:type="dxa"/>
                  <w:right w:w="0" w:type="dxa"/>
                </w:tblCellMar>
              </w:tblPrEx>
              <w:trPr>
                <w:trHeight w:val="23" w:hRule="atLeast"/>
                <w:jc w:val="center"/>
              </w:trPr>
              <w:tc>
                <w:tcPr>
                  <w:tcW w:w="761" w:type="pct"/>
                  <w:tcBorders>
                    <w:tl2br w:val="nil"/>
                    <w:tr2bl w:val="nil"/>
                  </w:tcBorders>
                  <w:noWrap/>
                  <w:tcMar>
                    <w:top w:w="15" w:type="dxa"/>
                    <w:left w:w="15" w:type="dxa"/>
                    <w:right w:w="15" w:type="dxa"/>
                  </w:tcMar>
                  <w:vAlign w:val="center"/>
                </w:tcPr>
                <w:p w14:paraId="12DF5198">
                  <w:pPr>
                    <w:widowControl/>
                    <w:adjustRightInd w:val="0"/>
                    <w:snapToGrid w:val="0"/>
                    <w:jc w:val="center"/>
                    <w:textAlignment w:val="baseline"/>
                    <w:rPr>
                      <w:rFonts w:hint="eastAsia"/>
                      <w:color w:val="auto"/>
                      <w:spacing w:val="6"/>
                      <w:lang w:val="en-US" w:eastAsia="zh-CN"/>
                    </w:rPr>
                  </w:pPr>
                  <w:r>
                    <w:rPr>
                      <w:rFonts w:hint="eastAsia"/>
                      <w:color w:val="auto"/>
                      <w:spacing w:val="6"/>
                      <w:lang w:val="en-US" w:eastAsia="zh-CN"/>
                    </w:rPr>
                    <w:t>配料粉尘</w:t>
                  </w:r>
                </w:p>
              </w:tc>
              <w:tc>
                <w:tcPr>
                  <w:tcW w:w="849" w:type="pct"/>
                  <w:tcBorders>
                    <w:tl2br w:val="nil"/>
                    <w:tr2bl w:val="nil"/>
                  </w:tcBorders>
                  <w:shd w:val="clear" w:color="auto" w:fill="auto"/>
                  <w:noWrap/>
                  <w:tcMar>
                    <w:top w:w="15" w:type="dxa"/>
                    <w:left w:w="15" w:type="dxa"/>
                    <w:right w:w="15" w:type="dxa"/>
                  </w:tcMar>
                  <w:vAlign w:val="center"/>
                </w:tcPr>
                <w:p w14:paraId="769D97CA">
                  <w:pPr>
                    <w:widowControl/>
                    <w:adjustRightInd w:val="0"/>
                    <w:snapToGrid w:val="0"/>
                    <w:jc w:val="center"/>
                    <w:textAlignment w:val="baseline"/>
                    <w:rPr>
                      <w:rFonts w:hint="eastAsia" w:ascii="Times New Roman" w:hAnsi="Times New Roman" w:eastAsia="宋体" w:cs="Times New Roman"/>
                      <w:color w:val="auto"/>
                      <w:spacing w:val="6"/>
                      <w:kern w:val="2"/>
                      <w:sz w:val="21"/>
                      <w:szCs w:val="21"/>
                      <w:lang w:val="en-US" w:eastAsia="zh-CN" w:bidi="ar"/>
                    </w:rPr>
                  </w:pPr>
                  <w:r>
                    <w:rPr>
                      <w:rFonts w:hint="eastAsia"/>
                      <w:color w:val="auto"/>
                      <w:spacing w:val="6"/>
                      <w:lang w:bidi="ar"/>
                    </w:rPr>
                    <w:t>4</w:t>
                  </w:r>
                  <w:r>
                    <w:rPr>
                      <w:color w:val="auto"/>
                      <w:spacing w:val="6"/>
                      <w:lang w:bidi="ar"/>
                    </w:rPr>
                    <w:t>00*</w:t>
                  </w:r>
                  <w:r>
                    <w:rPr>
                      <w:rFonts w:hint="eastAsia"/>
                      <w:color w:val="auto"/>
                      <w:spacing w:val="6"/>
                      <w:lang w:bidi="ar"/>
                    </w:rPr>
                    <w:t>4</w:t>
                  </w:r>
                  <w:r>
                    <w:rPr>
                      <w:color w:val="auto"/>
                      <w:spacing w:val="6"/>
                      <w:lang w:bidi="ar"/>
                    </w:rPr>
                    <w:t>00*</w:t>
                  </w:r>
                  <w:r>
                    <w:rPr>
                      <w:rFonts w:hint="eastAsia"/>
                      <w:color w:val="auto"/>
                      <w:spacing w:val="6"/>
                      <w:lang w:bidi="ar"/>
                    </w:rPr>
                    <w:t>600</w:t>
                  </w:r>
                </w:p>
              </w:tc>
              <w:tc>
                <w:tcPr>
                  <w:tcW w:w="601" w:type="pct"/>
                  <w:tcBorders>
                    <w:tl2br w:val="nil"/>
                    <w:tr2bl w:val="nil"/>
                  </w:tcBorders>
                  <w:shd w:val="clear" w:color="auto" w:fill="auto"/>
                  <w:vAlign w:val="center"/>
                </w:tcPr>
                <w:p w14:paraId="6EAE89EF">
                  <w:pPr>
                    <w:widowControl/>
                    <w:adjustRightInd w:val="0"/>
                    <w:snapToGrid w:val="0"/>
                    <w:jc w:val="center"/>
                    <w:textAlignment w:val="baseline"/>
                    <w:rPr>
                      <w:rFonts w:hint="eastAsia" w:ascii="Times New Roman" w:hAnsi="Times New Roman" w:eastAsia="宋体" w:cs="Times New Roman"/>
                      <w:color w:val="auto"/>
                      <w:spacing w:val="6"/>
                      <w:kern w:val="2"/>
                      <w:sz w:val="21"/>
                      <w:szCs w:val="21"/>
                      <w:lang w:val="en-US" w:eastAsia="zh-CN" w:bidi="ar"/>
                    </w:rPr>
                  </w:pPr>
                  <w:r>
                    <w:rPr>
                      <w:rFonts w:hint="eastAsia"/>
                      <w:color w:val="auto"/>
                      <w:spacing w:val="6"/>
                      <w:lang w:bidi="ar"/>
                    </w:rPr>
                    <w:t>1500</w:t>
                  </w:r>
                </w:p>
              </w:tc>
              <w:tc>
                <w:tcPr>
                  <w:tcW w:w="684" w:type="pct"/>
                  <w:tcBorders>
                    <w:tl2br w:val="nil"/>
                    <w:tr2bl w:val="nil"/>
                  </w:tcBorders>
                  <w:shd w:val="clear" w:color="auto" w:fill="auto"/>
                  <w:noWrap/>
                  <w:tcMar>
                    <w:top w:w="15" w:type="dxa"/>
                    <w:left w:w="15" w:type="dxa"/>
                    <w:right w:w="15" w:type="dxa"/>
                  </w:tcMar>
                  <w:vAlign w:val="center"/>
                </w:tcPr>
                <w:p w14:paraId="1FF72530">
                  <w:pPr>
                    <w:widowControl/>
                    <w:adjustRightInd w:val="0"/>
                    <w:snapToGrid w:val="0"/>
                    <w:ind w:firstLine="175" w:firstLineChars="79"/>
                    <w:jc w:val="center"/>
                    <w:textAlignment w:val="baseline"/>
                    <w:rPr>
                      <w:rFonts w:hint="default" w:ascii="Times New Roman" w:hAnsi="Times New Roman" w:eastAsia="宋体" w:cs="Times New Roman"/>
                      <w:color w:val="auto"/>
                      <w:spacing w:val="6"/>
                      <w:kern w:val="2"/>
                      <w:sz w:val="21"/>
                      <w:szCs w:val="21"/>
                      <w:lang w:val="en-US" w:eastAsia="zh-CN" w:bidi="ar"/>
                    </w:rPr>
                  </w:pPr>
                  <w:r>
                    <w:rPr>
                      <w:color w:val="auto"/>
                      <w:spacing w:val="6"/>
                      <w:lang w:bidi="ar"/>
                    </w:rPr>
                    <w:t>≥</w:t>
                  </w:r>
                  <w:r>
                    <w:rPr>
                      <w:rFonts w:hint="eastAsia"/>
                      <w:color w:val="auto"/>
                      <w:spacing w:val="6"/>
                      <w:lang w:bidi="ar"/>
                    </w:rPr>
                    <w:t>80</w:t>
                  </w:r>
                </w:p>
              </w:tc>
              <w:tc>
                <w:tcPr>
                  <w:tcW w:w="559" w:type="pct"/>
                  <w:tcBorders>
                    <w:tl2br w:val="nil"/>
                    <w:tr2bl w:val="nil"/>
                  </w:tcBorders>
                  <w:shd w:val="clear" w:color="auto" w:fill="auto"/>
                  <w:noWrap/>
                  <w:tcMar>
                    <w:top w:w="15" w:type="dxa"/>
                    <w:left w:w="15" w:type="dxa"/>
                    <w:right w:w="15" w:type="dxa"/>
                  </w:tcMar>
                  <w:vAlign w:val="center"/>
                </w:tcPr>
                <w:p w14:paraId="483387DB">
                  <w:pPr>
                    <w:widowControl/>
                    <w:adjustRightInd w:val="0"/>
                    <w:snapToGrid w:val="0"/>
                    <w:jc w:val="center"/>
                    <w:textAlignment w:val="baseline"/>
                    <w:rPr>
                      <w:rFonts w:hint="default" w:ascii="Times New Roman" w:hAnsi="Times New Roman" w:eastAsia="宋体" w:cs="Times New Roman"/>
                      <w:color w:val="auto"/>
                      <w:spacing w:val="6"/>
                      <w:kern w:val="2"/>
                      <w:sz w:val="21"/>
                      <w:szCs w:val="21"/>
                      <w:lang w:val="en-US" w:eastAsia="zh-CN" w:bidi="ar"/>
                    </w:rPr>
                  </w:pPr>
                  <w:r>
                    <w:rPr>
                      <w:color w:val="auto"/>
                      <w:spacing w:val="6"/>
                      <w:lang w:bidi="ar"/>
                    </w:rPr>
                    <w:t>≥9</w:t>
                  </w:r>
                  <w:r>
                    <w:rPr>
                      <w:rFonts w:hint="eastAsia"/>
                      <w:color w:val="auto"/>
                      <w:spacing w:val="6"/>
                      <w:lang w:bidi="ar"/>
                    </w:rPr>
                    <w:t>5</w:t>
                  </w:r>
                </w:p>
              </w:tc>
              <w:tc>
                <w:tcPr>
                  <w:tcW w:w="475" w:type="pct"/>
                  <w:tcBorders>
                    <w:tl2br w:val="nil"/>
                    <w:tr2bl w:val="nil"/>
                  </w:tcBorders>
                  <w:shd w:val="clear" w:color="auto" w:fill="auto"/>
                  <w:noWrap/>
                  <w:tcMar>
                    <w:top w:w="15" w:type="dxa"/>
                    <w:left w:w="15" w:type="dxa"/>
                    <w:right w:w="15" w:type="dxa"/>
                  </w:tcMar>
                  <w:vAlign w:val="center"/>
                </w:tcPr>
                <w:p w14:paraId="687C39CC">
                  <w:pPr>
                    <w:widowControl/>
                    <w:adjustRightInd w:val="0"/>
                    <w:snapToGrid w:val="0"/>
                    <w:jc w:val="center"/>
                    <w:textAlignment w:val="baseline"/>
                    <w:rPr>
                      <w:rFonts w:hint="default" w:ascii="Times New Roman" w:hAnsi="Times New Roman" w:eastAsia="宋体" w:cs="Times New Roman"/>
                      <w:color w:val="auto"/>
                      <w:spacing w:val="6"/>
                      <w:kern w:val="2"/>
                      <w:sz w:val="21"/>
                      <w:szCs w:val="21"/>
                      <w:lang w:val="en-US" w:eastAsia="zh-CN" w:bidi="ar"/>
                    </w:rPr>
                  </w:pPr>
                  <w:r>
                    <w:rPr>
                      <w:color w:val="auto"/>
                      <w:spacing w:val="6"/>
                      <w:lang w:bidi="ar"/>
                    </w:rPr>
                    <w:t>2.5</w:t>
                  </w:r>
                </w:p>
              </w:tc>
              <w:tc>
                <w:tcPr>
                  <w:tcW w:w="659" w:type="pct"/>
                  <w:tcBorders>
                    <w:tl2br w:val="nil"/>
                    <w:tr2bl w:val="nil"/>
                  </w:tcBorders>
                  <w:shd w:val="clear" w:color="auto" w:fill="auto"/>
                  <w:noWrap/>
                  <w:tcMar>
                    <w:top w:w="15" w:type="dxa"/>
                    <w:left w:w="15" w:type="dxa"/>
                    <w:right w:w="15" w:type="dxa"/>
                  </w:tcMar>
                  <w:vAlign w:val="center"/>
                </w:tcPr>
                <w:p w14:paraId="59C1EC33">
                  <w:pPr>
                    <w:widowControl/>
                    <w:adjustRightInd w:val="0"/>
                    <w:snapToGrid w:val="0"/>
                    <w:jc w:val="center"/>
                    <w:textAlignment w:val="baseline"/>
                    <w:rPr>
                      <w:rFonts w:hint="default" w:eastAsia="宋体"/>
                      <w:color w:val="auto"/>
                      <w:spacing w:val="6"/>
                      <w:lang w:val="en-US" w:eastAsia="zh-CN" w:bidi="ar"/>
                    </w:rPr>
                  </w:pPr>
                  <w:r>
                    <w:rPr>
                      <w:rFonts w:hint="eastAsia"/>
                      <w:color w:val="auto"/>
                      <w:spacing w:val="6"/>
                      <w:lang w:val="en-US" w:eastAsia="zh-CN" w:bidi="ar"/>
                    </w:rPr>
                    <w:t>1.5</w:t>
                  </w:r>
                </w:p>
              </w:tc>
              <w:tc>
                <w:tcPr>
                  <w:tcW w:w="408" w:type="pct"/>
                  <w:tcBorders>
                    <w:tl2br w:val="nil"/>
                    <w:tr2bl w:val="nil"/>
                  </w:tcBorders>
                  <w:shd w:val="clear" w:color="auto" w:fill="auto"/>
                  <w:noWrap/>
                  <w:tcMar>
                    <w:top w:w="15" w:type="dxa"/>
                    <w:left w:w="15" w:type="dxa"/>
                    <w:right w:w="15" w:type="dxa"/>
                  </w:tcMar>
                  <w:vAlign w:val="center"/>
                </w:tcPr>
                <w:p w14:paraId="04B31A9D">
                  <w:pPr>
                    <w:widowControl/>
                    <w:adjustRightInd w:val="0"/>
                    <w:snapToGrid w:val="0"/>
                    <w:jc w:val="center"/>
                    <w:textAlignment w:val="baseline"/>
                    <w:rPr>
                      <w:rFonts w:hint="eastAsia" w:ascii="Times New Roman" w:hAnsi="Times New Roman" w:eastAsia="宋体" w:cs="宋体"/>
                      <w:color w:val="auto"/>
                      <w:kern w:val="2"/>
                      <w:sz w:val="21"/>
                      <w:szCs w:val="21"/>
                      <w:lang w:val="en-US" w:eastAsia="zh-CN" w:bidi="ar"/>
                    </w:rPr>
                  </w:pPr>
                  <w:r>
                    <w:rPr>
                      <w:rFonts w:hint="eastAsia" w:cs="宋体"/>
                      <w:color w:val="auto"/>
                      <w:lang w:bidi="ar"/>
                    </w:rPr>
                    <w:t>滤袋</w:t>
                  </w:r>
                </w:p>
              </w:tc>
            </w:tr>
          </w:tbl>
          <w:p w14:paraId="34403905">
            <w:pPr>
              <w:spacing w:line="360" w:lineRule="auto"/>
              <w:ind w:firstLine="480" w:firstLineChars="200"/>
              <w:rPr>
                <w:rFonts w:hint="eastAsia" w:eastAsia="宋体"/>
                <w:b w:val="0"/>
                <w:bCs w:val="0"/>
                <w:color w:val="auto"/>
                <w:sz w:val="24"/>
                <w:szCs w:val="24"/>
                <w:lang w:eastAsia="zh-CN"/>
              </w:rPr>
            </w:pPr>
            <w:r>
              <w:rPr>
                <w:rFonts w:hint="eastAsia"/>
                <w:b w:val="0"/>
                <w:bCs w:val="0"/>
                <w:color w:val="auto"/>
                <w:sz w:val="24"/>
                <w:szCs w:val="24"/>
                <w:lang w:val="en-US" w:eastAsia="zh-CN"/>
              </w:rPr>
              <w:t>根据</w:t>
            </w:r>
            <w:r>
              <w:rPr>
                <w:rFonts w:hint="eastAsia"/>
                <w:b w:val="0"/>
                <w:bCs w:val="0"/>
                <w:color w:val="auto"/>
                <w:sz w:val="24"/>
                <w:szCs w:val="24"/>
              </w:rPr>
              <w:t>《可燃性粉尘除尘系统防爆安全规范》(GB17919-2025)</w:t>
            </w:r>
            <w:r>
              <w:rPr>
                <w:rFonts w:hint="eastAsia"/>
                <w:b w:val="0"/>
                <w:bCs w:val="0"/>
                <w:color w:val="auto"/>
                <w:sz w:val="24"/>
                <w:szCs w:val="24"/>
                <w:lang w:eastAsia="zh-CN"/>
              </w:rPr>
              <w:t>，干式除尘系统应采用泄爆、隔爆、抑爆、抗爆和惰化中的一种或多种控爆措施，但不应单独采用隔爆措施。</w:t>
            </w:r>
            <w:r>
              <w:rPr>
                <w:rFonts w:hint="eastAsia"/>
                <w:b w:val="0"/>
                <w:bCs w:val="0"/>
                <w:color w:val="auto"/>
                <w:sz w:val="24"/>
                <w:szCs w:val="24"/>
                <w:lang w:val="en-US" w:eastAsia="zh-CN"/>
              </w:rPr>
              <w:t>除尘器箱体</w:t>
            </w:r>
            <w:r>
              <w:rPr>
                <w:rFonts w:hint="eastAsia"/>
                <w:b w:val="0"/>
                <w:bCs w:val="0"/>
                <w:color w:val="auto"/>
                <w:sz w:val="24"/>
                <w:szCs w:val="24"/>
                <w:lang w:eastAsia="zh-CN"/>
              </w:rPr>
              <w:t>应采用钢质金属材料，箱体的设计强度应能承受采取防爆措施后产生的最大爆炸压力；除尘器内部应表面光滑，并采取防锈措施，不应使用铝涂料；内部应采取导流或弧化等防止粉尘堆积措施，灰斗落料壁面与水平面夹角应大于65</w:t>
            </w:r>
            <w:r>
              <w:rPr>
                <w:rFonts w:hint="eastAsia"/>
                <w:b w:val="0"/>
                <w:bCs w:val="0"/>
                <w:color w:val="auto"/>
                <w:sz w:val="24"/>
                <w:szCs w:val="24"/>
                <w:lang w:val="en-US" w:eastAsia="zh-CN"/>
              </w:rPr>
              <w:t>°</w:t>
            </w:r>
            <w:r>
              <w:rPr>
                <w:rFonts w:hint="eastAsia"/>
                <w:b w:val="0"/>
                <w:bCs w:val="0"/>
                <w:color w:val="auto"/>
                <w:sz w:val="24"/>
                <w:szCs w:val="24"/>
                <w:lang w:eastAsia="zh-CN"/>
              </w:rPr>
              <w:t>；应设置检修门，检修门及连接处的设计强度应不小于除尘器箱体的设计强度；应根据粉尘的物理化学性质设置灭火装置接口。</w:t>
            </w:r>
            <w:r>
              <w:rPr>
                <w:rFonts w:hint="eastAsia"/>
                <w:b w:val="0"/>
                <w:bCs w:val="0"/>
                <w:color w:val="auto"/>
                <w:sz w:val="24"/>
                <w:szCs w:val="24"/>
                <w:lang w:val="en-US" w:eastAsia="zh-CN"/>
              </w:rPr>
              <w:t>滤材</w:t>
            </w:r>
            <w:r>
              <w:rPr>
                <w:rFonts w:hint="eastAsia"/>
                <w:b w:val="0"/>
                <w:bCs w:val="0"/>
                <w:color w:val="auto"/>
                <w:sz w:val="24"/>
                <w:szCs w:val="24"/>
                <w:lang w:eastAsia="zh-CN"/>
              </w:rPr>
              <w:t>应采用阻燃且防静电的滤材制作；滤材连接金属材质构件(如滤材框架、花板、短管等)的静电防护措施应符合GB12158的相关要求。气力输灰管道的管径及风速应满足管道内不出现粉尘堵塞的要求。</w:t>
            </w:r>
          </w:p>
          <w:p w14:paraId="173EC14D">
            <w:pPr>
              <w:spacing w:line="360" w:lineRule="auto"/>
              <w:ind w:firstLine="482" w:firstLineChars="200"/>
              <w:rPr>
                <w:b/>
                <w:bCs/>
                <w:color w:val="auto"/>
                <w:sz w:val="24"/>
                <w:szCs w:val="24"/>
              </w:rPr>
            </w:pPr>
            <w:r>
              <w:rPr>
                <w:b/>
                <w:bCs/>
                <w:color w:val="auto"/>
                <w:sz w:val="24"/>
                <w:szCs w:val="24"/>
              </w:rPr>
              <w:t>1.</w:t>
            </w:r>
            <w:r>
              <w:rPr>
                <w:rFonts w:hint="eastAsia"/>
                <w:b/>
                <w:bCs/>
                <w:color w:val="auto"/>
                <w:sz w:val="24"/>
                <w:szCs w:val="24"/>
                <w:lang w:val="en-US" w:eastAsia="zh-CN"/>
              </w:rPr>
              <w:t>5</w:t>
            </w:r>
            <w:r>
              <w:rPr>
                <w:b/>
                <w:bCs/>
                <w:color w:val="auto"/>
                <w:sz w:val="24"/>
                <w:szCs w:val="24"/>
              </w:rPr>
              <w:t>污染物排放环境影响情况</w:t>
            </w:r>
          </w:p>
          <w:p w14:paraId="3F67405C">
            <w:pPr>
              <w:pStyle w:val="66"/>
              <w:ind w:firstLine="480"/>
              <w:rPr>
                <w:rFonts w:hint="default" w:ascii="Times New Roman" w:hAnsi="Times New Roman" w:eastAsia="宋体" w:cs="Times New Roman"/>
                <w:color w:val="auto"/>
                <w:sz w:val="24"/>
                <w:szCs w:val="24"/>
              </w:rPr>
            </w:pPr>
            <w:r>
              <w:rPr>
                <w:rFonts w:hint="eastAsia"/>
                <w:color w:val="auto"/>
                <w:sz w:val="24"/>
                <w:szCs w:val="24"/>
              </w:rPr>
              <w:t>根据《南通市生态环境状况公报》（202</w:t>
            </w:r>
            <w:r>
              <w:rPr>
                <w:rFonts w:hint="eastAsia" w:ascii="Times New Roman" w:eastAsia="宋体"/>
                <w:color w:val="auto"/>
                <w:sz w:val="24"/>
                <w:szCs w:val="24"/>
                <w:lang w:val="en-US" w:eastAsia="zh-CN"/>
              </w:rPr>
              <w:t>5</w:t>
            </w:r>
            <w:r>
              <w:rPr>
                <w:rFonts w:hint="eastAsia"/>
                <w:color w:val="auto"/>
                <w:sz w:val="24"/>
                <w:szCs w:val="24"/>
              </w:rPr>
              <w:t>年），</w:t>
            </w:r>
            <w:r>
              <w:rPr>
                <w:rFonts w:hint="default" w:ascii="Times New Roman" w:hAnsi="Times New Roman" w:eastAsia="宋体" w:cs="Times New Roman"/>
                <w:color w:val="auto"/>
                <w:sz w:val="24"/>
                <w:szCs w:val="24"/>
              </w:rPr>
              <w:t>根据监测结果，202</w:t>
            </w:r>
            <w:r>
              <w:rPr>
                <w:rFonts w:hint="eastAsia" w:cs="Times New Roman"/>
                <w:color w:val="auto"/>
                <w:sz w:val="24"/>
                <w:szCs w:val="24"/>
                <w:lang w:val="en-US" w:eastAsia="zh-CN"/>
              </w:rPr>
              <w:t>5</w:t>
            </w:r>
            <w:r>
              <w:rPr>
                <w:rFonts w:hint="default" w:ascii="Times New Roman" w:hAnsi="Times New Roman" w:eastAsia="宋体" w:cs="Times New Roman"/>
                <w:color w:val="auto"/>
                <w:sz w:val="24"/>
                <w:szCs w:val="24"/>
              </w:rPr>
              <w:t>年海安SO</w:t>
            </w:r>
            <w:r>
              <w:rPr>
                <w:rFonts w:hint="default" w:ascii="Times New Roman" w:hAnsi="Times New Roman" w:eastAsia="宋体" w:cs="Times New Roman"/>
                <w:color w:val="auto"/>
                <w:sz w:val="24"/>
                <w:szCs w:val="24"/>
                <w:vertAlign w:val="subscript"/>
              </w:rPr>
              <w:t>2</w:t>
            </w:r>
            <w:r>
              <w:rPr>
                <w:rFonts w:hint="default" w:ascii="Times New Roman" w:hAnsi="Times New Roman" w:eastAsia="宋体" w:cs="Times New Roman"/>
                <w:color w:val="auto"/>
                <w:sz w:val="24"/>
                <w:szCs w:val="24"/>
              </w:rPr>
              <w:t>、NO</w:t>
            </w:r>
            <w:r>
              <w:rPr>
                <w:rFonts w:hint="default" w:ascii="Times New Roman" w:hAnsi="Times New Roman" w:eastAsia="宋体" w:cs="Times New Roman"/>
                <w:color w:val="auto"/>
                <w:sz w:val="24"/>
                <w:szCs w:val="24"/>
                <w:vertAlign w:val="subscript"/>
              </w:rPr>
              <w:t>2</w:t>
            </w:r>
            <w:r>
              <w:rPr>
                <w:rFonts w:hint="default" w:ascii="Times New Roman" w:hAnsi="Times New Roman" w:eastAsia="宋体" w:cs="Times New Roman"/>
                <w:color w:val="auto"/>
                <w:sz w:val="24"/>
                <w:szCs w:val="24"/>
              </w:rPr>
              <w:t>、PM</w:t>
            </w:r>
            <w:r>
              <w:rPr>
                <w:rFonts w:hint="default" w:ascii="Times New Roman" w:hAnsi="Times New Roman" w:eastAsia="宋体" w:cs="Times New Roman"/>
                <w:color w:val="auto"/>
                <w:sz w:val="24"/>
                <w:szCs w:val="24"/>
                <w:vertAlign w:val="subscript"/>
              </w:rPr>
              <w:t>10</w:t>
            </w:r>
            <w:r>
              <w:rPr>
                <w:rFonts w:hint="default" w:ascii="Times New Roman" w:hAnsi="Times New Roman" w:eastAsia="宋体" w:cs="Times New Roman"/>
                <w:color w:val="auto"/>
                <w:sz w:val="24"/>
                <w:szCs w:val="24"/>
              </w:rPr>
              <w:t>、CO第95百分位数均能满足《环境空气质量标准》（GB3095-2026）过</w:t>
            </w:r>
            <w:r>
              <w:rPr>
                <w:rFonts w:hint="eastAsia" w:ascii="Times New Roman" w:hAnsi="Times New Roman" w:eastAsia="宋体" w:cs="Times New Roman"/>
                <w:color w:val="auto"/>
                <w:sz w:val="24"/>
                <w:szCs w:val="24"/>
                <w:lang w:val="en-US" w:eastAsia="zh-CN"/>
              </w:rPr>
              <w:t>渡</w:t>
            </w:r>
            <w:r>
              <w:rPr>
                <w:rFonts w:hint="default" w:ascii="Times New Roman" w:hAnsi="Times New Roman" w:eastAsia="宋体" w:cs="Times New Roman"/>
                <w:color w:val="auto"/>
                <w:sz w:val="24"/>
                <w:szCs w:val="24"/>
              </w:rPr>
              <w:t>阶段二级标准，PM</w:t>
            </w:r>
            <w:r>
              <w:rPr>
                <w:rFonts w:hint="default" w:ascii="Times New Roman" w:hAnsi="Times New Roman" w:eastAsia="宋体" w:cs="Times New Roman"/>
                <w:color w:val="auto"/>
                <w:sz w:val="24"/>
                <w:szCs w:val="24"/>
                <w:vertAlign w:val="subscript"/>
              </w:rPr>
              <w:t>2.5</w:t>
            </w:r>
            <w:r>
              <w:rPr>
                <w:rFonts w:hint="default" w:ascii="Times New Roman" w:hAnsi="Times New Roman" w:eastAsia="宋体" w:cs="Times New Roman"/>
                <w:color w:val="auto"/>
                <w:sz w:val="24"/>
                <w:szCs w:val="24"/>
              </w:rPr>
              <w:t>、O</w:t>
            </w:r>
            <w:r>
              <w:rPr>
                <w:rFonts w:hint="default" w:ascii="Times New Roman" w:hAnsi="Times New Roman" w:eastAsia="宋体" w:cs="Times New Roman"/>
                <w:color w:val="auto"/>
                <w:sz w:val="24"/>
                <w:szCs w:val="24"/>
                <w:vertAlign w:val="subscript"/>
              </w:rPr>
              <w:t>3</w:t>
            </w:r>
            <w:r>
              <w:rPr>
                <w:rFonts w:hint="default" w:ascii="Times New Roman" w:hAnsi="Times New Roman" w:eastAsia="宋体" w:cs="Times New Roman"/>
                <w:color w:val="auto"/>
                <w:sz w:val="24"/>
                <w:szCs w:val="24"/>
              </w:rPr>
              <w:t>日最大8小时滑动平均值第90百分位数不能满足《环境空气质量标准》（GB3095-2026）过</w:t>
            </w:r>
            <w:r>
              <w:rPr>
                <w:rFonts w:hint="eastAsia" w:ascii="Times New Roman" w:hAnsi="Times New Roman" w:eastAsia="宋体" w:cs="Times New Roman"/>
                <w:color w:val="auto"/>
                <w:sz w:val="24"/>
                <w:szCs w:val="24"/>
                <w:lang w:val="en-US" w:eastAsia="zh-CN"/>
              </w:rPr>
              <w:t>渡</w:t>
            </w:r>
            <w:r>
              <w:rPr>
                <w:rFonts w:hint="default" w:ascii="Times New Roman" w:hAnsi="Times New Roman" w:eastAsia="宋体" w:cs="Times New Roman"/>
                <w:color w:val="auto"/>
                <w:sz w:val="24"/>
                <w:szCs w:val="24"/>
              </w:rPr>
              <w:t>阶段二级标准，因此区域属于不达标区。海安市根据2026年4月13日发布的《中共海安市委海安市人民政府2026年生态文明建设工作意见》（海委〔2026〕19号），聚焦大气污染管控，部署以下五大重点任务：（一）深化工业源废气污染防治。加强源头防控，落实产业结构调整指导目录，严控高排放项目盲目上马，鼓励印染、家具等行业转型升级；（二）推进移动源尾气综合治理。持续推进高排放车辆淘汰工作，实现国三及以下排放标准柴油货车应汰尽汰，鼓励国四排放标准柴油货车和国二排放标准非道路移动机械提前退出，基本消除非道路移动机械“冒黑烟”现象。实施“绿色车轮”计划，加快推进公共领域车辆电动化，鼓励出租车行业使用新能源汽车；（三）落实面源污染精细化管控。依法科学实施秸秆禁烧管控，高效运行秸秆收储体系，持续提升秸秆“五化”综合利用水平，确保秸秆综合利用率稳定保持在95%以上；（四）全面压降扬尘污染影响。优化城市保洁模式，推广“机械化为主、人工为辅”的组合作业方式，落实“一区域一方案”，分环节、分时段、定频次开展保洁，扩大机械化清扫范围，推动环境卫生质量标准全面统一化、制度化；（五）科学应对重污染天气应急管控。严格执行《海安市重污染天气应急预案》，健全污染过程应急响应机制，确保应急减排清单覆盖全市所有涉气企业。采取上述措施后，预计2026年PM</w:t>
            </w:r>
            <w:r>
              <w:rPr>
                <w:rFonts w:hint="default" w:ascii="Times New Roman" w:hAnsi="Times New Roman" w:eastAsia="宋体" w:cs="Times New Roman"/>
                <w:color w:val="auto"/>
                <w:sz w:val="24"/>
                <w:szCs w:val="24"/>
                <w:vertAlign w:val="subscript"/>
              </w:rPr>
              <w:t>2.5</w:t>
            </w:r>
            <w:r>
              <w:rPr>
                <w:rFonts w:hint="default" w:ascii="Times New Roman" w:hAnsi="Times New Roman" w:eastAsia="宋体" w:cs="Times New Roman"/>
                <w:color w:val="auto"/>
                <w:sz w:val="24"/>
                <w:szCs w:val="24"/>
              </w:rPr>
              <w:t>、O</w:t>
            </w:r>
            <w:r>
              <w:rPr>
                <w:rFonts w:hint="default" w:ascii="Times New Roman" w:hAnsi="Times New Roman" w:eastAsia="宋体" w:cs="Times New Roman"/>
                <w:color w:val="auto"/>
                <w:sz w:val="24"/>
                <w:szCs w:val="24"/>
                <w:vertAlign w:val="subscript"/>
              </w:rPr>
              <w:t>3</w:t>
            </w:r>
            <w:r>
              <w:rPr>
                <w:rFonts w:hint="default" w:ascii="Times New Roman" w:hAnsi="Times New Roman" w:eastAsia="宋体" w:cs="Times New Roman"/>
                <w:color w:val="auto"/>
                <w:sz w:val="24"/>
                <w:szCs w:val="24"/>
              </w:rPr>
              <w:t>超标情况将得到显著改善。</w:t>
            </w:r>
          </w:p>
          <w:p w14:paraId="4BE85584">
            <w:pPr>
              <w:pStyle w:val="66"/>
              <w:ind w:firstLine="480"/>
              <w:rPr>
                <w:color w:val="auto"/>
                <w:sz w:val="24"/>
                <w:szCs w:val="24"/>
              </w:rPr>
            </w:pPr>
            <w:r>
              <w:rPr>
                <w:color w:val="auto"/>
                <w:sz w:val="24"/>
                <w:szCs w:val="24"/>
              </w:rPr>
              <w:t>本项目TSP引用《海安海太铸造有限公司大型海洋装备铸件生产项目环境影响报告表》中的监测数据，监测时间为2024年3月15日-17日，监测点位江苏弘盛新材料股份有限公司位于本项目</w:t>
            </w:r>
            <w:r>
              <w:rPr>
                <w:rFonts w:hint="eastAsia"/>
                <w:color w:val="auto"/>
                <w:sz w:val="24"/>
                <w:szCs w:val="24"/>
              </w:rPr>
              <w:t>西南侧约750m。</w:t>
            </w:r>
            <w:r>
              <w:rPr>
                <w:color w:val="auto"/>
                <w:sz w:val="24"/>
                <w:szCs w:val="24"/>
              </w:rPr>
              <w:t>根据监测结果</w:t>
            </w:r>
            <w:r>
              <w:rPr>
                <w:rFonts w:hint="eastAsia"/>
                <w:color w:val="auto"/>
                <w:sz w:val="24"/>
                <w:szCs w:val="24"/>
              </w:rPr>
              <w:t>，</w:t>
            </w:r>
            <w:r>
              <w:rPr>
                <w:color w:val="auto"/>
                <w:sz w:val="24"/>
                <w:szCs w:val="24"/>
              </w:rPr>
              <w:t>建设项目周边</w:t>
            </w:r>
            <w:r>
              <w:rPr>
                <w:rFonts w:hint="eastAsia"/>
                <w:color w:val="auto"/>
                <w:sz w:val="24"/>
                <w:szCs w:val="24"/>
              </w:rPr>
              <w:t>TSP</w:t>
            </w:r>
            <w:r>
              <w:rPr>
                <w:color w:val="auto"/>
                <w:sz w:val="24"/>
                <w:szCs w:val="24"/>
              </w:rPr>
              <w:t>浓度满足相关环境质量标准。</w:t>
            </w:r>
          </w:p>
          <w:p w14:paraId="445DE75E">
            <w:pPr>
              <w:spacing w:line="360" w:lineRule="auto"/>
              <w:ind w:firstLine="480" w:firstLineChars="200"/>
              <w:rPr>
                <w:color w:val="auto"/>
                <w:sz w:val="24"/>
                <w:szCs w:val="24"/>
              </w:rPr>
            </w:pPr>
            <w:r>
              <w:rPr>
                <w:color w:val="auto"/>
                <w:sz w:val="24"/>
                <w:szCs w:val="24"/>
              </w:rPr>
              <w:t>本项目产生的废气经过有效的收集、处理后，各污染因子排放能够满足</w:t>
            </w:r>
            <w:r>
              <w:rPr>
                <w:rFonts w:hint="eastAsia"/>
                <w:color w:val="auto"/>
                <w:sz w:val="24"/>
                <w:szCs w:val="24"/>
              </w:rPr>
              <w:t>《大气污染物综合排放标准》（DB32/4041-2021）、《恶臭污染物排放标准》（GB14554-93）</w:t>
            </w:r>
            <w:r>
              <w:rPr>
                <w:color w:val="auto"/>
                <w:sz w:val="24"/>
                <w:szCs w:val="24"/>
              </w:rPr>
              <w:t>中相关排放标准要求，</w:t>
            </w:r>
            <w:r>
              <w:rPr>
                <w:rFonts w:hint="eastAsia"/>
                <w:color w:val="auto"/>
                <w:sz w:val="24"/>
                <w:szCs w:val="24"/>
                <w:highlight w:val="none"/>
              </w:rPr>
              <w:t>本项目</w:t>
            </w:r>
            <w:r>
              <w:rPr>
                <w:rFonts w:hint="eastAsia"/>
                <w:color w:val="auto"/>
                <w:sz w:val="24"/>
                <w:szCs w:val="24"/>
                <w:highlight w:val="none"/>
                <w:lang w:val="en-US" w:eastAsia="zh-CN"/>
              </w:rPr>
              <w:t>主</w:t>
            </w:r>
            <w:r>
              <w:rPr>
                <w:rFonts w:hint="eastAsia"/>
                <w:color w:val="auto"/>
                <w:sz w:val="24"/>
                <w:szCs w:val="24"/>
                <w:highlight w:val="none"/>
              </w:rPr>
              <w:t>生产区</w:t>
            </w:r>
            <w:r>
              <w:rPr>
                <w:rFonts w:hint="eastAsia"/>
                <w:color w:val="auto"/>
                <w:sz w:val="24"/>
                <w:szCs w:val="24"/>
                <w:highlight w:val="none"/>
                <w:lang w:val="en-US" w:eastAsia="zh-CN"/>
              </w:rPr>
              <w:t>位于厂区东南侧</w:t>
            </w:r>
            <w:r>
              <w:rPr>
                <w:rFonts w:hint="eastAsia"/>
                <w:color w:val="auto"/>
                <w:sz w:val="24"/>
                <w:szCs w:val="24"/>
                <w:highlight w:val="none"/>
              </w:rPr>
              <w:t>远离</w:t>
            </w:r>
            <w:r>
              <w:rPr>
                <w:rFonts w:hint="eastAsia"/>
                <w:color w:val="auto"/>
                <w:sz w:val="24"/>
                <w:szCs w:val="24"/>
                <w:highlight w:val="none"/>
                <w:lang w:val="en-US" w:eastAsia="zh-CN"/>
              </w:rPr>
              <w:t>西北侧敏感目标</w:t>
            </w:r>
            <w:r>
              <w:rPr>
                <w:rFonts w:hint="eastAsia"/>
                <w:color w:val="auto"/>
                <w:sz w:val="24"/>
                <w:szCs w:val="24"/>
                <w:highlight w:val="none"/>
              </w:rPr>
              <w:t>，</w:t>
            </w:r>
            <w:r>
              <w:rPr>
                <w:rFonts w:hint="eastAsia"/>
                <w:color w:val="auto"/>
                <w:sz w:val="24"/>
                <w:szCs w:val="24"/>
                <w:highlight w:val="none"/>
                <w:lang w:val="en-US" w:eastAsia="zh-CN"/>
              </w:rPr>
              <w:t>生产厂房</w:t>
            </w:r>
            <w:r>
              <w:rPr>
                <w:rFonts w:hint="eastAsia"/>
                <w:color w:val="auto"/>
                <w:sz w:val="24"/>
                <w:szCs w:val="24"/>
                <w:highlight w:val="none"/>
              </w:rPr>
              <w:t>距离</w:t>
            </w:r>
            <w:r>
              <w:rPr>
                <w:rFonts w:hint="eastAsia"/>
                <w:color w:val="auto"/>
                <w:sz w:val="24"/>
                <w:szCs w:val="24"/>
                <w:highlight w:val="none"/>
                <w:lang w:val="en-US" w:eastAsia="zh-CN"/>
              </w:rPr>
              <w:t>西</w:t>
            </w:r>
            <w:r>
              <w:rPr>
                <w:rFonts w:hint="eastAsia"/>
                <w:color w:val="auto"/>
                <w:sz w:val="24"/>
                <w:szCs w:val="24"/>
                <w:highlight w:val="none"/>
              </w:rPr>
              <w:t>北侧居民的最近距离为</w:t>
            </w:r>
            <w:r>
              <w:rPr>
                <w:rFonts w:hint="eastAsia"/>
                <w:color w:val="auto"/>
                <w:sz w:val="24"/>
                <w:szCs w:val="24"/>
                <w:highlight w:val="none"/>
                <w:lang w:val="en-US" w:eastAsia="zh-CN"/>
              </w:rPr>
              <w:t>84</w:t>
            </w:r>
            <w:r>
              <w:rPr>
                <w:rFonts w:hint="eastAsia"/>
                <w:color w:val="auto"/>
                <w:sz w:val="24"/>
                <w:szCs w:val="24"/>
                <w:highlight w:val="none"/>
              </w:rPr>
              <w:t>m，故废气对周围敏感点的影响较小，</w:t>
            </w:r>
            <w:r>
              <w:rPr>
                <w:color w:val="auto"/>
                <w:sz w:val="24"/>
                <w:szCs w:val="24"/>
              </w:rPr>
              <w:t>故项目所在地区可容纳本项目的废气排放</w:t>
            </w:r>
            <w:r>
              <w:rPr>
                <w:rFonts w:hint="eastAsia"/>
                <w:color w:val="auto"/>
                <w:sz w:val="24"/>
                <w:szCs w:val="24"/>
                <w:highlight w:val="none"/>
              </w:rPr>
              <w:t>。</w:t>
            </w:r>
          </w:p>
          <w:p w14:paraId="3DF3FB5E">
            <w:pPr>
              <w:pStyle w:val="10"/>
              <w:widowControl w:val="0"/>
              <w:adjustRightInd w:val="0"/>
              <w:spacing w:before="0" w:after="0" w:line="360" w:lineRule="auto"/>
              <w:ind w:right="0" w:firstLine="482" w:firstLineChars="200"/>
              <w:rPr>
                <w:b/>
                <w:color w:val="auto"/>
                <w:kern w:val="2"/>
                <w:sz w:val="24"/>
                <w:szCs w:val="24"/>
              </w:rPr>
            </w:pPr>
            <w:r>
              <w:rPr>
                <w:b/>
                <w:color w:val="auto"/>
                <w:kern w:val="2"/>
                <w:sz w:val="24"/>
                <w:szCs w:val="24"/>
              </w:rPr>
              <w:t>2</w:t>
            </w:r>
            <w:r>
              <w:rPr>
                <w:rFonts w:hint="eastAsia"/>
                <w:b/>
                <w:color w:val="auto"/>
                <w:kern w:val="2"/>
                <w:sz w:val="24"/>
                <w:szCs w:val="24"/>
              </w:rPr>
              <w:t>、</w:t>
            </w:r>
            <w:r>
              <w:rPr>
                <w:b/>
                <w:color w:val="auto"/>
                <w:kern w:val="2"/>
                <w:sz w:val="24"/>
                <w:szCs w:val="24"/>
              </w:rPr>
              <w:t>废水环境影响及保护措施</w:t>
            </w:r>
          </w:p>
          <w:p w14:paraId="0AF8B7B4">
            <w:pPr>
              <w:pStyle w:val="10"/>
              <w:widowControl w:val="0"/>
              <w:adjustRightInd w:val="0"/>
              <w:spacing w:before="0" w:after="0" w:line="360" w:lineRule="auto"/>
              <w:ind w:right="0" w:firstLine="482" w:firstLineChars="200"/>
              <w:rPr>
                <w:b/>
                <w:color w:val="auto"/>
                <w:kern w:val="2"/>
                <w:sz w:val="24"/>
                <w:szCs w:val="24"/>
              </w:rPr>
            </w:pPr>
            <w:r>
              <w:rPr>
                <w:b/>
                <w:color w:val="auto"/>
                <w:kern w:val="2"/>
                <w:sz w:val="24"/>
                <w:szCs w:val="24"/>
              </w:rPr>
              <w:t>2.1废水产生及排放情况</w:t>
            </w:r>
          </w:p>
          <w:p w14:paraId="57897BFA">
            <w:pPr>
              <w:adjustRightInd w:val="0"/>
              <w:snapToGrid w:val="0"/>
              <w:spacing w:line="360" w:lineRule="auto"/>
              <w:ind w:firstLine="480" w:firstLineChars="200"/>
              <w:rPr>
                <w:color w:val="auto"/>
                <w:sz w:val="24"/>
                <w:szCs w:val="24"/>
              </w:rPr>
            </w:pPr>
            <w:r>
              <w:rPr>
                <w:rFonts w:hint="eastAsia"/>
                <w:color w:val="auto"/>
                <w:sz w:val="24"/>
                <w:szCs w:val="24"/>
                <w:lang w:val="en-US" w:eastAsia="zh-CN"/>
              </w:rPr>
              <w:t>本</w:t>
            </w:r>
            <w:r>
              <w:rPr>
                <w:rFonts w:hint="eastAsia"/>
                <w:color w:val="auto"/>
                <w:sz w:val="24"/>
                <w:szCs w:val="24"/>
              </w:rPr>
              <w:t>项目用水主要为</w:t>
            </w:r>
            <w:bookmarkStart w:id="29" w:name="OLE_LINK125"/>
            <w:r>
              <w:rPr>
                <w:rFonts w:hint="eastAsia"/>
                <w:color w:val="auto"/>
                <w:sz w:val="24"/>
                <w:szCs w:val="24"/>
                <w:lang w:val="en-US" w:eastAsia="zh-CN"/>
              </w:rPr>
              <w:t>生活用水</w:t>
            </w:r>
            <w:bookmarkEnd w:id="29"/>
            <w:r>
              <w:rPr>
                <w:rFonts w:hint="eastAsia"/>
                <w:color w:val="auto"/>
                <w:sz w:val="24"/>
                <w:szCs w:val="24"/>
                <w:lang w:val="en-US" w:eastAsia="zh-CN"/>
              </w:rPr>
              <w:t>、冷却用水、切削液调配用水、清洗用水</w:t>
            </w:r>
            <w:r>
              <w:rPr>
                <w:rFonts w:hint="eastAsia"/>
                <w:color w:val="auto"/>
                <w:sz w:val="24"/>
                <w:szCs w:val="24"/>
              </w:rPr>
              <w:t>，产生的废水主要为</w:t>
            </w:r>
            <w:r>
              <w:rPr>
                <w:rFonts w:hint="eastAsia"/>
                <w:color w:val="auto"/>
                <w:sz w:val="24"/>
                <w:szCs w:val="24"/>
                <w:lang w:val="en-US" w:eastAsia="zh-CN"/>
              </w:rPr>
              <w:t>生活污水</w:t>
            </w:r>
            <w:r>
              <w:rPr>
                <w:rFonts w:hint="eastAsia"/>
                <w:color w:val="auto"/>
                <w:sz w:val="24"/>
                <w:szCs w:val="24"/>
                <w:lang w:eastAsia="zh-CN"/>
              </w:rPr>
              <w:t>、</w:t>
            </w:r>
            <w:r>
              <w:rPr>
                <w:rFonts w:hint="eastAsia"/>
                <w:color w:val="auto"/>
                <w:sz w:val="24"/>
                <w:szCs w:val="24"/>
                <w:lang w:val="en-US" w:eastAsia="zh-CN"/>
              </w:rPr>
              <w:t>清洗废水</w:t>
            </w:r>
            <w:r>
              <w:rPr>
                <w:rFonts w:hint="eastAsia"/>
                <w:color w:val="auto"/>
                <w:sz w:val="24"/>
                <w:szCs w:val="24"/>
              </w:rPr>
              <w:t>。</w:t>
            </w:r>
          </w:p>
          <w:p w14:paraId="7DD5A39F">
            <w:pPr>
              <w:keepNext w:val="0"/>
              <w:keepLines w:val="0"/>
              <w:suppressLineNumbers w:val="0"/>
              <w:adjustRightInd w:val="0"/>
              <w:snapToGrid w:val="0"/>
              <w:spacing w:before="0" w:beforeLines="0" w:beforeAutospacing="0" w:after="0" w:afterLines="0" w:afterAutospacing="0" w:line="360" w:lineRule="auto"/>
              <w:ind w:left="0" w:right="0" w:firstLine="360" w:firstLineChars="150"/>
              <w:rPr>
                <w:rFonts w:hint="default" w:ascii="Times New Roman" w:hAnsi="Times New Roman" w:eastAsia="宋体" w:cs="Times New Roman"/>
                <w:b/>
                <w:color w:val="auto"/>
                <w:sz w:val="24"/>
                <w:szCs w:val="24"/>
              </w:rPr>
            </w:pPr>
            <w:r>
              <w:rPr>
                <w:rFonts w:hint="default" w:ascii="Times New Roman" w:hAnsi="Times New Roman" w:eastAsia="宋体" w:cs="Times New Roman"/>
                <w:color w:val="auto"/>
                <w:sz w:val="24"/>
                <w:szCs w:val="24"/>
                <w:lang w:bidi="ar"/>
              </w:rPr>
              <w:t>（1）生活用水</w:t>
            </w:r>
          </w:p>
          <w:p w14:paraId="28A9A431">
            <w:pPr>
              <w:keepNext w:val="0"/>
              <w:keepLines w:val="0"/>
              <w:suppressLineNumbers w:val="0"/>
              <w:adjustRightInd w:val="0"/>
              <w:snapToGrid w:val="0"/>
              <w:spacing w:before="0" w:beforeLines="0" w:beforeAutospacing="0" w:after="0" w:afterLines="0" w:afterAutospacing="0" w:line="360" w:lineRule="auto"/>
              <w:ind w:left="0" w:right="0" w:firstLine="480" w:firstLineChars="200"/>
              <w:rPr>
                <w:rFonts w:hint="eastAsia" w:ascii="Times New Roman" w:hAnsi="Times New Roman" w:eastAsia="宋体" w:cs="Times New Roman"/>
                <w:color w:val="auto"/>
                <w:kern w:val="0"/>
                <w:sz w:val="24"/>
                <w:szCs w:val="24"/>
                <w:lang w:eastAsia="zh-CN" w:bidi="ar"/>
              </w:rPr>
            </w:pPr>
            <w:r>
              <w:rPr>
                <w:rFonts w:hint="eastAsia" w:cs="Times New Roman"/>
                <w:color w:val="auto"/>
                <w:kern w:val="0"/>
                <w:sz w:val="24"/>
                <w:szCs w:val="24"/>
                <w:lang w:val="en-US" w:eastAsia="zh-CN" w:bidi="ar"/>
              </w:rPr>
              <w:t>扩建</w:t>
            </w:r>
            <w:r>
              <w:rPr>
                <w:rFonts w:hint="default" w:ascii="Times New Roman" w:hAnsi="Times New Roman" w:eastAsia="宋体" w:cs="Times New Roman"/>
                <w:color w:val="auto"/>
                <w:kern w:val="0"/>
                <w:sz w:val="24"/>
                <w:szCs w:val="24"/>
                <w:lang w:bidi="ar"/>
              </w:rPr>
              <w:t>项目</w:t>
            </w:r>
            <w:r>
              <w:rPr>
                <w:rFonts w:hint="eastAsia" w:cs="Times New Roman"/>
                <w:color w:val="auto"/>
                <w:kern w:val="0"/>
                <w:sz w:val="24"/>
                <w:szCs w:val="24"/>
                <w:lang w:val="en-US" w:eastAsia="zh-CN" w:bidi="ar"/>
              </w:rPr>
              <w:t>新增员工</w:t>
            </w:r>
            <w:r>
              <w:rPr>
                <w:rFonts w:hint="eastAsia" w:ascii="Times New Roman" w:hAnsi="Times New Roman"/>
                <w:b w:val="0"/>
                <w:bCs w:val="0"/>
                <w:color w:val="auto"/>
                <w:sz w:val="24"/>
                <w:szCs w:val="24"/>
                <w:lang w:val="en-US" w:eastAsia="zh-CN"/>
              </w:rPr>
              <w:t>35</w:t>
            </w:r>
            <w:r>
              <w:rPr>
                <w:rFonts w:hint="default" w:ascii="Times New Roman" w:hAnsi="Times New Roman" w:eastAsia="宋体" w:cs="Times New Roman"/>
                <w:color w:val="auto"/>
                <w:kern w:val="0"/>
                <w:sz w:val="24"/>
                <w:szCs w:val="24"/>
                <w:lang w:bidi="ar"/>
              </w:rPr>
              <w:t>人，根据《建筑给水排水设计标准》（GB50015-2019），车间工人和工业企业建筑管理人员的生活用水定额为50L/人·班，则生活用水量为</w:t>
            </w:r>
            <w:r>
              <w:rPr>
                <w:rFonts w:hint="eastAsia" w:cs="Times New Roman"/>
                <w:color w:val="auto"/>
                <w:kern w:val="0"/>
                <w:sz w:val="24"/>
                <w:szCs w:val="24"/>
                <w:lang w:val="en-US" w:eastAsia="zh-CN" w:bidi="ar"/>
              </w:rPr>
              <w:t>620</w:t>
            </w:r>
            <w:r>
              <w:rPr>
                <w:rFonts w:hint="default" w:ascii="Times New Roman" w:hAnsi="Times New Roman" w:eastAsia="宋体" w:cs="Times New Roman"/>
                <w:color w:val="auto"/>
                <w:kern w:val="0"/>
                <w:sz w:val="24"/>
                <w:szCs w:val="24"/>
                <w:lang w:val="en-US" w:eastAsia="zh-CN" w:bidi="ar"/>
              </w:rPr>
              <w:t>t</w:t>
            </w:r>
            <w:r>
              <w:rPr>
                <w:rFonts w:hint="default" w:ascii="Times New Roman" w:hAnsi="Times New Roman" w:eastAsia="宋体" w:cs="Times New Roman"/>
                <w:color w:val="auto"/>
                <w:kern w:val="0"/>
                <w:sz w:val="24"/>
                <w:szCs w:val="24"/>
                <w:lang w:bidi="ar"/>
              </w:rPr>
              <w:t>/a，污水产生量以用水量的</w:t>
            </w:r>
            <w:r>
              <w:rPr>
                <w:rFonts w:hint="eastAsia" w:cs="Times New Roman"/>
                <w:color w:val="auto"/>
                <w:kern w:val="0"/>
                <w:sz w:val="24"/>
                <w:szCs w:val="24"/>
                <w:lang w:val="en-US" w:eastAsia="zh-CN" w:bidi="ar"/>
              </w:rPr>
              <w:t>9</w:t>
            </w:r>
            <w:r>
              <w:rPr>
                <w:rFonts w:hint="default" w:ascii="Times New Roman" w:hAnsi="Times New Roman" w:eastAsia="宋体" w:cs="Times New Roman"/>
                <w:color w:val="auto"/>
                <w:kern w:val="0"/>
                <w:sz w:val="24"/>
                <w:szCs w:val="24"/>
                <w:lang w:bidi="ar"/>
              </w:rPr>
              <w:t>0%计，则生活污水产生量为</w:t>
            </w:r>
            <w:r>
              <w:rPr>
                <w:rFonts w:hint="eastAsia" w:cs="Times New Roman"/>
                <w:color w:val="auto"/>
                <w:kern w:val="0"/>
                <w:sz w:val="24"/>
                <w:szCs w:val="24"/>
                <w:lang w:val="en-US" w:eastAsia="zh-CN" w:bidi="ar"/>
              </w:rPr>
              <w:t>558</w:t>
            </w:r>
            <w:r>
              <w:rPr>
                <w:rFonts w:hint="default" w:ascii="Times New Roman" w:hAnsi="Times New Roman" w:eastAsia="宋体" w:cs="Times New Roman"/>
                <w:color w:val="auto"/>
                <w:kern w:val="0"/>
                <w:sz w:val="24"/>
                <w:szCs w:val="24"/>
                <w:lang w:bidi="ar"/>
              </w:rPr>
              <w:t>t/a。主要污染因子为pH、COD、SS、NH</w:t>
            </w:r>
            <w:r>
              <w:rPr>
                <w:rFonts w:hint="default" w:ascii="Times New Roman" w:hAnsi="Times New Roman" w:eastAsia="宋体" w:cs="Times New Roman"/>
                <w:color w:val="auto"/>
                <w:kern w:val="0"/>
                <w:sz w:val="24"/>
                <w:szCs w:val="24"/>
                <w:vertAlign w:val="subscript"/>
                <w:lang w:bidi="ar"/>
              </w:rPr>
              <w:t>3</w:t>
            </w:r>
            <w:r>
              <w:rPr>
                <w:rFonts w:hint="default" w:ascii="Times New Roman" w:hAnsi="Times New Roman" w:eastAsia="宋体" w:cs="Times New Roman"/>
                <w:color w:val="auto"/>
                <w:kern w:val="0"/>
                <w:sz w:val="24"/>
                <w:szCs w:val="24"/>
                <w:lang w:bidi="ar"/>
              </w:rPr>
              <w:t>-N、TP、TN，浓度分别为pH 6-9（无量纲）、COD 350mg/L、SS 2</w:t>
            </w:r>
            <w:r>
              <w:rPr>
                <w:rFonts w:hint="eastAsia" w:cs="Times New Roman"/>
                <w:color w:val="auto"/>
                <w:kern w:val="0"/>
                <w:sz w:val="24"/>
                <w:szCs w:val="24"/>
                <w:lang w:val="en-US" w:eastAsia="zh-CN" w:bidi="ar"/>
              </w:rPr>
              <w:t>5</w:t>
            </w:r>
            <w:r>
              <w:rPr>
                <w:rFonts w:hint="default" w:ascii="Times New Roman" w:hAnsi="Times New Roman" w:eastAsia="宋体" w:cs="Times New Roman"/>
                <w:color w:val="auto"/>
                <w:kern w:val="0"/>
                <w:sz w:val="24"/>
                <w:szCs w:val="24"/>
                <w:lang w:bidi="ar"/>
              </w:rPr>
              <w:t>0mg/L、氨氮25mg/L、总磷3mg/L、总氮35mg/L。生活污水经化粪池处理后接管至鹰泰水务海安有限公司处理，处理后的达标尾水排入栟茶运河</w:t>
            </w:r>
            <w:r>
              <w:rPr>
                <w:rFonts w:hint="eastAsia" w:cs="Times New Roman"/>
                <w:color w:val="auto"/>
                <w:kern w:val="0"/>
                <w:sz w:val="24"/>
                <w:szCs w:val="24"/>
                <w:lang w:eastAsia="zh-CN" w:bidi="ar"/>
              </w:rPr>
              <w:t>。</w:t>
            </w:r>
          </w:p>
          <w:p w14:paraId="770468B3">
            <w:pPr>
              <w:spacing w:line="360" w:lineRule="auto"/>
              <w:ind w:firstLine="480" w:firstLineChars="200"/>
              <w:rPr>
                <w:rFonts w:hint="eastAsia"/>
                <w:color w:val="auto"/>
                <w:sz w:val="24"/>
                <w:szCs w:val="24"/>
                <w:lang w:val="en-US" w:eastAsia="zh-CN"/>
              </w:rPr>
            </w:pPr>
            <w:r>
              <w:rPr>
                <w:rFonts w:hint="eastAsia"/>
                <w:color w:val="auto"/>
                <w:sz w:val="24"/>
                <w:szCs w:val="24"/>
                <w:lang w:val="en-US" w:eastAsia="zh-CN"/>
              </w:rPr>
              <w:t>（2）冷却用水</w:t>
            </w:r>
          </w:p>
          <w:p w14:paraId="5168DFC0">
            <w:pPr>
              <w:spacing w:line="360" w:lineRule="auto"/>
              <w:ind w:firstLine="480" w:firstLineChars="200"/>
              <w:rPr>
                <w:rFonts w:hint="default" w:ascii="Times New Roman" w:hAnsi="Times New Roman" w:cs="Times New Roman"/>
                <w:color w:val="auto"/>
                <w:sz w:val="24"/>
                <w:szCs w:val="24"/>
                <w:vertAlign w:val="baseline"/>
                <w:lang w:val="en-US" w:eastAsia="zh-CN"/>
              </w:rPr>
            </w:pPr>
            <w:r>
              <w:rPr>
                <w:rFonts w:hint="eastAsia"/>
                <w:color w:val="auto"/>
                <w:sz w:val="24"/>
                <w:szCs w:val="24"/>
                <w:lang w:val="en-US" w:eastAsia="zh-CN"/>
              </w:rPr>
              <w:t>扩建项目新增1台冷却塔</w:t>
            </w:r>
            <w:r>
              <w:rPr>
                <w:rFonts w:hint="eastAsia"/>
                <w:color w:val="auto"/>
                <w:sz w:val="24"/>
                <w:szCs w:val="24"/>
                <w:vertAlign w:val="baseline"/>
                <w:lang w:val="en-US" w:eastAsia="zh-CN"/>
              </w:rPr>
              <w:t>，</w:t>
            </w:r>
            <w:r>
              <w:rPr>
                <w:rFonts w:hint="eastAsia" w:cs="Times New Roman"/>
                <w:color w:val="auto"/>
                <w:sz w:val="24"/>
                <w:szCs w:val="24"/>
                <w:lang w:val="en-US" w:eastAsia="zh-CN"/>
              </w:rPr>
              <w:t>根据建设单位提供资料，</w:t>
            </w:r>
            <w:r>
              <w:rPr>
                <w:color w:val="auto"/>
                <w:sz w:val="24"/>
                <w:szCs w:val="24"/>
              </w:rPr>
              <w:t>循环冷却水不添加药剂，采用间接冷却方式</w:t>
            </w:r>
            <w:r>
              <w:rPr>
                <w:rFonts w:hint="eastAsia"/>
                <w:color w:val="auto"/>
                <w:sz w:val="24"/>
                <w:szCs w:val="24"/>
                <w:lang w:val="en-US" w:eastAsia="zh-CN"/>
              </w:rPr>
              <w:t>对</w:t>
            </w:r>
            <w:r>
              <w:rPr>
                <w:rFonts w:hint="eastAsia"/>
                <w:color w:val="auto"/>
                <w:sz w:val="24"/>
                <w:szCs w:val="24"/>
              </w:rPr>
              <w:t>真空炉外壳进行冷却，防止设备过热</w:t>
            </w:r>
            <w:r>
              <w:rPr>
                <w:color w:val="auto"/>
                <w:sz w:val="24"/>
                <w:szCs w:val="24"/>
              </w:rPr>
              <w:t>，冷却水不接触产品，冷却过程水质不会被污染</w:t>
            </w:r>
            <w:r>
              <w:rPr>
                <w:rFonts w:hint="eastAsia"/>
                <w:color w:val="auto"/>
                <w:sz w:val="24"/>
                <w:szCs w:val="24"/>
                <w:lang w:eastAsia="zh-CN"/>
              </w:rPr>
              <w:t>；</w:t>
            </w:r>
            <w:r>
              <w:rPr>
                <w:rFonts w:hint="eastAsia"/>
                <w:color w:val="auto"/>
                <w:sz w:val="24"/>
                <w:szCs w:val="24"/>
                <w:lang w:val="en-US" w:eastAsia="zh-CN"/>
              </w:rPr>
              <w:t>项目使用的冷却塔是闭式冷却塔，属于</w:t>
            </w:r>
            <w:r>
              <w:rPr>
                <w:rFonts w:hint="eastAsia"/>
                <w:color w:val="auto"/>
                <w:sz w:val="24"/>
                <w:szCs w:val="24"/>
                <w:vertAlign w:val="baseline"/>
                <w:lang w:val="en-US" w:eastAsia="zh-CN"/>
              </w:rPr>
              <w:t>间冷闭式循环冷却水系统，</w:t>
            </w:r>
            <w:r>
              <w:rPr>
                <w:rFonts w:hint="eastAsia"/>
                <w:color w:val="auto"/>
                <w:sz w:val="24"/>
                <w:szCs w:val="24"/>
                <w:lang w:val="en-US" w:eastAsia="zh-CN"/>
              </w:rPr>
              <w:t>将管式换热器置于塔内，靠‌内外双循环‌和‌蒸发吸热‌降温，冷却水在管内封闭流动，不接触空气，其能够保证水质不受污染，</w:t>
            </w:r>
            <w:r>
              <w:rPr>
                <w:color w:val="auto"/>
                <w:sz w:val="24"/>
                <w:szCs w:val="24"/>
              </w:rPr>
              <w:t>可以循环使用，无需外排，仅需定期补充新鲜水</w:t>
            </w:r>
            <w:r>
              <w:rPr>
                <w:rFonts w:hint="eastAsia"/>
                <w:color w:val="auto"/>
                <w:sz w:val="24"/>
                <w:szCs w:val="24"/>
                <w:vertAlign w:val="baseline"/>
                <w:lang w:val="en-US" w:eastAsia="zh-CN"/>
              </w:rPr>
              <w:t>。根据《工业循环冷却水处理设计规范》（GB/T50050-2017），闭式系统的补水量不宜大于循环水量的1‰，</w:t>
            </w:r>
            <w:r>
              <w:rPr>
                <w:rFonts w:hint="eastAsia" w:ascii="Times New Roman" w:hAnsi="Times New Roman" w:cs="Times New Roman"/>
                <w:color w:val="auto"/>
                <w:sz w:val="24"/>
                <w:szCs w:val="24"/>
                <w:vertAlign w:val="baseline"/>
                <w:lang w:val="en-US" w:eastAsia="zh-CN"/>
              </w:rPr>
              <w:t>本项目</w:t>
            </w:r>
            <w:r>
              <w:rPr>
                <w:rFonts w:hint="eastAsia"/>
                <w:color w:val="auto"/>
                <w:sz w:val="24"/>
                <w:szCs w:val="24"/>
                <w:vertAlign w:val="baseline"/>
                <w:lang w:val="en-US" w:eastAsia="zh-CN"/>
              </w:rPr>
              <w:t>循环水量为955800t/a，则年补水量为955.8t/a。</w:t>
            </w:r>
          </w:p>
          <w:p w14:paraId="0E7762A1">
            <w:pPr>
              <w:spacing w:line="360" w:lineRule="auto"/>
              <w:ind w:firstLine="480" w:firstLineChars="200"/>
              <w:rPr>
                <w:rFonts w:hint="default" w:ascii="Times New Roman" w:hAnsi="Times New Roman" w:eastAsia="宋体" w:cs="Times New Roman"/>
                <w:color w:val="auto"/>
                <w:lang w:bidi="ar-SA"/>
              </w:rPr>
            </w:pPr>
            <w:r>
              <w:rPr>
                <w:rFonts w:hint="eastAsia"/>
                <w:color w:val="auto"/>
                <w:sz w:val="24"/>
                <w:szCs w:val="24"/>
                <w:lang w:val="en-US" w:eastAsia="zh-CN"/>
              </w:rPr>
              <w:t>（3）切削液调配用水</w:t>
            </w:r>
          </w:p>
          <w:p w14:paraId="2D97A829">
            <w:pPr>
              <w:spacing w:line="360" w:lineRule="auto"/>
              <w:ind w:firstLine="480" w:firstLineChars="200"/>
              <w:rPr>
                <w:color w:val="auto"/>
                <w:sz w:val="24"/>
                <w:szCs w:val="24"/>
              </w:rPr>
            </w:pPr>
            <w:r>
              <w:rPr>
                <w:rFonts w:hint="eastAsia"/>
                <w:color w:val="auto"/>
                <w:sz w:val="24"/>
                <w:szCs w:val="24"/>
                <w:lang w:val="en-US" w:eastAsia="zh-CN"/>
              </w:rPr>
              <w:t>扩建</w:t>
            </w:r>
            <w:r>
              <w:rPr>
                <w:rFonts w:hint="eastAsia"/>
                <w:color w:val="auto"/>
                <w:sz w:val="24"/>
                <w:szCs w:val="24"/>
              </w:rPr>
              <w:t>项目切削液年用量为7t/a，使用前需加水按照1:10的比例调配稀释，则切削液调配用水量为</w:t>
            </w:r>
            <w:r>
              <w:rPr>
                <w:rFonts w:hint="eastAsia"/>
                <w:color w:val="auto"/>
                <w:sz w:val="24"/>
                <w:szCs w:val="24"/>
                <w:lang w:val="en-US" w:eastAsia="zh-CN"/>
              </w:rPr>
              <w:t>7</w:t>
            </w:r>
            <w:r>
              <w:rPr>
                <w:rFonts w:hint="eastAsia"/>
                <w:color w:val="auto"/>
                <w:sz w:val="24"/>
                <w:szCs w:val="24"/>
              </w:rPr>
              <w:t>0t/a，</w:t>
            </w:r>
            <w:r>
              <w:rPr>
                <w:rFonts w:hint="eastAsia"/>
                <w:color w:val="auto"/>
                <w:sz w:val="24"/>
                <w:szCs w:val="24"/>
                <w:lang w:val="en-US" w:eastAsia="zh-CN"/>
              </w:rPr>
              <w:t>调配后的切削液量为77</w:t>
            </w:r>
            <w:r>
              <w:rPr>
                <w:rFonts w:hint="eastAsia"/>
                <w:color w:val="auto"/>
                <w:sz w:val="24"/>
                <w:szCs w:val="24"/>
              </w:rPr>
              <w:t>t/a，大部分切削液在使用中挥发损耗，未损耗量约</w:t>
            </w:r>
            <w:r>
              <w:rPr>
                <w:rFonts w:hint="eastAsia"/>
                <w:color w:val="auto"/>
                <w:sz w:val="24"/>
                <w:szCs w:val="24"/>
                <w:lang w:val="en-US" w:eastAsia="zh-CN"/>
              </w:rPr>
              <w:t>14</w:t>
            </w:r>
            <w:r>
              <w:rPr>
                <w:rFonts w:hint="eastAsia"/>
                <w:color w:val="auto"/>
                <w:sz w:val="24"/>
                <w:szCs w:val="24"/>
              </w:rPr>
              <w:t>t/a进入废切削液，作为危废委托</w:t>
            </w:r>
            <w:r>
              <w:rPr>
                <w:rFonts w:hint="eastAsia"/>
                <w:color w:val="auto"/>
                <w:sz w:val="24"/>
                <w:szCs w:val="24"/>
                <w:lang w:val="en-US" w:eastAsia="zh-CN"/>
              </w:rPr>
              <w:t>有</w:t>
            </w:r>
            <w:r>
              <w:rPr>
                <w:rFonts w:hint="eastAsia"/>
                <w:color w:val="auto"/>
                <w:sz w:val="24"/>
                <w:szCs w:val="24"/>
              </w:rPr>
              <w:t>资质单位处置。</w:t>
            </w:r>
          </w:p>
          <w:p w14:paraId="43700C02">
            <w:pPr>
              <w:spacing w:line="360" w:lineRule="auto"/>
              <w:ind w:firstLine="420" w:firstLineChars="200"/>
              <w:rPr>
                <w:rFonts w:hint="eastAsia" w:ascii="Times New Roman" w:hAnsi="Times New Roman" w:eastAsia="宋体" w:cs="Times New Roman"/>
                <w:color w:val="auto"/>
                <w:lang w:eastAsia="zh-CN" w:bidi="ar-SA"/>
              </w:rPr>
            </w:pPr>
            <w:r>
              <w:rPr>
                <w:rFonts w:hint="eastAsia" w:ascii="Times New Roman" w:hAnsi="Times New Roman" w:eastAsia="宋体" w:cs="Times New Roman"/>
                <w:color w:val="auto"/>
                <w:lang w:eastAsia="zh-CN" w:bidi="ar-SA"/>
              </w:rPr>
              <w:t>（</w:t>
            </w:r>
            <w:r>
              <w:rPr>
                <w:rFonts w:hint="eastAsia" w:ascii="Times New Roman" w:hAnsi="Times New Roman" w:eastAsia="宋体" w:cs="Times New Roman"/>
                <w:color w:val="auto"/>
                <w:lang w:val="en-US" w:eastAsia="zh-CN" w:bidi="ar-SA"/>
              </w:rPr>
              <w:t>4</w:t>
            </w:r>
            <w:r>
              <w:rPr>
                <w:rFonts w:hint="eastAsia" w:ascii="Times New Roman" w:hAnsi="Times New Roman" w:eastAsia="宋体" w:cs="Times New Roman"/>
                <w:color w:val="auto"/>
                <w:lang w:eastAsia="zh-CN" w:bidi="ar-SA"/>
              </w:rPr>
              <w:t>）</w:t>
            </w:r>
            <w:r>
              <w:rPr>
                <w:rFonts w:hint="eastAsia"/>
                <w:color w:val="auto"/>
                <w:sz w:val="24"/>
                <w:szCs w:val="24"/>
                <w:lang w:val="en-US" w:eastAsia="zh-CN"/>
              </w:rPr>
              <w:t>清洗用水</w:t>
            </w:r>
          </w:p>
          <w:p w14:paraId="6610D704">
            <w:pPr>
              <w:spacing w:line="360" w:lineRule="auto"/>
              <w:ind w:firstLine="480" w:firstLineChars="200"/>
              <w:rPr>
                <w:rFonts w:hint="default"/>
                <w:color w:val="auto"/>
                <w:sz w:val="24"/>
                <w:szCs w:val="24"/>
                <w:lang w:val="en-US" w:eastAsia="zh-CN"/>
              </w:rPr>
            </w:pPr>
            <w:r>
              <w:rPr>
                <w:rFonts w:hint="eastAsia"/>
                <w:color w:val="auto"/>
                <w:sz w:val="24"/>
                <w:szCs w:val="24"/>
                <w:lang w:val="en-US" w:eastAsia="zh-CN"/>
              </w:rPr>
              <w:t>本项目清洗工序设置2个清洗机，用排水情况如下：</w:t>
            </w:r>
          </w:p>
          <w:p w14:paraId="4F1F9E20">
            <w:pPr>
              <w:spacing w:line="360" w:lineRule="auto"/>
              <w:ind w:firstLine="482" w:firstLineChars="200"/>
              <w:rPr>
                <w:rFonts w:hint="eastAsia" w:cs="Times New Roman"/>
                <w:color w:val="auto"/>
                <w:sz w:val="24"/>
                <w:szCs w:val="24"/>
                <w:lang w:val="en-US" w:eastAsia="zh-CN"/>
              </w:rPr>
            </w:pPr>
            <w:r>
              <w:rPr>
                <w:rFonts w:hint="eastAsia" w:cs="Times New Roman"/>
                <w:b/>
                <w:bCs/>
                <w:color w:val="auto"/>
                <w:sz w:val="24"/>
                <w:szCs w:val="24"/>
                <w:lang w:val="en-US" w:eastAsia="zh-CN"/>
              </w:rPr>
              <w:t>清洗机1：</w:t>
            </w:r>
            <w:r>
              <w:rPr>
                <w:rFonts w:hint="eastAsia" w:cs="Times New Roman"/>
                <w:color w:val="auto"/>
                <w:sz w:val="24"/>
                <w:szCs w:val="24"/>
                <w:lang w:val="en-US" w:eastAsia="zh-CN"/>
              </w:rPr>
              <w:t>水槽尺寸1.4m*1.4m*0.6m，仅使用自来水，容积为1.176</w:t>
            </w:r>
            <w:r>
              <w:rPr>
                <w:rFonts w:hint="eastAsia"/>
                <w:color w:val="auto"/>
                <w:sz w:val="24"/>
                <w:szCs w:val="24"/>
                <w:lang w:val="en-US" w:eastAsia="zh-CN"/>
              </w:rPr>
              <w:t>m</w:t>
            </w:r>
            <w:r>
              <w:rPr>
                <w:rFonts w:hint="eastAsia"/>
                <w:color w:val="auto"/>
                <w:sz w:val="24"/>
                <w:szCs w:val="24"/>
                <w:vertAlign w:val="superscript"/>
                <w:lang w:val="en-US" w:eastAsia="zh-CN"/>
              </w:rPr>
              <w:t>3</w:t>
            </w:r>
            <w:r>
              <w:rPr>
                <w:rFonts w:hint="eastAsia"/>
                <w:color w:val="auto"/>
                <w:sz w:val="24"/>
                <w:szCs w:val="24"/>
                <w:lang w:val="en-US" w:eastAsia="zh-CN"/>
              </w:rPr>
              <w:t>，蓄水量为0.8m</w:t>
            </w:r>
            <w:r>
              <w:rPr>
                <w:rFonts w:hint="eastAsia"/>
                <w:color w:val="auto"/>
                <w:sz w:val="24"/>
                <w:szCs w:val="24"/>
                <w:vertAlign w:val="superscript"/>
                <w:lang w:val="en-US" w:eastAsia="zh-CN"/>
              </w:rPr>
              <w:t>3</w:t>
            </w:r>
            <w:r>
              <w:rPr>
                <w:rFonts w:hint="eastAsia" w:cs="Times New Roman"/>
                <w:color w:val="auto"/>
                <w:sz w:val="24"/>
                <w:szCs w:val="24"/>
                <w:lang w:val="en-US" w:eastAsia="zh-CN"/>
              </w:rPr>
              <w:t>。</w:t>
            </w:r>
            <w:r>
              <w:rPr>
                <w:rFonts w:hint="eastAsia"/>
                <w:color w:val="auto"/>
                <w:sz w:val="24"/>
                <w:szCs w:val="24"/>
                <w:lang w:val="en-US" w:eastAsia="zh-CN"/>
              </w:rPr>
              <w:t>清洗水每3天排入废水站，则年产生废水94.4t/a，经</w:t>
            </w:r>
            <w:r>
              <w:rPr>
                <w:rFonts w:hint="eastAsia" w:eastAsia="宋体"/>
                <w:color w:val="auto"/>
                <w:sz w:val="24"/>
                <w:szCs w:val="24"/>
                <w:lang w:val="en-US" w:eastAsia="zh-CN" w:bidi="ar-SA"/>
              </w:rPr>
              <w:t>预过滤+三相分离器+低温蒸发器+陶瓷膜过滤</w:t>
            </w:r>
            <w:r>
              <w:rPr>
                <w:rFonts w:hint="eastAsia"/>
                <w:color w:val="auto"/>
                <w:sz w:val="24"/>
                <w:szCs w:val="24"/>
                <w:lang w:val="en-US" w:eastAsia="zh-CN" w:bidi="ar-SA"/>
              </w:rPr>
              <w:t>后回用，浓液做危废处置</w:t>
            </w:r>
            <w:r>
              <w:rPr>
                <w:rFonts w:hint="eastAsia"/>
                <w:color w:val="auto"/>
                <w:sz w:val="24"/>
                <w:szCs w:val="24"/>
                <w:vertAlign w:val="baseline"/>
                <w:lang w:val="en-US" w:eastAsia="zh-CN"/>
              </w:rPr>
              <w:t>。</w:t>
            </w:r>
            <w:r>
              <w:rPr>
                <w:rFonts w:hint="eastAsia" w:eastAsia="宋体"/>
                <w:color w:val="auto"/>
                <w:kern w:val="0"/>
                <w:sz w:val="24"/>
                <w:szCs w:val="24"/>
              </w:rPr>
              <w:t>由于蒸发损耗以及</w:t>
            </w:r>
            <w:r>
              <w:rPr>
                <w:rFonts w:hint="eastAsia" w:eastAsia="宋体"/>
                <w:color w:val="auto"/>
                <w:kern w:val="0"/>
                <w:sz w:val="24"/>
                <w:szCs w:val="24"/>
                <w:lang w:val="en-US" w:eastAsia="zh-CN"/>
              </w:rPr>
              <w:t>工件</w:t>
            </w:r>
            <w:r>
              <w:rPr>
                <w:rFonts w:hint="eastAsia" w:eastAsia="宋体"/>
                <w:color w:val="auto"/>
                <w:kern w:val="0"/>
                <w:sz w:val="24"/>
                <w:szCs w:val="24"/>
              </w:rPr>
              <w:t>带走水分等原因，需要定期补充循环水，</w:t>
            </w:r>
            <w:r>
              <w:rPr>
                <w:rFonts w:hint="eastAsia" w:ascii="Times New Roman" w:eastAsia="宋体"/>
                <w:color w:val="auto"/>
                <w:kern w:val="0"/>
                <w:sz w:val="24"/>
                <w:szCs w:val="24"/>
                <w:lang w:val="en-US" w:eastAsia="zh-CN"/>
              </w:rPr>
              <w:t>根据建设单位提供资料并类比同行业项目，</w:t>
            </w:r>
            <w:r>
              <w:rPr>
                <w:rFonts w:hint="eastAsia"/>
                <w:color w:val="auto"/>
                <w:kern w:val="0"/>
                <w:sz w:val="24"/>
                <w:szCs w:val="24"/>
                <w:lang w:val="en-US" w:eastAsia="zh-CN"/>
              </w:rPr>
              <w:t>清洗水</w:t>
            </w:r>
            <w:r>
              <w:rPr>
                <w:rFonts w:hint="eastAsia" w:eastAsia="宋体"/>
                <w:color w:val="auto"/>
                <w:kern w:val="0"/>
                <w:sz w:val="24"/>
                <w:szCs w:val="24"/>
              </w:rPr>
              <w:t>循环</w:t>
            </w:r>
            <w:r>
              <w:rPr>
                <w:rFonts w:hint="eastAsia"/>
                <w:color w:val="auto"/>
                <w:kern w:val="0"/>
                <w:sz w:val="24"/>
                <w:szCs w:val="24"/>
                <w:lang w:val="en-US" w:eastAsia="zh-CN"/>
              </w:rPr>
              <w:t>过程</w:t>
            </w:r>
            <w:r>
              <w:rPr>
                <w:rFonts w:hint="eastAsia" w:eastAsia="宋体"/>
                <w:color w:val="auto"/>
                <w:kern w:val="0"/>
                <w:sz w:val="24"/>
                <w:szCs w:val="24"/>
              </w:rPr>
              <w:t>水</w:t>
            </w:r>
            <w:r>
              <w:rPr>
                <w:rFonts w:hint="eastAsia"/>
                <w:color w:val="auto"/>
                <w:kern w:val="0"/>
                <w:sz w:val="24"/>
                <w:szCs w:val="24"/>
                <w:lang w:val="en-US" w:eastAsia="zh-CN"/>
              </w:rPr>
              <w:t>损耗</w:t>
            </w:r>
            <w:r>
              <w:rPr>
                <w:rFonts w:hint="eastAsia" w:eastAsia="宋体"/>
                <w:color w:val="auto"/>
                <w:kern w:val="0"/>
                <w:sz w:val="24"/>
                <w:szCs w:val="24"/>
              </w:rPr>
              <w:t>量</w:t>
            </w:r>
            <w:r>
              <w:rPr>
                <w:rFonts w:hint="eastAsia" w:ascii="Times New Roman" w:eastAsia="宋体"/>
                <w:color w:val="auto"/>
                <w:kern w:val="0"/>
                <w:sz w:val="24"/>
                <w:szCs w:val="24"/>
                <w:lang w:val="en-US" w:eastAsia="zh-CN"/>
              </w:rPr>
              <w:t>约</w:t>
            </w:r>
            <w:r>
              <w:rPr>
                <w:rFonts w:hint="eastAsia" w:eastAsia="宋体"/>
                <w:color w:val="auto"/>
                <w:kern w:val="0"/>
                <w:sz w:val="24"/>
                <w:szCs w:val="24"/>
              </w:rPr>
              <w:t>为</w:t>
            </w:r>
            <w:r>
              <w:rPr>
                <w:rFonts w:hint="eastAsia"/>
                <w:color w:val="auto"/>
                <w:kern w:val="0"/>
                <w:sz w:val="24"/>
                <w:szCs w:val="24"/>
                <w:lang w:val="en-US" w:eastAsia="zh-CN"/>
              </w:rPr>
              <w:t>4.2</w:t>
            </w:r>
            <w:r>
              <w:rPr>
                <w:rFonts w:hint="eastAsia" w:eastAsia="宋体"/>
                <w:color w:val="auto"/>
                <w:kern w:val="0"/>
                <w:sz w:val="24"/>
                <w:szCs w:val="24"/>
              </w:rPr>
              <w:t>t</w:t>
            </w:r>
            <w:r>
              <w:rPr>
                <w:rFonts w:hint="eastAsia" w:eastAsia="宋体"/>
                <w:color w:val="auto"/>
                <w:kern w:val="0"/>
                <w:sz w:val="24"/>
                <w:szCs w:val="24"/>
                <w:lang w:val="en-US" w:eastAsia="zh-CN"/>
              </w:rPr>
              <w:t>/a</w:t>
            </w:r>
            <w:r>
              <w:rPr>
                <w:rFonts w:hint="eastAsia"/>
                <w:color w:val="auto"/>
                <w:kern w:val="0"/>
                <w:sz w:val="24"/>
                <w:szCs w:val="24"/>
                <w:lang w:val="en-US" w:eastAsia="zh-CN"/>
              </w:rPr>
              <w:t>，则年补水量为4.2t/a，年总计用水量为98.6t/a</w:t>
            </w:r>
            <w:r>
              <w:rPr>
                <w:rFonts w:hint="eastAsia" w:eastAsia="宋体"/>
                <w:color w:val="auto"/>
                <w:kern w:val="0"/>
                <w:sz w:val="24"/>
                <w:szCs w:val="24"/>
              </w:rPr>
              <w:t>。</w:t>
            </w:r>
          </w:p>
          <w:p w14:paraId="34B1DCE6">
            <w:pPr>
              <w:spacing w:line="360" w:lineRule="auto"/>
              <w:ind w:firstLine="482" w:firstLineChars="200"/>
              <w:rPr>
                <w:rFonts w:hint="eastAsia" w:cs="Times New Roman"/>
                <w:color w:val="auto"/>
                <w:sz w:val="24"/>
                <w:szCs w:val="24"/>
                <w:lang w:val="en-US" w:eastAsia="zh-CN"/>
              </w:rPr>
            </w:pPr>
            <w:r>
              <w:rPr>
                <w:rFonts w:hint="eastAsia" w:cs="Times New Roman"/>
                <w:b/>
                <w:bCs/>
                <w:color w:val="auto"/>
                <w:sz w:val="24"/>
                <w:szCs w:val="24"/>
                <w:lang w:val="en-US" w:eastAsia="zh-CN"/>
              </w:rPr>
              <w:t>清洗机2：</w:t>
            </w:r>
            <w:r>
              <w:rPr>
                <w:rFonts w:hint="eastAsia" w:cs="Times New Roman"/>
                <w:color w:val="auto"/>
                <w:sz w:val="24"/>
                <w:szCs w:val="24"/>
                <w:lang w:val="en-US" w:eastAsia="zh-CN"/>
              </w:rPr>
              <w:t>内部设置1个清洗室，1个漂洗室，槽体尺寸均为1.5*1.2*0.5m，容积均为0.9</w:t>
            </w:r>
            <w:r>
              <w:rPr>
                <w:rFonts w:hint="eastAsia"/>
                <w:color w:val="auto"/>
                <w:sz w:val="24"/>
                <w:szCs w:val="24"/>
                <w:lang w:val="en-US" w:eastAsia="zh-CN"/>
              </w:rPr>
              <w:t>m</w:t>
            </w:r>
            <w:r>
              <w:rPr>
                <w:rFonts w:hint="eastAsia"/>
                <w:color w:val="auto"/>
                <w:sz w:val="24"/>
                <w:szCs w:val="24"/>
                <w:vertAlign w:val="superscript"/>
                <w:lang w:val="en-US" w:eastAsia="zh-CN"/>
              </w:rPr>
              <w:t>3</w:t>
            </w:r>
            <w:r>
              <w:rPr>
                <w:rFonts w:hint="eastAsia"/>
                <w:color w:val="auto"/>
                <w:sz w:val="24"/>
                <w:szCs w:val="24"/>
                <w:lang w:val="en-US" w:eastAsia="zh-CN"/>
              </w:rPr>
              <w:t>，蓄水量</w:t>
            </w:r>
            <w:r>
              <w:rPr>
                <w:rFonts w:hint="eastAsia" w:cs="Times New Roman"/>
                <w:color w:val="auto"/>
                <w:sz w:val="24"/>
                <w:szCs w:val="24"/>
                <w:lang w:val="en-US" w:eastAsia="zh-CN"/>
              </w:rPr>
              <w:t>均</w:t>
            </w:r>
            <w:r>
              <w:rPr>
                <w:rFonts w:hint="eastAsia"/>
                <w:color w:val="auto"/>
                <w:sz w:val="24"/>
                <w:szCs w:val="24"/>
                <w:lang w:val="en-US" w:eastAsia="zh-CN"/>
              </w:rPr>
              <w:t>为0.6m</w:t>
            </w:r>
            <w:r>
              <w:rPr>
                <w:rFonts w:hint="eastAsia"/>
                <w:color w:val="auto"/>
                <w:sz w:val="24"/>
                <w:szCs w:val="24"/>
                <w:vertAlign w:val="superscript"/>
                <w:lang w:val="en-US" w:eastAsia="zh-CN"/>
              </w:rPr>
              <w:t>3</w:t>
            </w:r>
            <w:r>
              <w:rPr>
                <w:rFonts w:hint="eastAsia" w:cs="Times New Roman"/>
                <w:color w:val="auto"/>
                <w:sz w:val="24"/>
                <w:szCs w:val="24"/>
                <w:lang w:val="en-US" w:eastAsia="zh-CN"/>
              </w:rPr>
              <w:t>。清洗室是将清洗剂、防锈剂、自来水按照1:1：18的比例配制成清洗液，漂洗室仅使用自来水。</w:t>
            </w:r>
          </w:p>
          <w:p w14:paraId="307761E7">
            <w:pPr>
              <w:spacing w:line="360" w:lineRule="auto"/>
              <w:ind w:firstLine="480" w:firstLineChars="200"/>
              <w:rPr>
                <w:rFonts w:hint="default" w:eastAsia="宋体"/>
                <w:color w:val="auto"/>
                <w:sz w:val="24"/>
                <w:szCs w:val="24"/>
                <w:lang w:val="en-US" w:eastAsia="zh-CN"/>
              </w:rPr>
            </w:pPr>
            <w:r>
              <w:rPr>
                <w:rFonts w:hint="eastAsia" w:cs="Times New Roman"/>
                <w:color w:val="auto"/>
                <w:sz w:val="24"/>
                <w:szCs w:val="24"/>
                <w:lang w:val="en-US" w:eastAsia="zh-CN"/>
              </w:rPr>
              <w:t>清洗室：本项目清洗剂、防锈剂用量皆为0.3t/a，清洗液</w:t>
            </w:r>
            <w:r>
              <w:rPr>
                <w:rFonts w:hint="eastAsia"/>
                <w:color w:val="auto"/>
                <w:sz w:val="24"/>
                <w:szCs w:val="24"/>
                <w:lang w:val="en-US" w:eastAsia="zh-CN"/>
              </w:rPr>
              <w:t>调配用水量为5.4</w:t>
            </w:r>
            <w:r>
              <w:rPr>
                <w:rFonts w:hint="eastAsia" w:cs="Times New Roman"/>
                <w:color w:val="auto"/>
                <w:sz w:val="24"/>
                <w:szCs w:val="24"/>
                <w:lang w:val="en-US" w:eastAsia="zh-CN"/>
              </w:rPr>
              <w:t>t/a，则年使用清洗液6t/a。清洗液每2个月排入废水站，清洗室蓄水量为</w:t>
            </w:r>
            <w:r>
              <w:rPr>
                <w:rFonts w:hint="eastAsia"/>
                <w:color w:val="auto"/>
                <w:sz w:val="24"/>
                <w:szCs w:val="24"/>
                <w:lang w:val="en-US" w:eastAsia="zh-CN"/>
              </w:rPr>
              <w:t>0.6m</w:t>
            </w:r>
            <w:r>
              <w:rPr>
                <w:rFonts w:hint="eastAsia"/>
                <w:color w:val="auto"/>
                <w:sz w:val="24"/>
                <w:szCs w:val="24"/>
                <w:vertAlign w:val="superscript"/>
                <w:lang w:val="en-US" w:eastAsia="zh-CN"/>
              </w:rPr>
              <w:t>3</w:t>
            </w:r>
            <w:r>
              <w:rPr>
                <w:rFonts w:hint="eastAsia" w:cs="Times New Roman"/>
                <w:color w:val="auto"/>
                <w:sz w:val="24"/>
                <w:szCs w:val="24"/>
                <w:lang w:val="en-US" w:eastAsia="zh-CN"/>
              </w:rPr>
              <w:t>，则年产生废水3.6t/a，</w:t>
            </w:r>
            <w:r>
              <w:rPr>
                <w:rFonts w:hint="eastAsia"/>
                <w:color w:val="auto"/>
                <w:sz w:val="24"/>
                <w:szCs w:val="24"/>
                <w:lang w:val="en-US" w:eastAsia="zh-CN"/>
              </w:rPr>
              <w:t>经</w:t>
            </w:r>
            <w:r>
              <w:rPr>
                <w:rFonts w:hint="eastAsia" w:eastAsia="宋体"/>
                <w:color w:val="auto"/>
                <w:sz w:val="24"/>
                <w:szCs w:val="24"/>
                <w:lang w:val="en-US" w:eastAsia="zh-CN" w:bidi="ar-SA"/>
              </w:rPr>
              <w:t>预过滤+三相分离器+低温蒸发器+陶瓷膜过滤</w:t>
            </w:r>
            <w:r>
              <w:rPr>
                <w:rFonts w:hint="eastAsia"/>
                <w:color w:val="auto"/>
                <w:sz w:val="24"/>
                <w:szCs w:val="24"/>
                <w:lang w:val="en-US" w:eastAsia="zh-CN" w:bidi="ar-SA"/>
              </w:rPr>
              <w:t>后回用，浓液做危废处置</w:t>
            </w:r>
            <w:r>
              <w:rPr>
                <w:rFonts w:hint="eastAsia"/>
                <w:color w:val="auto"/>
                <w:sz w:val="24"/>
                <w:szCs w:val="24"/>
                <w:vertAlign w:val="baseline"/>
                <w:lang w:val="en-US" w:eastAsia="zh-CN"/>
              </w:rPr>
              <w:t>。</w:t>
            </w:r>
            <w:r>
              <w:rPr>
                <w:rFonts w:hint="eastAsia" w:cs="Times New Roman"/>
                <w:color w:val="auto"/>
                <w:sz w:val="24"/>
                <w:szCs w:val="24"/>
                <w:lang w:val="en-US" w:eastAsia="zh-CN"/>
              </w:rPr>
              <w:t>清洗室中清洗液循环使用，</w:t>
            </w:r>
            <w:r>
              <w:rPr>
                <w:rFonts w:hint="eastAsia"/>
                <w:color w:val="auto"/>
                <w:sz w:val="24"/>
                <w:szCs w:val="24"/>
                <w:lang w:val="en-US" w:eastAsia="zh-CN"/>
              </w:rPr>
              <w:t>定期补充，</w:t>
            </w:r>
            <w:r>
              <w:rPr>
                <w:rFonts w:hint="eastAsia" w:ascii="Times New Roman" w:eastAsia="宋体"/>
                <w:color w:val="auto"/>
                <w:kern w:val="0"/>
                <w:sz w:val="24"/>
                <w:szCs w:val="24"/>
                <w:lang w:val="en-US" w:eastAsia="zh-CN"/>
              </w:rPr>
              <w:t>年补充</w:t>
            </w:r>
            <w:r>
              <w:rPr>
                <w:rFonts w:hint="eastAsia" w:cs="Times New Roman"/>
                <w:color w:val="auto"/>
                <w:sz w:val="24"/>
                <w:szCs w:val="24"/>
                <w:lang w:val="en-US" w:eastAsia="zh-CN"/>
              </w:rPr>
              <w:t>清洗液</w:t>
            </w:r>
            <w:r>
              <w:rPr>
                <w:rFonts w:hint="eastAsia" w:ascii="Times New Roman" w:eastAsia="宋体"/>
                <w:color w:val="auto"/>
                <w:kern w:val="0"/>
                <w:sz w:val="24"/>
                <w:szCs w:val="24"/>
                <w:lang w:val="en-US" w:eastAsia="zh-CN"/>
              </w:rPr>
              <w:t>量约</w:t>
            </w:r>
            <w:r>
              <w:rPr>
                <w:rFonts w:hint="eastAsia" w:eastAsia="宋体"/>
                <w:color w:val="auto"/>
                <w:kern w:val="0"/>
                <w:sz w:val="24"/>
                <w:szCs w:val="24"/>
              </w:rPr>
              <w:t>为</w:t>
            </w:r>
            <w:r>
              <w:rPr>
                <w:rFonts w:hint="eastAsia"/>
                <w:color w:val="auto"/>
                <w:kern w:val="0"/>
                <w:sz w:val="24"/>
                <w:szCs w:val="24"/>
                <w:lang w:val="en-US" w:eastAsia="zh-CN"/>
              </w:rPr>
              <w:t>2.4</w:t>
            </w:r>
            <w:r>
              <w:rPr>
                <w:rFonts w:hint="eastAsia" w:eastAsia="宋体"/>
                <w:color w:val="auto"/>
                <w:kern w:val="0"/>
                <w:sz w:val="24"/>
                <w:szCs w:val="24"/>
              </w:rPr>
              <w:t>t</w:t>
            </w:r>
            <w:r>
              <w:rPr>
                <w:rFonts w:hint="eastAsia" w:eastAsia="宋体"/>
                <w:color w:val="auto"/>
                <w:kern w:val="0"/>
                <w:sz w:val="24"/>
                <w:szCs w:val="24"/>
                <w:lang w:val="en-US" w:eastAsia="zh-CN"/>
              </w:rPr>
              <w:t>/a</w:t>
            </w:r>
            <w:r>
              <w:rPr>
                <w:rFonts w:hint="eastAsia" w:eastAsia="宋体"/>
                <w:color w:val="auto"/>
                <w:kern w:val="0"/>
                <w:sz w:val="24"/>
                <w:szCs w:val="24"/>
              </w:rPr>
              <w:t>。</w:t>
            </w:r>
          </w:p>
          <w:p w14:paraId="0AE1C572">
            <w:pPr>
              <w:spacing w:line="360" w:lineRule="auto"/>
              <w:ind w:firstLine="480" w:firstLineChars="200"/>
              <w:rPr>
                <w:rFonts w:hint="eastAsia"/>
                <w:color w:val="auto"/>
                <w:sz w:val="24"/>
                <w:szCs w:val="24"/>
                <w:lang w:val="en-US" w:eastAsia="zh-CN"/>
              </w:rPr>
            </w:pPr>
            <w:r>
              <w:rPr>
                <w:rFonts w:hint="eastAsia" w:cs="Times New Roman"/>
                <w:color w:val="auto"/>
                <w:sz w:val="24"/>
                <w:szCs w:val="24"/>
                <w:lang w:val="en-US" w:eastAsia="zh-CN"/>
              </w:rPr>
              <w:t>漂洗室：</w:t>
            </w:r>
            <w:r>
              <w:rPr>
                <w:rFonts w:hint="eastAsia"/>
                <w:color w:val="auto"/>
                <w:sz w:val="24"/>
                <w:szCs w:val="24"/>
                <w:vertAlign w:val="baseline"/>
                <w:lang w:val="en-US" w:eastAsia="zh-CN"/>
              </w:rPr>
              <w:t>漂洗室</w:t>
            </w:r>
            <w:r>
              <w:rPr>
                <w:rFonts w:hint="eastAsia"/>
                <w:color w:val="auto"/>
                <w:sz w:val="24"/>
                <w:szCs w:val="24"/>
                <w:lang w:val="en-US" w:eastAsia="zh-CN"/>
              </w:rPr>
              <w:t>清洗水每3天排入废水站，漂洗室</w:t>
            </w:r>
            <w:r>
              <w:rPr>
                <w:rFonts w:hint="eastAsia" w:cs="Times New Roman"/>
                <w:color w:val="auto"/>
                <w:sz w:val="24"/>
                <w:szCs w:val="24"/>
                <w:lang w:val="en-US" w:eastAsia="zh-CN"/>
              </w:rPr>
              <w:t>蓄水量为</w:t>
            </w:r>
            <w:r>
              <w:rPr>
                <w:rFonts w:hint="eastAsia"/>
                <w:color w:val="auto"/>
                <w:sz w:val="24"/>
                <w:szCs w:val="24"/>
                <w:lang w:val="en-US" w:eastAsia="zh-CN"/>
              </w:rPr>
              <w:t>0.6m</w:t>
            </w:r>
            <w:r>
              <w:rPr>
                <w:rFonts w:hint="eastAsia"/>
                <w:color w:val="auto"/>
                <w:sz w:val="24"/>
                <w:szCs w:val="24"/>
                <w:vertAlign w:val="superscript"/>
                <w:lang w:val="en-US" w:eastAsia="zh-CN"/>
              </w:rPr>
              <w:t>3</w:t>
            </w:r>
            <w:r>
              <w:rPr>
                <w:rFonts w:hint="eastAsia" w:cs="Times New Roman"/>
                <w:color w:val="auto"/>
                <w:sz w:val="24"/>
                <w:szCs w:val="24"/>
                <w:lang w:val="en-US" w:eastAsia="zh-CN"/>
              </w:rPr>
              <w:t>，则年产生废水70.8t/a，</w:t>
            </w:r>
            <w:r>
              <w:rPr>
                <w:rFonts w:hint="eastAsia"/>
                <w:color w:val="auto"/>
                <w:sz w:val="24"/>
                <w:szCs w:val="24"/>
                <w:lang w:val="en-US" w:eastAsia="zh-CN"/>
              </w:rPr>
              <w:t>经</w:t>
            </w:r>
            <w:r>
              <w:rPr>
                <w:rFonts w:hint="eastAsia" w:eastAsia="宋体"/>
                <w:color w:val="auto"/>
                <w:sz w:val="24"/>
                <w:szCs w:val="24"/>
                <w:lang w:val="en-US" w:eastAsia="zh-CN" w:bidi="ar-SA"/>
              </w:rPr>
              <w:t>预过滤+三相分离器+低温蒸发器+陶瓷膜过滤</w:t>
            </w:r>
            <w:r>
              <w:rPr>
                <w:rFonts w:hint="eastAsia"/>
                <w:color w:val="auto"/>
                <w:sz w:val="24"/>
                <w:szCs w:val="24"/>
                <w:lang w:val="en-US" w:eastAsia="zh-CN" w:bidi="ar-SA"/>
              </w:rPr>
              <w:t>后回用，浓液做危废处置</w:t>
            </w:r>
            <w:r>
              <w:rPr>
                <w:rFonts w:hint="eastAsia"/>
                <w:color w:val="auto"/>
                <w:sz w:val="24"/>
                <w:szCs w:val="24"/>
                <w:vertAlign w:val="baseline"/>
                <w:lang w:val="en-US" w:eastAsia="zh-CN"/>
              </w:rPr>
              <w:t>。</w:t>
            </w:r>
            <w:r>
              <w:rPr>
                <w:rFonts w:hint="eastAsia" w:eastAsia="宋体"/>
                <w:color w:val="auto"/>
                <w:kern w:val="0"/>
                <w:sz w:val="24"/>
                <w:szCs w:val="24"/>
              </w:rPr>
              <w:t>由于蒸发损耗以及</w:t>
            </w:r>
            <w:r>
              <w:rPr>
                <w:rFonts w:hint="eastAsia" w:eastAsia="宋体"/>
                <w:color w:val="auto"/>
                <w:kern w:val="0"/>
                <w:sz w:val="24"/>
                <w:szCs w:val="24"/>
                <w:lang w:val="en-US" w:eastAsia="zh-CN"/>
              </w:rPr>
              <w:t>工件</w:t>
            </w:r>
            <w:r>
              <w:rPr>
                <w:rFonts w:hint="eastAsia" w:eastAsia="宋体"/>
                <w:color w:val="auto"/>
                <w:kern w:val="0"/>
                <w:sz w:val="24"/>
                <w:szCs w:val="24"/>
              </w:rPr>
              <w:t>带走水分等原因，需要定期补充循环水，</w:t>
            </w:r>
            <w:r>
              <w:rPr>
                <w:rFonts w:hint="eastAsia" w:ascii="Times New Roman" w:eastAsia="宋体"/>
                <w:color w:val="auto"/>
                <w:kern w:val="0"/>
                <w:sz w:val="24"/>
                <w:szCs w:val="24"/>
                <w:lang w:val="en-US" w:eastAsia="zh-CN"/>
              </w:rPr>
              <w:t>根据建设单位提供资料并类比同行业项目，</w:t>
            </w:r>
            <w:r>
              <w:rPr>
                <w:rFonts w:hint="eastAsia"/>
                <w:color w:val="auto"/>
                <w:kern w:val="0"/>
                <w:sz w:val="24"/>
                <w:szCs w:val="24"/>
                <w:lang w:val="en-US" w:eastAsia="zh-CN"/>
              </w:rPr>
              <w:t>清洗水</w:t>
            </w:r>
            <w:r>
              <w:rPr>
                <w:rFonts w:hint="eastAsia" w:eastAsia="宋体"/>
                <w:color w:val="auto"/>
                <w:kern w:val="0"/>
                <w:sz w:val="24"/>
                <w:szCs w:val="24"/>
              </w:rPr>
              <w:t>循环</w:t>
            </w:r>
            <w:r>
              <w:rPr>
                <w:rFonts w:hint="eastAsia"/>
                <w:color w:val="auto"/>
                <w:kern w:val="0"/>
                <w:sz w:val="24"/>
                <w:szCs w:val="24"/>
                <w:lang w:val="en-US" w:eastAsia="zh-CN"/>
              </w:rPr>
              <w:t>过程</w:t>
            </w:r>
            <w:r>
              <w:rPr>
                <w:rFonts w:hint="eastAsia" w:eastAsia="宋体"/>
                <w:color w:val="auto"/>
                <w:kern w:val="0"/>
                <w:sz w:val="24"/>
                <w:szCs w:val="24"/>
              </w:rPr>
              <w:t>水</w:t>
            </w:r>
            <w:r>
              <w:rPr>
                <w:rFonts w:hint="eastAsia"/>
                <w:color w:val="auto"/>
                <w:kern w:val="0"/>
                <w:sz w:val="24"/>
                <w:szCs w:val="24"/>
                <w:lang w:val="en-US" w:eastAsia="zh-CN"/>
              </w:rPr>
              <w:t>损耗</w:t>
            </w:r>
            <w:r>
              <w:rPr>
                <w:rFonts w:hint="eastAsia" w:eastAsia="宋体"/>
                <w:color w:val="auto"/>
                <w:kern w:val="0"/>
                <w:sz w:val="24"/>
                <w:szCs w:val="24"/>
              </w:rPr>
              <w:t>量</w:t>
            </w:r>
            <w:r>
              <w:rPr>
                <w:rFonts w:hint="eastAsia" w:ascii="Times New Roman" w:eastAsia="宋体"/>
                <w:color w:val="auto"/>
                <w:kern w:val="0"/>
                <w:sz w:val="24"/>
                <w:szCs w:val="24"/>
                <w:lang w:val="en-US" w:eastAsia="zh-CN"/>
              </w:rPr>
              <w:t>约</w:t>
            </w:r>
            <w:r>
              <w:rPr>
                <w:rFonts w:hint="eastAsia" w:eastAsia="宋体"/>
                <w:color w:val="auto"/>
                <w:kern w:val="0"/>
                <w:sz w:val="24"/>
                <w:szCs w:val="24"/>
              </w:rPr>
              <w:t>为</w:t>
            </w:r>
            <w:r>
              <w:rPr>
                <w:rFonts w:hint="eastAsia" w:eastAsia="宋体"/>
                <w:color w:val="auto"/>
                <w:kern w:val="0"/>
                <w:sz w:val="24"/>
                <w:szCs w:val="24"/>
                <w:lang w:val="en-US" w:eastAsia="zh-CN"/>
              </w:rPr>
              <w:t>3.2</w:t>
            </w:r>
            <w:r>
              <w:rPr>
                <w:rFonts w:hint="eastAsia" w:eastAsia="宋体"/>
                <w:color w:val="auto"/>
                <w:kern w:val="0"/>
                <w:sz w:val="24"/>
                <w:szCs w:val="24"/>
              </w:rPr>
              <w:t>t</w:t>
            </w:r>
            <w:r>
              <w:rPr>
                <w:rFonts w:hint="eastAsia" w:eastAsia="宋体"/>
                <w:color w:val="auto"/>
                <w:kern w:val="0"/>
                <w:sz w:val="24"/>
                <w:szCs w:val="24"/>
                <w:lang w:val="en-US" w:eastAsia="zh-CN"/>
              </w:rPr>
              <w:t>/a</w:t>
            </w:r>
            <w:r>
              <w:rPr>
                <w:rFonts w:hint="eastAsia"/>
                <w:color w:val="auto"/>
                <w:kern w:val="0"/>
                <w:sz w:val="24"/>
                <w:szCs w:val="24"/>
                <w:lang w:val="en-US" w:eastAsia="zh-CN"/>
              </w:rPr>
              <w:t>，年总计用水量为74t/a</w:t>
            </w:r>
            <w:r>
              <w:rPr>
                <w:rFonts w:hint="eastAsia" w:eastAsia="宋体"/>
                <w:color w:val="auto"/>
                <w:kern w:val="0"/>
                <w:sz w:val="24"/>
                <w:szCs w:val="24"/>
              </w:rPr>
              <w:t>。</w:t>
            </w:r>
          </w:p>
          <w:p w14:paraId="16B2D662">
            <w:pPr>
              <w:spacing w:line="360" w:lineRule="auto"/>
              <w:ind w:firstLine="480" w:firstLineChars="200"/>
              <w:rPr>
                <w:rFonts w:hint="default" w:ascii="Times New Roman" w:hAnsi="Times New Roman" w:eastAsia="宋体" w:cs="Times New Roman"/>
                <w:color w:val="auto"/>
                <w:sz w:val="24"/>
                <w:szCs w:val="24"/>
                <w:lang w:val="en-US" w:eastAsia="zh-CN" w:bidi="ar-SA"/>
              </w:rPr>
            </w:pPr>
            <w:r>
              <w:rPr>
                <w:rFonts w:hint="eastAsia" w:cs="Times New Roman"/>
                <w:color w:val="auto"/>
                <w:sz w:val="24"/>
                <w:szCs w:val="24"/>
                <w:lang w:val="en-US" w:eastAsia="zh-CN" w:bidi="ar-SA"/>
              </w:rPr>
              <w:t>综上，清洗工序年用水量合计为178</w:t>
            </w:r>
            <w:r>
              <w:rPr>
                <w:rFonts w:hint="eastAsia" w:eastAsia="宋体"/>
                <w:color w:val="auto"/>
                <w:kern w:val="0"/>
                <w:sz w:val="24"/>
                <w:szCs w:val="24"/>
              </w:rPr>
              <w:t>t</w:t>
            </w:r>
            <w:r>
              <w:rPr>
                <w:rFonts w:hint="eastAsia" w:eastAsia="宋体"/>
                <w:color w:val="auto"/>
                <w:kern w:val="0"/>
                <w:sz w:val="24"/>
                <w:szCs w:val="24"/>
                <w:lang w:val="en-US" w:eastAsia="zh-CN"/>
              </w:rPr>
              <w:t>/a</w:t>
            </w:r>
            <w:r>
              <w:rPr>
                <w:rFonts w:hint="eastAsia" w:cs="Times New Roman"/>
                <w:color w:val="auto"/>
                <w:sz w:val="24"/>
                <w:szCs w:val="24"/>
                <w:lang w:val="en-US" w:eastAsia="zh-CN" w:bidi="ar-SA"/>
              </w:rPr>
              <w:t>，</w:t>
            </w:r>
            <w:r>
              <w:rPr>
                <w:rFonts w:hint="eastAsia" w:eastAsia="宋体"/>
                <w:color w:val="auto"/>
                <w:kern w:val="0"/>
                <w:sz w:val="24"/>
                <w:szCs w:val="24"/>
                <w:lang w:val="en-US" w:eastAsia="zh-CN"/>
              </w:rPr>
              <w:t>清洗废水进入废水处理设施量为168.8</w:t>
            </w:r>
            <w:r>
              <w:rPr>
                <w:rFonts w:hint="eastAsia" w:eastAsia="宋体"/>
                <w:color w:val="auto"/>
                <w:kern w:val="0"/>
                <w:sz w:val="24"/>
                <w:szCs w:val="24"/>
              </w:rPr>
              <w:t>t</w:t>
            </w:r>
            <w:r>
              <w:rPr>
                <w:rFonts w:hint="eastAsia" w:eastAsia="宋体"/>
                <w:color w:val="auto"/>
                <w:kern w:val="0"/>
                <w:sz w:val="24"/>
                <w:szCs w:val="24"/>
                <w:lang w:val="en-US" w:eastAsia="zh-CN"/>
              </w:rPr>
              <w:t>/a，</w:t>
            </w:r>
            <w:r>
              <w:rPr>
                <w:rFonts w:hint="eastAsia" w:ascii="Times New Roman" w:eastAsia="宋体"/>
                <w:color w:val="auto"/>
                <w:kern w:val="0"/>
                <w:sz w:val="24"/>
                <w:szCs w:val="24"/>
                <w:lang w:val="en-US" w:eastAsia="zh-CN"/>
              </w:rPr>
              <w:t>根据建设单位提供资料，废水处理</w:t>
            </w:r>
            <w:r>
              <w:rPr>
                <w:rFonts w:hint="eastAsia" w:eastAsia="宋体"/>
                <w:color w:val="auto"/>
                <w:kern w:val="0"/>
                <w:sz w:val="24"/>
                <w:szCs w:val="24"/>
                <w:lang w:val="en-US" w:eastAsia="zh-CN"/>
              </w:rPr>
              <w:t>过程浓液产生量约为废水处理量的</w:t>
            </w:r>
            <w:r>
              <w:rPr>
                <w:rFonts w:hint="eastAsia"/>
                <w:color w:val="auto"/>
                <w:kern w:val="0"/>
                <w:sz w:val="24"/>
                <w:szCs w:val="24"/>
                <w:lang w:val="en-US" w:eastAsia="zh-CN"/>
              </w:rPr>
              <w:t>5</w:t>
            </w:r>
            <w:r>
              <w:rPr>
                <w:rFonts w:hint="eastAsia" w:eastAsia="宋体"/>
                <w:color w:val="auto"/>
                <w:kern w:val="0"/>
                <w:sz w:val="24"/>
                <w:szCs w:val="24"/>
                <w:lang w:val="en-US" w:eastAsia="zh-CN"/>
              </w:rPr>
              <w:t>%，则浓液产生量约为</w:t>
            </w:r>
            <w:r>
              <w:rPr>
                <w:rFonts w:hint="eastAsia"/>
                <w:color w:val="auto"/>
                <w:kern w:val="0"/>
                <w:sz w:val="24"/>
                <w:szCs w:val="24"/>
                <w:lang w:val="en-US" w:eastAsia="zh-CN"/>
              </w:rPr>
              <w:t>8.44</w:t>
            </w:r>
            <w:r>
              <w:rPr>
                <w:rFonts w:hint="eastAsia" w:eastAsia="宋体"/>
                <w:color w:val="auto"/>
                <w:kern w:val="0"/>
                <w:sz w:val="24"/>
                <w:szCs w:val="24"/>
              </w:rPr>
              <w:t>t</w:t>
            </w:r>
            <w:r>
              <w:rPr>
                <w:rFonts w:hint="eastAsia" w:eastAsia="宋体"/>
                <w:color w:val="auto"/>
                <w:kern w:val="0"/>
                <w:sz w:val="24"/>
                <w:szCs w:val="24"/>
                <w:lang w:val="en-US" w:eastAsia="zh-CN"/>
              </w:rPr>
              <w:t>/a，处理后的回用水量为</w:t>
            </w:r>
            <w:r>
              <w:rPr>
                <w:rFonts w:hint="eastAsia"/>
                <w:color w:val="auto"/>
                <w:kern w:val="0"/>
                <w:sz w:val="24"/>
                <w:szCs w:val="24"/>
                <w:lang w:val="en-US" w:eastAsia="zh-CN"/>
              </w:rPr>
              <w:t>160.36</w:t>
            </w:r>
            <w:r>
              <w:rPr>
                <w:rFonts w:hint="eastAsia" w:eastAsia="宋体"/>
                <w:color w:val="auto"/>
                <w:kern w:val="0"/>
                <w:sz w:val="24"/>
                <w:szCs w:val="24"/>
              </w:rPr>
              <w:t>t</w:t>
            </w:r>
            <w:r>
              <w:rPr>
                <w:rFonts w:hint="eastAsia" w:eastAsia="宋体"/>
                <w:color w:val="auto"/>
                <w:kern w:val="0"/>
                <w:sz w:val="24"/>
                <w:szCs w:val="24"/>
                <w:lang w:val="en-US" w:eastAsia="zh-CN"/>
              </w:rPr>
              <w:t>/a</w:t>
            </w:r>
            <w:r>
              <w:rPr>
                <w:rFonts w:hint="eastAsia"/>
                <w:color w:val="auto"/>
                <w:kern w:val="0"/>
                <w:sz w:val="24"/>
                <w:szCs w:val="24"/>
                <w:lang w:val="en-US" w:eastAsia="zh-CN"/>
              </w:rPr>
              <w:t>，清洗</w:t>
            </w:r>
            <w:r>
              <w:rPr>
                <w:rFonts w:hint="eastAsia" w:cs="Times New Roman"/>
                <w:b w:val="0"/>
                <w:bCs w:val="0"/>
                <w:color w:val="auto"/>
                <w:kern w:val="0"/>
                <w:sz w:val="24"/>
                <w:szCs w:val="24"/>
                <w:lang w:val="en-US" w:eastAsia="zh-CN" w:bidi="ar"/>
              </w:rPr>
              <w:t>废水主要污染物及浓度为：pH6~9、COD 600mg/L、SS 500mg/L、TDS 500mg/L、石油类300mg/L。</w:t>
            </w:r>
          </w:p>
          <w:p w14:paraId="56D36347">
            <w:pPr>
              <w:spacing w:line="360" w:lineRule="auto"/>
              <w:ind w:firstLine="480" w:firstLineChars="200"/>
              <w:rPr>
                <w:color w:val="auto"/>
                <w:sz w:val="24"/>
                <w:szCs w:val="24"/>
              </w:rPr>
            </w:pPr>
            <w:r>
              <w:rPr>
                <w:color w:val="auto"/>
                <w:sz w:val="24"/>
                <w:szCs w:val="24"/>
              </w:rPr>
              <w:t>本项目主要水污染物产生及排放情况见下表。</w:t>
            </w:r>
          </w:p>
          <w:p w14:paraId="57F017FB">
            <w:pPr>
              <w:ind w:left="425" w:hanging="425"/>
              <w:jc w:val="center"/>
              <w:rPr>
                <w:rFonts w:hint="default" w:ascii="Times New Roman" w:hAnsi="Times New Roman" w:eastAsia="宋体" w:cs="Times New Roman"/>
                <w:b/>
                <w:bCs/>
                <w:color w:val="auto"/>
                <w:sz w:val="24"/>
                <w:szCs w:val="24"/>
                <w:lang w:bidi="ar-SA"/>
              </w:rPr>
            </w:pPr>
            <w:r>
              <w:rPr>
                <w:rFonts w:hint="default" w:ascii="Times New Roman" w:hAnsi="Times New Roman" w:eastAsia="宋体" w:cs="Times New Roman"/>
                <w:b/>
                <w:bCs/>
                <w:color w:val="auto"/>
                <w:sz w:val="24"/>
                <w:szCs w:val="24"/>
                <w:lang w:bidi="ar-SA"/>
              </w:rPr>
              <w:t>表4-</w:t>
            </w:r>
            <w:r>
              <w:rPr>
                <w:rFonts w:hint="eastAsia" w:cs="Times New Roman"/>
                <w:b/>
                <w:bCs/>
                <w:color w:val="auto"/>
                <w:sz w:val="24"/>
                <w:szCs w:val="24"/>
                <w:lang w:val="en-US" w:eastAsia="zh-CN" w:bidi="ar-SA"/>
              </w:rPr>
              <w:t>10</w:t>
            </w:r>
            <w:r>
              <w:rPr>
                <w:rFonts w:hint="eastAsia" w:ascii="Times New Roman" w:hAnsi="Times New Roman" w:eastAsia="宋体" w:cs="Times New Roman"/>
                <w:b/>
                <w:bCs/>
                <w:color w:val="auto"/>
                <w:sz w:val="24"/>
                <w:szCs w:val="24"/>
                <w:lang w:val="en-US" w:eastAsia="zh-CN" w:bidi="ar-SA"/>
              </w:rPr>
              <w:t xml:space="preserve"> </w:t>
            </w:r>
            <w:r>
              <w:rPr>
                <w:rFonts w:hint="eastAsia" w:cs="Times New Roman"/>
                <w:b/>
                <w:bCs/>
                <w:color w:val="auto"/>
                <w:sz w:val="24"/>
                <w:szCs w:val="24"/>
                <w:lang w:val="en-US" w:eastAsia="zh-CN" w:bidi="ar-SA"/>
              </w:rPr>
              <w:t>扩建</w:t>
            </w:r>
            <w:r>
              <w:rPr>
                <w:rFonts w:hint="default" w:ascii="Times New Roman" w:hAnsi="Times New Roman" w:eastAsia="宋体" w:cs="Times New Roman"/>
                <w:b/>
                <w:bCs/>
                <w:color w:val="auto"/>
                <w:sz w:val="24"/>
                <w:szCs w:val="24"/>
                <w:lang w:bidi="ar-SA"/>
              </w:rPr>
              <w:t>项目主要水污染物排放情况</w:t>
            </w:r>
          </w:p>
          <w:tbl>
            <w:tblPr>
              <w:tblStyle w:val="26"/>
              <w:tblW w:w="4998"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28" w:type="dxa"/>
                <w:bottom w:w="0" w:type="dxa"/>
                <w:right w:w="28" w:type="dxa"/>
              </w:tblCellMar>
            </w:tblPr>
            <w:tblGrid>
              <w:gridCol w:w="344"/>
              <w:gridCol w:w="641"/>
              <w:gridCol w:w="878"/>
              <w:gridCol w:w="823"/>
              <w:gridCol w:w="689"/>
              <w:gridCol w:w="639"/>
              <w:gridCol w:w="868"/>
              <w:gridCol w:w="878"/>
              <w:gridCol w:w="665"/>
              <w:gridCol w:w="1733"/>
            </w:tblGrid>
            <w:tr w14:paraId="789CA56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23" w:hRule="atLeast"/>
              </w:trPr>
              <w:tc>
                <w:tcPr>
                  <w:tcW w:w="210" w:type="pct"/>
                  <w:vMerge w:val="restart"/>
                  <w:noWrap w:val="0"/>
                  <w:vAlign w:val="center"/>
                </w:tcPr>
                <w:p w14:paraId="028A012F">
                  <w:pPr>
                    <w:widowControl/>
                    <w:adjustRightInd w:val="0"/>
                    <w:snapToGrid w:val="0"/>
                    <w:spacing w:line="240" w:lineRule="atLeast"/>
                    <w:jc w:val="center"/>
                    <w:textAlignment w:val="baseline"/>
                    <w:rPr>
                      <w:rFonts w:hint="default" w:ascii="Times New Roman" w:hAnsi="Times New Roman" w:eastAsia="宋体" w:cs="Times New Roman"/>
                      <w:b/>
                      <w:color w:val="auto"/>
                      <w:spacing w:val="4"/>
                      <w:kern w:val="0"/>
                      <w:sz w:val="21"/>
                      <w:szCs w:val="21"/>
                      <w:lang w:bidi="ar-SA"/>
                    </w:rPr>
                  </w:pPr>
                  <w:r>
                    <w:rPr>
                      <w:rFonts w:hint="default" w:ascii="Times New Roman" w:hAnsi="Times New Roman" w:eastAsia="宋体" w:cs="Times New Roman"/>
                      <w:b/>
                      <w:color w:val="auto"/>
                      <w:spacing w:val="4"/>
                      <w:kern w:val="0"/>
                      <w:sz w:val="21"/>
                      <w:szCs w:val="21"/>
                      <w:lang w:bidi="ar"/>
                    </w:rPr>
                    <w:t>类别</w:t>
                  </w:r>
                </w:p>
              </w:tc>
              <w:tc>
                <w:tcPr>
                  <w:tcW w:w="392" w:type="pct"/>
                  <w:vMerge w:val="restart"/>
                  <w:noWrap w:val="0"/>
                  <w:vAlign w:val="center"/>
                </w:tcPr>
                <w:p w14:paraId="47FF23E4">
                  <w:pPr>
                    <w:widowControl/>
                    <w:adjustRightInd w:val="0"/>
                    <w:snapToGrid w:val="0"/>
                    <w:spacing w:line="240" w:lineRule="atLeast"/>
                    <w:jc w:val="center"/>
                    <w:textAlignment w:val="baseline"/>
                    <w:rPr>
                      <w:rFonts w:hint="default" w:ascii="Times New Roman" w:hAnsi="Times New Roman" w:eastAsia="宋体" w:cs="Times New Roman"/>
                      <w:b/>
                      <w:color w:val="auto"/>
                      <w:spacing w:val="4"/>
                      <w:kern w:val="0"/>
                      <w:sz w:val="21"/>
                      <w:szCs w:val="21"/>
                      <w:lang w:bidi="ar-SA"/>
                    </w:rPr>
                  </w:pPr>
                  <w:r>
                    <w:rPr>
                      <w:rFonts w:hint="default" w:ascii="Times New Roman" w:hAnsi="Times New Roman" w:eastAsia="宋体" w:cs="Times New Roman"/>
                      <w:b/>
                      <w:color w:val="auto"/>
                      <w:spacing w:val="4"/>
                      <w:kern w:val="0"/>
                      <w:sz w:val="21"/>
                      <w:szCs w:val="21"/>
                      <w:lang w:bidi="ar"/>
                    </w:rPr>
                    <w:t>废水量t/a</w:t>
                  </w:r>
                </w:p>
              </w:tc>
              <w:tc>
                <w:tcPr>
                  <w:tcW w:w="538" w:type="pct"/>
                  <w:vMerge w:val="restart"/>
                  <w:noWrap w:val="0"/>
                  <w:vAlign w:val="center"/>
                </w:tcPr>
                <w:p w14:paraId="2D7CCD49">
                  <w:pPr>
                    <w:widowControl/>
                    <w:adjustRightInd w:val="0"/>
                    <w:snapToGrid w:val="0"/>
                    <w:spacing w:line="240" w:lineRule="atLeast"/>
                    <w:jc w:val="center"/>
                    <w:textAlignment w:val="baseline"/>
                    <w:rPr>
                      <w:rFonts w:hint="default" w:ascii="Times New Roman" w:hAnsi="Times New Roman" w:eastAsia="宋体" w:cs="Times New Roman"/>
                      <w:b/>
                      <w:color w:val="auto"/>
                      <w:spacing w:val="4"/>
                      <w:kern w:val="0"/>
                      <w:sz w:val="21"/>
                      <w:szCs w:val="21"/>
                      <w:lang w:bidi="ar-SA"/>
                    </w:rPr>
                  </w:pPr>
                  <w:r>
                    <w:rPr>
                      <w:rFonts w:hint="default" w:ascii="Times New Roman" w:hAnsi="Times New Roman" w:eastAsia="宋体" w:cs="Times New Roman"/>
                      <w:b/>
                      <w:color w:val="auto"/>
                      <w:spacing w:val="4"/>
                      <w:kern w:val="0"/>
                      <w:sz w:val="21"/>
                      <w:szCs w:val="21"/>
                      <w:lang w:bidi="ar"/>
                    </w:rPr>
                    <w:t>污染物名称</w:t>
                  </w:r>
                </w:p>
              </w:tc>
              <w:tc>
                <w:tcPr>
                  <w:tcW w:w="926" w:type="pct"/>
                  <w:gridSpan w:val="2"/>
                  <w:noWrap w:val="0"/>
                  <w:vAlign w:val="center"/>
                </w:tcPr>
                <w:p w14:paraId="1472A726">
                  <w:pPr>
                    <w:widowControl/>
                    <w:adjustRightInd w:val="0"/>
                    <w:snapToGrid w:val="0"/>
                    <w:spacing w:line="240" w:lineRule="atLeast"/>
                    <w:jc w:val="center"/>
                    <w:textAlignment w:val="baseline"/>
                    <w:rPr>
                      <w:rFonts w:hint="default" w:ascii="Times New Roman" w:hAnsi="Times New Roman" w:eastAsia="宋体" w:cs="Times New Roman"/>
                      <w:b/>
                      <w:color w:val="auto"/>
                      <w:spacing w:val="4"/>
                      <w:kern w:val="0"/>
                      <w:sz w:val="21"/>
                      <w:szCs w:val="21"/>
                      <w:lang w:bidi="ar-SA"/>
                    </w:rPr>
                  </w:pPr>
                  <w:r>
                    <w:rPr>
                      <w:rFonts w:hint="default" w:ascii="Times New Roman" w:hAnsi="Times New Roman" w:eastAsia="宋体" w:cs="Times New Roman"/>
                      <w:b/>
                      <w:color w:val="auto"/>
                      <w:spacing w:val="4"/>
                      <w:kern w:val="0"/>
                      <w:sz w:val="21"/>
                      <w:szCs w:val="21"/>
                      <w:lang w:bidi="ar"/>
                    </w:rPr>
                    <w:t>产生情况</w:t>
                  </w:r>
                </w:p>
              </w:tc>
              <w:tc>
                <w:tcPr>
                  <w:tcW w:w="391" w:type="pct"/>
                  <w:vMerge w:val="restart"/>
                  <w:noWrap w:val="0"/>
                  <w:vAlign w:val="center"/>
                </w:tcPr>
                <w:p w14:paraId="73B9989D">
                  <w:pPr>
                    <w:widowControl/>
                    <w:adjustRightInd w:val="0"/>
                    <w:snapToGrid w:val="0"/>
                    <w:spacing w:line="240" w:lineRule="atLeast"/>
                    <w:jc w:val="center"/>
                    <w:textAlignment w:val="baseline"/>
                    <w:rPr>
                      <w:rFonts w:hint="default" w:ascii="Times New Roman" w:hAnsi="Times New Roman" w:eastAsia="宋体" w:cs="Times New Roman"/>
                      <w:b/>
                      <w:color w:val="auto"/>
                      <w:spacing w:val="4"/>
                      <w:kern w:val="0"/>
                      <w:sz w:val="21"/>
                      <w:szCs w:val="21"/>
                      <w:lang w:bidi="ar-SA"/>
                    </w:rPr>
                  </w:pPr>
                  <w:r>
                    <w:rPr>
                      <w:rFonts w:hint="default" w:ascii="Times New Roman" w:hAnsi="Times New Roman" w:eastAsia="宋体" w:cs="Times New Roman"/>
                      <w:b/>
                      <w:color w:val="auto"/>
                      <w:spacing w:val="4"/>
                      <w:kern w:val="0"/>
                      <w:sz w:val="21"/>
                      <w:szCs w:val="21"/>
                      <w:lang w:bidi="ar"/>
                    </w:rPr>
                    <w:t>治理措施</w:t>
                  </w:r>
                </w:p>
              </w:tc>
              <w:tc>
                <w:tcPr>
                  <w:tcW w:w="1477" w:type="pct"/>
                  <w:gridSpan w:val="3"/>
                  <w:noWrap w:val="0"/>
                  <w:vAlign w:val="center"/>
                </w:tcPr>
                <w:p w14:paraId="272D1227">
                  <w:pPr>
                    <w:widowControl/>
                    <w:adjustRightInd w:val="0"/>
                    <w:snapToGrid w:val="0"/>
                    <w:spacing w:line="240" w:lineRule="atLeast"/>
                    <w:jc w:val="center"/>
                    <w:textAlignment w:val="baseline"/>
                    <w:rPr>
                      <w:rFonts w:hint="default" w:ascii="Times New Roman" w:hAnsi="Times New Roman" w:eastAsia="宋体" w:cs="Times New Roman"/>
                      <w:b/>
                      <w:color w:val="auto"/>
                      <w:spacing w:val="4"/>
                      <w:kern w:val="0"/>
                      <w:sz w:val="21"/>
                      <w:szCs w:val="21"/>
                      <w:lang w:bidi="ar-SA"/>
                    </w:rPr>
                  </w:pPr>
                  <w:r>
                    <w:rPr>
                      <w:rFonts w:hint="default" w:ascii="Times New Roman" w:hAnsi="Times New Roman" w:eastAsia="宋体" w:cs="Times New Roman"/>
                      <w:b/>
                      <w:color w:val="auto"/>
                      <w:spacing w:val="4"/>
                      <w:kern w:val="0"/>
                      <w:sz w:val="21"/>
                      <w:szCs w:val="21"/>
                      <w:lang w:bidi="ar"/>
                    </w:rPr>
                    <w:t>污染物排放量</w:t>
                  </w:r>
                </w:p>
              </w:tc>
              <w:tc>
                <w:tcPr>
                  <w:tcW w:w="1062" w:type="pct"/>
                  <w:vMerge w:val="restart"/>
                  <w:noWrap w:val="0"/>
                  <w:vAlign w:val="center"/>
                </w:tcPr>
                <w:p w14:paraId="54D30EFA">
                  <w:pPr>
                    <w:widowControl/>
                    <w:adjustRightInd w:val="0"/>
                    <w:snapToGrid w:val="0"/>
                    <w:spacing w:line="240" w:lineRule="atLeast"/>
                    <w:jc w:val="center"/>
                    <w:textAlignment w:val="baseline"/>
                    <w:rPr>
                      <w:rFonts w:hint="default" w:ascii="Times New Roman" w:hAnsi="Times New Roman" w:eastAsia="宋体" w:cs="Times New Roman"/>
                      <w:b/>
                      <w:color w:val="auto"/>
                      <w:spacing w:val="4"/>
                      <w:kern w:val="0"/>
                      <w:sz w:val="21"/>
                      <w:szCs w:val="21"/>
                      <w:lang w:bidi="ar-SA"/>
                    </w:rPr>
                  </w:pPr>
                  <w:r>
                    <w:rPr>
                      <w:rFonts w:hint="default" w:ascii="Times New Roman" w:hAnsi="Times New Roman" w:eastAsia="宋体" w:cs="Times New Roman"/>
                      <w:b/>
                      <w:color w:val="auto"/>
                      <w:spacing w:val="4"/>
                      <w:kern w:val="0"/>
                      <w:sz w:val="21"/>
                      <w:szCs w:val="21"/>
                      <w:lang w:bidi="ar"/>
                    </w:rPr>
                    <w:t>排放方式与去向</w:t>
                  </w:r>
                </w:p>
              </w:tc>
            </w:tr>
            <w:tr w14:paraId="42C500B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23" w:hRule="atLeast"/>
              </w:trPr>
              <w:tc>
                <w:tcPr>
                  <w:tcW w:w="210" w:type="pct"/>
                  <w:vMerge w:val="continue"/>
                  <w:noWrap w:val="0"/>
                  <w:vAlign w:val="center"/>
                </w:tcPr>
                <w:p w14:paraId="510E6341">
                  <w:pPr>
                    <w:jc w:val="center"/>
                    <w:rPr>
                      <w:rFonts w:hint="default" w:ascii="Times New Roman" w:hAnsi="Times New Roman" w:eastAsia="宋体" w:cs="Times New Roman"/>
                      <w:color w:val="auto"/>
                      <w:sz w:val="21"/>
                      <w:szCs w:val="21"/>
                      <w:lang w:bidi="ar-SA"/>
                    </w:rPr>
                  </w:pPr>
                </w:p>
              </w:tc>
              <w:tc>
                <w:tcPr>
                  <w:tcW w:w="392" w:type="pct"/>
                  <w:vMerge w:val="continue"/>
                  <w:noWrap w:val="0"/>
                  <w:vAlign w:val="center"/>
                </w:tcPr>
                <w:p w14:paraId="37C71413">
                  <w:pPr>
                    <w:jc w:val="center"/>
                    <w:rPr>
                      <w:rFonts w:hint="default" w:ascii="Times New Roman" w:hAnsi="Times New Roman" w:eastAsia="宋体" w:cs="Times New Roman"/>
                      <w:color w:val="auto"/>
                      <w:sz w:val="21"/>
                      <w:szCs w:val="21"/>
                      <w:lang w:bidi="ar-SA"/>
                    </w:rPr>
                  </w:pPr>
                </w:p>
              </w:tc>
              <w:tc>
                <w:tcPr>
                  <w:tcW w:w="538" w:type="pct"/>
                  <w:vMerge w:val="continue"/>
                  <w:noWrap w:val="0"/>
                  <w:vAlign w:val="center"/>
                </w:tcPr>
                <w:p w14:paraId="13AA8957">
                  <w:pPr>
                    <w:jc w:val="center"/>
                    <w:rPr>
                      <w:rFonts w:hint="default" w:ascii="Times New Roman" w:hAnsi="Times New Roman" w:eastAsia="宋体" w:cs="Times New Roman"/>
                      <w:color w:val="auto"/>
                      <w:sz w:val="21"/>
                      <w:szCs w:val="21"/>
                      <w:lang w:bidi="ar-SA"/>
                    </w:rPr>
                  </w:pPr>
                </w:p>
              </w:tc>
              <w:tc>
                <w:tcPr>
                  <w:tcW w:w="504" w:type="pct"/>
                  <w:noWrap w:val="0"/>
                  <w:vAlign w:val="center"/>
                </w:tcPr>
                <w:p w14:paraId="497A9A57">
                  <w:pPr>
                    <w:widowControl/>
                    <w:adjustRightInd w:val="0"/>
                    <w:snapToGrid w:val="0"/>
                    <w:spacing w:line="240" w:lineRule="atLeast"/>
                    <w:jc w:val="center"/>
                    <w:textAlignment w:val="baseline"/>
                    <w:rPr>
                      <w:rFonts w:hint="default" w:ascii="Times New Roman" w:hAnsi="Times New Roman" w:eastAsia="宋体" w:cs="Times New Roman"/>
                      <w:b/>
                      <w:color w:val="auto"/>
                      <w:spacing w:val="4"/>
                      <w:kern w:val="0"/>
                      <w:sz w:val="21"/>
                      <w:szCs w:val="21"/>
                      <w:lang w:bidi="ar-SA"/>
                    </w:rPr>
                  </w:pPr>
                  <w:r>
                    <w:rPr>
                      <w:rFonts w:hint="default" w:ascii="Times New Roman" w:hAnsi="Times New Roman" w:eastAsia="宋体" w:cs="Times New Roman"/>
                      <w:b/>
                      <w:color w:val="auto"/>
                      <w:spacing w:val="4"/>
                      <w:kern w:val="0"/>
                      <w:sz w:val="21"/>
                      <w:szCs w:val="21"/>
                      <w:lang w:bidi="ar"/>
                    </w:rPr>
                    <w:t>产生浓度mg/L</w:t>
                  </w:r>
                </w:p>
              </w:tc>
              <w:tc>
                <w:tcPr>
                  <w:tcW w:w="422" w:type="pct"/>
                  <w:noWrap w:val="0"/>
                  <w:vAlign w:val="center"/>
                </w:tcPr>
                <w:p w14:paraId="49FE072D">
                  <w:pPr>
                    <w:widowControl/>
                    <w:adjustRightInd w:val="0"/>
                    <w:snapToGrid w:val="0"/>
                    <w:spacing w:line="240" w:lineRule="atLeast"/>
                    <w:jc w:val="center"/>
                    <w:textAlignment w:val="baseline"/>
                    <w:rPr>
                      <w:rFonts w:hint="default" w:ascii="Times New Roman" w:hAnsi="Times New Roman" w:eastAsia="宋体" w:cs="Times New Roman"/>
                      <w:b/>
                      <w:color w:val="auto"/>
                      <w:spacing w:val="4"/>
                      <w:kern w:val="0"/>
                      <w:sz w:val="21"/>
                      <w:szCs w:val="21"/>
                      <w:lang w:bidi="ar-SA"/>
                    </w:rPr>
                  </w:pPr>
                  <w:r>
                    <w:rPr>
                      <w:rFonts w:hint="default" w:ascii="Times New Roman" w:hAnsi="Times New Roman" w:eastAsia="宋体" w:cs="Times New Roman"/>
                      <w:b/>
                      <w:color w:val="auto"/>
                      <w:spacing w:val="4"/>
                      <w:kern w:val="0"/>
                      <w:sz w:val="21"/>
                      <w:szCs w:val="21"/>
                      <w:lang w:bidi="ar"/>
                    </w:rPr>
                    <w:t>产生量t/a</w:t>
                  </w:r>
                </w:p>
              </w:tc>
              <w:tc>
                <w:tcPr>
                  <w:tcW w:w="391" w:type="pct"/>
                  <w:vMerge w:val="continue"/>
                  <w:noWrap w:val="0"/>
                  <w:vAlign w:val="center"/>
                </w:tcPr>
                <w:p w14:paraId="171F6F38">
                  <w:pPr>
                    <w:jc w:val="center"/>
                    <w:rPr>
                      <w:rFonts w:hint="default" w:ascii="Times New Roman" w:hAnsi="Times New Roman" w:eastAsia="宋体" w:cs="Times New Roman"/>
                      <w:color w:val="auto"/>
                      <w:sz w:val="21"/>
                      <w:szCs w:val="21"/>
                      <w:lang w:bidi="ar-SA"/>
                    </w:rPr>
                  </w:pPr>
                </w:p>
              </w:tc>
              <w:tc>
                <w:tcPr>
                  <w:tcW w:w="531" w:type="pct"/>
                  <w:noWrap w:val="0"/>
                  <w:vAlign w:val="center"/>
                </w:tcPr>
                <w:p w14:paraId="14D93E52">
                  <w:pPr>
                    <w:widowControl/>
                    <w:adjustRightInd w:val="0"/>
                    <w:snapToGrid w:val="0"/>
                    <w:spacing w:line="240" w:lineRule="atLeast"/>
                    <w:jc w:val="center"/>
                    <w:textAlignment w:val="baseline"/>
                    <w:rPr>
                      <w:rFonts w:hint="eastAsia" w:ascii="Times New Roman" w:hAnsi="Times New Roman" w:eastAsia="宋体" w:cs="Times New Roman"/>
                      <w:b/>
                      <w:color w:val="auto"/>
                      <w:spacing w:val="4"/>
                      <w:kern w:val="0"/>
                      <w:sz w:val="21"/>
                      <w:szCs w:val="21"/>
                      <w:lang w:bidi="ar-SA"/>
                    </w:rPr>
                  </w:pPr>
                  <w:r>
                    <w:rPr>
                      <w:rFonts w:hint="default" w:ascii="Times New Roman" w:hAnsi="Times New Roman" w:eastAsia="宋体" w:cs="Times New Roman"/>
                      <w:b/>
                      <w:color w:val="auto"/>
                      <w:spacing w:val="4"/>
                      <w:kern w:val="0"/>
                      <w:sz w:val="21"/>
                      <w:szCs w:val="21"/>
                      <w:lang w:bidi="ar"/>
                    </w:rPr>
                    <w:t>排放</w:t>
                  </w:r>
                  <w:r>
                    <w:rPr>
                      <w:rFonts w:hint="eastAsia" w:ascii="Times New Roman" w:hAnsi="Times New Roman" w:eastAsia="宋体" w:cs="Times New Roman"/>
                      <w:b/>
                      <w:color w:val="auto"/>
                      <w:spacing w:val="4"/>
                      <w:kern w:val="0"/>
                      <w:sz w:val="21"/>
                      <w:szCs w:val="21"/>
                      <w:lang w:bidi="ar"/>
                    </w:rPr>
                    <w:t>废水量t/a</w:t>
                  </w:r>
                </w:p>
              </w:tc>
              <w:tc>
                <w:tcPr>
                  <w:tcW w:w="538" w:type="pct"/>
                  <w:noWrap w:val="0"/>
                  <w:vAlign w:val="center"/>
                </w:tcPr>
                <w:p w14:paraId="2171CF08">
                  <w:pPr>
                    <w:widowControl/>
                    <w:adjustRightInd w:val="0"/>
                    <w:snapToGrid w:val="0"/>
                    <w:spacing w:line="240" w:lineRule="atLeast"/>
                    <w:jc w:val="center"/>
                    <w:textAlignment w:val="baseline"/>
                    <w:rPr>
                      <w:rFonts w:hint="default" w:ascii="Times New Roman" w:hAnsi="Times New Roman" w:eastAsia="宋体" w:cs="Times New Roman"/>
                      <w:b/>
                      <w:color w:val="auto"/>
                      <w:spacing w:val="4"/>
                      <w:kern w:val="0"/>
                      <w:sz w:val="21"/>
                      <w:szCs w:val="21"/>
                      <w:lang w:bidi="ar"/>
                    </w:rPr>
                  </w:pPr>
                  <w:r>
                    <w:rPr>
                      <w:rFonts w:hint="default" w:ascii="Times New Roman" w:hAnsi="Times New Roman" w:eastAsia="宋体" w:cs="Times New Roman"/>
                      <w:b/>
                      <w:color w:val="auto"/>
                      <w:spacing w:val="4"/>
                      <w:kern w:val="0"/>
                      <w:sz w:val="21"/>
                      <w:szCs w:val="21"/>
                      <w:lang w:bidi="ar"/>
                    </w:rPr>
                    <w:t>排放浓度mg/L</w:t>
                  </w:r>
                </w:p>
              </w:tc>
              <w:tc>
                <w:tcPr>
                  <w:tcW w:w="407" w:type="pct"/>
                  <w:noWrap w:val="0"/>
                  <w:vAlign w:val="center"/>
                </w:tcPr>
                <w:p w14:paraId="75ABBA20">
                  <w:pPr>
                    <w:widowControl/>
                    <w:adjustRightInd w:val="0"/>
                    <w:snapToGrid w:val="0"/>
                    <w:spacing w:line="240" w:lineRule="atLeast"/>
                    <w:jc w:val="center"/>
                    <w:textAlignment w:val="baseline"/>
                    <w:rPr>
                      <w:rFonts w:hint="eastAsia" w:ascii="Times New Roman" w:hAnsi="Times New Roman" w:eastAsia="宋体" w:cs="Times New Roman"/>
                      <w:b/>
                      <w:color w:val="auto"/>
                      <w:spacing w:val="4"/>
                      <w:kern w:val="0"/>
                      <w:sz w:val="21"/>
                      <w:szCs w:val="21"/>
                      <w:lang w:bidi="ar-SA"/>
                    </w:rPr>
                  </w:pPr>
                  <w:r>
                    <w:rPr>
                      <w:rFonts w:hint="default" w:ascii="Times New Roman" w:hAnsi="Times New Roman" w:eastAsia="宋体" w:cs="Times New Roman"/>
                      <w:b/>
                      <w:color w:val="auto"/>
                      <w:spacing w:val="4"/>
                      <w:kern w:val="0"/>
                      <w:sz w:val="21"/>
                      <w:szCs w:val="21"/>
                      <w:lang w:bidi="ar"/>
                    </w:rPr>
                    <w:t>排放量t/a</w:t>
                  </w:r>
                </w:p>
              </w:tc>
              <w:tc>
                <w:tcPr>
                  <w:tcW w:w="1062" w:type="pct"/>
                  <w:vMerge w:val="continue"/>
                  <w:noWrap w:val="0"/>
                  <w:vAlign w:val="center"/>
                </w:tcPr>
                <w:p w14:paraId="5D74C4B4">
                  <w:pPr>
                    <w:jc w:val="center"/>
                    <w:rPr>
                      <w:rFonts w:hint="default" w:ascii="Times New Roman" w:hAnsi="Times New Roman" w:eastAsia="宋体" w:cs="Times New Roman"/>
                      <w:color w:val="auto"/>
                      <w:sz w:val="21"/>
                      <w:szCs w:val="21"/>
                      <w:lang w:bidi="ar-SA"/>
                    </w:rPr>
                  </w:pPr>
                </w:p>
              </w:tc>
            </w:tr>
            <w:tr w14:paraId="3EB8B34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23" w:hRule="atLeast"/>
              </w:trPr>
              <w:tc>
                <w:tcPr>
                  <w:tcW w:w="210" w:type="pct"/>
                  <w:vMerge w:val="restart"/>
                  <w:noWrap w:val="0"/>
                  <w:vAlign w:val="center"/>
                </w:tcPr>
                <w:p w14:paraId="4FBC4AE9">
                  <w:pPr>
                    <w:widowControl/>
                    <w:adjustRightInd w:val="0"/>
                    <w:snapToGrid w:val="0"/>
                    <w:spacing w:line="240" w:lineRule="atLeast"/>
                    <w:jc w:val="center"/>
                    <w:textAlignment w:val="baseline"/>
                    <w:rPr>
                      <w:rFonts w:hint="default" w:ascii="Times New Roman" w:hAnsi="Times New Roman" w:eastAsia="宋体" w:cs="Times New Roman"/>
                      <w:bCs/>
                      <w:color w:val="auto"/>
                      <w:spacing w:val="4"/>
                      <w:kern w:val="0"/>
                      <w:sz w:val="21"/>
                      <w:szCs w:val="21"/>
                      <w:lang w:bidi="ar-SA"/>
                    </w:rPr>
                  </w:pPr>
                  <w:r>
                    <w:rPr>
                      <w:rFonts w:hint="default" w:ascii="Times New Roman" w:hAnsi="Times New Roman" w:eastAsia="宋体" w:cs="Times New Roman"/>
                      <w:bCs/>
                      <w:color w:val="auto"/>
                      <w:spacing w:val="4"/>
                      <w:kern w:val="0"/>
                      <w:sz w:val="21"/>
                      <w:szCs w:val="21"/>
                      <w:lang w:bidi="ar"/>
                    </w:rPr>
                    <w:t>生活污水</w:t>
                  </w:r>
                </w:p>
              </w:tc>
              <w:tc>
                <w:tcPr>
                  <w:tcW w:w="392" w:type="pct"/>
                  <w:vMerge w:val="restart"/>
                  <w:noWrap w:val="0"/>
                  <w:vAlign w:val="center"/>
                </w:tcPr>
                <w:p w14:paraId="7D7C72CD">
                  <w:pPr>
                    <w:widowControl/>
                    <w:contextualSpacing/>
                    <w:jc w:val="center"/>
                    <w:rPr>
                      <w:rFonts w:hint="default" w:ascii="Times New Roman" w:hAnsi="Times New Roman" w:eastAsia="宋体" w:cs="Times New Roman"/>
                      <w:bCs/>
                      <w:color w:val="auto"/>
                      <w:spacing w:val="4"/>
                      <w:kern w:val="0"/>
                      <w:sz w:val="21"/>
                      <w:szCs w:val="21"/>
                      <w:lang w:val="en-US" w:eastAsia="zh-CN" w:bidi="ar-SA"/>
                    </w:rPr>
                  </w:pPr>
                  <w:r>
                    <w:rPr>
                      <w:rFonts w:hint="default" w:ascii="Times New Roman" w:hAnsi="Times New Roman" w:eastAsia="宋体" w:cs="Times New Roman"/>
                      <w:bCs/>
                      <w:color w:val="auto"/>
                      <w:spacing w:val="4"/>
                      <w:kern w:val="0"/>
                      <w:sz w:val="21"/>
                      <w:szCs w:val="21"/>
                      <w:lang w:val="en-US" w:eastAsia="zh-CN" w:bidi="ar-SA"/>
                    </w:rPr>
                    <w:t>558</w:t>
                  </w:r>
                </w:p>
              </w:tc>
              <w:tc>
                <w:tcPr>
                  <w:tcW w:w="538" w:type="pct"/>
                  <w:noWrap w:val="0"/>
                  <w:vAlign w:val="center"/>
                </w:tcPr>
                <w:p w14:paraId="516C0DDF">
                  <w:pPr>
                    <w:widowControl/>
                    <w:contextualSpacing/>
                    <w:jc w:val="center"/>
                    <w:rPr>
                      <w:rFonts w:hint="default" w:ascii="Times New Roman" w:hAnsi="Times New Roman" w:eastAsia="宋体" w:cs="Times New Roman"/>
                      <w:bCs/>
                      <w:color w:val="auto"/>
                      <w:spacing w:val="4"/>
                      <w:kern w:val="0"/>
                      <w:sz w:val="21"/>
                      <w:szCs w:val="21"/>
                      <w:lang w:bidi="ar-SA"/>
                    </w:rPr>
                  </w:pPr>
                  <w:r>
                    <w:rPr>
                      <w:rFonts w:hint="default" w:ascii="Times New Roman" w:hAnsi="Times New Roman" w:eastAsia="宋体" w:cs="Times New Roman"/>
                      <w:color w:val="auto"/>
                      <w:kern w:val="0"/>
                      <w:sz w:val="21"/>
                      <w:szCs w:val="21"/>
                      <w:lang w:bidi="ar-SA"/>
                    </w:rPr>
                    <w:t>pH</w:t>
                  </w:r>
                </w:p>
              </w:tc>
              <w:tc>
                <w:tcPr>
                  <w:tcW w:w="926" w:type="pct"/>
                  <w:gridSpan w:val="2"/>
                  <w:noWrap w:val="0"/>
                  <w:vAlign w:val="center"/>
                </w:tcPr>
                <w:p w14:paraId="441A4A2E">
                  <w:pPr>
                    <w:widowControl/>
                    <w:contextualSpacing/>
                    <w:jc w:val="center"/>
                    <w:rPr>
                      <w:rFonts w:hint="default" w:ascii="Times New Roman" w:hAnsi="Times New Roman" w:eastAsia="宋体" w:cs="Times New Roman"/>
                      <w:bCs/>
                      <w:color w:val="auto"/>
                      <w:spacing w:val="4"/>
                      <w:kern w:val="0"/>
                      <w:sz w:val="21"/>
                      <w:szCs w:val="21"/>
                      <w:lang w:bidi="ar-SA"/>
                    </w:rPr>
                  </w:pPr>
                  <w:r>
                    <w:rPr>
                      <w:rFonts w:hint="default" w:ascii="Times New Roman" w:hAnsi="Times New Roman" w:eastAsia="宋体" w:cs="Times New Roman"/>
                      <w:color w:val="auto"/>
                      <w:kern w:val="0"/>
                      <w:sz w:val="21"/>
                      <w:szCs w:val="21"/>
                      <w:lang w:bidi="ar-SA"/>
                    </w:rPr>
                    <w:t>6~9（无量纲）</w:t>
                  </w:r>
                </w:p>
              </w:tc>
              <w:tc>
                <w:tcPr>
                  <w:tcW w:w="391" w:type="pct"/>
                  <w:vMerge w:val="restart"/>
                  <w:noWrap w:val="0"/>
                  <w:vAlign w:val="center"/>
                </w:tcPr>
                <w:p w14:paraId="227509F0">
                  <w:pPr>
                    <w:widowControl/>
                    <w:adjustRightInd w:val="0"/>
                    <w:snapToGrid w:val="0"/>
                    <w:spacing w:line="240" w:lineRule="atLeast"/>
                    <w:jc w:val="center"/>
                    <w:textAlignment w:val="baseline"/>
                    <w:rPr>
                      <w:rFonts w:hint="default" w:ascii="Times New Roman" w:hAnsi="Times New Roman" w:eastAsia="宋体" w:cs="Times New Roman"/>
                      <w:bCs/>
                      <w:color w:val="auto"/>
                      <w:spacing w:val="4"/>
                      <w:kern w:val="0"/>
                      <w:sz w:val="21"/>
                      <w:szCs w:val="21"/>
                      <w:lang w:bidi="ar"/>
                    </w:rPr>
                  </w:pPr>
                  <w:r>
                    <w:rPr>
                      <w:rFonts w:hint="default" w:ascii="Times New Roman" w:hAnsi="Times New Roman" w:eastAsia="宋体" w:cs="Times New Roman"/>
                      <w:bCs/>
                      <w:color w:val="auto"/>
                      <w:spacing w:val="4"/>
                      <w:kern w:val="0"/>
                      <w:sz w:val="21"/>
                      <w:szCs w:val="21"/>
                      <w:lang w:bidi="ar"/>
                    </w:rPr>
                    <w:t>化粪池</w:t>
                  </w:r>
                </w:p>
              </w:tc>
              <w:tc>
                <w:tcPr>
                  <w:tcW w:w="531" w:type="pct"/>
                  <w:vMerge w:val="restart"/>
                  <w:noWrap w:val="0"/>
                  <w:vAlign w:val="center"/>
                </w:tcPr>
                <w:p w14:paraId="66D93AE5">
                  <w:pPr>
                    <w:widowControl/>
                    <w:contextualSpacing/>
                    <w:jc w:val="center"/>
                    <w:rPr>
                      <w:rFonts w:hint="default" w:ascii="Times New Roman" w:hAnsi="Times New Roman" w:eastAsia="宋体" w:cs="Times New Roman"/>
                      <w:bCs/>
                      <w:color w:val="auto"/>
                      <w:spacing w:val="4"/>
                      <w:kern w:val="0"/>
                      <w:sz w:val="21"/>
                      <w:szCs w:val="21"/>
                      <w:lang w:val="en-US" w:eastAsia="zh-CN" w:bidi="ar-SA"/>
                    </w:rPr>
                  </w:pPr>
                  <w:r>
                    <w:rPr>
                      <w:rFonts w:hint="default" w:ascii="Times New Roman" w:hAnsi="Times New Roman" w:eastAsia="宋体" w:cs="Times New Roman"/>
                      <w:bCs/>
                      <w:color w:val="auto"/>
                      <w:spacing w:val="4"/>
                      <w:kern w:val="0"/>
                      <w:sz w:val="21"/>
                      <w:szCs w:val="21"/>
                      <w:lang w:val="en-US" w:eastAsia="zh-CN" w:bidi="ar-SA"/>
                    </w:rPr>
                    <w:t>558</w:t>
                  </w:r>
                </w:p>
              </w:tc>
              <w:tc>
                <w:tcPr>
                  <w:tcW w:w="945" w:type="pct"/>
                  <w:gridSpan w:val="2"/>
                  <w:noWrap w:val="0"/>
                  <w:vAlign w:val="center"/>
                </w:tcPr>
                <w:p w14:paraId="30D58238">
                  <w:pPr>
                    <w:widowControl/>
                    <w:adjustRightInd w:val="0"/>
                    <w:snapToGrid w:val="0"/>
                    <w:spacing w:line="240" w:lineRule="atLeast"/>
                    <w:jc w:val="center"/>
                    <w:textAlignment w:val="baseline"/>
                    <w:rPr>
                      <w:rFonts w:hint="default" w:ascii="Times New Roman" w:hAnsi="Times New Roman" w:eastAsia="宋体" w:cs="Times New Roman"/>
                      <w:color w:val="auto"/>
                      <w:sz w:val="24"/>
                      <w:szCs w:val="24"/>
                      <w:lang w:bidi="ar-SA"/>
                    </w:rPr>
                  </w:pPr>
                  <w:r>
                    <w:rPr>
                      <w:rFonts w:hint="default" w:ascii="Times New Roman" w:hAnsi="Times New Roman" w:eastAsia="宋体" w:cs="Times New Roman"/>
                      <w:bCs/>
                      <w:color w:val="auto"/>
                      <w:spacing w:val="4"/>
                      <w:kern w:val="0"/>
                      <w:sz w:val="21"/>
                      <w:szCs w:val="21"/>
                      <w:lang w:bidi="ar"/>
                    </w:rPr>
                    <w:t>6-9（无量纲）</w:t>
                  </w:r>
                </w:p>
              </w:tc>
              <w:tc>
                <w:tcPr>
                  <w:tcW w:w="1062" w:type="pct"/>
                  <w:vMerge w:val="restart"/>
                  <w:noWrap w:val="0"/>
                  <w:vAlign w:val="center"/>
                </w:tcPr>
                <w:p w14:paraId="7E767A08">
                  <w:pPr>
                    <w:widowControl/>
                    <w:adjustRightInd w:val="0"/>
                    <w:snapToGrid w:val="0"/>
                    <w:spacing w:line="240" w:lineRule="atLeast"/>
                    <w:jc w:val="center"/>
                    <w:textAlignment w:val="baseline"/>
                    <w:rPr>
                      <w:rFonts w:hint="default" w:ascii="Times New Roman" w:hAnsi="Times New Roman" w:eastAsia="宋体" w:cs="Times New Roman"/>
                      <w:bCs/>
                      <w:color w:val="auto"/>
                      <w:spacing w:val="4"/>
                      <w:kern w:val="0"/>
                      <w:sz w:val="21"/>
                      <w:szCs w:val="21"/>
                      <w:lang w:bidi="ar"/>
                    </w:rPr>
                  </w:pPr>
                  <w:r>
                    <w:rPr>
                      <w:rFonts w:hint="default" w:ascii="Times New Roman" w:hAnsi="Times New Roman" w:eastAsia="宋体" w:cs="Times New Roman"/>
                      <w:bCs/>
                      <w:color w:val="auto"/>
                      <w:spacing w:val="4"/>
                      <w:kern w:val="0"/>
                      <w:sz w:val="21"/>
                      <w:szCs w:val="21"/>
                      <w:lang w:bidi="ar"/>
                    </w:rPr>
                    <w:t>接管至鹰泰水务海安有限公司处理，处理后的达标尾水排入栟茶运河</w:t>
                  </w:r>
                </w:p>
              </w:tc>
            </w:tr>
            <w:tr w14:paraId="0F9D767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23" w:hRule="atLeast"/>
              </w:trPr>
              <w:tc>
                <w:tcPr>
                  <w:tcW w:w="210" w:type="pct"/>
                  <w:vMerge w:val="continue"/>
                  <w:noWrap w:val="0"/>
                  <w:vAlign w:val="center"/>
                </w:tcPr>
                <w:p w14:paraId="55108928">
                  <w:pPr>
                    <w:jc w:val="center"/>
                    <w:rPr>
                      <w:rFonts w:hint="default" w:ascii="Times New Roman" w:hAnsi="Times New Roman" w:eastAsia="宋体" w:cs="Times New Roman"/>
                      <w:color w:val="auto"/>
                      <w:sz w:val="21"/>
                      <w:szCs w:val="21"/>
                      <w:lang w:bidi="ar-SA"/>
                    </w:rPr>
                  </w:pPr>
                </w:p>
              </w:tc>
              <w:tc>
                <w:tcPr>
                  <w:tcW w:w="392" w:type="pct"/>
                  <w:vMerge w:val="continue"/>
                  <w:noWrap w:val="0"/>
                  <w:vAlign w:val="center"/>
                </w:tcPr>
                <w:p w14:paraId="7F4B7C33">
                  <w:pPr>
                    <w:widowControl/>
                    <w:contextualSpacing/>
                    <w:jc w:val="center"/>
                    <w:rPr>
                      <w:rFonts w:hint="default" w:ascii="Times New Roman" w:hAnsi="Times New Roman" w:eastAsia="宋体" w:cs="Times New Roman"/>
                      <w:color w:val="auto"/>
                      <w:sz w:val="21"/>
                      <w:szCs w:val="21"/>
                      <w:lang w:bidi="ar-SA"/>
                    </w:rPr>
                  </w:pPr>
                </w:p>
              </w:tc>
              <w:tc>
                <w:tcPr>
                  <w:tcW w:w="538" w:type="pct"/>
                  <w:noWrap w:val="0"/>
                  <w:vAlign w:val="center"/>
                </w:tcPr>
                <w:p w14:paraId="7DD34F80">
                  <w:pPr>
                    <w:keepNext w:val="0"/>
                    <w:keepLines w:val="0"/>
                    <w:widowControl/>
                    <w:suppressLineNumbers w:val="0"/>
                    <w:jc w:val="center"/>
                    <w:textAlignment w:val="center"/>
                    <w:rPr>
                      <w:rFonts w:hint="default" w:ascii="Times New Roman" w:hAnsi="Times New Roman" w:eastAsia="宋体" w:cs="Times New Roman"/>
                      <w:bCs/>
                      <w:color w:val="auto"/>
                      <w:spacing w:val="4"/>
                      <w:kern w:val="0"/>
                      <w:sz w:val="21"/>
                      <w:szCs w:val="21"/>
                      <w:lang w:bidi="ar-SA"/>
                    </w:rPr>
                  </w:pPr>
                  <w:r>
                    <w:rPr>
                      <w:rFonts w:hint="default" w:ascii="Times New Roman" w:hAnsi="Times New Roman" w:eastAsia="宋体" w:cs="Times New Roman"/>
                      <w:i w:val="0"/>
                      <w:iCs w:val="0"/>
                      <w:color w:val="auto"/>
                      <w:kern w:val="0"/>
                      <w:sz w:val="21"/>
                      <w:szCs w:val="21"/>
                      <w:u w:val="none"/>
                      <w:lang w:val="en-US" w:eastAsia="zh-CN" w:bidi="ar"/>
                    </w:rPr>
                    <w:t>COD</w:t>
                  </w:r>
                </w:p>
              </w:tc>
              <w:tc>
                <w:tcPr>
                  <w:tcW w:w="504" w:type="pct"/>
                  <w:noWrap w:val="0"/>
                  <w:vAlign w:val="center"/>
                </w:tcPr>
                <w:p w14:paraId="208B1BD9">
                  <w:pPr>
                    <w:keepNext w:val="0"/>
                    <w:keepLines w:val="0"/>
                    <w:widowControl/>
                    <w:suppressLineNumbers w:val="0"/>
                    <w:jc w:val="center"/>
                    <w:textAlignment w:val="center"/>
                    <w:rPr>
                      <w:rFonts w:hint="default" w:ascii="Times New Roman" w:hAnsi="Times New Roman" w:eastAsia="宋体" w:cs="Times New Roman"/>
                      <w:bCs/>
                      <w:color w:val="auto"/>
                      <w:spacing w:val="4"/>
                      <w:kern w:val="0"/>
                      <w:sz w:val="21"/>
                      <w:szCs w:val="21"/>
                      <w:lang w:bidi="ar-SA"/>
                    </w:rPr>
                  </w:pPr>
                  <w:r>
                    <w:rPr>
                      <w:rFonts w:hint="default" w:ascii="Times New Roman" w:hAnsi="Times New Roman" w:eastAsia="宋体" w:cs="Times New Roman"/>
                      <w:i w:val="0"/>
                      <w:iCs w:val="0"/>
                      <w:color w:val="auto"/>
                      <w:kern w:val="0"/>
                      <w:sz w:val="21"/>
                      <w:szCs w:val="21"/>
                      <w:u w:val="none"/>
                      <w:lang w:val="en-US" w:eastAsia="zh-CN" w:bidi="ar"/>
                    </w:rPr>
                    <w:t>350</w:t>
                  </w:r>
                </w:p>
              </w:tc>
              <w:tc>
                <w:tcPr>
                  <w:tcW w:w="422" w:type="pct"/>
                  <w:noWrap w:val="0"/>
                  <w:vAlign w:val="center"/>
                </w:tcPr>
                <w:p w14:paraId="4B2FF321">
                  <w:pPr>
                    <w:keepNext w:val="0"/>
                    <w:keepLines w:val="0"/>
                    <w:widowControl/>
                    <w:suppressLineNumbers w:val="0"/>
                    <w:jc w:val="center"/>
                    <w:textAlignment w:val="center"/>
                    <w:rPr>
                      <w:rFonts w:hint="default" w:ascii="Times New Roman" w:hAnsi="Times New Roman" w:eastAsia="宋体" w:cs="Times New Roman"/>
                      <w:bCs/>
                      <w:color w:val="auto"/>
                      <w:spacing w:val="4"/>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 xml:space="preserve">0.1953 </w:t>
                  </w:r>
                </w:p>
              </w:tc>
              <w:tc>
                <w:tcPr>
                  <w:tcW w:w="391" w:type="pct"/>
                  <w:vMerge w:val="continue"/>
                  <w:noWrap w:val="0"/>
                  <w:vAlign w:val="center"/>
                </w:tcPr>
                <w:p w14:paraId="03BEC4DA">
                  <w:pPr>
                    <w:widowControl/>
                    <w:adjustRightInd w:val="0"/>
                    <w:snapToGrid w:val="0"/>
                    <w:spacing w:line="240" w:lineRule="atLeast"/>
                    <w:jc w:val="center"/>
                    <w:textAlignment w:val="baseline"/>
                    <w:rPr>
                      <w:rFonts w:hint="default" w:ascii="Times New Roman" w:hAnsi="Times New Roman" w:eastAsia="宋体" w:cs="Times New Roman"/>
                      <w:bCs/>
                      <w:color w:val="auto"/>
                      <w:spacing w:val="4"/>
                      <w:kern w:val="0"/>
                      <w:sz w:val="21"/>
                      <w:szCs w:val="21"/>
                      <w:lang w:bidi="ar"/>
                    </w:rPr>
                  </w:pPr>
                </w:p>
              </w:tc>
              <w:tc>
                <w:tcPr>
                  <w:tcW w:w="531" w:type="pct"/>
                  <w:vMerge w:val="continue"/>
                  <w:noWrap w:val="0"/>
                  <w:vAlign w:val="center"/>
                </w:tcPr>
                <w:p w14:paraId="48E045E9">
                  <w:pPr>
                    <w:widowControl/>
                    <w:contextualSpacing/>
                    <w:jc w:val="center"/>
                    <w:rPr>
                      <w:rFonts w:hint="default" w:ascii="Times New Roman" w:hAnsi="Times New Roman" w:eastAsia="宋体" w:cs="Times New Roman"/>
                      <w:bCs/>
                      <w:color w:val="auto"/>
                      <w:spacing w:val="4"/>
                      <w:kern w:val="0"/>
                      <w:sz w:val="21"/>
                      <w:szCs w:val="21"/>
                      <w:lang w:bidi="ar-SA"/>
                    </w:rPr>
                  </w:pPr>
                </w:p>
              </w:tc>
              <w:tc>
                <w:tcPr>
                  <w:tcW w:w="538" w:type="pct"/>
                  <w:noWrap w:val="0"/>
                  <w:vAlign w:val="center"/>
                </w:tcPr>
                <w:p w14:paraId="6D64203E">
                  <w:pPr>
                    <w:keepNext w:val="0"/>
                    <w:keepLines w:val="0"/>
                    <w:widowControl/>
                    <w:suppressLineNumbers w:val="0"/>
                    <w:jc w:val="center"/>
                    <w:textAlignment w:val="center"/>
                    <w:rPr>
                      <w:rFonts w:hint="default" w:ascii="Times New Roman" w:hAnsi="Times New Roman" w:eastAsia="宋体" w:cs="Times New Roman"/>
                      <w:color w:val="auto"/>
                      <w:kern w:val="0"/>
                      <w:sz w:val="21"/>
                      <w:szCs w:val="21"/>
                      <w:lang w:bidi="ar-SA"/>
                    </w:rPr>
                  </w:pPr>
                  <w:r>
                    <w:rPr>
                      <w:rFonts w:hint="default" w:ascii="Times New Roman" w:hAnsi="Times New Roman" w:eastAsia="宋体" w:cs="Times New Roman"/>
                      <w:i w:val="0"/>
                      <w:iCs w:val="0"/>
                      <w:color w:val="auto"/>
                      <w:kern w:val="0"/>
                      <w:sz w:val="21"/>
                      <w:szCs w:val="21"/>
                      <w:u w:val="none"/>
                      <w:lang w:val="en-US" w:eastAsia="zh-CN" w:bidi="ar"/>
                    </w:rPr>
                    <w:t>350</w:t>
                  </w:r>
                </w:p>
              </w:tc>
              <w:tc>
                <w:tcPr>
                  <w:tcW w:w="407" w:type="pct"/>
                  <w:noWrap w:val="0"/>
                  <w:vAlign w:val="center"/>
                </w:tcPr>
                <w:p w14:paraId="482F6017">
                  <w:pPr>
                    <w:keepNext w:val="0"/>
                    <w:keepLines w:val="0"/>
                    <w:widowControl/>
                    <w:suppressLineNumbers w:val="0"/>
                    <w:jc w:val="center"/>
                    <w:textAlignment w:val="center"/>
                    <w:rPr>
                      <w:rFonts w:hint="default" w:ascii="Times New Roman" w:hAnsi="Times New Roman" w:eastAsia="宋体" w:cs="Times New Roman"/>
                      <w:bCs/>
                      <w:color w:val="auto"/>
                      <w:spacing w:val="4"/>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0.1953</w:t>
                  </w:r>
                </w:p>
              </w:tc>
              <w:tc>
                <w:tcPr>
                  <w:tcW w:w="1062" w:type="pct"/>
                  <w:vMerge w:val="continue"/>
                  <w:noWrap w:val="0"/>
                  <w:vAlign w:val="center"/>
                </w:tcPr>
                <w:p w14:paraId="730B2E98">
                  <w:pPr>
                    <w:widowControl/>
                    <w:adjustRightInd w:val="0"/>
                    <w:snapToGrid w:val="0"/>
                    <w:spacing w:line="240" w:lineRule="atLeast"/>
                    <w:jc w:val="center"/>
                    <w:textAlignment w:val="baseline"/>
                    <w:rPr>
                      <w:rFonts w:hint="default" w:ascii="Times New Roman" w:hAnsi="Times New Roman" w:eastAsia="宋体" w:cs="Times New Roman"/>
                      <w:bCs/>
                      <w:color w:val="auto"/>
                      <w:spacing w:val="4"/>
                      <w:kern w:val="0"/>
                      <w:sz w:val="21"/>
                      <w:szCs w:val="21"/>
                      <w:lang w:bidi="ar"/>
                    </w:rPr>
                  </w:pPr>
                </w:p>
              </w:tc>
            </w:tr>
            <w:tr w14:paraId="08FDB74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23" w:hRule="atLeast"/>
              </w:trPr>
              <w:tc>
                <w:tcPr>
                  <w:tcW w:w="210" w:type="pct"/>
                  <w:vMerge w:val="continue"/>
                  <w:noWrap w:val="0"/>
                  <w:vAlign w:val="center"/>
                </w:tcPr>
                <w:p w14:paraId="4B806839">
                  <w:pPr>
                    <w:jc w:val="center"/>
                    <w:rPr>
                      <w:rFonts w:hint="default" w:ascii="Times New Roman" w:hAnsi="Times New Roman" w:eastAsia="宋体" w:cs="Times New Roman"/>
                      <w:color w:val="auto"/>
                      <w:sz w:val="21"/>
                      <w:szCs w:val="21"/>
                      <w:lang w:bidi="ar-SA"/>
                    </w:rPr>
                  </w:pPr>
                </w:p>
              </w:tc>
              <w:tc>
                <w:tcPr>
                  <w:tcW w:w="392" w:type="pct"/>
                  <w:vMerge w:val="continue"/>
                  <w:noWrap w:val="0"/>
                  <w:vAlign w:val="center"/>
                </w:tcPr>
                <w:p w14:paraId="720E3114">
                  <w:pPr>
                    <w:widowControl/>
                    <w:contextualSpacing/>
                    <w:jc w:val="center"/>
                    <w:rPr>
                      <w:rFonts w:hint="default" w:ascii="Times New Roman" w:hAnsi="Times New Roman" w:eastAsia="宋体" w:cs="Times New Roman"/>
                      <w:color w:val="auto"/>
                      <w:sz w:val="21"/>
                      <w:szCs w:val="21"/>
                      <w:lang w:bidi="ar-SA"/>
                    </w:rPr>
                  </w:pPr>
                </w:p>
              </w:tc>
              <w:tc>
                <w:tcPr>
                  <w:tcW w:w="538" w:type="pct"/>
                  <w:noWrap w:val="0"/>
                  <w:vAlign w:val="center"/>
                </w:tcPr>
                <w:p w14:paraId="523F25BC">
                  <w:pPr>
                    <w:keepNext w:val="0"/>
                    <w:keepLines w:val="0"/>
                    <w:widowControl/>
                    <w:suppressLineNumbers w:val="0"/>
                    <w:jc w:val="center"/>
                    <w:textAlignment w:val="center"/>
                    <w:rPr>
                      <w:rFonts w:hint="default" w:ascii="Times New Roman" w:hAnsi="Times New Roman" w:eastAsia="宋体" w:cs="Times New Roman"/>
                      <w:bCs/>
                      <w:color w:val="auto"/>
                      <w:spacing w:val="4"/>
                      <w:kern w:val="0"/>
                      <w:sz w:val="21"/>
                      <w:szCs w:val="21"/>
                      <w:lang w:bidi="ar-SA"/>
                    </w:rPr>
                  </w:pPr>
                  <w:r>
                    <w:rPr>
                      <w:rFonts w:hint="default" w:ascii="Times New Roman" w:hAnsi="Times New Roman" w:eastAsia="宋体" w:cs="Times New Roman"/>
                      <w:i w:val="0"/>
                      <w:iCs w:val="0"/>
                      <w:color w:val="auto"/>
                      <w:kern w:val="0"/>
                      <w:sz w:val="21"/>
                      <w:szCs w:val="21"/>
                      <w:u w:val="none"/>
                      <w:lang w:val="en-US" w:eastAsia="zh-CN" w:bidi="ar"/>
                    </w:rPr>
                    <w:t>SS</w:t>
                  </w:r>
                </w:p>
              </w:tc>
              <w:tc>
                <w:tcPr>
                  <w:tcW w:w="504" w:type="pct"/>
                  <w:noWrap w:val="0"/>
                  <w:vAlign w:val="center"/>
                </w:tcPr>
                <w:p w14:paraId="1C673534">
                  <w:pPr>
                    <w:keepNext w:val="0"/>
                    <w:keepLines w:val="0"/>
                    <w:widowControl/>
                    <w:suppressLineNumbers w:val="0"/>
                    <w:jc w:val="center"/>
                    <w:textAlignment w:val="center"/>
                    <w:rPr>
                      <w:rFonts w:hint="default" w:ascii="Times New Roman" w:hAnsi="Times New Roman" w:eastAsia="宋体" w:cs="Times New Roman"/>
                      <w:bCs/>
                      <w:color w:val="auto"/>
                      <w:spacing w:val="4"/>
                      <w:kern w:val="0"/>
                      <w:sz w:val="21"/>
                      <w:szCs w:val="21"/>
                      <w:lang w:bidi="ar-SA"/>
                    </w:rPr>
                  </w:pPr>
                  <w:r>
                    <w:rPr>
                      <w:rFonts w:hint="default" w:ascii="Times New Roman" w:hAnsi="Times New Roman" w:eastAsia="宋体" w:cs="Times New Roman"/>
                      <w:i w:val="0"/>
                      <w:iCs w:val="0"/>
                      <w:color w:val="auto"/>
                      <w:kern w:val="0"/>
                      <w:sz w:val="21"/>
                      <w:szCs w:val="21"/>
                      <w:u w:val="none"/>
                      <w:lang w:val="en-US" w:eastAsia="zh-CN" w:bidi="ar"/>
                    </w:rPr>
                    <w:t>2</w:t>
                  </w:r>
                  <w:r>
                    <w:rPr>
                      <w:rFonts w:hint="eastAsia" w:cs="Times New Roman"/>
                      <w:i w:val="0"/>
                      <w:iCs w:val="0"/>
                      <w:color w:val="auto"/>
                      <w:kern w:val="0"/>
                      <w:sz w:val="21"/>
                      <w:szCs w:val="21"/>
                      <w:u w:val="none"/>
                      <w:lang w:val="en-US" w:eastAsia="zh-CN" w:bidi="ar"/>
                    </w:rPr>
                    <w:t>5</w:t>
                  </w:r>
                  <w:r>
                    <w:rPr>
                      <w:rFonts w:hint="default" w:ascii="Times New Roman" w:hAnsi="Times New Roman" w:eastAsia="宋体" w:cs="Times New Roman"/>
                      <w:i w:val="0"/>
                      <w:iCs w:val="0"/>
                      <w:color w:val="auto"/>
                      <w:kern w:val="0"/>
                      <w:sz w:val="21"/>
                      <w:szCs w:val="21"/>
                      <w:u w:val="none"/>
                      <w:lang w:val="en-US" w:eastAsia="zh-CN" w:bidi="ar"/>
                    </w:rPr>
                    <w:t>0</w:t>
                  </w:r>
                </w:p>
              </w:tc>
              <w:tc>
                <w:tcPr>
                  <w:tcW w:w="422" w:type="pct"/>
                  <w:noWrap w:val="0"/>
                  <w:vAlign w:val="center"/>
                </w:tcPr>
                <w:p w14:paraId="7FBFFF0D">
                  <w:pPr>
                    <w:keepNext w:val="0"/>
                    <w:keepLines w:val="0"/>
                    <w:widowControl/>
                    <w:suppressLineNumbers w:val="0"/>
                    <w:jc w:val="center"/>
                    <w:textAlignment w:val="center"/>
                    <w:rPr>
                      <w:rFonts w:hint="default" w:ascii="Times New Roman" w:hAnsi="Times New Roman" w:eastAsia="宋体" w:cs="Times New Roman"/>
                      <w:bCs/>
                      <w:color w:val="auto"/>
                      <w:spacing w:val="4"/>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 xml:space="preserve">0.1395 </w:t>
                  </w:r>
                </w:p>
              </w:tc>
              <w:tc>
                <w:tcPr>
                  <w:tcW w:w="391" w:type="pct"/>
                  <w:vMerge w:val="continue"/>
                  <w:noWrap w:val="0"/>
                  <w:vAlign w:val="center"/>
                </w:tcPr>
                <w:p w14:paraId="7AC58C6B">
                  <w:pPr>
                    <w:widowControl/>
                    <w:adjustRightInd w:val="0"/>
                    <w:snapToGrid w:val="0"/>
                    <w:spacing w:line="240" w:lineRule="atLeast"/>
                    <w:jc w:val="center"/>
                    <w:textAlignment w:val="baseline"/>
                    <w:rPr>
                      <w:rFonts w:hint="default" w:ascii="Times New Roman" w:hAnsi="Times New Roman" w:eastAsia="宋体" w:cs="Times New Roman"/>
                      <w:bCs/>
                      <w:color w:val="auto"/>
                      <w:spacing w:val="4"/>
                      <w:kern w:val="0"/>
                      <w:sz w:val="21"/>
                      <w:szCs w:val="21"/>
                      <w:lang w:bidi="ar"/>
                    </w:rPr>
                  </w:pPr>
                </w:p>
              </w:tc>
              <w:tc>
                <w:tcPr>
                  <w:tcW w:w="531" w:type="pct"/>
                  <w:vMerge w:val="continue"/>
                  <w:noWrap w:val="0"/>
                  <w:vAlign w:val="center"/>
                </w:tcPr>
                <w:p w14:paraId="5864428A">
                  <w:pPr>
                    <w:widowControl/>
                    <w:contextualSpacing/>
                    <w:jc w:val="center"/>
                    <w:rPr>
                      <w:rFonts w:hint="default" w:ascii="Times New Roman" w:hAnsi="Times New Roman" w:eastAsia="宋体" w:cs="Times New Roman"/>
                      <w:bCs/>
                      <w:color w:val="auto"/>
                      <w:spacing w:val="4"/>
                      <w:kern w:val="0"/>
                      <w:sz w:val="21"/>
                      <w:szCs w:val="21"/>
                      <w:lang w:bidi="ar-SA"/>
                    </w:rPr>
                  </w:pPr>
                </w:p>
              </w:tc>
              <w:tc>
                <w:tcPr>
                  <w:tcW w:w="538" w:type="pct"/>
                  <w:noWrap w:val="0"/>
                  <w:vAlign w:val="center"/>
                </w:tcPr>
                <w:p w14:paraId="5ADBC68A">
                  <w:pPr>
                    <w:keepNext w:val="0"/>
                    <w:keepLines w:val="0"/>
                    <w:widowControl/>
                    <w:suppressLineNumbers w:val="0"/>
                    <w:jc w:val="center"/>
                    <w:textAlignment w:val="center"/>
                    <w:rPr>
                      <w:rFonts w:hint="default" w:ascii="Times New Roman" w:hAnsi="Times New Roman" w:eastAsia="宋体" w:cs="Times New Roman"/>
                      <w:color w:val="auto"/>
                      <w:kern w:val="0"/>
                      <w:sz w:val="21"/>
                      <w:szCs w:val="21"/>
                      <w:lang w:bidi="ar-SA"/>
                    </w:rPr>
                  </w:pPr>
                  <w:r>
                    <w:rPr>
                      <w:rFonts w:hint="default" w:ascii="Times New Roman" w:hAnsi="Times New Roman" w:eastAsia="宋体" w:cs="Times New Roman"/>
                      <w:i w:val="0"/>
                      <w:iCs w:val="0"/>
                      <w:color w:val="auto"/>
                      <w:kern w:val="0"/>
                      <w:sz w:val="21"/>
                      <w:szCs w:val="21"/>
                      <w:u w:val="none"/>
                      <w:lang w:val="en-US" w:eastAsia="zh-CN" w:bidi="ar"/>
                    </w:rPr>
                    <w:t>2</w:t>
                  </w:r>
                  <w:r>
                    <w:rPr>
                      <w:rFonts w:hint="eastAsia" w:cs="Times New Roman"/>
                      <w:i w:val="0"/>
                      <w:iCs w:val="0"/>
                      <w:color w:val="auto"/>
                      <w:kern w:val="0"/>
                      <w:sz w:val="21"/>
                      <w:szCs w:val="21"/>
                      <w:u w:val="none"/>
                      <w:lang w:val="en-US" w:eastAsia="zh-CN" w:bidi="ar"/>
                    </w:rPr>
                    <w:t>5</w:t>
                  </w:r>
                  <w:r>
                    <w:rPr>
                      <w:rFonts w:hint="default" w:ascii="Times New Roman" w:hAnsi="Times New Roman" w:eastAsia="宋体" w:cs="Times New Roman"/>
                      <w:i w:val="0"/>
                      <w:iCs w:val="0"/>
                      <w:color w:val="auto"/>
                      <w:kern w:val="0"/>
                      <w:sz w:val="21"/>
                      <w:szCs w:val="21"/>
                      <w:u w:val="none"/>
                      <w:lang w:val="en-US" w:eastAsia="zh-CN" w:bidi="ar"/>
                    </w:rPr>
                    <w:t>0</w:t>
                  </w:r>
                </w:p>
              </w:tc>
              <w:tc>
                <w:tcPr>
                  <w:tcW w:w="407" w:type="pct"/>
                  <w:noWrap w:val="0"/>
                  <w:vAlign w:val="center"/>
                </w:tcPr>
                <w:p w14:paraId="72AD0A21">
                  <w:pPr>
                    <w:keepNext w:val="0"/>
                    <w:keepLines w:val="0"/>
                    <w:widowControl/>
                    <w:suppressLineNumbers w:val="0"/>
                    <w:jc w:val="center"/>
                    <w:textAlignment w:val="center"/>
                    <w:rPr>
                      <w:rFonts w:hint="default" w:ascii="Times New Roman" w:hAnsi="Times New Roman" w:eastAsia="宋体" w:cs="Times New Roman"/>
                      <w:bCs/>
                      <w:color w:val="auto"/>
                      <w:spacing w:val="4"/>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0.1395</w:t>
                  </w:r>
                </w:p>
              </w:tc>
              <w:tc>
                <w:tcPr>
                  <w:tcW w:w="1062" w:type="pct"/>
                  <w:vMerge w:val="continue"/>
                  <w:noWrap w:val="0"/>
                  <w:vAlign w:val="center"/>
                </w:tcPr>
                <w:p w14:paraId="7D74415F">
                  <w:pPr>
                    <w:widowControl/>
                    <w:adjustRightInd w:val="0"/>
                    <w:snapToGrid w:val="0"/>
                    <w:spacing w:line="240" w:lineRule="atLeast"/>
                    <w:jc w:val="center"/>
                    <w:textAlignment w:val="baseline"/>
                    <w:rPr>
                      <w:rFonts w:hint="default" w:ascii="Times New Roman" w:hAnsi="Times New Roman" w:eastAsia="宋体" w:cs="Times New Roman"/>
                      <w:bCs/>
                      <w:color w:val="auto"/>
                      <w:spacing w:val="4"/>
                      <w:kern w:val="0"/>
                      <w:sz w:val="21"/>
                      <w:szCs w:val="21"/>
                      <w:lang w:bidi="ar"/>
                    </w:rPr>
                  </w:pPr>
                </w:p>
              </w:tc>
            </w:tr>
            <w:tr w14:paraId="6C6209D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23" w:hRule="atLeast"/>
              </w:trPr>
              <w:tc>
                <w:tcPr>
                  <w:tcW w:w="210" w:type="pct"/>
                  <w:vMerge w:val="continue"/>
                  <w:noWrap w:val="0"/>
                  <w:vAlign w:val="center"/>
                </w:tcPr>
                <w:p w14:paraId="2A387A55">
                  <w:pPr>
                    <w:jc w:val="center"/>
                    <w:rPr>
                      <w:rFonts w:hint="default" w:ascii="Times New Roman" w:hAnsi="Times New Roman" w:eastAsia="宋体" w:cs="Times New Roman"/>
                      <w:color w:val="auto"/>
                      <w:sz w:val="21"/>
                      <w:szCs w:val="21"/>
                      <w:lang w:bidi="ar-SA"/>
                    </w:rPr>
                  </w:pPr>
                </w:p>
              </w:tc>
              <w:tc>
                <w:tcPr>
                  <w:tcW w:w="392" w:type="pct"/>
                  <w:vMerge w:val="continue"/>
                  <w:noWrap w:val="0"/>
                  <w:vAlign w:val="center"/>
                </w:tcPr>
                <w:p w14:paraId="4B571F10">
                  <w:pPr>
                    <w:widowControl/>
                    <w:contextualSpacing/>
                    <w:jc w:val="center"/>
                    <w:rPr>
                      <w:rFonts w:hint="default" w:ascii="Times New Roman" w:hAnsi="Times New Roman" w:eastAsia="宋体" w:cs="Times New Roman"/>
                      <w:color w:val="auto"/>
                      <w:sz w:val="21"/>
                      <w:szCs w:val="21"/>
                      <w:lang w:bidi="ar-SA"/>
                    </w:rPr>
                  </w:pPr>
                </w:p>
              </w:tc>
              <w:tc>
                <w:tcPr>
                  <w:tcW w:w="538" w:type="pct"/>
                  <w:noWrap w:val="0"/>
                  <w:vAlign w:val="center"/>
                </w:tcPr>
                <w:p w14:paraId="5765D5D5">
                  <w:pPr>
                    <w:keepNext w:val="0"/>
                    <w:keepLines w:val="0"/>
                    <w:widowControl/>
                    <w:suppressLineNumbers w:val="0"/>
                    <w:jc w:val="center"/>
                    <w:textAlignment w:val="center"/>
                    <w:rPr>
                      <w:rFonts w:hint="default" w:ascii="Times New Roman" w:hAnsi="Times New Roman" w:eastAsia="宋体" w:cs="Times New Roman"/>
                      <w:bCs/>
                      <w:color w:val="auto"/>
                      <w:spacing w:val="4"/>
                      <w:kern w:val="0"/>
                      <w:sz w:val="21"/>
                      <w:szCs w:val="21"/>
                      <w:lang w:bidi="ar-SA"/>
                    </w:rPr>
                  </w:pPr>
                  <w:r>
                    <w:rPr>
                      <w:rFonts w:hint="default" w:ascii="Times New Roman" w:hAnsi="Times New Roman" w:eastAsia="宋体" w:cs="Times New Roman"/>
                      <w:i w:val="0"/>
                      <w:iCs w:val="0"/>
                      <w:color w:val="auto"/>
                      <w:kern w:val="0"/>
                      <w:sz w:val="21"/>
                      <w:szCs w:val="21"/>
                      <w:u w:val="none"/>
                      <w:lang w:val="en-US" w:eastAsia="zh-CN" w:bidi="ar"/>
                    </w:rPr>
                    <w:t>NH</w:t>
                  </w:r>
                  <w:r>
                    <w:rPr>
                      <w:rStyle w:val="113"/>
                      <w:rFonts w:eastAsia="宋体"/>
                      <w:color w:val="auto"/>
                      <w:sz w:val="21"/>
                      <w:szCs w:val="21"/>
                      <w:lang w:val="en-US" w:eastAsia="zh-CN" w:bidi="ar"/>
                    </w:rPr>
                    <w:t>3</w:t>
                  </w:r>
                  <w:r>
                    <w:rPr>
                      <w:rFonts w:hint="default" w:ascii="Times New Roman" w:hAnsi="Times New Roman" w:eastAsia="宋体" w:cs="Times New Roman"/>
                      <w:i w:val="0"/>
                      <w:iCs w:val="0"/>
                      <w:color w:val="auto"/>
                      <w:kern w:val="0"/>
                      <w:sz w:val="21"/>
                      <w:szCs w:val="21"/>
                      <w:u w:val="none"/>
                      <w:lang w:val="en-US" w:eastAsia="zh-CN" w:bidi="ar"/>
                    </w:rPr>
                    <w:t>-N</w:t>
                  </w:r>
                </w:p>
              </w:tc>
              <w:tc>
                <w:tcPr>
                  <w:tcW w:w="504" w:type="pct"/>
                  <w:noWrap w:val="0"/>
                  <w:vAlign w:val="center"/>
                </w:tcPr>
                <w:p w14:paraId="0D83AD7A">
                  <w:pPr>
                    <w:keepNext w:val="0"/>
                    <w:keepLines w:val="0"/>
                    <w:widowControl/>
                    <w:suppressLineNumbers w:val="0"/>
                    <w:jc w:val="center"/>
                    <w:textAlignment w:val="center"/>
                    <w:rPr>
                      <w:rFonts w:hint="default" w:ascii="Times New Roman" w:hAnsi="Times New Roman" w:eastAsia="宋体" w:cs="Times New Roman"/>
                      <w:bCs/>
                      <w:color w:val="auto"/>
                      <w:spacing w:val="4"/>
                      <w:kern w:val="0"/>
                      <w:sz w:val="21"/>
                      <w:szCs w:val="21"/>
                      <w:lang w:bidi="ar-SA"/>
                    </w:rPr>
                  </w:pPr>
                  <w:r>
                    <w:rPr>
                      <w:rFonts w:hint="default" w:ascii="Times New Roman" w:hAnsi="Times New Roman" w:eastAsia="宋体" w:cs="Times New Roman"/>
                      <w:i w:val="0"/>
                      <w:iCs w:val="0"/>
                      <w:color w:val="auto"/>
                      <w:kern w:val="0"/>
                      <w:sz w:val="21"/>
                      <w:szCs w:val="21"/>
                      <w:u w:val="none"/>
                      <w:lang w:val="en-US" w:eastAsia="zh-CN" w:bidi="ar"/>
                    </w:rPr>
                    <w:t>25</w:t>
                  </w:r>
                </w:p>
              </w:tc>
              <w:tc>
                <w:tcPr>
                  <w:tcW w:w="422" w:type="pct"/>
                  <w:noWrap w:val="0"/>
                  <w:vAlign w:val="center"/>
                </w:tcPr>
                <w:p w14:paraId="223B506A">
                  <w:pPr>
                    <w:keepNext w:val="0"/>
                    <w:keepLines w:val="0"/>
                    <w:widowControl/>
                    <w:suppressLineNumbers w:val="0"/>
                    <w:jc w:val="center"/>
                    <w:textAlignment w:val="center"/>
                    <w:rPr>
                      <w:rFonts w:hint="default" w:ascii="Times New Roman" w:hAnsi="Times New Roman" w:eastAsia="宋体" w:cs="Times New Roman"/>
                      <w:bCs/>
                      <w:color w:val="auto"/>
                      <w:spacing w:val="4"/>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 xml:space="preserve">0.0140 </w:t>
                  </w:r>
                </w:p>
              </w:tc>
              <w:tc>
                <w:tcPr>
                  <w:tcW w:w="391" w:type="pct"/>
                  <w:vMerge w:val="continue"/>
                  <w:noWrap w:val="0"/>
                  <w:vAlign w:val="center"/>
                </w:tcPr>
                <w:p w14:paraId="29A0381F">
                  <w:pPr>
                    <w:widowControl/>
                    <w:adjustRightInd w:val="0"/>
                    <w:snapToGrid w:val="0"/>
                    <w:spacing w:line="240" w:lineRule="atLeast"/>
                    <w:jc w:val="center"/>
                    <w:textAlignment w:val="baseline"/>
                    <w:rPr>
                      <w:rFonts w:hint="default" w:ascii="Times New Roman" w:hAnsi="Times New Roman" w:eastAsia="宋体" w:cs="Times New Roman"/>
                      <w:bCs/>
                      <w:color w:val="auto"/>
                      <w:spacing w:val="4"/>
                      <w:kern w:val="0"/>
                      <w:sz w:val="21"/>
                      <w:szCs w:val="21"/>
                      <w:lang w:bidi="ar"/>
                    </w:rPr>
                  </w:pPr>
                </w:p>
              </w:tc>
              <w:tc>
                <w:tcPr>
                  <w:tcW w:w="531" w:type="pct"/>
                  <w:vMerge w:val="continue"/>
                  <w:noWrap w:val="0"/>
                  <w:vAlign w:val="center"/>
                </w:tcPr>
                <w:p w14:paraId="4AE0B57D">
                  <w:pPr>
                    <w:widowControl/>
                    <w:contextualSpacing/>
                    <w:jc w:val="center"/>
                    <w:rPr>
                      <w:rFonts w:hint="default" w:ascii="Times New Roman" w:hAnsi="Times New Roman" w:eastAsia="宋体" w:cs="Times New Roman"/>
                      <w:bCs/>
                      <w:color w:val="auto"/>
                      <w:spacing w:val="4"/>
                      <w:kern w:val="0"/>
                      <w:sz w:val="21"/>
                      <w:szCs w:val="21"/>
                      <w:lang w:bidi="ar-SA"/>
                    </w:rPr>
                  </w:pPr>
                </w:p>
              </w:tc>
              <w:tc>
                <w:tcPr>
                  <w:tcW w:w="538" w:type="pct"/>
                  <w:noWrap w:val="0"/>
                  <w:vAlign w:val="center"/>
                </w:tcPr>
                <w:p w14:paraId="7C8DA435">
                  <w:pPr>
                    <w:keepNext w:val="0"/>
                    <w:keepLines w:val="0"/>
                    <w:widowControl/>
                    <w:suppressLineNumbers w:val="0"/>
                    <w:jc w:val="center"/>
                    <w:textAlignment w:val="center"/>
                    <w:rPr>
                      <w:rFonts w:hint="default" w:ascii="Times New Roman" w:hAnsi="Times New Roman" w:eastAsia="宋体" w:cs="Times New Roman"/>
                      <w:color w:val="auto"/>
                      <w:kern w:val="0"/>
                      <w:sz w:val="21"/>
                      <w:szCs w:val="21"/>
                      <w:lang w:bidi="ar-SA"/>
                    </w:rPr>
                  </w:pPr>
                  <w:r>
                    <w:rPr>
                      <w:rFonts w:hint="default" w:ascii="Times New Roman" w:hAnsi="Times New Roman" w:eastAsia="宋体" w:cs="Times New Roman"/>
                      <w:i w:val="0"/>
                      <w:iCs w:val="0"/>
                      <w:color w:val="auto"/>
                      <w:kern w:val="0"/>
                      <w:sz w:val="21"/>
                      <w:szCs w:val="21"/>
                      <w:u w:val="none"/>
                      <w:lang w:val="en-US" w:eastAsia="zh-CN" w:bidi="ar"/>
                    </w:rPr>
                    <w:t>25</w:t>
                  </w:r>
                </w:p>
              </w:tc>
              <w:tc>
                <w:tcPr>
                  <w:tcW w:w="407" w:type="pct"/>
                  <w:noWrap w:val="0"/>
                  <w:vAlign w:val="center"/>
                </w:tcPr>
                <w:p w14:paraId="2C3C9E9B">
                  <w:pPr>
                    <w:keepNext w:val="0"/>
                    <w:keepLines w:val="0"/>
                    <w:widowControl/>
                    <w:suppressLineNumbers w:val="0"/>
                    <w:jc w:val="center"/>
                    <w:textAlignment w:val="center"/>
                    <w:rPr>
                      <w:rFonts w:hint="default" w:ascii="Times New Roman" w:hAnsi="Times New Roman" w:eastAsia="宋体" w:cs="Times New Roman"/>
                      <w:bCs/>
                      <w:color w:val="auto"/>
                      <w:spacing w:val="4"/>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0.0140</w:t>
                  </w:r>
                </w:p>
              </w:tc>
              <w:tc>
                <w:tcPr>
                  <w:tcW w:w="1062" w:type="pct"/>
                  <w:vMerge w:val="continue"/>
                  <w:noWrap w:val="0"/>
                  <w:vAlign w:val="center"/>
                </w:tcPr>
                <w:p w14:paraId="5066665E">
                  <w:pPr>
                    <w:widowControl/>
                    <w:adjustRightInd w:val="0"/>
                    <w:snapToGrid w:val="0"/>
                    <w:spacing w:line="240" w:lineRule="atLeast"/>
                    <w:jc w:val="center"/>
                    <w:textAlignment w:val="baseline"/>
                    <w:rPr>
                      <w:rFonts w:hint="default" w:ascii="Times New Roman" w:hAnsi="Times New Roman" w:eastAsia="宋体" w:cs="Times New Roman"/>
                      <w:bCs/>
                      <w:color w:val="auto"/>
                      <w:spacing w:val="4"/>
                      <w:kern w:val="0"/>
                      <w:sz w:val="21"/>
                      <w:szCs w:val="21"/>
                      <w:lang w:bidi="ar"/>
                    </w:rPr>
                  </w:pPr>
                </w:p>
              </w:tc>
            </w:tr>
            <w:tr w14:paraId="756FF0F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23" w:hRule="atLeast"/>
              </w:trPr>
              <w:tc>
                <w:tcPr>
                  <w:tcW w:w="210" w:type="pct"/>
                  <w:vMerge w:val="continue"/>
                  <w:noWrap w:val="0"/>
                  <w:vAlign w:val="center"/>
                </w:tcPr>
                <w:p w14:paraId="784CAED0">
                  <w:pPr>
                    <w:jc w:val="center"/>
                    <w:rPr>
                      <w:rFonts w:hint="default" w:ascii="Times New Roman" w:hAnsi="Times New Roman" w:eastAsia="宋体" w:cs="Times New Roman"/>
                      <w:color w:val="auto"/>
                      <w:sz w:val="21"/>
                      <w:szCs w:val="21"/>
                      <w:lang w:bidi="ar-SA"/>
                    </w:rPr>
                  </w:pPr>
                </w:p>
              </w:tc>
              <w:tc>
                <w:tcPr>
                  <w:tcW w:w="392" w:type="pct"/>
                  <w:vMerge w:val="continue"/>
                  <w:noWrap w:val="0"/>
                  <w:vAlign w:val="center"/>
                </w:tcPr>
                <w:p w14:paraId="0DBD99AA">
                  <w:pPr>
                    <w:widowControl/>
                    <w:contextualSpacing/>
                    <w:jc w:val="center"/>
                    <w:rPr>
                      <w:rFonts w:hint="default" w:ascii="Times New Roman" w:hAnsi="Times New Roman" w:eastAsia="宋体" w:cs="Times New Roman"/>
                      <w:color w:val="auto"/>
                      <w:sz w:val="21"/>
                      <w:szCs w:val="21"/>
                      <w:lang w:bidi="ar-SA"/>
                    </w:rPr>
                  </w:pPr>
                </w:p>
              </w:tc>
              <w:tc>
                <w:tcPr>
                  <w:tcW w:w="538" w:type="pct"/>
                  <w:noWrap w:val="0"/>
                  <w:vAlign w:val="center"/>
                </w:tcPr>
                <w:p w14:paraId="5576B1B2">
                  <w:pPr>
                    <w:keepNext w:val="0"/>
                    <w:keepLines w:val="0"/>
                    <w:widowControl/>
                    <w:suppressLineNumbers w:val="0"/>
                    <w:jc w:val="center"/>
                    <w:textAlignment w:val="center"/>
                    <w:rPr>
                      <w:rFonts w:hint="default" w:ascii="Times New Roman" w:hAnsi="Times New Roman" w:eastAsia="宋体" w:cs="Times New Roman"/>
                      <w:bCs/>
                      <w:color w:val="auto"/>
                      <w:spacing w:val="4"/>
                      <w:kern w:val="0"/>
                      <w:sz w:val="21"/>
                      <w:szCs w:val="21"/>
                      <w:lang w:bidi="ar-SA"/>
                    </w:rPr>
                  </w:pPr>
                  <w:r>
                    <w:rPr>
                      <w:rFonts w:hint="default" w:ascii="Times New Roman" w:hAnsi="Times New Roman" w:eastAsia="宋体" w:cs="Times New Roman"/>
                      <w:i w:val="0"/>
                      <w:iCs w:val="0"/>
                      <w:color w:val="auto"/>
                      <w:kern w:val="0"/>
                      <w:sz w:val="21"/>
                      <w:szCs w:val="21"/>
                      <w:u w:val="none"/>
                      <w:lang w:val="en-US" w:eastAsia="zh-CN" w:bidi="ar"/>
                    </w:rPr>
                    <w:t>TP</w:t>
                  </w:r>
                </w:p>
              </w:tc>
              <w:tc>
                <w:tcPr>
                  <w:tcW w:w="504" w:type="pct"/>
                  <w:noWrap w:val="0"/>
                  <w:vAlign w:val="center"/>
                </w:tcPr>
                <w:p w14:paraId="2470E606">
                  <w:pPr>
                    <w:keepNext w:val="0"/>
                    <w:keepLines w:val="0"/>
                    <w:widowControl/>
                    <w:suppressLineNumbers w:val="0"/>
                    <w:jc w:val="center"/>
                    <w:textAlignment w:val="center"/>
                    <w:rPr>
                      <w:rFonts w:hint="default" w:ascii="Times New Roman" w:hAnsi="Times New Roman" w:eastAsia="宋体" w:cs="Times New Roman"/>
                      <w:bCs/>
                      <w:color w:val="auto"/>
                      <w:spacing w:val="4"/>
                      <w:kern w:val="0"/>
                      <w:sz w:val="21"/>
                      <w:szCs w:val="21"/>
                      <w:lang w:bidi="ar-SA"/>
                    </w:rPr>
                  </w:pPr>
                  <w:r>
                    <w:rPr>
                      <w:rFonts w:hint="default" w:ascii="Times New Roman" w:hAnsi="Times New Roman" w:eastAsia="宋体" w:cs="Times New Roman"/>
                      <w:i w:val="0"/>
                      <w:iCs w:val="0"/>
                      <w:color w:val="auto"/>
                      <w:kern w:val="0"/>
                      <w:sz w:val="21"/>
                      <w:szCs w:val="21"/>
                      <w:u w:val="none"/>
                      <w:lang w:val="en-US" w:eastAsia="zh-CN" w:bidi="ar"/>
                    </w:rPr>
                    <w:t>3</w:t>
                  </w:r>
                </w:p>
              </w:tc>
              <w:tc>
                <w:tcPr>
                  <w:tcW w:w="422" w:type="pct"/>
                  <w:noWrap w:val="0"/>
                  <w:vAlign w:val="center"/>
                </w:tcPr>
                <w:p w14:paraId="3130557D">
                  <w:pPr>
                    <w:keepNext w:val="0"/>
                    <w:keepLines w:val="0"/>
                    <w:widowControl/>
                    <w:suppressLineNumbers w:val="0"/>
                    <w:jc w:val="center"/>
                    <w:textAlignment w:val="center"/>
                    <w:rPr>
                      <w:rFonts w:hint="default" w:ascii="Times New Roman" w:hAnsi="Times New Roman" w:eastAsia="宋体" w:cs="Times New Roman"/>
                      <w:bCs/>
                      <w:color w:val="auto"/>
                      <w:spacing w:val="4"/>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 xml:space="preserve">0.0017 </w:t>
                  </w:r>
                </w:p>
              </w:tc>
              <w:tc>
                <w:tcPr>
                  <w:tcW w:w="391" w:type="pct"/>
                  <w:vMerge w:val="continue"/>
                  <w:noWrap w:val="0"/>
                  <w:vAlign w:val="center"/>
                </w:tcPr>
                <w:p w14:paraId="68FE9DEC">
                  <w:pPr>
                    <w:widowControl/>
                    <w:adjustRightInd w:val="0"/>
                    <w:snapToGrid w:val="0"/>
                    <w:spacing w:line="240" w:lineRule="atLeast"/>
                    <w:jc w:val="center"/>
                    <w:textAlignment w:val="baseline"/>
                    <w:rPr>
                      <w:rFonts w:hint="default" w:ascii="Times New Roman" w:hAnsi="Times New Roman" w:eastAsia="宋体" w:cs="Times New Roman"/>
                      <w:bCs/>
                      <w:color w:val="auto"/>
                      <w:spacing w:val="4"/>
                      <w:kern w:val="0"/>
                      <w:sz w:val="21"/>
                      <w:szCs w:val="21"/>
                      <w:lang w:bidi="ar"/>
                    </w:rPr>
                  </w:pPr>
                </w:p>
              </w:tc>
              <w:tc>
                <w:tcPr>
                  <w:tcW w:w="531" w:type="pct"/>
                  <w:vMerge w:val="continue"/>
                  <w:noWrap w:val="0"/>
                  <w:vAlign w:val="center"/>
                </w:tcPr>
                <w:p w14:paraId="22C35845">
                  <w:pPr>
                    <w:widowControl/>
                    <w:contextualSpacing/>
                    <w:jc w:val="center"/>
                    <w:rPr>
                      <w:rFonts w:hint="default" w:ascii="Times New Roman" w:hAnsi="Times New Roman" w:eastAsia="宋体" w:cs="Times New Roman"/>
                      <w:bCs/>
                      <w:color w:val="auto"/>
                      <w:spacing w:val="4"/>
                      <w:kern w:val="0"/>
                      <w:sz w:val="21"/>
                      <w:szCs w:val="21"/>
                      <w:lang w:bidi="ar-SA"/>
                    </w:rPr>
                  </w:pPr>
                </w:p>
              </w:tc>
              <w:tc>
                <w:tcPr>
                  <w:tcW w:w="538" w:type="pct"/>
                  <w:noWrap w:val="0"/>
                  <w:vAlign w:val="center"/>
                </w:tcPr>
                <w:p w14:paraId="26837331">
                  <w:pPr>
                    <w:keepNext w:val="0"/>
                    <w:keepLines w:val="0"/>
                    <w:widowControl/>
                    <w:suppressLineNumbers w:val="0"/>
                    <w:jc w:val="center"/>
                    <w:textAlignment w:val="center"/>
                    <w:rPr>
                      <w:rFonts w:hint="default" w:ascii="Times New Roman" w:hAnsi="Times New Roman" w:eastAsia="宋体" w:cs="Times New Roman"/>
                      <w:color w:val="auto"/>
                      <w:kern w:val="0"/>
                      <w:sz w:val="21"/>
                      <w:szCs w:val="21"/>
                      <w:lang w:bidi="ar-SA"/>
                    </w:rPr>
                  </w:pPr>
                  <w:r>
                    <w:rPr>
                      <w:rFonts w:hint="default" w:ascii="Times New Roman" w:hAnsi="Times New Roman" w:eastAsia="宋体" w:cs="Times New Roman"/>
                      <w:i w:val="0"/>
                      <w:iCs w:val="0"/>
                      <w:color w:val="auto"/>
                      <w:kern w:val="0"/>
                      <w:sz w:val="21"/>
                      <w:szCs w:val="21"/>
                      <w:u w:val="none"/>
                      <w:lang w:val="en-US" w:eastAsia="zh-CN" w:bidi="ar"/>
                    </w:rPr>
                    <w:t>3</w:t>
                  </w:r>
                </w:p>
              </w:tc>
              <w:tc>
                <w:tcPr>
                  <w:tcW w:w="407" w:type="pct"/>
                  <w:noWrap w:val="0"/>
                  <w:vAlign w:val="center"/>
                </w:tcPr>
                <w:p w14:paraId="722620D8">
                  <w:pPr>
                    <w:keepNext w:val="0"/>
                    <w:keepLines w:val="0"/>
                    <w:widowControl/>
                    <w:suppressLineNumbers w:val="0"/>
                    <w:jc w:val="center"/>
                    <w:textAlignment w:val="center"/>
                    <w:rPr>
                      <w:rFonts w:hint="default" w:ascii="Times New Roman" w:hAnsi="Times New Roman" w:eastAsia="宋体" w:cs="Times New Roman"/>
                      <w:bCs/>
                      <w:color w:val="auto"/>
                      <w:spacing w:val="4"/>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0.0017</w:t>
                  </w:r>
                </w:p>
              </w:tc>
              <w:tc>
                <w:tcPr>
                  <w:tcW w:w="1062" w:type="pct"/>
                  <w:vMerge w:val="continue"/>
                  <w:noWrap w:val="0"/>
                  <w:vAlign w:val="center"/>
                </w:tcPr>
                <w:p w14:paraId="04B9002E">
                  <w:pPr>
                    <w:widowControl/>
                    <w:adjustRightInd w:val="0"/>
                    <w:snapToGrid w:val="0"/>
                    <w:spacing w:line="240" w:lineRule="atLeast"/>
                    <w:jc w:val="center"/>
                    <w:textAlignment w:val="baseline"/>
                    <w:rPr>
                      <w:rFonts w:hint="default" w:ascii="Times New Roman" w:hAnsi="Times New Roman" w:eastAsia="宋体" w:cs="Times New Roman"/>
                      <w:bCs/>
                      <w:color w:val="auto"/>
                      <w:spacing w:val="4"/>
                      <w:kern w:val="0"/>
                      <w:sz w:val="21"/>
                      <w:szCs w:val="21"/>
                      <w:lang w:bidi="ar"/>
                    </w:rPr>
                  </w:pPr>
                </w:p>
              </w:tc>
            </w:tr>
            <w:tr w14:paraId="0ACF4CC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23" w:hRule="atLeast"/>
              </w:trPr>
              <w:tc>
                <w:tcPr>
                  <w:tcW w:w="210" w:type="pct"/>
                  <w:vMerge w:val="continue"/>
                  <w:noWrap w:val="0"/>
                  <w:vAlign w:val="center"/>
                </w:tcPr>
                <w:p w14:paraId="13B44543">
                  <w:pPr>
                    <w:jc w:val="center"/>
                    <w:rPr>
                      <w:rFonts w:hint="default" w:ascii="Times New Roman" w:hAnsi="Times New Roman" w:eastAsia="宋体" w:cs="Times New Roman"/>
                      <w:color w:val="auto"/>
                      <w:sz w:val="21"/>
                      <w:szCs w:val="21"/>
                      <w:lang w:bidi="ar-SA"/>
                    </w:rPr>
                  </w:pPr>
                </w:p>
              </w:tc>
              <w:tc>
                <w:tcPr>
                  <w:tcW w:w="392" w:type="pct"/>
                  <w:vMerge w:val="continue"/>
                  <w:noWrap w:val="0"/>
                  <w:vAlign w:val="center"/>
                </w:tcPr>
                <w:p w14:paraId="12C0459D">
                  <w:pPr>
                    <w:widowControl/>
                    <w:contextualSpacing/>
                    <w:jc w:val="center"/>
                    <w:rPr>
                      <w:rFonts w:hint="default" w:ascii="Times New Roman" w:hAnsi="Times New Roman" w:eastAsia="宋体" w:cs="Times New Roman"/>
                      <w:color w:val="auto"/>
                      <w:sz w:val="21"/>
                      <w:szCs w:val="21"/>
                      <w:lang w:bidi="ar-SA"/>
                    </w:rPr>
                  </w:pPr>
                </w:p>
              </w:tc>
              <w:tc>
                <w:tcPr>
                  <w:tcW w:w="538" w:type="pct"/>
                  <w:noWrap w:val="0"/>
                  <w:vAlign w:val="center"/>
                </w:tcPr>
                <w:p w14:paraId="4D5A3040">
                  <w:pPr>
                    <w:keepNext w:val="0"/>
                    <w:keepLines w:val="0"/>
                    <w:widowControl/>
                    <w:suppressLineNumbers w:val="0"/>
                    <w:jc w:val="center"/>
                    <w:textAlignment w:val="center"/>
                    <w:rPr>
                      <w:rFonts w:hint="default" w:ascii="Times New Roman" w:hAnsi="Times New Roman" w:eastAsia="宋体" w:cs="Times New Roman"/>
                      <w:bCs/>
                      <w:color w:val="auto"/>
                      <w:spacing w:val="4"/>
                      <w:kern w:val="0"/>
                      <w:sz w:val="21"/>
                      <w:szCs w:val="21"/>
                      <w:lang w:bidi="ar-SA"/>
                    </w:rPr>
                  </w:pPr>
                  <w:r>
                    <w:rPr>
                      <w:rFonts w:hint="default" w:ascii="Times New Roman" w:hAnsi="Times New Roman" w:eastAsia="宋体" w:cs="Times New Roman"/>
                      <w:i w:val="0"/>
                      <w:iCs w:val="0"/>
                      <w:color w:val="auto"/>
                      <w:kern w:val="0"/>
                      <w:sz w:val="21"/>
                      <w:szCs w:val="21"/>
                      <w:u w:val="none"/>
                      <w:lang w:val="en-US" w:eastAsia="zh-CN" w:bidi="ar"/>
                    </w:rPr>
                    <w:t>TN</w:t>
                  </w:r>
                </w:p>
              </w:tc>
              <w:tc>
                <w:tcPr>
                  <w:tcW w:w="504" w:type="pct"/>
                  <w:noWrap w:val="0"/>
                  <w:vAlign w:val="center"/>
                </w:tcPr>
                <w:p w14:paraId="1DB57CD6">
                  <w:pPr>
                    <w:keepNext w:val="0"/>
                    <w:keepLines w:val="0"/>
                    <w:widowControl/>
                    <w:suppressLineNumbers w:val="0"/>
                    <w:jc w:val="center"/>
                    <w:textAlignment w:val="center"/>
                    <w:rPr>
                      <w:rFonts w:hint="default" w:ascii="Times New Roman" w:hAnsi="Times New Roman" w:eastAsia="宋体" w:cs="Times New Roman"/>
                      <w:bCs/>
                      <w:color w:val="auto"/>
                      <w:spacing w:val="4"/>
                      <w:kern w:val="0"/>
                      <w:sz w:val="21"/>
                      <w:szCs w:val="21"/>
                      <w:lang w:bidi="ar-SA"/>
                    </w:rPr>
                  </w:pPr>
                  <w:r>
                    <w:rPr>
                      <w:rFonts w:hint="default" w:ascii="Times New Roman" w:hAnsi="Times New Roman" w:eastAsia="宋体" w:cs="Times New Roman"/>
                      <w:i w:val="0"/>
                      <w:iCs w:val="0"/>
                      <w:color w:val="auto"/>
                      <w:kern w:val="0"/>
                      <w:sz w:val="21"/>
                      <w:szCs w:val="21"/>
                      <w:u w:val="none"/>
                      <w:lang w:val="en-US" w:eastAsia="zh-CN" w:bidi="ar"/>
                    </w:rPr>
                    <w:t>35</w:t>
                  </w:r>
                </w:p>
              </w:tc>
              <w:tc>
                <w:tcPr>
                  <w:tcW w:w="422" w:type="pct"/>
                  <w:noWrap w:val="0"/>
                  <w:vAlign w:val="center"/>
                </w:tcPr>
                <w:p w14:paraId="516F064E">
                  <w:pPr>
                    <w:keepNext w:val="0"/>
                    <w:keepLines w:val="0"/>
                    <w:widowControl/>
                    <w:suppressLineNumbers w:val="0"/>
                    <w:jc w:val="center"/>
                    <w:textAlignment w:val="center"/>
                    <w:rPr>
                      <w:rFonts w:hint="default" w:ascii="Times New Roman" w:hAnsi="Times New Roman" w:eastAsia="宋体" w:cs="Times New Roman"/>
                      <w:bCs/>
                      <w:color w:val="auto"/>
                      <w:spacing w:val="4"/>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 xml:space="preserve">0.0195 </w:t>
                  </w:r>
                </w:p>
              </w:tc>
              <w:tc>
                <w:tcPr>
                  <w:tcW w:w="391" w:type="pct"/>
                  <w:vMerge w:val="continue"/>
                  <w:noWrap w:val="0"/>
                  <w:vAlign w:val="center"/>
                </w:tcPr>
                <w:p w14:paraId="66468206">
                  <w:pPr>
                    <w:widowControl/>
                    <w:adjustRightInd w:val="0"/>
                    <w:snapToGrid w:val="0"/>
                    <w:spacing w:line="240" w:lineRule="atLeast"/>
                    <w:jc w:val="center"/>
                    <w:textAlignment w:val="baseline"/>
                    <w:rPr>
                      <w:rFonts w:hint="default" w:ascii="Times New Roman" w:hAnsi="Times New Roman" w:eastAsia="宋体" w:cs="Times New Roman"/>
                      <w:bCs/>
                      <w:color w:val="auto"/>
                      <w:spacing w:val="4"/>
                      <w:kern w:val="0"/>
                      <w:sz w:val="21"/>
                      <w:szCs w:val="21"/>
                      <w:lang w:bidi="ar"/>
                    </w:rPr>
                  </w:pPr>
                </w:p>
              </w:tc>
              <w:tc>
                <w:tcPr>
                  <w:tcW w:w="531" w:type="pct"/>
                  <w:vMerge w:val="continue"/>
                  <w:noWrap w:val="0"/>
                  <w:vAlign w:val="center"/>
                </w:tcPr>
                <w:p w14:paraId="0A96FA10">
                  <w:pPr>
                    <w:widowControl/>
                    <w:contextualSpacing/>
                    <w:jc w:val="center"/>
                    <w:rPr>
                      <w:rFonts w:hint="default" w:ascii="Times New Roman" w:hAnsi="Times New Roman" w:eastAsia="宋体" w:cs="Times New Roman"/>
                      <w:bCs/>
                      <w:color w:val="auto"/>
                      <w:spacing w:val="4"/>
                      <w:kern w:val="0"/>
                      <w:sz w:val="21"/>
                      <w:szCs w:val="21"/>
                      <w:lang w:bidi="ar-SA"/>
                    </w:rPr>
                  </w:pPr>
                </w:p>
              </w:tc>
              <w:tc>
                <w:tcPr>
                  <w:tcW w:w="538" w:type="pct"/>
                  <w:noWrap w:val="0"/>
                  <w:vAlign w:val="center"/>
                </w:tcPr>
                <w:p w14:paraId="219C7ECD">
                  <w:pPr>
                    <w:keepNext w:val="0"/>
                    <w:keepLines w:val="0"/>
                    <w:widowControl/>
                    <w:suppressLineNumbers w:val="0"/>
                    <w:jc w:val="center"/>
                    <w:textAlignment w:val="center"/>
                    <w:rPr>
                      <w:rFonts w:hint="default" w:ascii="Times New Roman" w:hAnsi="Times New Roman" w:eastAsia="宋体" w:cs="Times New Roman"/>
                      <w:color w:val="auto"/>
                      <w:kern w:val="0"/>
                      <w:sz w:val="21"/>
                      <w:szCs w:val="21"/>
                      <w:lang w:bidi="ar-SA"/>
                    </w:rPr>
                  </w:pPr>
                  <w:r>
                    <w:rPr>
                      <w:rFonts w:hint="default" w:ascii="Times New Roman" w:hAnsi="Times New Roman" w:eastAsia="宋体" w:cs="Times New Roman"/>
                      <w:i w:val="0"/>
                      <w:iCs w:val="0"/>
                      <w:color w:val="auto"/>
                      <w:kern w:val="0"/>
                      <w:sz w:val="21"/>
                      <w:szCs w:val="21"/>
                      <w:u w:val="none"/>
                      <w:lang w:val="en-US" w:eastAsia="zh-CN" w:bidi="ar"/>
                    </w:rPr>
                    <w:t>35</w:t>
                  </w:r>
                </w:p>
              </w:tc>
              <w:tc>
                <w:tcPr>
                  <w:tcW w:w="407" w:type="pct"/>
                  <w:noWrap w:val="0"/>
                  <w:vAlign w:val="center"/>
                </w:tcPr>
                <w:p w14:paraId="1A6B71F5">
                  <w:pPr>
                    <w:keepNext w:val="0"/>
                    <w:keepLines w:val="0"/>
                    <w:widowControl/>
                    <w:suppressLineNumbers w:val="0"/>
                    <w:jc w:val="center"/>
                    <w:textAlignment w:val="center"/>
                    <w:rPr>
                      <w:rFonts w:hint="default" w:ascii="Times New Roman" w:hAnsi="Times New Roman" w:eastAsia="宋体" w:cs="Times New Roman"/>
                      <w:bCs/>
                      <w:color w:val="auto"/>
                      <w:spacing w:val="4"/>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0.0195</w:t>
                  </w:r>
                </w:p>
              </w:tc>
              <w:tc>
                <w:tcPr>
                  <w:tcW w:w="1062" w:type="pct"/>
                  <w:vMerge w:val="continue"/>
                  <w:noWrap w:val="0"/>
                  <w:vAlign w:val="center"/>
                </w:tcPr>
                <w:p w14:paraId="5D487D31">
                  <w:pPr>
                    <w:widowControl/>
                    <w:adjustRightInd w:val="0"/>
                    <w:snapToGrid w:val="0"/>
                    <w:spacing w:line="240" w:lineRule="atLeast"/>
                    <w:jc w:val="center"/>
                    <w:textAlignment w:val="baseline"/>
                    <w:rPr>
                      <w:rFonts w:hint="default" w:ascii="Times New Roman" w:hAnsi="Times New Roman" w:eastAsia="宋体" w:cs="Times New Roman"/>
                      <w:bCs/>
                      <w:color w:val="auto"/>
                      <w:spacing w:val="4"/>
                      <w:kern w:val="0"/>
                      <w:sz w:val="21"/>
                      <w:szCs w:val="21"/>
                      <w:lang w:bidi="ar"/>
                    </w:rPr>
                  </w:pPr>
                </w:p>
              </w:tc>
            </w:tr>
          </w:tbl>
          <w:p w14:paraId="3DBF8B91">
            <w:pPr>
              <w:ind w:left="425" w:hanging="425"/>
              <w:jc w:val="center"/>
              <w:rPr>
                <w:rFonts w:hint="eastAsia" w:ascii="Times New Roman" w:hAnsi="Times New Roman" w:eastAsia="宋体" w:cs="Times New Roman"/>
                <w:b/>
                <w:bCs/>
                <w:color w:val="auto"/>
                <w:sz w:val="24"/>
                <w:szCs w:val="24"/>
                <w:lang w:bidi="ar-SA"/>
              </w:rPr>
            </w:pPr>
            <w:r>
              <w:rPr>
                <w:rFonts w:hint="default" w:ascii="Times New Roman" w:hAnsi="Times New Roman" w:eastAsia="宋体" w:cs="Times New Roman"/>
                <w:b/>
                <w:bCs/>
                <w:color w:val="auto"/>
                <w:sz w:val="24"/>
                <w:szCs w:val="24"/>
                <w:lang w:bidi="ar-SA"/>
              </w:rPr>
              <w:t>表4-</w:t>
            </w:r>
            <w:r>
              <w:rPr>
                <w:rFonts w:hint="eastAsia" w:cs="Times New Roman"/>
                <w:b/>
                <w:bCs/>
                <w:color w:val="auto"/>
                <w:sz w:val="24"/>
                <w:szCs w:val="24"/>
                <w:lang w:val="en-US" w:eastAsia="zh-CN" w:bidi="ar-SA"/>
              </w:rPr>
              <w:t>11</w:t>
            </w:r>
            <w:r>
              <w:rPr>
                <w:rFonts w:hint="eastAsia" w:ascii="Times New Roman" w:hAnsi="Times New Roman" w:eastAsia="宋体" w:cs="Times New Roman"/>
                <w:b/>
                <w:bCs/>
                <w:color w:val="auto"/>
                <w:sz w:val="24"/>
                <w:szCs w:val="24"/>
                <w:lang w:bidi="ar-SA"/>
              </w:rPr>
              <w:t xml:space="preserve"> </w:t>
            </w:r>
            <w:r>
              <w:rPr>
                <w:rFonts w:hint="eastAsia" w:ascii="Times New Roman" w:hAnsi="Times New Roman" w:cs="Times New Roman"/>
                <w:b/>
                <w:bCs/>
                <w:color w:val="auto"/>
                <w:sz w:val="24"/>
                <w:szCs w:val="24"/>
                <w:lang w:val="en-US" w:eastAsia="zh-CN" w:bidi="ar-SA"/>
              </w:rPr>
              <w:t>扩建</w:t>
            </w:r>
            <w:r>
              <w:rPr>
                <w:rFonts w:hint="eastAsia" w:ascii="Times New Roman" w:hAnsi="Times New Roman" w:eastAsia="宋体" w:cs="Times New Roman"/>
                <w:b/>
                <w:bCs/>
                <w:color w:val="auto"/>
                <w:sz w:val="24"/>
                <w:szCs w:val="24"/>
                <w:lang w:val="en-US" w:eastAsia="zh-CN" w:bidi="ar-SA"/>
              </w:rPr>
              <w:t>后全厂</w:t>
            </w:r>
            <w:r>
              <w:rPr>
                <w:rFonts w:hint="default" w:ascii="Times New Roman" w:hAnsi="Times New Roman" w:eastAsia="宋体" w:cs="Times New Roman"/>
                <w:b/>
                <w:bCs/>
                <w:color w:val="auto"/>
                <w:sz w:val="24"/>
                <w:szCs w:val="24"/>
                <w:lang w:bidi="ar-SA"/>
              </w:rPr>
              <w:t>主要水污染物排放情况</w:t>
            </w:r>
          </w:p>
          <w:tbl>
            <w:tblPr>
              <w:tblStyle w:val="26"/>
              <w:tblW w:w="4998"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28" w:type="dxa"/>
                <w:bottom w:w="0" w:type="dxa"/>
                <w:right w:w="28" w:type="dxa"/>
              </w:tblCellMar>
            </w:tblPr>
            <w:tblGrid>
              <w:gridCol w:w="344"/>
              <w:gridCol w:w="641"/>
              <w:gridCol w:w="878"/>
              <w:gridCol w:w="823"/>
              <w:gridCol w:w="689"/>
              <w:gridCol w:w="455"/>
              <w:gridCol w:w="744"/>
              <w:gridCol w:w="720"/>
              <w:gridCol w:w="972"/>
              <w:gridCol w:w="1892"/>
            </w:tblGrid>
            <w:tr w14:paraId="4E28EE8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20" w:hRule="atLeast"/>
              </w:trPr>
              <w:tc>
                <w:tcPr>
                  <w:tcW w:w="210" w:type="pct"/>
                  <w:vMerge w:val="restart"/>
                  <w:noWrap w:val="0"/>
                  <w:vAlign w:val="center"/>
                </w:tcPr>
                <w:p w14:paraId="5811EC79">
                  <w:pPr>
                    <w:widowControl/>
                    <w:adjustRightInd w:val="0"/>
                    <w:snapToGrid w:val="0"/>
                    <w:spacing w:line="240" w:lineRule="atLeast"/>
                    <w:jc w:val="center"/>
                    <w:textAlignment w:val="baseline"/>
                    <w:rPr>
                      <w:rFonts w:hint="default" w:ascii="Times New Roman" w:hAnsi="Times New Roman" w:eastAsia="宋体" w:cs="Times New Roman"/>
                      <w:b/>
                      <w:color w:val="auto"/>
                      <w:spacing w:val="4"/>
                      <w:kern w:val="0"/>
                      <w:sz w:val="21"/>
                      <w:szCs w:val="21"/>
                      <w:lang w:bidi="ar-SA"/>
                    </w:rPr>
                  </w:pPr>
                  <w:r>
                    <w:rPr>
                      <w:rFonts w:hint="default" w:ascii="Times New Roman" w:hAnsi="Times New Roman" w:eastAsia="宋体" w:cs="Times New Roman"/>
                      <w:b/>
                      <w:color w:val="auto"/>
                      <w:spacing w:val="4"/>
                      <w:kern w:val="0"/>
                      <w:sz w:val="21"/>
                      <w:szCs w:val="21"/>
                      <w:lang w:bidi="ar"/>
                    </w:rPr>
                    <w:t>类别</w:t>
                  </w:r>
                </w:p>
              </w:tc>
              <w:tc>
                <w:tcPr>
                  <w:tcW w:w="392" w:type="pct"/>
                  <w:vMerge w:val="restart"/>
                  <w:noWrap w:val="0"/>
                  <w:vAlign w:val="center"/>
                </w:tcPr>
                <w:p w14:paraId="4F7AFA2D">
                  <w:pPr>
                    <w:widowControl/>
                    <w:adjustRightInd w:val="0"/>
                    <w:snapToGrid w:val="0"/>
                    <w:spacing w:line="240" w:lineRule="atLeast"/>
                    <w:jc w:val="center"/>
                    <w:textAlignment w:val="baseline"/>
                    <w:rPr>
                      <w:rFonts w:hint="default" w:ascii="Times New Roman" w:hAnsi="Times New Roman" w:eastAsia="宋体" w:cs="Times New Roman"/>
                      <w:b/>
                      <w:color w:val="auto"/>
                      <w:spacing w:val="4"/>
                      <w:kern w:val="0"/>
                      <w:sz w:val="21"/>
                      <w:szCs w:val="21"/>
                      <w:lang w:bidi="ar-SA"/>
                    </w:rPr>
                  </w:pPr>
                  <w:r>
                    <w:rPr>
                      <w:rFonts w:hint="default" w:ascii="Times New Roman" w:hAnsi="Times New Roman" w:eastAsia="宋体" w:cs="Times New Roman"/>
                      <w:b/>
                      <w:color w:val="auto"/>
                      <w:spacing w:val="4"/>
                      <w:kern w:val="0"/>
                      <w:sz w:val="21"/>
                      <w:szCs w:val="21"/>
                      <w:lang w:bidi="ar"/>
                    </w:rPr>
                    <w:t>废水量t/a</w:t>
                  </w:r>
                </w:p>
              </w:tc>
              <w:tc>
                <w:tcPr>
                  <w:tcW w:w="538" w:type="pct"/>
                  <w:vMerge w:val="restart"/>
                  <w:noWrap w:val="0"/>
                  <w:vAlign w:val="center"/>
                </w:tcPr>
                <w:p w14:paraId="1FDDF650">
                  <w:pPr>
                    <w:widowControl/>
                    <w:adjustRightInd w:val="0"/>
                    <w:snapToGrid w:val="0"/>
                    <w:spacing w:line="240" w:lineRule="atLeast"/>
                    <w:jc w:val="center"/>
                    <w:textAlignment w:val="baseline"/>
                    <w:rPr>
                      <w:rFonts w:hint="default" w:ascii="Times New Roman" w:hAnsi="Times New Roman" w:eastAsia="宋体" w:cs="Times New Roman"/>
                      <w:b/>
                      <w:color w:val="auto"/>
                      <w:spacing w:val="4"/>
                      <w:kern w:val="0"/>
                      <w:sz w:val="21"/>
                      <w:szCs w:val="21"/>
                      <w:lang w:bidi="ar-SA"/>
                    </w:rPr>
                  </w:pPr>
                  <w:r>
                    <w:rPr>
                      <w:rFonts w:hint="default" w:ascii="Times New Roman" w:hAnsi="Times New Roman" w:eastAsia="宋体" w:cs="Times New Roman"/>
                      <w:b/>
                      <w:color w:val="auto"/>
                      <w:spacing w:val="4"/>
                      <w:kern w:val="0"/>
                      <w:sz w:val="21"/>
                      <w:szCs w:val="21"/>
                      <w:lang w:bidi="ar"/>
                    </w:rPr>
                    <w:t>污染物名称</w:t>
                  </w:r>
                </w:p>
              </w:tc>
              <w:tc>
                <w:tcPr>
                  <w:tcW w:w="926" w:type="pct"/>
                  <w:gridSpan w:val="2"/>
                  <w:noWrap w:val="0"/>
                  <w:vAlign w:val="center"/>
                </w:tcPr>
                <w:p w14:paraId="1A2943EF">
                  <w:pPr>
                    <w:widowControl/>
                    <w:adjustRightInd w:val="0"/>
                    <w:snapToGrid w:val="0"/>
                    <w:spacing w:line="240" w:lineRule="atLeast"/>
                    <w:jc w:val="center"/>
                    <w:textAlignment w:val="baseline"/>
                    <w:rPr>
                      <w:rFonts w:hint="default" w:ascii="Times New Roman" w:hAnsi="Times New Roman" w:eastAsia="宋体" w:cs="Times New Roman"/>
                      <w:b/>
                      <w:color w:val="auto"/>
                      <w:spacing w:val="4"/>
                      <w:kern w:val="0"/>
                      <w:sz w:val="21"/>
                      <w:szCs w:val="21"/>
                      <w:lang w:bidi="ar-SA"/>
                    </w:rPr>
                  </w:pPr>
                  <w:r>
                    <w:rPr>
                      <w:rFonts w:hint="default" w:ascii="Times New Roman" w:hAnsi="Times New Roman" w:eastAsia="宋体" w:cs="Times New Roman"/>
                      <w:b/>
                      <w:color w:val="auto"/>
                      <w:spacing w:val="4"/>
                      <w:kern w:val="0"/>
                      <w:sz w:val="21"/>
                      <w:szCs w:val="21"/>
                      <w:lang w:bidi="ar"/>
                    </w:rPr>
                    <w:t>产生情况</w:t>
                  </w:r>
                </w:p>
              </w:tc>
              <w:tc>
                <w:tcPr>
                  <w:tcW w:w="278" w:type="pct"/>
                  <w:vMerge w:val="restart"/>
                  <w:noWrap w:val="0"/>
                  <w:vAlign w:val="center"/>
                </w:tcPr>
                <w:p w14:paraId="4556B8C0">
                  <w:pPr>
                    <w:widowControl/>
                    <w:adjustRightInd w:val="0"/>
                    <w:snapToGrid w:val="0"/>
                    <w:spacing w:line="240" w:lineRule="atLeast"/>
                    <w:jc w:val="center"/>
                    <w:textAlignment w:val="baseline"/>
                    <w:rPr>
                      <w:rFonts w:hint="default" w:ascii="Times New Roman" w:hAnsi="Times New Roman" w:eastAsia="宋体" w:cs="Times New Roman"/>
                      <w:b/>
                      <w:color w:val="auto"/>
                      <w:spacing w:val="4"/>
                      <w:kern w:val="0"/>
                      <w:sz w:val="21"/>
                      <w:szCs w:val="21"/>
                      <w:lang w:bidi="ar-SA"/>
                    </w:rPr>
                  </w:pPr>
                  <w:r>
                    <w:rPr>
                      <w:rFonts w:hint="default" w:ascii="Times New Roman" w:hAnsi="Times New Roman" w:eastAsia="宋体" w:cs="Times New Roman"/>
                      <w:b/>
                      <w:color w:val="auto"/>
                      <w:spacing w:val="4"/>
                      <w:kern w:val="0"/>
                      <w:sz w:val="21"/>
                      <w:szCs w:val="21"/>
                      <w:lang w:bidi="ar"/>
                    </w:rPr>
                    <w:t>治理措施</w:t>
                  </w:r>
                </w:p>
              </w:tc>
              <w:tc>
                <w:tcPr>
                  <w:tcW w:w="1493" w:type="pct"/>
                  <w:gridSpan w:val="3"/>
                  <w:noWrap w:val="0"/>
                  <w:vAlign w:val="center"/>
                </w:tcPr>
                <w:p w14:paraId="16A2E0DF">
                  <w:pPr>
                    <w:widowControl/>
                    <w:adjustRightInd w:val="0"/>
                    <w:snapToGrid w:val="0"/>
                    <w:spacing w:line="240" w:lineRule="atLeast"/>
                    <w:jc w:val="center"/>
                    <w:textAlignment w:val="baseline"/>
                    <w:rPr>
                      <w:rFonts w:hint="default" w:ascii="Times New Roman" w:hAnsi="Times New Roman" w:eastAsia="宋体" w:cs="Times New Roman"/>
                      <w:b/>
                      <w:color w:val="auto"/>
                      <w:spacing w:val="4"/>
                      <w:kern w:val="0"/>
                      <w:sz w:val="21"/>
                      <w:szCs w:val="21"/>
                      <w:lang w:bidi="ar-SA"/>
                    </w:rPr>
                  </w:pPr>
                  <w:r>
                    <w:rPr>
                      <w:rFonts w:hint="default" w:ascii="Times New Roman" w:hAnsi="Times New Roman" w:eastAsia="宋体" w:cs="Times New Roman"/>
                      <w:b/>
                      <w:color w:val="auto"/>
                      <w:spacing w:val="4"/>
                      <w:kern w:val="0"/>
                      <w:sz w:val="21"/>
                      <w:szCs w:val="21"/>
                      <w:lang w:bidi="ar"/>
                    </w:rPr>
                    <w:t>污染物排放量</w:t>
                  </w:r>
                </w:p>
              </w:tc>
              <w:tc>
                <w:tcPr>
                  <w:tcW w:w="1159" w:type="pct"/>
                  <w:vMerge w:val="restart"/>
                  <w:noWrap w:val="0"/>
                  <w:vAlign w:val="center"/>
                </w:tcPr>
                <w:p w14:paraId="37696577">
                  <w:pPr>
                    <w:widowControl/>
                    <w:adjustRightInd w:val="0"/>
                    <w:snapToGrid w:val="0"/>
                    <w:spacing w:line="240" w:lineRule="atLeast"/>
                    <w:jc w:val="center"/>
                    <w:textAlignment w:val="baseline"/>
                    <w:rPr>
                      <w:rFonts w:hint="default" w:ascii="Times New Roman" w:hAnsi="Times New Roman" w:eastAsia="宋体" w:cs="Times New Roman"/>
                      <w:b/>
                      <w:color w:val="auto"/>
                      <w:spacing w:val="4"/>
                      <w:kern w:val="0"/>
                      <w:sz w:val="21"/>
                      <w:szCs w:val="21"/>
                      <w:lang w:bidi="ar-SA"/>
                    </w:rPr>
                  </w:pPr>
                  <w:r>
                    <w:rPr>
                      <w:rFonts w:hint="default" w:ascii="Times New Roman" w:hAnsi="Times New Roman" w:eastAsia="宋体" w:cs="Times New Roman"/>
                      <w:b/>
                      <w:color w:val="auto"/>
                      <w:spacing w:val="4"/>
                      <w:kern w:val="0"/>
                      <w:sz w:val="21"/>
                      <w:szCs w:val="21"/>
                      <w:lang w:bidi="ar"/>
                    </w:rPr>
                    <w:t>排放方式与去向</w:t>
                  </w:r>
                </w:p>
              </w:tc>
            </w:tr>
            <w:tr w14:paraId="768568C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20" w:hRule="atLeast"/>
              </w:trPr>
              <w:tc>
                <w:tcPr>
                  <w:tcW w:w="210" w:type="pct"/>
                  <w:vMerge w:val="continue"/>
                  <w:noWrap w:val="0"/>
                  <w:vAlign w:val="center"/>
                </w:tcPr>
                <w:p w14:paraId="23BD6CB7">
                  <w:pPr>
                    <w:jc w:val="center"/>
                    <w:rPr>
                      <w:rFonts w:hint="default" w:ascii="Times New Roman" w:hAnsi="Times New Roman" w:eastAsia="宋体" w:cs="Times New Roman"/>
                      <w:color w:val="auto"/>
                      <w:sz w:val="21"/>
                      <w:szCs w:val="21"/>
                      <w:lang w:bidi="ar-SA"/>
                    </w:rPr>
                  </w:pPr>
                </w:p>
              </w:tc>
              <w:tc>
                <w:tcPr>
                  <w:tcW w:w="392" w:type="pct"/>
                  <w:vMerge w:val="continue"/>
                  <w:noWrap w:val="0"/>
                  <w:vAlign w:val="center"/>
                </w:tcPr>
                <w:p w14:paraId="47646167">
                  <w:pPr>
                    <w:jc w:val="center"/>
                    <w:rPr>
                      <w:rFonts w:hint="default" w:ascii="Times New Roman" w:hAnsi="Times New Roman" w:eastAsia="宋体" w:cs="Times New Roman"/>
                      <w:color w:val="auto"/>
                      <w:sz w:val="21"/>
                      <w:szCs w:val="21"/>
                      <w:lang w:bidi="ar-SA"/>
                    </w:rPr>
                  </w:pPr>
                </w:p>
              </w:tc>
              <w:tc>
                <w:tcPr>
                  <w:tcW w:w="538" w:type="pct"/>
                  <w:vMerge w:val="continue"/>
                  <w:noWrap w:val="0"/>
                  <w:vAlign w:val="center"/>
                </w:tcPr>
                <w:p w14:paraId="4B770E32">
                  <w:pPr>
                    <w:jc w:val="center"/>
                    <w:rPr>
                      <w:rFonts w:hint="default" w:ascii="Times New Roman" w:hAnsi="Times New Roman" w:eastAsia="宋体" w:cs="Times New Roman"/>
                      <w:color w:val="auto"/>
                      <w:sz w:val="21"/>
                      <w:szCs w:val="21"/>
                      <w:lang w:bidi="ar-SA"/>
                    </w:rPr>
                  </w:pPr>
                </w:p>
              </w:tc>
              <w:tc>
                <w:tcPr>
                  <w:tcW w:w="504" w:type="pct"/>
                  <w:noWrap w:val="0"/>
                  <w:vAlign w:val="center"/>
                </w:tcPr>
                <w:p w14:paraId="6855DC3C">
                  <w:pPr>
                    <w:widowControl/>
                    <w:adjustRightInd w:val="0"/>
                    <w:snapToGrid w:val="0"/>
                    <w:spacing w:line="240" w:lineRule="atLeast"/>
                    <w:jc w:val="center"/>
                    <w:textAlignment w:val="baseline"/>
                    <w:rPr>
                      <w:rFonts w:hint="default" w:ascii="Times New Roman" w:hAnsi="Times New Roman" w:eastAsia="宋体" w:cs="Times New Roman"/>
                      <w:b/>
                      <w:color w:val="auto"/>
                      <w:spacing w:val="4"/>
                      <w:kern w:val="0"/>
                      <w:sz w:val="21"/>
                      <w:szCs w:val="21"/>
                      <w:lang w:bidi="ar-SA"/>
                    </w:rPr>
                  </w:pPr>
                  <w:r>
                    <w:rPr>
                      <w:rFonts w:hint="default" w:ascii="Times New Roman" w:hAnsi="Times New Roman" w:eastAsia="宋体" w:cs="Times New Roman"/>
                      <w:b/>
                      <w:color w:val="auto"/>
                      <w:spacing w:val="4"/>
                      <w:kern w:val="0"/>
                      <w:sz w:val="21"/>
                      <w:szCs w:val="21"/>
                      <w:lang w:bidi="ar"/>
                    </w:rPr>
                    <w:t>产生浓度mg/L</w:t>
                  </w:r>
                </w:p>
              </w:tc>
              <w:tc>
                <w:tcPr>
                  <w:tcW w:w="422" w:type="pct"/>
                  <w:noWrap w:val="0"/>
                  <w:vAlign w:val="center"/>
                </w:tcPr>
                <w:p w14:paraId="35697801">
                  <w:pPr>
                    <w:widowControl/>
                    <w:adjustRightInd w:val="0"/>
                    <w:snapToGrid w:val="0"/>
                    <w:spacing w:line="240" w:lineRule="atLeast"/>
                    <w:jc w:val="center"/>
                    <w:textAlignment w:val="baseline"/>
                    <w:rPr>
                      <w:rFonts w:hint="default" w:ascii="Times New Roman" w:hAnsi="Times New Roman" w:eastAsia="宋体" w:cs="Times New Roman"/>
                      <w:b/>
                      <w:color w:val="auto"/>
                      <w:spacing w:val="4"/>
                      <w:kern w:val="0"/>
                      <w:sz w:val="21"/>
                      <w:szCs w:val="21"/>
                      <w:lang w:bidi="ar-SA"/>
                    </w:rPr>
                  </w:pPr>
                  <w:r>
                    <w:rPr>
                      <w:rFonts w:hint="default" w:ascii="Times New Roman" w:hAnsi="Times New Roman" w:eastAsia="宋体" w:cs="Times New Roman"/>
                      <w:b/>
                      <w:color w:val="auto"/>
                      <w:spacing w:val="4"/>
                      <w:kern w:val="0"/>
                      <w:sz w:val="21"/>
                      <w:szCs w:val="21"/>
                      <w:lang w:bidi="ar"/>
                    </w:rPr>
                    <w:t>产生量t/a</w:t>
                  </w:r>
                </w:p>
              </w:tc>
              <w:tc>
                <w:tcPr>
                  <w:tcW w:w="278" w:type="pct"/>
                  <w:vMerge w:val="continue"/>
                  <w:noWrap w:val="0"/>
                  <w:vAlign w:val="center"/>
                </w:tcPr>
                <w:p w14:paraId="14FB33D1">
                  <w:pPr>
                    <w:jc w:val="center"/>
                    <w:rPr>
                      <w:rFonts w:hint="default" w:ascii="Times New Roman" w:hAnsi="Times New Roman" w:eastAsia="宋体" w:cs="Times New Roman"/>
                      <w:color w:val="auto"/>
                      <w:sz w:val="21"/>
                      <w:szCs w:val="21"/>
                      <w:lang w:bidi="ar-SA"/>
                    </w:rPr>
                  </w:pPr>
                </w:p>
              </w:tc>
              <w:tc>
                <w:tcPr>
                  <w:tcW w:w="455" w:type="pct"/>
                  <w:noWrap w:val="0"/>
                  <w:vAlign w:val="center"/>
                </w:tcPr>
                <w:p w14:paraId="50B116BA">
                  <w:pPr>
                    <w:widowControl/>
                    <w:adjustRightInd w:val="0"/>
                    <w:snapToGrid w:val="0"/>
                    <w:spacing w:line="240" w:lineRule="atLeast"/>
                    <w:jc w:val="center"/>
                    <w:textAlignment w:val="baseline"/>
                    <w:rPr>
                      <w:rFonts w:hint="eastAsia" w:ascii="Times New Roman" w:hAnsi="Times New Roman" w:eastAsia="宋体" w:cs="Times New Roman"/>
                      <w:b/>
                      <w:color w:val="auto"/>
                      <w:spacing w:val="4"/>
                      <w:kern w:val="0"/>
                      <w:sz w:val="21"/>
                      <w:szCs w:val="21"/>
                      <w:lang w:bidi="ar-SA"/>
                    </w:rPr>
                  </w:pPr>
                  <w:r>
                    <w:rPr>
                      <w:rFonts w:hint="default" w:ascii="Times New Roman" w:hAnsi="Times New Roman" w:eastAsia="宋体" w:cs="Times New Roman"/>
                      <w:b/>
                      <w:color w:val="auto"/>
                      <w:spacing w:val="4"/>
                      <w:kern w:val="0"/>
                      <w:sz w:val="21"/>
                      <w:szCs w:val="21"/>
                      <w:lang w:bidi="ar"/>
                    </w:rPr>
                    <w:t>排放</w:t>
                  </w:r>
                  <w:r>
                    <w:rPr>
                      <w:rFonts w:hint="eastAsia" w:ascii="Times New Roman" w:hAnsi="Times New Roman" w:eastAsia="宋体" w:cs="Times New Roman"/>
                      <w:b/>
                      <w:color w:val="auto"/>
                      <w:spacing w:val="4"/>
                      <w:kern w:val="0"/>
                      <w:sz w:val="21"/>
                      <w:szCs w:val="21"/>
                      <w:lang w:bidi="ar"/>
                    </w:rPr>
                    <w:t>废水量t/a</w:t>
                  </w:r>
                </w:p>
              </w:tc>
              <w:tc>
                <w:tcPr>
                  <w:tcW w:w="441" w:type="pct"/>
                  <w:noWrap w:val="0"/>
                  <w:vAlign w:val="center"/>
                </w:tcPr>
                <w:p w14:paraId="0546B2B3">
                  <w:pPr>
                    <w:widowControl/>
                    <w:adjustRightInd w:val="0"/>
                    <w:snapToGrid w:val="0"/>
                    <w:spacing w:line="240" w:lineRule="atLeast"/>
                    <w:jc w:val="center"/>
                    <w:textAlignment w:val="baseline"/>
                    <w:rPr>
                      <w:rFonts w:hint="default" w:ascii="Times New Roman" w:hAnsi="Times New Roman" w:eastAsia="宋体" w:cs="Times New Roman"/>
                      <w:b/>
                      <w:color w:val="auto"/>
                      <w:spacing w:val="4"/>
                      <w:kern w:val="0"/>
                      <w:sz w:val="21"/>
                      <w:szCs w:val="21"/>
                      <w:lang w:bidi="ar"/>
                    </w:rPr>
                  </w:pPr>
                  <w:r>
                    <w:rPr>
                      <w:rFonts w:hint="default" w:ascii="Times New Roman" w:hAnsi="Times New Roman" w:eastAsia="宋体" w:cs="Times New Roman"/>
                      <w:b/>
                      <w:color w:val="auto"/>
                      <w:spacing w:val="4"/>
                      <w:kern w:val="0"/>
                      <w:sz w:val="21"/>
                      <w:szCs w:val="21"/>
                      <w:lang w:bidi="ar"/>
                    </w:rPr>
                    <w:t>排放浓度mg/L</w:t>
                  </w:r>
                </w:p>
              </w:tc>
              <w:tc>
                <w:tcPr>
                  <w:tcW w:w="595" w:type="pct"/>
                  <w:noWrap w:val="0"/>
                  <w:vAlign w:val="center"/>
                </w:tcPr>
                <w:p w14:paraId="1CC696B4">
                  <w:pPr>
                    <w:widowControl/>
                    <w:adjustRightInd w:val="0"/>
                    <w:snapToGrid w:val="0"/>
                    <w:spacing w:line="240" w:lineRule="atLeast"/>
                    <w:jc w:val="center"/>
                    <w:textAlignment w:val="baseline"/>
                    <w:rPr>
                      <w:rFonts w:hint="eastAsia" w:ascii="Times New Roman" w:hAnsi="Times New Roman" w:eastAsia="宋体" w:cs="Times New Roman"/>
                      <w:b/>
                      <w:color w:val="auto"/>
                      <w:spacing w:val="4"/>
                      <w:kern w:val="0"/>
                      <w:sz w:val="21"/>
                      <w:szCs w:val="21"/>
                      <w:lang w:bidi="ar-SA"/>
                    </w:rPr>
                  </w:pPr>
                  <w:r>
                    <w:rPr>
                      <w:rFonts w:hint="default" w:ascii="Times New Roman" w:hAnsi="Times New Roman" w:eastAsia="宋体" w:cs="Times New Roman"/>
                      <w:b/>
                      <w:color w:val="auto"/>
                      <w:spacing w:val="4"/>
                      <w:kern w:val="0"/>
                      <w:sz w:val="21"/>
                      <w:szCs w:val="21"/>
                      <w:lang w:bidi="ar"/>
                    </w:rPr>
                    <w:t>排放量t/a</w:t>
                  </w:r>
                </w:p>
              </w:tc>
              <w:tc>
                <w:tcPr>
                  <w:tcW w:w="1159" w:type="pct"/>
                  <w:vMerge w:val="continue"/>
                  <w:noWrap w:val="0"/>
                  <w:vAlign w:val="center"/>
                </w:tcPr>
                <w:p w14:paraId="1C70C78B">
                  <w:pPr>
                    <w:jc w:val="center"/>
                    <w:rPr>
                      <w:rFonts w:hint="default" w:ascii="Times New Roman" w:hAnsi="Times New Roman" w:eastAsia="宋体" w:cs="Times New Roman"/>
                      <w:color w:val="auto"/>
                      <w:sz w:val="21"/>
                      <w:szCs w:val="21"/>
                      <w:lang w:bidi="ar-SA"/>
                    </w:rPr>
                  </w:pPr>
                </w:p>
              </w:tc>
            </w:tr>
            <w:tr w14:paraId="2229EE1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20" w:hRule="atLeast"/>
              </w:trPr>
              <w:tc>
                <w:tcPr>
                  <w:tcW w:w="210" w:type="pct"/>
                  <w:vMerge w:val="restart"/>
                  <w:noWrap w:val="0"/>
                  <w:vAlign w:val="center"/>
                </w:tcPr>
                <w:p w14:paraId="1FCDA629">
                  <w:pPr>
                    <w:widowControl/>
                    <w:adjustRightInd w:val="0"/>
                    <w:snapToGrid w:val="0"/>
                    <w:spacing w:line="240" w:lineRule="atLeast"/>
                    <w:jc w:val="center"/>
                    <w:textAlignment w:val="baseline"/>
                    <w:rPr>
                      <w:rFonts w:hint="default" w:ascii="Times New Roman" w:hAnsi="Times New Roman" w:eastAsia="宋体" w:cs="Times New Roman"/>
                      <w:bCs/>
                      <w:color w:val="auto"/>
                      <w:spacing w:val="4"/>
                      <w:kern w:val="0"/>
                      <w:sz w:val="21"/>
                      <w:szCs w:val="21"/>
                      <w:lang w:bidi="ar-SA"/>
                    </w:rPr>
                  </w:pPr>
                  <w:r>
                    <w:rPr>
                      <w:rFonts w:hint="default" w:ascii="Times New Roman" w:hAnsi="Times New Roman" w:eastAsia="宋体" w:cs="Times New Roman"/>
                      <w:bCs/>
                      <w:color w:val="auto"/>
                      <w:spacing w:val="4"/>
                      <w:kern w:val="0"/>
                      <w:sz w:val="21"/>
                      <w:szCs w:val="21"/>
                      <w:lang w:bidi="ar"/>
                    </w:rPr>
                    <w:t>生活污水</w:t>
                  </w:r>
                </w:p>
              </w:tc>
              <w:tc>
                <w:tcPr>
                  <w:tcW w:w="392" w:type="pct"/>
                  <w:vMerge w:val="restart"/>
                  <w:noWrap w:val="0"/>
                  <w:vAlign w:val="center"/>
                </w:tcPr>
                <w:p w14:paraId="7E8242AF">
                  <w:pPr>
                    <w:widowControl/>
                    <w:contextualSpacing/>
                    <w:jc w:val="center"/>
                    <w:rPr>
                      <w:rFonts w:hint="default" w:ascii="Times New Roman" w:hAnsi="Times New Roman" w:eastAsia="宋体" w:cs="Times New Roman"/>
                      <w:bCs/>
                      <w:color w:val="auto"/>
                      <w:spacing w:val="4"/>
                      <w:kern w:val="0"/>
                      <w:sz w:val="21"/>
                      <w:szCs w:val="21"/>
                      <w:lang w:val="en-US" w:eastAsia="zh-CN" w:bidi="ar-SA"/>
                    </w:rPr>
                  </w:pPr>
                  <w:r>
                    <w:rPr>
                      <w:rFonts w:hint="eastAsia" w:cs="Times New Roman"/>
                      <w:bCs/>
                      <w:color w:val="auto"/>
                      <w:spacing w:val="4"/>
                      <w:kern w:val="0"/>
                      <w:sz w:val="21"/>
                      <w:szCs w:val="21"/>
                      <w:lang w:val="en-US" w:eastAsia="zh-CN" w:bidi="ar-SA"/>
                    </w:rPr>
                    <w:t>21</w:t>
                  </w:r>
                  <w:r>
                    <w:rPr>
                      <w:rFonts w:hint="default" w:ascii="Times New Roman" w:hAnsi="Times New Roman" w:eastAsia="宋体" w:cs="Times New Roman"/>
                      <w:bCs/>
                      <w:color w:val="auto"/>
                      <w:spacing w:val="4"/>
                      <w:kern w:val="0"/>
                      <w:sz w:val="21"/>
                      <w:szCs w:val="21"/>
                      <w:lang w:val="en-US" w:eastAsia="zh-CN" w:bidi="ar-SA"/>
                    </w:rPr>
                    <w:t>58</w:t>
                  </w:r>
                </w:p>
              </w:tc>
              <w:tc>
                <w:tcPr>
                  <w:tcW w:w="538" w:type="pct"/>
                  <w:noWrap w:val="0"/>
                  <w:vAlign w:val="center"/>
                </w:tcPr>
                <w:p w14:paraId="0560D080">
                  <w:pPr>
                    <w:widowControl/>
                    <w:contextualSpacing/>
                    <w:jc w:val="center"/>
                    <w:rPr>
                      <w:rFonts w:hint="default" w:ascii="Times New Roman" w:hAnsi="Times New Roman" w:eastAsia="宋体" w:cs="Times New Roman"/>
                      <w:bCs/>
                      <w:color w:val="auto"/>
                      <w:spacing w:val="4"/>
                      <w:kern w:val="0"/>
                      <w:sz w:val="21"/>
                      <w:szCs w:val="21"/>
                      <w:lang w:bidi="ar-SA"/>
                    </w:rPr>
                  </w:pPr>
                  <w:r>
                    <w:rPr>
                      <w:rFonts w:hint="default" w:ascii="Times New Roman" w:hAnsi="Times New Roman" w:eastAsia="宋体" w:cs="Times New Roman"/>
                      <w:color w:val="auto"/>
                      <w:kern w:val="0"/>
                      <w:sz w:val="21"/>
                      <w:szCs w:val="21"/>
                      <w:lang w:bidi="ar-SA"/>
                    </w:rPr>
                    <w:t>pH</w:t>
                  </w:r>
                </w:p>
              </w:tc>
              <w:tc>
                <w:tcPr>
                  <w:tcW w:w="926" w:type="pct"/>
                  <w:gridSpan w:val="2"/>
                  <w:noWrap w:val="0"/>
                  <w:vAlign w:val="center"/>
                </w:tcPr>
                <w:p w14:paraId="39D287FB">
                  <w:pPr>
                    <w:widowControl/>
                    <w:contextualSpacing/>
                    <w:jc w:val="center"/>
                    <w:rPr>
                      <w:rFonts w:hint="default" w:ascii="Times New Roman" w:hAnsi="Times New Roman" w:eastAsia="宋体" w:cs="Times New Roman"/>
                      <w:bCs/>
                      <w:color w:val="auto"/>
                      <w:spacing w:val="4"/>
                      <w:kern w:val="0"/>
                      <w:sz w:val="21"/>
                      <w:szCs w:val="21"/>
                      <w:lang w:bidi="ar-SA"/>
                    </w:rPr>
                  </w:pPr>
                  <w:r>
                    <w:rPr>
                      <w:rFonts w:hint="default" w:ascii="Times New Roman" w:hAnsi="Times New Roman" w:eastAsia="宋体" w:cs="Times New Roman"/>
                      <w:color w:val="auto"/>
                      <w:kern w:val="0"/>
                      <w:sz w:val="21"/>
                      <w:szCs w:val="21"/>
                      <w:lang w:bidi="ar-SA"/>
                    </w:rPr>
                    <w:t>6~9（无量纲）</w:t>
                  </w:r>
                </w:p>
              </w:tc>
              <w:tc>
                <w:tcPr>
                  <w:tcW w:w="278" w:type="pct"/>
                  <w:vMerge w:val="restart"/>
                  <w:noWrap w:val="0"/>
                  <w:vAlign w:val="center"/>
                </w:tcPr>
                <w:p w14:paraId="26EB42EA">
                  <w:pPr>
                    <w:widowControl/>
                    <w:adjustRightInd w:val="0"/>
                    <w:snapToGrid w:val="0"/>
                    <w:spacing w:line="240" w:lineRule="atLeast"/>
                    <w:jc w:val="center"/>
                    <w:textAlignment w:val="baseline"/>
                    <w:rPr>
                      <w:rFonts w:hint="default" w:ascii="Times New Roman" w:hAnsi="Times New Roman" w:eastAsia="宋体" w:cs="Times New Roman"/>
                      <w:bCs/>
                      <w:color w:val="auto"/>
                      <w:spacing w:val="4"/>
                      <w:kern w:val="0"/>
                      <w:sz w:val="21"/>
                      <w:szCs w:val="21"/>
                      <w:lang w:bidi="ar"/>
                    </w:rPr>
                  </w:pPr>
                  <w:r>
                    <w:rPr>
                      <w:rFonts w:hint="default" w:ascii="Times New Roman" w:hAnsi="Times New Roman" w:eastAsia="宋体" w:cs="Times New Roman"/>
                      <w:bCs/>
                      <w:color w:val="auto"/>
                      <w:spacing w:val="4"/>
                      <w:kern w:val="0"/>
                      <w:sz w:val="21"/>
                      <w:szCs w:val="21"/>
                      <w:lang w:bidi="ar"/>
                    </w:rPr>
                    <w:t>化粪池</w:t>
                  </w:r>
                </w:p>
              </w:tc>
              <w:tc>
                <w:tcPr>
                  <w:tcW w:w="455" w:type="pct"/>
                  <w:vMerge w:val="restart"/>
                  <w:noWrap w:val="0"/>
                  <w:vAlign w:val="center"/>
                </w:tcPr>
                <w:p w14:paraId="25124C71">
                  <w:pPr>
                    <w:widowControl/>
                    <w:contextualSpacing/>
                    <w:jc w:val="center"/>
                    <w:rPr>
                      <w:rFonts w:hint="default" w:ascii="Times New Roman" w:hAnsi="Times New Roman" w:eastAsia="宋体" w:cs="Times New Roman"/>
                      <w:bCs/>
                      <w:color w:val="auto"/>
                      <w:spacing w:val="4"/>
                      <w:kern w:val="0"/>
                      <w:sz w:val="21"/>
                      <w:szCs w:val="21"/>
                      <w:lang w:val="en-US" w:eastAsia="zh-CN" w:bidi="ar-SA"/>
                    </w:rPr>
                  </w:pPr>
                  <w:r>
                    <w:rPr>
                      <w:rFonts w:hint="eastAsia" w:cs="Times New Roman"/>
                      <w:bCs/>
                      <w:color w:val="auto"/>
                      <w:spacing w:val="4"/>
                      <w:kern w:val="0"/>
                      <w:sz w:val="21"/>
                      <w:szCs w:val="21"/>
                      <w:lang w:val="en-US" w:eastAsia="zh-CN" w:bidi="ar-SA"/>
                    </w:rPr>
                    <w:t>21</w:t>
                  </w:r>
                  <w:r>
                    <w:rPr>
                      <w:rFonts w:hint="default" w:ascii="Times New Roman" w:hAnsi="Times New Roman" w:eastAsia="宋体" w:cs="Times New Roman"/>
                      <w:bCs/>
                      <w:color w:val="auto"/>
                      <w:spacing w:val="4"/>
                      <w:kern w:val="0"/>
                      <w:sz w:val="21"/>
                      <w:szCs w:val="21"/>
                      <w:lang w:val="en-US" w:eastAsia="zh-CN" w:bidi="ar-SA"/>
                    </w:rPr>
                    <w:t>58</w:t>
                  </w:r>
                </w:p>
              </w:tc>
              <w:tc>
                <w:tcPr>
                  <w:tcW w:w="1037" w:type="pct"/>
                  <w:gridSpan w:val="2"/>
                  <w:noWrap w:val="0"/>
                  <w:vAlign w:val="center"/>
                </w:tcPr>
                <w:p w14:paraId="216FF918">
                  <w:pPr>
                    <w:widowControl/>
                    <w:adjustRightInd w:val="0"/>
                    <w:snapToGrid w:val="0"/>
                    <w:spacing w:line="240" w:lineRule="atLeast"/>
                    <w:jc w:val="center"/>
                    <w:textAlignment w:val="baseline"/>
                    <w:rPr>
                      <w:rFonts w:hint="default" w:ascii="Times New Roman" w:hAnsi="Times New Roman" w:eastAsia="宋体" w:cs="Times New Roman"/>
                      <w:color w:val="auto"/>
                      <w:sz w:val="24"/>
                      <w:szCs w:val="24"/>
                      <w:lang w:bidi="ar-SA"/>
                    </w:rPr>
                  </w:pPr>
                  <w:r>
                    <w:rPr>
                      <w:rFonts w:hint="default" w:ascii="Times New Roman" w:hAnsi="Times New Roman" w:eastAsia="宋体" w:cs="Times New Roman"/>
                      <w:bCs/>
                      <w:color w:val="auto"/>
                      <w:spacing w:val="4"/>
                      <w:kern w:val="0"/>
                      <w:sz w:val="21"/>
                      <w:szCs w:val="21"/>
                      <w:lang w:bidi="ar"/>
                    </w:rPr>
                    <w:t>6-9（无量纲）</w:t>
                  </w:r>
                </w:p>
              </w:tc>
              <w:tc>
                <w:tcPr>
                  <w:tcW w:w="1159" w:type="pct"/>
                  <w:vMerge w:val="restart"/>
                  <w:noWrap w:val="0"/>
                  <w:vAlign w:val="center"/>
                </w:tcPr>
                <w:p w14:paraId="38169A2C">
                  <w:pPr>
                    <w:widowControl/>
                    <w:adjustRightInd w:val="0"/>
                    <w:snapToGrid w:val="0"/>
                    <w:spacing w:line="240" w:lineRule="atLeast"/>
                    <w:jc w:val="center"/>
                    <w:textAlignment w:val="baseline"/>
                    <w:rPr>
                      <w:rFonts w:hint="default" w:ascii="Times New Roman" w:hAnsi="Times New Roman" w:eastAsia="宋体" w:cs="Times New Roman"/>
                      <w:bCs/>
                      <w:color w:val="auto"/>
                      <w:spacing w:val="4"/>
                      <w:kern w:val="0"/>
                      <w:sz w:val="21"/>
                      <w:szCs w:val="21"/>
                      <w:lang w:bidi="ar"/>
                    </w:rPr>
                  </w:pPr>
                  <w:r>
                    <w:rPr>
                      <w:rFonts w:hint="default" w:ascii="Times New Roman" w:hAnsi="Times New Roman" w:eastAsia="宋体" w:cs="Times New Roman"/>
                      <w:bCs/>
                      <w:color w:val="auto"/>
                      <w:spacing w:val="4"/>
                      <w:kern w:val="0"/>
                      <w:sz w:val="21"/>
                      <w:szCs w:val="21"/>
                      <w:lang w:bidi="ar"/>
                    </w:rPr>
                    <w:t>接管至鹰泰水务海安有限公司处理，处理后的达标尾水排入栟茶运河</w:t>
                  </w:r>
                </w:p>
              </w:tc>
            </w:tr>
            <w:tr w14:paraId="0579CE2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90" w:hRule="atLeast"/>
              </w:trPr>
              <w:tc>
                <w:tcPr>
                  <w:tcW w:w="210" w:type="pct"/>
                  <w:vMerge w:val="continue"/>
                  <w:noWrap w:val="0"/>
                  <w:vAlign w:val="center"/>
                </w:tcPr>
                <w:p w14:paraId="1FB70A89">
                  <w:pPr>
                    <w:jc w:val="center"/>
                    <w:rPr>
                      <w:rFonts w:hint="default" w:ascii="Times New Roman" w:hAnsi="Times New Roman" w:eastAsia="宋体" w:cs="Times New Roman"/>
                      <w:color w:val="auto"/>
                      <w:sz w:val="21"/>
                      <w:szCs w:val="21"/>
                      <w:lang w:bidi="ar-SA"/>
                    </w:rPr>
                  </w:pPr>
                </w:p>
              </w:tc>
              <w:tc>
                <w:tcPr>
                  <w:tcW w:w="392" w:type="pct"/>
                  <w:vMerge w:val="continue"/>
                  <w:noWrap w:val="0"/>
                  <w:vAlign w:val="center"/>
                </w:tcPr>
                <w:p w14:paraId="0120FB7D">
                  <w:pPr>
                    <w:widowControl/>
                    <w:contextualSpacing/>
                    <w:jc w:val="center"/>
                    <w:rPr>
                      <w:rFonts w:hint="default" w:ascii="Times New Roman" w:hAnsi="Times New Roman" w:eastAsia="宋体" w:cs="Times New Roman"/>
                      <w:color w:val="auto"/>
                      <w:sz w:val="21"/>
                      <w:szCs w:val="21"/>
                      <w:lang w:bidi="ar-SA"/>
                    </w:rPr>
                  </w:pPr>
                </w:p>
              </w:tc>
              <w:tc>
                <w:tcPr>
                  <w:tcW w:w="538" w:type="pct"/>
                  <w:noWrap w:val="0"/>
                  <w:vAlign w:val="center"/>
                </w:tcPr>
                <w:p w14:paraId="0EB09899">
                  <w:pPr>
                    <w:keepNext w:val="0"/>
                    <w:keepLines w:val="0"/>
                    <w:widowControl/>
                    <w:suppressLineNumbers w:val="0"/>
                    <w:jc w:val="center"/>
                    <w:textAlignment w:val="center"/>
                    <w:rPr>
                      <w:rFonts w:hint="default" w:ascii="Times New Roman" w:hAnsi="Times New Roman" w:eastAsia="宋体" w:cs="Times New Roman"/>
                      <w:bCs/>
                      <w:color w:val="auto"/>
                      <w:spacing w:val="4"/>
                      <w:kern w:val="0"/>
                      <w:sz w:val="21"/>
                      <w:szCs w:val="21"/>
                      <w:lang w:bidi="ar-SA"/>
                    </w:rPr>
                  </w:pPr>
                  <w:r>
                    <w:rPr>
                      <w:rFonts w:hint="default" w:ascii="Times New Roman" w:hAnsi="Times New Roman" w:eastAsia="宋体" w:cs="Times New Roman"/>
                      <w:i w:val="0"/>
                      <w:iCs w:val="0"/>
                      <w:color w:val="auto"/>
                      <w:kern w:val="0"/>
                      <w:sz w:val="21"/>
                      <w:szCs w:val="21"/>
                      <w:u w:val="none"/>
                      <w:lang w:val="en-US" w:eastAsia="zh-CN" w:bidi="ar"/>
                    </w:rPr>
                    <w:t>COD</w:t>
                  </w:r>
                </w:p>
              </w:tc>
              <w:tc>
                <w:tcPr>
                  <w:tcW w:w="504" w:type="pct"/>
                  <w:noWrap w:val="0"/>
                  <w:vAlign w:val="center"/>
                </w:tcPr>
                <w:p w14:paraId="3EE5F610">
                  <w:pPr>
                    <w:keepNext w:val="0"/>
                    <w:keepLines w:val="0"/>
                    <w:widowControl/>
                    <w:suppressLineNumbers w:val="0"/>
                    <w:jc w:val="center"/>
                    <w:textAlignment w:val="center"/>
                    <w:rPr>
                      <w:rFonts w:hint="default" w:ascii="Times New Roman" w:hAnsi="Times New Roman" w:eastAsia="宋体" w:cs="Times New Roman"/>
                      <w:bCs/>
                      <w:color w:val="auto"/>
                      <w:spacing w:val="4"/>
                      <w:kern w:val="0"/>
                      <w:sz w:val="21"/>
                      <w:szCs w:val="21"/>
                      <w:lang w:bidi="ar-SA"/>
                    </w:rPr>
                  </w:pPr>
                  <w:r>
                    <w:rPr>
                      <w:rFonts w:hint="default" w:ascii="Times New Roman" w:hAnsi="Times New Roman" w:eastAsia="宋体" w:cs="Times New Roman"/>
                      <w:i w:val="0"/>
                      <w:iCs w:val="0"/>
                      <w:color w:val="auto"/>
                      <w:kern w:val="0"/>
                      <w:sz w:val="21"/>
                      <w:szCs w:val="21"/>
                      <w:u w:val="none"/>
                      <w:lang w:val="en-US" w:eastAsia="zh-CN" w:bidi="ar"/>
                    </w:rPr>
                    <w:t>350</w:t>
                  </w:r>
                </w:p>
              </w:tc>
              <w:tc>
                <w:tcPr>
                  <w:tcW w:w="689" w:type="dxa"/>
                  <w:noWrap w:val="0"/>
                  <w:vAlign w:val="center"/>
                </w:tcPr>
                <w:p w14:paraId="0A282850">
                  <w:pPr>
                    <w:keepNext w:val="0"/>
                    <w:keepLines w:val="0"/>
                    <w:widowControl/>
                    <w:suppressLineNumbers w:val="0"/>
                    <w:jc w:val="center"/>
                    <w:textAlignment w:val="center"/>
                    <w:rPr>
                      <w:rFonts w:hint="default" w:ascii="Times New Roman" w:hAnsi="Times New Roman" w:eastAsia="宋体" w:cs="Times New Roman"/>
                      <w:bCs/>
                      <w:color w:val="auto"/>
                      <w:spacing w:val="4"/>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 xml:space="preserve">0.7553 </w:t>
                  </w:r>
                </w:p>
              </w:tc>
              <w:tc>
                <w:tcPr>
                  <w:tcW w:w="278" w:type="pct"/>
                  <w:vMerge w:val="continue"/>
                  <w:noWrap w:val="0"/>
                  <w:vAlign w:val="center"/>
                </w:tcPr>
                <w:p w14:paraId="5259E5FB">
                  <w:pPr>
                    <w:widowControl/>
                    <w:adjustRightInd w:val="0"/>
                    <w:snapToGrid w:val="0"/>
                    <w:spacing w:line="240" w:lineRule="atLeast"/>
                    <w:jc w:val="center"/>
                    <w:textAlignment w:val="baseline"/>
                    <w:rPr>
                      <w:rFonts w:hint="default" w:ascii="Times New Roman" w:hAnsi="Times New Roman" w:eastAsia="宋体" w:cs="Times New Roman"/>
                      <w:bCs/>
                      <w:color w:val="auto"/>
                      <w:spacing w:val="4"/>
                      <w:kern w:val="0"/>
                      <w:sz w:val="21"/>
                      <w:szCs w:val="21"/>
                      <w:lang w:bidi="ar"/>
                    </w:rPr>
                  </w:pPr>
                </w:p>
              </w:tc>
              <w:tc>
                <w:tcPr>
                  <w:tcW w:w="455" w:type="pct"/>
                  <w:vMerge w:val="continue"/>
                  <w:noWrap w:val="0"/>
                  <w:vAlign w:val="center"/>
                </w:tcPr>
                <w:p w14:paraId="5B6B7043">
                  <w:pPr>
                    <w:widowControl/>
                    <w:contextualSpacing/>
                    <w:jc w:val="center"/>
                    <w:rPr>
                      <w:rFonts w:hint="default" w:ascii="Times New Roman" w:hAnsi="Times New Roman" w:eastAsia="宋体" w:cs="Times New Roman"/>
                      <w:bCs/>
                      <w:color w:val="auto"/>
                      <w:spacing w:val="4"/>
                      <w:kern w:val="0"/>
                      <w:sz w:val="21"/>
                      <w:szCs w:val="21"/>
                      <w:lang w:bidi="ar-SA"/>
                    </w:rPr>
                  </w:pPr>
                </w:p>
              </w:tc>
              <w:tc>
                <w:tcPr>
                  <w:tcW w:w="441" w:type="pct"/>
                  <w:noWrap w:val="0"/>
                  <w:vAlign w:val="center"/>
                </w:tcPr>
                <w:p w14:paraId="6F1B602D">
                  <w:pPr>
                    <w:keepNext w:val="0"/>
                    <w:keepLines w:val="0"/>
                    <w:widowControl/>
                    <w:suppressLineNumbers w:val="0"/>
                    <w:jc w:val="center"/>
                    <w:textAlignment w:val="center"/>
                    <w:rPr>
                      <w:rFonts w:hint="default" w:ascii="Times New Roman" w:hAnsi="Times New Roman" w:eastAsia="宋体" w:cs="Times New Roman"/>
                      <w:color w:val="auto"/>
                      <w:kern w:val="0"/>
                      <w:sz w:val="21"/>
                      <w:szCs w:val="21"/>
                      <w:lang w:bidi="ar-SA"/>
                    </w:rPr>
                  </w:pPr>
                  <w:r>
                    <w:rPr>
                      <w:rFonts w:hint="default" w:ascii="Times New Roman" w:hAnsi="Times New Roman" w:eastAsia="宋体" w:cs="Times New Roman"/>
                      <w:i w:val="0"/>
                      <w:iCs w:val="0"/>
                      <w:color w:val="auto"/>
                      <w:kern w:val="0"/>
                      <w:sz w:val="21"/>
                      <w:szCs w:val="21"/>
                      <w:u w:val="none"/>
                      <w:lang w:val="en-US" w:eastAsia="zh-CN" w:bidi="ar"/>
                    </w:rPr>
                    <w:t>350</w:t>
                  </w:r>
                </w:p>
              </w:tc>
              <w:tc>
                <w:tcPr>
                  <w:tcW w:w="972" w:type="dxa"/>
                  <w:noWrap w:val="0"/>
                  <w:vAlign w:val="center"/>
                </w:tcPr>
                <w:p w14:paraId="41AA9D74">
                  <w:pPr>
                    <w:keepNext w:val="0"/>
                    <w:keepLines w:val="0"/>
                    <w:widowControl/>
                    <w:suppressLineNumbers w:val="0"/>
                    <w:jc w:val="center"/>
                    <w:textAlignment w:val="center"/>
                    <w:rPr>
                      <w:rFonts w:hint="default" w:ascii="Times New Roman" w:hAnsi="Times New Roman" w:eastAsia="宋体" w:cs="Times New Roman"/>
                      <w:bCs/>
                      <w:color w:val="auto"/>
                      <w:spacing w:val="4"/>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0.7553</w:t>
                  </w:r>
                </w:p>
              </w:tc>
              <w:tc>
                <w:tcPr>
                  <w:tcW w:w="1159" w:type="pct"/>
                  <w:vMerge w:val="continue"/>
                  <w:noWrap w:val="0"/>
                  <w:vAlign w:val="center"/>
                </w:tcPr>
                <w:p w14:paraId="77D958DA">
                  <w:pPr>
                    <w:widowControl/>
                    <w:adjustRightInd w:val="0"/>
                    <w:snapToGrid w:val="0"/>
                    <w:spacing w:line="240" w:lineRule="atLeast"/>
                    <w:jc w:val="center"/>
                    <w:textAlignment w:val="baseline"/>
                    <w:rPr>
                      <w:rFonts w:hint="default" w:ascii="Times New Roman" w:hAnsi="Times New Roman" w:eastAsia="宋体" w:cs="Times New Roman"/>
                      <w:bCs/>
                      <w:color w:val="auto"/>
                      <w:spacing w:val="4"/>
                      <w:kern w:val="0"/>
                      <w:sz w:val="21"/>
                      <w:szCs w:val="21"/>
                      <w:lang w:bidi="ar"/>
                    </w:rPr>
                  </w:pPr>
                </w:p>
              </w:tc>
            </w:tr>
            <w:tr w14:paraId="3AC53EA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20" w:hRule="atLeast"/>
              </w:trPr>
              <w:tc>
                <w:tcPr>
                  <w:tcW w:w="210" w:type="pct"/>
                  <w:vMerge w:val="continue"/>
                  <w:noWrap w:val="0"/>
                  <w:vAlign w:val="center"/>
                </w:tcPr>
                <w:p w14:paraId="23941854">
                  <w:pPr>
                    <w:jc w:val="center"/>
                    <w:rPr>
                      <w:rFonts w:hint="default" w:ascii="Times New Roman" w:hAnsi="Times New Roman" w:eastAsia="宋体" w:cs="Times New Roman"/>
                      <w:color w:val="auto"/>
                      <w:sz w:val="21"/>
                      <w:szCs w:val="21"/>
                      <w:lang w:bidi="ar-SA"/>
                    </w:rPr>
                  </w:pPr>
                </w:p>
              </w:tc>
              <w:tc>
                <w:tcPr>
                  <w:tcW w:w="392" w:type="pct"/>
                  <w:vMerge w:val="continue"/>
                  <w:noWrap w:val="0"/>
                  <w:vAlign w:val="center"/>
                </w:tcPr>
                <w:p w14:paraId="515A9CBE">
                  <w:pPr>
                    <w:widowControl/>
                    <w:contextualSpacing/>
                    <w:jc w:val="center"/>
                    <w:rPr>
                      <w:rFonts w:hint="default" w:ascii="Times New Roman" w:hAnsi="Times New Roman" w:eastAsia="宋体" w:cs="Times New Roman"/>
                      <w:color w:val="auto"/>
                      <w:sz w:val="21"/>
                      <w:szCs w:val="21"/>
                      <w:lang w:bidi="ar-SA"/>
                    </w:rPr>
                  </w:pPr>
                </w:p>
              </w:tc>
              <w:tc>
                <w:tcPr>
                  <w:tcW w:w="538" w:type="pct"/>
                  <w:noWrap w:val="0"/>
                  <w:vAlign w:val="center"/>
                </w:tcPr>
                <w:p w14:paraId="648026F8">
                  <w:pPr>
                    <w:keepNext w:val="0"/>
                    <w:keepLines w:val="0"/>
                    <w:widowControl/>
                    <w:suppressLineNumbers w:val="0"/>
                    <w:jc w:val="center"/>
                    <w:textAlignment w:val="center"/>
                    <w:rPr>
                      <w:rFonts w:hint="default" w:ascii="Times New Roman" w:hAnsi="Times New Roman" w:eastAsia="宋体" w:cs="Times New Roman"/>
                      <w:bCs/>
                      <w:color w:val="auto"/>
                      <w:spacing w:val="4"/>
                      <w:kern w:val="0"/>
                      <w:sz w:val="21"/>
                      <w:szCs w:val="21"/>
                      <w:lang w:bidi="ar-SA"/>
                    </w:rPr>
                  </w:pPr>
                  <w:r>
                    <w:rPr>
                      <w:rFonts w:hint="default" w:ascii="Times New Roman" w:hAnsi="Times New Roman" w:eastAsia="宋体" w:cs="Times New Roman"/>
                      <w:i w:val="0"/>
                      <w:iCs w:val="0"/>
                      <w:color w:val="auto"/>
                      <w:kern w:val="0"/>
                      <w:sz w:val="21"/>
                      <w:szCs w:val="21"/>
                      <w:u w:val="none"/>
                      <w:lang w:val="en-US" w:eastAsia="zh-CN" w:bidi="ar"/>
                    </w:rPr>
                    <w:t>SS</w:t>
                  </w:r>
                </w:p>
              </w:tc>
              <w:tc>
                <w:tcPr>
                  <w:tcW w:w="504" w:type="pct"/>
                  <w:noWrap w:val="0"/>
                  <w:vAlign w:val="center"/>
                </w:tcPr>
                <w:p w14:paraId="309AC95F">
                  <w:pPr>
                    <w:keepNext w:val="0"/>
                    <w:keepLines w:val="0"/>
                    <w:widowControl/>
                    <w:suppressLineNumbers w:val="0"/>
                    <w:jc w:val="center"/>
                    <w:textAlignment w:val="center"/>
                    <w:rPr>
                      <w:rFonts w:hint="default" w:ascii="Times New Roman" w:hAnsi="Times New Roman" w:eastAsia="宋体" w:cs="Times New Roman"/>
                      <w:bCs/>
                      <w:color w:val="auto"/>
                      <w:spacing w:val="4"/>
                      <w:kern w:val="0"/>
                      <w:sz w:val="21"/>
                      <w:szCs w:val="21"/>
                      <w:lang w:bidi="ar-SA"/>
                    </w:rPr>
                  </w:pPr>
                  <w:r>
                    <w:rPr>
                      <w:rFonts w:hint="default" w:ascii="Times New Roman" w:hAnsi="Times New Roman" w:eastAsia="宋体" w:cs="Times New Roman"/>
                      <w:i w:val="0"/>
                      <w:iCs w:val="0"/>
                      <w:color w:val="auto"/>
                      <w:kern w:val="0"/>
                      <w:sz w:val="21"/>
                      <w:szCs w:val="21"/>
                      <w:u w:val="none"/>
                      <w:lang w:val="en-US" w:eastAsia="zh-CN" w:bidi="ar"/>
                    </w:rPr>
                    <w:t>2</w:t>
                  </w:r>
                  <w:r>
                    <w:rPr>
                      <w:rFonts w:hint="eastAsia" w:cs="Times New Roman"/>
                      <w:i w:val="0"/>
                      <w:iCs w:val="0"/>
                      <w:color w:val="auto"/>
                      <w:kern w:val="0"/>
                      <w:sz w:val="21"/>
                      <w:szCs w:val="21"/>
                      <w:u w:val="none"/>
                      <w:lang w:val="en-US" w:eastAsia="zh-CN" w:bidi="ar"/>
                    </w:rPr>
                    <w:t>5</w:t>
                  </w:r>
                  <w:r>
                    <w:rPr>
                      <w:rFonts w:hint="default" w:ascii="Times New Roman" w:hAnsi="Times New Roman" w:eastAsia="宋体" w:cs="Times New Roman"/>
                      <w:i w:val="0"/>
                      <w:iCs w:val="0"/>
                      <w:color w:val="auto"/>
                      <w:kern w:val="0"/>
                      <w:sz w:val="21"/>
                      <w:szCs w:val="21"/>
                      <w:u w:val="none"/>
                      <w:lang w:val="en-US" w:eastAsia="zh-CN" w:bidi="ar"/>
                    </w:rPr>
                    <w:t>0</w:t>
                  </w:r>
                </w:p>
              </w:tc>
              <w:tc>
                <w:tcPr>
                  <w:tcW w:w="689" w:type="dxa"/>
                  <w:noWrap w:val="0"/>
                  <w:vAlign w:val="center"/>
                </w:tcPr>
                <w:p w14:paraId="618B6BF2">
                  <w:pPr>
                    <w:keepNext w:val="0"/>
                    <w:keepLines w:val="0"/>
                    <w:widowControl/>
                    <w:suppressLineNumbers w:val="0"/>
                    <w:jc w:val="center"/>
                    <w:textAlignment w:val="center"/>
                    <w:rPr>
                      <w:rFonts w:hint="default" w:ascii="Times New Roman" w:hAnsi="Times New Roman" w:eastAsia="宋体" w:cs="Times New Roman"/>
                      <w:bCs/>
                      <w:color w:val="auto"/>
                      <w:spacing w:val="4"/>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 xml:space="preserve">0.5395 </w:t>
                  </w:r>
                </w:p>
              </w:tc>
              <w:tc>
                <w:tcPr>
                  <w:tcW w:w="278" w:type="pct"/>
                  <w:vMerge w:val="continue"/>
                  <w:noWrap w:val="0"/>
                  <w:vAlign w:val="center"/>
                </w:tcPr>
                <w:p w14:paraId="1EDF5448">
                  <w:pPr>
                    <w:widowControl/>
                    <w:adjustRightInd w:val="0"/>
                    <w:snapToGrid w:val="0"/>
                    <w:spacing w:line="240" w:lineRule="atLeast"/>
                    <w:jc w:val="center"/>
                    <w:textAlignment w:val="baseline"/>
                    <w:rPr>
                      <w:rFonts w:hint="default" w:ascii="Times New Roman" w:hAnsi="Times New Roman" w:eastAsia="宋体" w:cs="Times New Roman"/>
                      <w:bCs/>
                      <w:color w:val="auto"/>
                      <w:spacing w:val="4"/>
                      <w:kern w:val="0"/>
                      <w:sz w:val="21"/>
                      <w:szCs w:val="21"/>
                      <w:lang w:bidi="ar"/>
                    </w:rPr>
                  </w:pPr>
                </w:p>
              </w:tc>
              <w:tc>
                <w:tcPr>
                  <w:tcW w:w="455" w:type="pct"/>
                  <w:vMerge w:val="continue"/>
                  <w:noWrap w:val="0"/>
                  <w:vAlign w:val="center"/>
                </w:tcPr>
                <w:p w14:paraId="67B1467A">
                  <w:pPr>
                    <w:widowControl/>
                    <w:contextualSpacing/>
                    <w:jc w:val="center"/>
                    <w:rPr>
                      <w:rFonts w:hint="default" w:ascii="Times New Roman" w:hAnsi="Times New Roman" w:eastAsia="宋体" w:cs="Times New Roman"/>
                      <w:bCs/>
                      <w:color w:val="auto"/>
                      <w:spacing w:val="4"/>
                      <w:kern w:val="0"/>
                      <w:sz w:val="21"/>
                      <w:szCs w:val="21"/>
                      <w:lang w:bidi="ar-SA"/>
                    </w:rPr>
                  </w:pPr>
                </w:p>
              </w:tc>
              <w:tc>
                <w:tcPr>
                  <w:tcW w:w="441" w:type="pct"/>
                  <w:noWrap w:val="0"/>
                  <w:vAlign w:val="center"/>
                </w:tcPr>
                <w:p w14:paraId="39CBCC6C">
                  <w:pPr>
                    <w:keepNext w:val="0"/>
                    <w:keepLines w:val="0"/>
                    <w:widowControl/>
                    <w:suppressLineNumbers w:val="0"/>
                    <w:jc w:val="center"/>
                    <w:textAlignment w:val="center"/>
                    <w:rPr>
                      <w:rFonts w:hint="default" w:ascii="Times New Roman" w:hAnsi="Times New Roman" w:eastAsia="宋体" w:cs="Times New Roman"/>
                      <w:color w:val="auto"/>
                      <w:kern w:val="0"/>
                      <w:sz w:val="21"/>
                      <w:szCs w:val="21"/>
                      <w:lang w:bidi="ar-SA"/>
                    </w:rPr>
                  </w:pPr>
                  <w:r>
                    <w:rPr>
                      <w:rFonts w:hint="default" w:ascii="Times New Roman" w:hAnsi="Times New Roman" w:eastAsia="宋体" w:cs="Times New Roman"/>
                      <w:i w:val="0"/>
                      <w:iCs w:val="0"/>
                      <w:color w:val="auto"/>
                      <w:kern w:val="0"/>
                      <w:sz w:val="21"/>
                      <w:szCs w:val="21"/>
                      <w:u w:val="none"/>
                      <w:lang w:val="en-US" w:eastAsia="zh-CN" w:bidi="ar"/>
                    </w:rPr>
                    <w:t>2</w:t>
                  </w:r>
                  <w:r>
                    <w:rPr>
                      <w:rFonts w:hint="eastAsia" w:cs="Times New Roman"/>
                      <w:i w:val="0"/>
                      <w:iCs w:val="0"/>
                      <w:color w:val="auto"/>
                      <w:kern w:val="0"/>
                      <w:sz w:val="21"/>
                      <w:szCs w:val="21"/>
                      <w:u w:val="none"/>
                      <w:lang w:val="en-US" w:eastAsia="zh-CN" w:bidi="ar"/>
                    </w:rPr>
                    <w:t>5</w:t>
                  </w:r>
                  <w:r>
                    <w:rPr>
                      <w:rFonts w:hint="default" w:ascii="Times New Roman" w:hAnsi="Times New Roman" w:eastAsia="宋体" w:cs="Times New Roman"/>
                      <w:i w:val="0"/>
                      <w:iCs w:val="0"/>
                      <w:color w:val="auto"/>
                      <w:kern w:val="0"/>
                      <w:sz w:val="21"/>
                      <w:szCs w:val="21"/>
                      <w:u w:val="none"/>
                      <w:lang w:val="en-US" w:eastAsia="zh-CN" w:bidi="ar"/>
                    </w:rPr>
                    <w:t>0</w:t>
                  </w:r>
                </w:p>
              </w:tc>
              <w:tc>
                <w:tcPr>
                  <w:tcW w:w="972" w:type="dxa"/>
                  <w:noWrap w:val="0"/>
                  <w:vAlign w:val="center"/>
                </w:tcPr>
                <w:p w14:paraId="5F11959B">
                  <w:pPr>
                    <w:keepNext w:val="0"/>
                    <w:keepLines w:val="0"/>
                    <w:widowControl/>
                    <w:suppressLineNumbers w:val="0"/>
                    <w:jc w:val="center"/>
                    <w:textAlignment w:val="center"/>
                    <w:rPr>
                      <w:rFonts w:hint="default" w:ascii="Times New Roman" w:hAnsi="Times New Roman" w:eastAsia="宋体" w:cs="Times New Roman"/>
                      <w:bCs/>
                      <w:color w:val="auto"/>
                      <w:spacing w:val="4"/>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0.5395</w:t>
                  </w:r>
                </w:p>
              </w:tc>
              <w:tc>
                <w:tcPr>
                  <w:tcW w:w="1159" w:type="pct"/>
                  <w:vMerge w:val="continue"/>
                  <w:noWrap w:val="0"/>
                  <w:vAlign w:val="center"/>
                </w:tcPr>
                <w:p w14:paraId="7335B690">
                  <w:pPr>
                    <w:widowControl/>
                    <w:adjustRightInd w:val="0"/>
                    <w:snapToGrid w:val="0"/>
                    <w:spacing w:line="240" w:lineRule="atLeast"/>
                    <w:jc w:val="center"/>
                    <w:textAlignment w:val="baseline"/>
                    <w:rPr>
                      <w:rFonts w:hint="default" w:ascii="Times New Roman" w:hAnsi="Times New Roman" w:eastAsia="宋体" w:cs="Times New Roman"/>
                      <w:bCs/>
                      <w:color w:val="auto"/>
                      <w:spacing w:val="4"/>
                      <w:kern w:val="0"/>
                      <w:sz w:val="21"/>
                      <w:szCs w:val="21"/>
                      <w:lang w:bidi="ar"/>
                    </w:rPr>
                  </w:pPr>
                </w:p>
              </w:tc>
            </w:tr>
            <w:tr w14:paraId="01499A4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20" w:hRule="atLeast"/>
              </w:trPr>
              <w:tc>
                <w:tcPr>
                  <w:tcW w:w="210" w:type="pct"/>
                  <w:vMerge w:val="continue"/>
                  <w:noWrap w:val="0"/>
                  <w:vAlign w:val="center"/>
                </w:tcPr>
                <w:p w14:paraId="62C04B50">
                  <w:pPr>
                    <w:jc w:val="center"/>
                    <w:rPr>
                      <w:rFonts w:hint="default" w:ascii="Times New Roman" w:hAnsi="Times New Roman" w:eastAsia="宋体" w:cs="Times New Roman"/>
                      <w:color w:val="auto"/>
                      <w:sz w:val="21"/>
                      <w:szCs w:val="21"/>
                      <w:lang w:bidi="ar-SA"/>
                    </w:rPr>
                  </w:pPr>
                </w:p>
              </w:tc>
              <w:tc>
                <w:tcPr>
                  <w:tcW w:w="392" w:type="pct"/>
                  <w:vMerge w:val="continue"/>
                  <w:noWrap w:val="0"/>
                  <w:vAlign w:val="center"/>
                </w:tcPr>
                <w:p w14:paraId="0694CDD8">
                  <w:pPr>
                    <w:widowControl/>
                    <w:contextualSpacing/>
                    <w:jc w:val="center"/>
                    <w:rPr>
                      <w:rFonts w:hint="default" w:ascii="Times New Roman" w:hAnsi="Times New Roman" w:eastAsia="宋体" w:cs="Times New Roman"/>
                      <w:color w:val="auto"/>
                      <w:sz w:val="21"/>
                      <w:szCs w:val="21"/>
                      <w:lang w:bidi="ar-SA"/>
                    </w:rPr>
                  </w:pPr>
                </w:p>
              </w:tc>
              <w:tc>
                <w:tcPr>
                  <w:tcW w:w="538" w:type="pct"/>
                  <w:noWrap w:val="0"/>
                  <w:vAlign w:val="center"/>
                </w:tcPr>
                <w:p w14:paraId="7577B37D">
                  <w:pPr>
                    <w:keepNext w:val="0"/>
                    <w:keepLines w:val="0"/>
                    <w:widowControl/>
                    <w:suppressLineNumbers w:val="0"/>
                    <w:jc w:val="center"/>
                    <w:textAlignment w:val="center"/>
                    <w:rPr>
                      <w:rFonts w:hint="default" w:ascii="Times New Roman" w:hAnsi="Times New Roman" w:eastAsia="宋体" w:cs="Times New Roman"/>
                      <w:bCs/>
                      <w:color w:val="auto"/>
                      <w:spacing w:val="4"/>
                      <w:kern w:val="0"/>
                      <w:sz w:val="21"/>
                      <w:szCs w:val="21"/>
                      <w:lang w:bidi="ar-SA"/>
                    </w:rPr>
                  </w:pPr>
                  <w:r>
                    <w:rPr>
                      <w:rFonts w:hint="default" w:ascii="Times New Roman" w:hAnsi="Times New Roman" w:eastAsia="宋体" w:cs="Times New Roman"/>
                      <w:i w:val="0"/>
                      <w:iCs w:val="0"/>
                      <w:color w:val="auto"/>
                      <w:kern w:val="0"/>
                      <w:sz w:val="21"/>
                      <w:szCs w:val="21"/>
                      <w:u w:val="none"/>
                      <w:lang w:val="en-US" w:eastAsia="zh-CN" w:bidi="ar"/>
                    </w:rPr>
                    <w:t>NH</w:t>
                  </w:r>
                  <w:r>
                    <w:rPr>
                      <w:rStyle w:val="113"/>
                      <w:rFonts w:eastAsia="宋体"/>
                      <w:color w:val="auto"/>
                      <w:sz w:val="21"/>
                      <w:szCs w:val="21"/>
                      <w:lang w:val="en-US" w:eastAsia="zh-CN" w:bidi="ar"/>
                    </w:rPr>
                    <w:t>3</w:t>
                  </w:r>
                  <w:r>
                    <w:rPr>
                      <w:rFonts w:hint="default" w:ascii="Times New Roman" w:hAnsi="Times New Roman" w:eastAsia="宋体" w:cs="Times New Roman"/>
                      <w:i w:val="0"/>
                      <w:iCs w:val="0"/>
                      <w:color w:val="auto"/>
                      <w:kern w:val="0"/>
                      <w:sz w:val="21"/>
                      <w:szCs w:val="21"/>
                      <w:u w:val="none"/>
                      <w:lang w:val="en-US" w:eastAsia="zh-CN" w:bidi="ar"/>
                    </w:rPr>
                    <w:t>-N</w:t>
                  </w:r>
                </w:p>
              </w:tc>
              <w:tc>
                <w:tcPr>
                  <w:tcW w:w="504" w:type="pct"/>
                  <w:noWrap w:val="0"/>
                  <w:vAlign w:val="center"/>
                </w:tcPr>
                <w:p w14:paraId="0A28B809">
                  <w:pPr>
                    <w:keepNext w:val="0"/>
                    <w:keepLines w:val="0"/>
                    <w:widowControl/>
                    <w:suppressLineNumbers w:val="0"/>
                    <w:jc w:val="center"/>
                    <w:textAlignment w:val="center"/>
                    <w:rPr>
                      <w:rFonts w:hint="default" w:ascii="Times New Roman" w:hAnsi="Times New Roman" w:eastAsia="宋体" w:cs="Times New Roman"/>
                      <w:bCs/>
                      <w:color w:val="auto"/>
                      <w:spacing w:val="4"/>
                      <w:kern w:val="0"/>
                      <w:sz w:val="21"/>
                      <w:szCs w:val="21"/>
                      <w:lang w:bidi="ar-SA"/>
                    </w:rPr>
                  </w:pPr>
                  <w:r>
                    <w:rPr>
                      <w:rFonts w:hint="default" w:ascii="Times New Roman" w:hAnsi="Times New Roman" w:eastAsia="宋体" w:cs="Times New Roman"/>
                      <w:i w:val="0"/>
                      <w:iCs w:val="0"/>
                      <w:color w:val="auto"/>
                      <w:kern w:val="0"/>
                      <w:sz w:val="21"/>
                      <w:szCs w:val="21"/>
                      <w:u w:val="none"/>
                      <w:lang w:val="en-US" w:eastAsia="zh-CN" w:bidi="ar"/>
                    </w:rPr>
                    <w:t>25</w:t>
                  </w:r>
                </w:p>
              </w:tc>
              <w:tc>
                <w:tcPr>
                  <w:tcW w:w="689" w:type="dxa"/>
                  <w:noWrap w:val="0"/>
                  <w:vAlign w:val="center"/>
                </w:tcPr>
                <w:p w14:paraId="654E1595">
                  <w:pPr>
                    <w:keepNext w:val="0"/>
                    <w:keepLines w:val="0"/>
                    <w:widowControl/>
                    <w:suppressLineNumbers w:val="0"/>
                    <w:jc w:val="center"/>
                    <w:textAlignment w:val="center"/>
                    <w:rPr>
                      <w:rFonts w:hint="default" w:ascii="Times New Roman" w:hAnsi="Times New Roman" w:eastAsia="宋体" w:cs="Times New Roman"/>
                      <w:bCs/>
                      <w:color w:val="auto"/>
                      <w:spacing w:val="4"/>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 xml:space="preserve">0.0540 </w:t>
                  </w:r>
                </w:p>
              </w:tc>
              <w:tc>
                <w:tcPr>
                  <w:tcW w:w="278" w:type="pct"/>
                  <w:vMerge w:val="continue"/>
                  <w:noWrap w:val="0"/>
                  <w:vAlign w:val="center"/>
                </w:tcPr>
                <w:p w14:paraId="267F344D">
                  <w:pPr>
                    <w:widowControl/>
                    <w:adjustRightInd w:val="0"/>
                    <w:snapToGrid w:val="0"/>
                    <w:spacing w:line="240" w:lineRule="atLeast"/>
                    <w:jc w:val="center"/>
                    <w:textAlignment w:val="baseline"/>
                    <w:rPr>
                      <w:rFonts w:hint="default" w:ascii="Times New Roman" w:hAnsi="Times New Roman" w:eastAsia="宋体" w:cs="Times New Roman"/>
                      <w:bCs/>
                      <w:color w:val="auto"/>
                      <w:spacing w:val="4"/>
                      <w:kern w:val="0"/>
                      <w:sz w:val="21"/>
                      <w:szCs w:val="21"/>
                      <w:lang w:bidi="ar"/>
                    </w:rPr>
                  </w:pPr>
                </w:p>
              </w:tc>
              <w:tc>
                <w:tcPr>
                  <w:tcW w:w="455" w:type="pct"/>
                  <w:vMerge w:val="continue"/>
                  <w:noWrap w:val="0"/>
                  <w:vAlign w:val="center"/>
                </w:tcPr>
                <w:p w14:paraId="0F97F8B7">
                  <w:pPr>
                    <w:widowControl/>
                    <w:contextualSpacing/>
                    <w:jc w:val="center"/>
                    <w:rPr>
                      <w:rFonts w:hint="default" w:ascii="Times New Roman" w:hAnsi="Times New Roman" w:eastAsia="宋体" w:cs="Times New Roman"/>
                      <w:bCs/>
                      <w:color w:val="auto"/>
                      <w:spacing w:val="4"/>
                      <w:kern w:val="0"/>
                      <w:sz w:val="21"/>
                      <w:szCs w:val="21"/>
                      <w:lang w:bidi="ar-SA"/>
                    </w:rPr>
                  </w:pPr>
                </w:p>
              </w:tc>
              <w:tc>
                <w:tcPr>
                  <w:tcW w:w="441" w:type="pct"/>
                  <w:noWrap w:val="0"/>
                  <w:vAlign w:val="center"/>
                </w:tcPr>
                <w:p w14:paraId="6DB8AF16">
                  <w:pPr>
                    <w:keepNext w:val="0"/>
                    <w:keepLines w:val="0"/>
                    <w:widowControl/>
                    <w:suppressLineNumbers w:val="0"/>
                    <w:jc w:val="center"/>
                    <w:textAlignment w:val="center"/>
                    <w:rPr>
                      <w:rFonts w:hint="default" w:ascii="Times New Roman" w:hAnsi="Times New Roman" w:eastAsia="宋体" w:cs="Times New Roman"/>
                      <w:color w:val="auto"/>
                      <w:kern w:val="0"/>
                      <w:sz w:val="21"/>
                      <w:szCs w:val="21"/>
                      <w:lang w:bidi="ar-SA"/>
                    </w:rPr>
                  </w:pPr>
                  <w:r>
                    <w:rPr>
                      <w:rFonts w:hint="default" w:ascii="Times New Roman" w:hAnsi="Times New Roman" w:eastAsia="宋体" w:cs="Times New Roman"/>
                      <w:i w:val="0"/>
                      <w:iCs w:val="0"/>
                      <w:color w:val="auto"/>
                      <w:kern w:val="0"/>
                      <w:sz w:val="21"/>
                      <w:szCs w:val="21"/>
                      <w:u w:val="none"/>
                      <w:lang w:val="en-US" w:eastAsia="zh-CN" w:bidi="ar"/>
                    </w:rPr>
                    <w:t>25</w:t>
                  </w:r>
                </w:p>
              </w:tc>
              <w:tc>
                <w:tcPr>
                  <w:tcW w:w="972" w:type="dxa"/>
                  <w:noWrap w:val="0"/>
                  <w:vAlign w:val="center"/>
                </w:tcPr>
                <w:p w14:paraId="27F72978">
                  <w:pPr>
                    <w:keepNext w:val="0"/>
                    <w:keepLines w:val="0"/>
                    <w:widowControl/>
                    <w:suppressLineNumbers w:val="0"/>
                    <w:jc w:val="center"/>
                    <w:textAlignment w:val="center"/>
                    <w:rPr>
                      <w:rFonts w:hint="default" w:ascii="Times New Roman" w:hAnsi="Times New Roman" w:eastAsia="宋体" w:cs="Times New Roman"/>
                      <w:bCs/>
                      <w:color w:val="auto"/>
                      <w:spacing w:val="4"/>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0.0540</w:t>
                  </w:r>
                </w:p>
              </w:tc>
              <w:tc>
                <w:tcPr>
                  <w:tcW w:w="1159" w:type="pct"/>
                  <w:vMerge w:val="continue"/>
                  <w:noWrap w:val="0"/>
                  <w:vAlign w:val="center"/>
                </w:tcPr>
                <w:p w14:paraId="3384438C">
                  <w:pPr>
                    <w:widowControl/>
                    <w:adjustRightInd w:val="0"/>
                    <w:snapToGrid w:val="0"/>
                    <w:spacing w:line="240" w:lineRule="atLeast"/>
                    <w:jc w:val="center"/>
                    <w:textAlignment w:val="baseline"/>
                    <w:rPr>
                      <w:rFonts w:hint="default" w:ascii="Times New Roman" w:hAnsi="Times New Roman" w:eastAsia="宋体" w:cs="Times New Roman"/>
                      <w:bCs/>
                      <w:color w:val="auto"/>
                      <w:spacing w:val="4"/>
                      <w:kern w:val="0"/>
                      <w:sz w:val="21"/>
                      <w:szCs w:val="21"/>
                      <w:lang w:bidi="ar"/>
                    </w:rPr>
                  </w:pPr>
                </w:p>
              </w:tc>
            </w:tr>
            <w:tr w14:paraId="6061918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181" w:hRule="atLeast"/>
              </w:trPr>
              <w:tc>
                <w:tcPr>
                  <w:tcW w:w="210" w:type="pct"/>
                  <w:vMerge w:val="continue"/>
                  <w:noWrap w:val="0"/>
                  <w:vAlign w:val="center"/>
                </w:tcPr>
                <w:p w14:paraId="51A3F2F5">
                  <w:pPr>
                    <w:jc w:val="center"/>
                    <w:rPr>
                      <w:rFonts w:hint="default" w:ascii="Times New Roman" w:hAnsi="Times New Roman" w:eastAsia="宋体" w:cs="Times New Roman"/>
                      <w:color w:val="auto"/>
                      <w:sz w:val="21"/>
                      <w:szCs w:val="21"/>
                      <w:lang w:bidi="ar-SA"/>
                    </w:rPr>
                  </w:pPr>
                </w:p>
              </w:tc>
              <w:tc>
                <w:tcPr>
                  <w:tcW w:w="392" w:type="pct"/>
                  <w:vMerge w:val="continue"/>
                  <w:noWrap w:val="0"/>
                  <w:vAlign w:val="center"/>
                </w:tcPr>
                <w:p w14:paraId="46EA7532">
                  <w:pPr>
                    <w:widowControl/>
                    <w:contextualSpacing/>
                    <w:jc w:val="center"/>
                    <w:rPr>
                      <w:rFonts w:hint="default" w:ascii="Times New Roman" w:hAnsi="Times New Roman" w:eastAsia="宋体" w:cs="Times New Roman"/>
                      <w:color w:val="auto"/>
                      <w:sz w:val="21"/>
                      <w:szCs w:val="21"/>
                      <w:lang w:bidi="ar-SA"/>
                    </w:rPr>
                  </w:pPr>
                </w:p>
              </w:tc>
              <w:tc>
                <w:tcPr>
                  <w:tcW w:w="538" w:type="pct"/>
                  <w:noWrap w:val="0"/>
                  <w:vAlign w:val="center"/>
                </w:tcPr>
                <w:p w14:paraId="46AC7D99">
                  <w:pPr>
                    <w:keepNext w:val="0"/>
                    <w:keepLines w:val="0"/>
                    <w:widowControl/>
                    <w:suppressLineNumbers w:val="0"/>
                    <w:jc w:val="center"/>
                    <w:textAlignment w:val="center"/>
                    <w:rPr>
                      <w:rFonts w:hint="default" w:ascii="Times New Roman" w:hAnsi="Times New Roman" w:eastAsia="宋体" w:cs="Times New Roman"/>
                      <w:bCs/>
                      <w:color w:val="auto"/>
                      <w:spacing w:val="4"/>
                      <w:kern w:val="0"/>
                      <w:sz w:val="21"/>
                      <w:szCs w:val="21"/>
                      <w:lang w:bidi="ar-SA"/>
                    </w:rPr>
                  </w:pPr>
                  <w:r>
                    <w:rPr>
                      <w:rFonts w:hint="default" w:ascii="Times New Roman" w:hAnsi="Times New Roman" w:eastAsia="宋体" w:cs="Times New Roman"/>
                      <w:i w:val="0"/>
                      <w:iCs w:val="0"/>
                      <w:color w:val="auto"/>
                      <w:kern w:val="0"/>
                      <w:sz w:val="21"/>
                      <w:szCs w:val="21"/>
                      <w:u w:val="none"/>
                      <w:lang w:val="en-US" w:eastAsia="zh-CN" w:bidi="ar"/>
                    </w:rPr>
                    <w:t>TP</w:t>
                  </w:r>
                </w:p>
              </w:tc>
              <w:tc>
                <w:tcPr>
                  <w:tcW w:w="504" w:type="pct"/>
                  <w:noWrap w:val="0"/>
                  <w:vAlign w:val="center"/>
                </w:tcPr>
                <w:p w14:paraId="2968188D">
                  <w:pPr>
                    <w:keepNext w:val="0"/>
                    <w:keepLines w:val="0"/>
                    <w:widowControl/>
                    <w:suppressLineNumbers w:val="0"/>
                    <w:jc w:val="center"/>
                    <w:textAlignment w:val="center"/>
                    <w:rPr>
                      <w:rFonts w:hint="default" w:ascii="Times New Roman" w:hAnsi="Times New Roman" w:eastAsia="宋体" w:cs="Times New Roman"/>
                      <w:bCs/>
                      <w:color w:val="auto"/>
                      <w:spacing w:val="4"/>
                      <w:kern w:val="0"/>
                      <w:sz w:val="21"/>
                      <w:szCs w:val="21"/>
                      <w:lang w:bidi="ar-SA"/>
                    </w:rPr>
                  </w:pPr>
                  <w:r>
                    <w:rPr>
                      <w:rFonts w:hint="default" w:ascii="Times New Roman" w:hAnsi="Times New Roman" w:eastAsia="宋体" w:cs="Times New Roman"/>
                      <w:i w:val="0"/>
                      <w:iCs w:val="0"/>
                      <w:color w:val="auto"/>
                      <w:kern w:val="0"/>
                      <w:sz w:val="21"/>
                      <w:szCs w:val="21"/>
                      <w:u w:val="none"/>
                      <w:lang w:val="en-US" w:eastAsia="zh-CN" w:bidi="ar"/>
                    </w:rPr>
                    <w:t>3</w:t>
                  </w:r>
                </w:p>
              </w:tc>
              <w:tc>
                <w:tcPr>
                  <w:tcW w:w="689" w:type="dxa"/>
                  <w:noWrap w:val="0"/>
                  <w:vAlign w:val="center"/>
                </w:tcPr>
                <w:p w14:paraId="2FFD2118">
                  <w:pPr>
                    <w:keepNext w:val="0"/>
                    <w:keepLines w:val="0"/>
                    <w:widowControl/>
                    <w:suppressLineNumbers w:val="0"/>
                    <w:jc w:val="center"/>
                    <w:textAlignment w:val="center"/>
                    <w:rPr>
                      <w:rFonts w:hint="default" w:ascii="Times New Roman" w:hAnsi="Times New Roman" w:eastAsia="宋体" w:cs="Times New Roman"/>
                      <w:bCs/>
                      <w:color w:val="auto"/>
                      <w:spacing w:val="4"/>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 xml:space="preserve">0.0065 </w:t>
                  </w:r>
                </w:p>
              </w:tc>
              <w:tc>
                <w:tcPr>
                  <w:tcW w:w="278" w:type="pct"/>
                  <w:vMerge w:val="continue"/>
                  <w:noWrap w:val="0"/>
                  <w:vAlign w:val="center"/>
                </w:tcPr>
                <w:p w14:paraId="43DB5007">
                  <w:pPr>
                    <w:widowControl/>
                    <w:adjustRightInd w:val="0"/>
                    <w:snapToGrid w:val="0"/>
                    <w:spacing w:line="240" w:lineRule="atLeast"/>
                    <w:jc w:val="center"/>
                    <w:textAlignment w:val="baseline"/>
                    <w:rPr>
                      <w:rFonts w:hint="default" w:ascii="Times New Roman" w:hAnsi="Times New Roman" w:eastAsia="宋体" w:cs="Times New Roman"/>
                      <w:bCs/>
                      <w:color w:val="auto"/>
                      <w:spacing w:val="4"/>
                      <w:kern w:val="0"/>
                      <w:sz w:val="21"/>
                      <w:szCs w:val="21"/>
                      <w:lang w:bidi="ar"/>
                    </w:rPr>
                  </w:pPr>
                </w:p>
              </w:tc>
              <w:tc>
                <w:tcPr>
                  <w:tcW w:w="455" w:type="pct"/>
                  <w:vMerge w:val="continue"/>
                  <w:noWrap w:val="0"/>
                  <w:vAlign w:val="center"/>
                </w:tcPr>
                <w:p w14:paraId="38FD806F">
                  <w:pPr>
                    <w:widowControl/>
                    <w:contextualSpacing/>
                    <w:jc w:val="center"/>
                    <w:rPr>
                      <w:rFonts w:hint="default" w:ascii="Times New Roman" w:hAnsi="Times New Roman" w:eastAsia="宋体" w:cs="Times New Roman"/>
                      <w:bCs/>
                      <w:color w:val="auto"/>
                      <w:spacing w:val="4"/>
                      <w:kern w:val="0"/>
                      <w:sz w:val="21"/>
                      <w:szCs w:val="21"/>
                      <w:lang w:bidi="ar-SA"/>
                    </w:rPr>
                  </w:pPr>
                </w:p>
              </w:tc>
              <w:tc>
                <w:tcPr>
                  <w:tcW w:w="441" w:type="pct"/>
                  <w:noWrap w:val="0"/>
                  <w:vAlign w:val="center"/>
                </w:tcPr>
                <w:p w14:paraId="29CC2F4B">
                  <w:pPr>
                    <w:keepNext w:val="0"/>
                    <w:keepLines w:val="0"/>
                    <w:widowControl/>
                    <w:suppressLineNumbers w:val="0"/>
                    <w:jc w:val="center"/>
                    <w:textAlignment w:val="center"/>
                    <w:rPr>
                      <w:rFonts w:hint="default" w:ascii="Times New Roman" w:hAnsi="Times New Roman" w:eastAsia="宋体" w:cs="Times New Roman"/>
                      <w:color w:val="auto"/>
                      <w:kern w:val="0"/>
                      <w:sz w:val="21"/>
                      <w:szCs w:val="21"/>
                      <w:lang w:bidi="ar-SA"/>
                    </w:rPr>
                  </w:pPr>
                  <w:r>
                    <w:rPr>
                      <w:rFonts w:hint="default" w:ascii="Times New Roman" w:hAnsi="Times New Roman" w:eastAsia="宋体" w:cs="Times New Roman"/>
                      <w:i w:val="0"/>
                      <w:iCs w:val="0"/>
                      <w:color w:val="auto"/>
                      <w:kern w:val="0"/>
                      <w:sz w:val="21"/>
                      <w:szCs w:val="21"/>
                      <w:u w:val="none"/>
                      <w:lang w:val="en-US" w:eastAsia="zh-CN" w:bidi="ar"/>
                    </w:rPr>
                    <w:t>3</w:t>
                  </w:r>
                </w:p>
              </w:tc>
              <w:tc>
                <w:tcPr>
                  <w:tcW w:w="972" w:type="dxa"/>
                  <w:noWrap w:val="0"/>
                  <w:vAlign w:val="center"/>
                </w:tcPr>
                <w:p w14:paraId="2D8D3CAD">
                  <w:pPr>
                    <w:keepNext w:val="0"/>
                    <w:keepLines w:val="0"/>
                    <w:widowControl/>
                    <w:suppressLineNumbers w:val="0"/>
                    <w:jc w:val="center"/>
                    <w:textAlignment w:val="center"/>
                    <w:rPr>
                      <w:rFonts w:hint="default" w:ascii="Times New Roman" w:hAnsi="Times New Roman" w:eastAsia="宋体" w:cs="Times New Roman"/>
                      <w:bCs/>
                      <w:color w:val="auto"/>
                      <w:spacing w:val="4"/>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0.0065</w:t>
                  </w:r>
                </w:p>
              </w:tc>
              <w:tc>
                <w:tcPr>
                  <w:tcW w:w="1159" w:type="pct"/>
                  <w:vMerge w:val="continue"/>
                  <w:noWrap w:val="0"/>
                  <w:vAlign w:val="center"/>
                </w:tcPr>
                <w:p w14:paraId="7666A7D2">
                  <w:pPr>
                    <w:widowControl/>
                    <w:adjustRightInd w:val="0"/>
                    <w:snapToGrid w:val="0"/>
                    <w:spacing w:line="240" w:lineRule="atLeast"/>
                    <w:jc w:val="center"/>
                    <w:textAlignment w:val="baseline"/>
                    <w:rPr>
                      <w:rFonts w:hint="default" w:ascii="Times New Roman" w:hAnsi="Times New Roman" w:eastAsia="宋体" w:cs="Times New Roman"/>
                      <w:bCs/>
                      <w:color w:val="auto"/>
                      <w:spacing w:val="4"/>
                      <w:kern w:val="0"/>
                      <w:sz w:val="21"/>
                      <w:szCs w:val="21"/>
                      <w:lang w:bidi="ar"/>
                    </w:rPr>
                  </w:pPr>
                </w:p>
              </w:tc>
            </w:tr>
            <w:tr w14:paraId="79A4782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20" w:hRule="atLeast"/>
              </w:trPr>
              <w:tc>
                <w:tcPr>
                  <w:tcW w:w="210" w:type="pct"/>
                  <w:vMerge w:val="continue"/>
                  <w:noWrap w:val="0"/>
                  <w:vAlign w:val="center"/>
                </w:tcPr>
                <w:p w14:paraId="3F709897">
                  <w:pPr>
                    <w:jc w:val="center"/>
                    <w:rPr>
                      <w:rFonts w:hint="default" w:ascii="Times New Roman" w:hAnsi="Times New Roman" w:eastAsia="宋体" w:cs="Times New Roman"/>
                      <w:color w:val="auto"/>
                      <w:sz w:val="21"/>
                      <w:szCs w:val="21"/>
                      <w:lang w:bidi="ar-SA"/>
                    </w:rPr>
                  </w:pPr>
                </w:p>
              </w:tc>
              <w:tc>
                <w:tcPr>
                  <w:tcW w:w="392" w:type="pct"/>
                  <w:vMerge w:val="continue"/>
                  <w:noWrap w:val="0"/>
                  <w:vAlign w:val="center"/>
                </w:tcPr>
                <w:p w14:paraId="1A6722A9">
                  <w:pPr>
                    <w:widowControl/>
                    <w:contextualSpacing/>
                    <w:jc w:val="center"/>
                    <w:rPr>
                      <w:rFonts w:hint="default" w:ascii="Times New Roman" w:hAnsi="Times New Roman" w:eastAsia="宋体" w:cs="Times New Roman"/>
                      <w:color w:val="auto"/>
                      <w:sz w:val="21"/>
                      <w:szCs w:val="21"/>
                      <w:lang w:bidi="ar-SA"/>
                    </w:rPr>
                  </w:pPr>
                </w:p>
              </w:tc>
              <w:tc>
                <w:tcPr>
                  <w:tcW w:w="538" w:type="pct"/>
                  <w:noWrap w:val="0"/>
                  <w:vAlign w:val="center"/>
                </w:tcPr>
                <w:p w14:paraId="1266E446">
                  <w:pPr>
                    <w:keepNext w:val="0"/>
                    <w:keepLines w:val="0"/>
                    <w:widowControl/>
                    <w:suppressLineNumbers w:val="0"/>
                    <w:jc w:val="center"/>
                    <w:textAlignment w:val="center"/>
                    <w:rPr>
                      <w:rFonts w:hint="default" w:ascii="Times New Roman" w:hAnsi="Times New Roman" w:eastAsia="宋体" w:cs="Times New Roman"/>
                      <w:bCs/>
                      <w:color w:val="auto"/>
                      <w:spacing w:val="4"/>
                      <w:kern w:val="0"/>
                      <w:sz w:val="21"/>
                      <w:szCs w:val="21"/>
                      <w:lang w:bidi="ar-SA"/>
                    </w:rPr>
                  </w:pPr>
                  <w:r>
                    <w:rPr>
                      <w:rFonts w:hint="default" w:ascii="Times New Roman" w:hAnsi="Times New Roman" w:eastAsia="宋体" w:cs="Times New Roman"/>
                      <w:i w:val="0"/>
                      <w:iCs w:val="0"/>
                      <w:color w:val="auto"/>
                      <w:kern w:val="0"/>
                      <w:sz w:val="21"/>
                      <w:szCs w:val="21"/>
                      <w:u w:val="none"/>
                      <w:lang w:val="en-US" w:eastAsia="zh-CN" w:bidi="ar"/>
                    </w:rPr>
                    <w:t>TN</w:t>
                  </w:r>
                </w:p>
              </w:tc>
              <w:tc>
                <w:tcPr>
                  <w:tcW w:w="504" w:type="pct"/>
                  <w:noWrap w:val="0"/>
                  <w:vAlign w:val="center"/>
                </w:tcPr>
                <w:p w14:paraId="672DCFFE">
                  <w:pPr>
                    <w:keepNext w:val="0"/>
                    <w:keepLines w:val="0"/>
                    <w:widowControl/>
                    <w:suppressLineNumbers w:val="0"/>
                    <w:jc w:val="center"/>
                    <w:textAlignment w:val="center"/>
                    <w:rPr>
                      <w:rFonts w:hint="default" w:ascii="Times New Roman" w:hAnsi="Times New Roman" w:eastAsia="宋体" w:cs="Times New Roman"/>
                      <w:bCs/>
                      <w:color w:val="auto"/>
                      <w:spacing w:val="4"/>
                      <w:kern w:val="0"/>
                      <w:sz w:val="21"/>
                      <w:szCs w:val="21"/>
                      <w:lang w:bidi="ar-SA"/>
                    </w:rPr>
                  </w:pPr>
                  <w:r>
                    <w:rPr>
                      <w:rFonts w:hint="default" w:ascii="Times New Roman" w:hAnsi="Times New Roman" w:eastAsia="宋体" w:cs="Times New Roman"/>
                      <w:i w:val="0"/>
                      <w:iCs w:val="0"/>
                      <w:color w:val="auto"/>
                      <w:kern w:val="0"/>
                      <w:sz w:val="21"/>
                      <w:szCs w:val="21"/>
                      <w:u w:val="none"/>
                      <w:lang w:val="en-US" w:eastAsia="zh-CN" w:bidi="ar"/>
                    </w:rPr>
                    <w:t>35</w:t>
                  </w:r>
                </w:p>
              </w:tc>
              <w:tc>
                <w:tcPr>
                  <w:tcW w:w="689" w:type="dxa"/>
                  <w:noWrap w:val="0"/>
                  <w:vAlign w:val="center"/>
                </w:tcPr>
                <w:p w14:paraId="41C14826">
                  <w:pPr>
                    <w:keepNext w:val="0"/>
                    <w:keepLines w:val="0"/>
                    <w:widowControl/>
                    <w:suppressLineNumbers w:val="0"/>
                    <w:jc w:val="center"/>
                    <w:textAlignment w:val="center"/>
                    <w:rPr>
                      <w:rFonts w:hint="default" w:ascii="Times New Roman" w:hAnsi="Times New Roman" w:eastAsia="宋体" w:cs="Times New Roman"/>
                      <w:bCs/>
                      <w:color w:val="auto"/>
                      <w:spacing w:val="4"/>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 xml:space="preserve">0.0755 </w:t>
                  </w:r>
                </w:p>
              </w:tc>
              <w:tc>
                <w:tcPr>
                  <w:tcW w:w="278" w:type="pct"/>
                  <w:vMerge w:val="continue"/>
                  <w:noWrap w:val="0"/>
                  <w:vAlign w:val="center"/>
                </w:tcPr>
                <w:p w14:paraId="0D0F9AA3">
                  <w:pPr>
                    <w:widowControl/>
                    <w:adjustRightInd w:val="0"/>
                    <w:snapToGrid w:val="0"/>
                    <w:spacing w:line="240" w:lineRule="atLeast"/>
                    <w:jc w:val="center"/>
                    <w:textAlignment w:val="baseline"/>
                    <w:rPr>
                      <w:rFonts w:hint="default" w:ascii="Times New Roman" w:hAnsi="Times New Roman" w:eastAsia="宋体" w:cs="Times New Roman"/>
                      <w:bCs/>
                      <w:color w:val="auto"/>
                      <w:spacing w:val="4"/>
                      <w:kern w:val="0"/>
                      <w:sz w:val="21"/>
                      <w:szCs w:val="21"/>
                      <w:lang w:bidi="ar"/>
                    </w:rPr>
                  </w:pPr>
                </w:p>
              </w:tc>
              <w:tc>
                <w:tcPr>
                  <w:tcW w:w="455" w:type="pct"/>
                  <w:vMerge w:val="continue"/>
                  <w:noWrap w:val="0"/>
                  <w:vAlign w:val="center"/>
                </w:tcPr>
                <w:p w14:paraId="7B023BA4">
                  <w:pPr>
                    <w:widowControl/>
                    <w:contextualSpacing/>
                    <w:jc w:val="center"/>
                    <w:rPr>
                      <w:rFonts w:hint="default" w:ascii="Times New Roman" w:hAnsi="Times New Roman" w:eastAsia="宋体" w:cs="Times New Roman"/>
                      <w:bCs/>
                      <w:color w:val="auto"/>
                      <w:spacing w:val="4"/>
                      <w:kern w:val="0"/>
                      <w:sz w:val="21"/>
                      <w:szCs w:val="21"/>
                      <w:lang w:bidi="ar-SA"/>
                    </w:rPr>
                  </w:pPr>
                </w:p>
              </w:tc>
              <w:tc>
                <w:tcPr>
                  <w:tcW w:w="441" w:type="pct"/>
                  <w:noWrap w:val="0"/>
                  <w:vAlign w:val="center"/>
                </w:tcPr>
                <w:p w14:paraId="6D9EF3F8">
                  <w:pPr>
                    <w:keepNext w:val="0"/>
                    <w:keepLines w:val="0"/>
                    <w:widowControl/>
                    <w:suppressLineNumbers w:val="0"/>
                    <w:jc w:val="center"/>
                    <w:textAlignment w:val="center"/>
                    <w:rPr>
                      <w:rFonts w:hint="default" w:ascii="Times New Roman" w:hAnsi="Times New Roman" w:eastAsia="宋体" w:cs="Times New Roman"/>
                      <w:color w:val="auto"/>
                      <w:kern w:val="0"/>
                      <w:sz w:val="21"/>
                      <w:szCs w:val="21"/>
                      <w:lang w:bidi="ar-SA"/>
                    </w:rPr>
                  </w:pPr>
                  <w:r>
                    <w:rPr>
                      <w:rFonts w:hint="default" w:ascii="Times New Roman" w:hAnsi="Times New Roman" w:eastAsia="宋体" w:cs="Times New Roman"/>
                      <w:i w:val="0"/>
                      <w:iCs w:val="0"/>
                      <w:color w:val="auto"/>
                      <w:kern w:val="0"/>
                      <w:sz w:val="21"/>
                      <w:szCs w:val="21"/>
                      <w:u w:val="none"/>
                      <w:lang w:val="en-US" w:eastAsia="zh-CN" w:bidi="ar"/>
                    </w:rPr>
                    <w:t>35</w:t>
                  </w:r>
                </w:p>
              </w:tc>
              <w:tc>
                <w:tcPr>
                  <w:tcW w:w="972" w:type="dxa"/>
                  <w:noWrap w:val="0"/>
                  <w:vAlign w:val="center"/>
                </w:tcPr>
                <w:p w14:paraId="4F9BA377">
                  <w:pPr>
                    <w:keepNext w:val="0"/>
                    <w:keepLines w:val="0"/>
                    <w:widowControl/>
                    <w:suppressLineNumbers w:val="0"/>
                    <w:jc w:val="center"/>
                    <w:textAlignment w:val="center"/>
                    <w:rPr>
                      <w:rFonts w:hint="default" w:ascii="Times New Roman" w:hAnsi="Times New Roman" w:eastAsia="宋体" w:cs="Times New Roman"/>
                      <w:bCs/>
                      <w:color w:val="auto"/>
                      <w:spacing w:val="4"/>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0.0755</w:t>
                  </w:r>
                </w:p>
              </w:tc>
              <w:tc>
                <w:tcPr>
                  <w:tcW w:w="1159" w:type="pct"/>
                  <w:vMerge w:val="continue"/>
                  <w:noWrap w:val="0"/>
                  <w:vAlign w:val="center"/>
                </w:tcPr>
                <w:p w14:paraId="684EED40">
                  <w:pPr>
                    <w:widowControl/>
                    <w:adjustRightInd w:val="0"/>
                    <w:snapToGrid w:val="0"/>
                    <w:spacing w:line="240" w:lineRule="atLeast"/>
                    <w:jc w:val="center"/>
                    <w:textAlignment w:val="baseline"/>
                    <w:rPr>
                      <w:rFonts w:hint="default" w:ascii="Times New Roman" w:hAnsi="Times New Roman" w:eastAsia="宋体" w:cs="Times New Roman"/>
                      <w:bCs/>
                      <w:color w:val="auto"/>
                      <w:spacing w:val="4"/>
                      <w:kern w:val="0"/>
                      <w:sz w:val="21"/>
                      <w:szCs w:val="21"/>
                      <w:lang w:bidi="ar"/>
                    </w:rPr>
                  </w:pPr>
                </w:p>
              </w:tc>
            </w:tr>
          </w:tbl>
          <w:p w14:paraId="5B5525DB">
            <w:pPr>
              <w:keepNext w:val="0"/>
              <w:keepLines w:val="0"/>
              <w:pageBreakBefore w:val="0"/>
              <w:widowControl w:val="0"/>
              <w:kinsoku/>
              <w:wordWrap/>
              <w:overflowPunct/>
              <w:topLinePunct w:val="0"/>
              <w:autoSpaceDE/>
              <w:autoSpaceDN/>
              <w:bidi w:val="0"/>
              <w:adjustRightInd w:val="0"/>
              <w:snapToGrid w:val="0"/>
              <w:spacing w:line="240" w:lineRule="auto"/>
              <w:ind w:firstLine="422" w:firstLineChars="200"/>
              <w:jc w:val="both"/>
              <w:textAlignment w:val="auto"/>
              <w:rPr>
                <w:rFonts w:hint="eastAsia"/>
                <w:color w:val="auto"/>
                <w:sz w:val="24"/>
                <w:szCs w:val="24"/>
              </w:rPr>
            </w:pPr>
            <w:r>
              <w:rPr>
                <w:rFonts w:hint="eastAsia"/>
                <w:b/>
                <w:bCs w:val="0"/>
                <w:color w:val="auto"/>
                <w:sz w:val="21"/>
                <w:szCs w:val="21"/>
                <w:lang w:val="en-US" w:eastAsia="zh-CN"/>
              </w:rPr>
              <w:t>注：现有项目环评未对</w:t>
            </w:r>
            <w:r>
              <w:rPr>
                <w:rFonts w:ascii="Times New Roman" w:eastAsia="宋体"/>
                <w:b/>
                <w:bCs w:val="0"/>
                <w:color w:val="auto"/>
                <w:sz w:val="21"/>
                <w:szCs w:val="21"/>
              </w:rPr>
              <w:t>NH</w:t>
            </w:r>
            <w:r>
              <w:rPr>
                <w:rFonts w:hint="eastAsia" w:ascii="Times New Roman" w:eastAsia="宋体"/>
                <w:b/>
                <w:bCs w:val="0"/>
                <w:color w:val="auto"/>
                <w:sz w:val="21"/>
                <w:szCs w:val="21"/>
                <w:vertAlign w:val="subscript"/>
              </w:rPr>
              <w:t>3</w:t>
            </w:r>
            <w:r>
              <w:rPr>
                <w:rFonts w:ascii="Times New Roman" w:eastAsia="宋体"/>
                <w:b/>
                <w:bCs w:val="0"/>
                <w:color w:val="auto"/>
                <w:sz w:val="21"/>
                <w:szCs w:val="21"/>
              </w:rPr>
              <w:t>-N</w:t>
            </w:r>
            <w:r>
              <w:rPr>
                <w:rFonts w:hint="eastAsia" w:ascii="Times New Roman"/>
                <w:b/>
                <w:bCs w:val="0"/>
                <w:color w:val="auto"/>
                <w:sz w:val="21"/>
                <w:szCs w:val="21"/>
                <w:lang w:eastAsia="zh-CN"/>
              </w:rPr>
              <w:t>、</w:t>
            </w:r>
            <w:r>
              <w:rPr>
                <w:rFonts w:ascii="Times New Roman" w:eastAsia="宋体"/>
                <w:b/>
                <w:bCs w:val="0"/>
                <w:color w:val="auto"/>
                <w:sz w:val="21"/>
                <w:szCs w:val="21"/>
              </w:rPr>
              <w:t>TP</w:t>
            </w:r>
            <w:r>
              <w:rPr>
                <w:rFonts w:hint="eastAsia" w:ascii="Times New Roman"/>
                <w:b/>
                <w:bCs w:val="0"/>
                <w:color w:val="auto"/>
                <w:sz w:val="21"/>
                <w:szCs w:val="21"/>
                <w:lang w:eastAsia="zh-CN"/>
              </w:rPr>
              <w:t>、</w:t>
            </w:r>
            <w:r>
              <w:rPr>
                <w:rFonts w:hint="eastAsia" w:ascii="Times New Roman"/>
                <w:b/>
                <w:bCs w:val="0"/>
                <w:color w:val="auto"/>
                <w:sz w:val="21"/>
                <w:szCs w:val="21"/>
                <w:lang w:val="en-US" w:eastAsia="zh-CN"/>
              </w:rPr>
              <w:t>TN进行核算，本次补充核算。</w:t>
            </w:r>
          </w:p>
          <w:p w14:paraId="11F11A0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color w:val="auto"/>
                <w:sz w:val="24"/>
                <w:szCs w:val="24"/>
              </w:rPr>
            </w:pPr>
            <w:r>
              <w:rPr>
                <w:rFonts w:hint="eastAsia"/>
                <w:color w:val="auto"/>
                <w:sz w:val="24"/>
                <w:szCs w:val="24"/>
              </w:rPr>
              <w:t>本项目废水类别</w:t>
            </w:r>
            <w:r>
              <w:rPr>
                <w:color w:val="auto"/>
                <w:sz w:val="24"/>
                <w:szCs w:val="24"/>
              </w:rPr>
              <w:t>、污染物及污染治理设施情况见</w:t>
            </w:r>
            <w:r>
              <w:rPr>
                <w:rFonts w:hint="eastAsia"/>
                <w:color w:val="auto"/>
                <w:sz w:val="24"/>
                <w:szCs w:val="24"/>
              </w:rPr>
              <w:t>下表。</w:t>
            </w:r>
          </w:p>
          <w:p w14:paraId="6C9544C5">
            <w:pPr>
              <w:jc w:val="center"/>
              <w:rPr>
                <w:b/>
                <w:bCs/>
                <w:color w:val="auto"/>
                <w:sz w:val="24"/>
                <w:szCs w:val="24"/>
              </w:rPr>
            </w:pPr>
            <w:r>
              <w:rPr>
                <w:rFonts w:hint="eastAsia"/>
                <w:b/>
                <w:bCs/>
                <w:color w:val="auto"/>
                <w:sz w:val="24"/>
                <w:szCs w:val="24"/>
              </w:rPr>
              <w:t>表4-</w:t>
            </w:r>
            <w:r>
              <w:rPr>
                <w:rFonts w:hint="eastAsia"/>
                <w:b/>
                <w:bCs/>
                <w:color w:val="auto"/>
                <w:sz w:val="24"/>
                <w:szCs w:val="24"/>
                <w:lang w:val="en-US" w:eastAsia="zh-CN"/>
              </w:rPr>
              <w:t>12</w:t>
            </w:r>
            <w:r>
              <w:rPr>
                <w:rFonts w:hint="eastAsia"/>
                <w:b/>
                <w:bCs/>
                <w:color w:val="auto"/>
                <w:sz w:val="24"/>
                <w:szCs w:val="24"/>
              </w:rPr>
              <w:t xml:space="preserve"> </w:t>
            </w:r>
            <w:r>
              <w:rPr>
                <w:b/>
                <w:bCs/>
                <w:color w:val="auto"/>
                <w:sz w:val="24"/>
                <w:szCs w:val="24"/>
              </w:rPr>
              <w:t>废水类别、污染物及污染治理设施信息表</w:t>
            </w:r>
          </w:p>
          <w:tbl>
            <w:tblPr>
              <w:tblStyle w:val="26"/>
              <w:tblW w:w="8156"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375"/>
              <w:gridCol w:w="704"/>
              <w:gridCol w:w="1015"/>
              <w:gridCol w:w="577"/>
              <w:gridCol w:w="646"/>
              <w:gridCol w:w="646"/>
              <w:gridCol w:w="669"/>
              <w:gridCol w:w="589"/>
              <w:gridCol w:w="623"/>
              <w:gridCol w:w="335"/>
              <w:gridCol w:w="750"/>
              <w:gridCol w:w="1227"/>
            </w:tblGrid>
            <w:tr w14:paraId="398EC4A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75" w:type="dxa"/>
                  <w:vMerge w:val="restart"/>
                  <w:tcBorders>
                    <w:tl2br w:val="nil"/>
                    <w:tr2bl w:val="nil"/>
                  </w:tcBorders>
                  <w:vAlign w:val="center"/>
                </w:tcPr>
                <w:p w14:paraId="3458E6E6">
                  <w:pPr>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废水类别</w:t>
                  </w:r>
                </w:p>
              </w:tc>
              <w:tc>
                <w:tcPr>
                  <w:tcW w:w="704" w:type="dxa"/>
                  <w:vMerge w:val="restart"/>
                  <w:tcBorders>
                    <w:tl2br w:val="nil"/>
                    <w:tr2bl w:val="nil"/>
                  </w:tcBorders>
                  <w:vAlign w:val="center"/>
                </w:tcPr>
                <w:p w14:paraId="6BE3B051">
                  <w:pPr>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排放口地理坐标/°</w:t>
                  </w:r>
                </w:p>
              </w:tc>
              <w:tc>
                <w:tcPr>
                  <w:tcW w:w="1015" w:type="dxa"/>
                  <w:vMerge w:val="restart"/>
                  <w:tcBorders>
                    <w:tl2br w:val="nil"/>
                    <w:tr2bl w:val="nil"/>
                  </w:tcBorders>
                  <w:vAlign w:val="center"/>
                </w:tcPr>
                <w:p w14:paraId="72181A64">
                  <w:pPr>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排放</w:t>
                  </w:r>
                </w:p>
                <w:p w14:paraId="5748A441">
                  <w:pPr>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去向</w:t>
                  </w:r>
                </w:p>
              </w:tc>
              <w:tc>
                <w:tcPr>
                  <w:tcW w:w="577" w:type="dxa"/>
                  <w:vMerge w:val="restart"/>
                  <w:tcBorders>
                    <w:tl2br w:val="nil"/>
                    <w:tr2bl w:val="nil"/>
                  </w:tcBorders>
                  <w:vAlign w:val="center"/>
                </w:tcPr>
                <w:p w14:paraId="091BCB6E">
                  <w:pPr>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排放规律</w:t>
                  </w:r>
                </w:p>
              </w:tc>
              <w:tc>
                <w:tcPr>
                  <w:tcW w:w="1961" w:type="dxa"/>
                  <w:gridSpan w:val="3"/>
                  <w:tcBorders>
                    <w:tl2br w:val="nil"/>
                    <w:tr2bl w:val="nil"/>
                  </w:tcBorders>
                  <w:vAlign w:val="center"/>
                </w:tcPr>
                <w:p w14:paraId="4B452F79">
                  <w:pPr>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污染治理设施</w:t>
                  </w:r>
                </w:p>
              </w:tc>
              <w:tc>
                <w:tcPr>
                  <w:tcW w:w="589" w:type="dxa"/>
                  <w:vMerge w:val="restart"/>
                  <w:tcBorders>
                    <w:tl2br w:val="nil"/>
                    <w:tr2bl w:val="nil"/>
                  </w:tcBorders>
                  <w:vAlign w:val="center"/>
                </w:tcPr>
                <w:p w14:paraId="76DF01F6">
                  <w:pPr>
                    <w:ind w:left="-42" w:leftChars="-20" w:right="-42" w:rightChars="-2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排放口编号</w:t>
                  </w:r>
                </w:p>
              </w:tc>
              <w:tc>
                <w:tcPr>
                  <w:tcW w:w="623" w:type="dxa"/>
                  <w:vMerge w:val="restart"/>
                  <w:tcBorders>
                    <w:tl2br w:val="nil"/>
                    <w:tr2bl w:val="nil"/>
                  </w:tcBorders>
                  <w:vAlign w:val="center"/>
                </w:tcPr>
                <w:p w14:paraId="0F203D71">
                  <w:pPr>
                    <w:ind w:left="-42" w:leftChars="-20" w:right="-42" w:rightChars="-2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排放口设置是否符合要求</w:t>
                  </w:r>
                </w:p>
              </w:tc>
              <w:tc>
                <w:tcPr>
                  <w:tcW w:w="335" w:type="dxa"/>
                  <w:vMerge w:val="restart"/>
                  <w:tcBorders>
                    <w:tl2br w:val="nil"/>
                    <w:tr2bl w:val="nil"/>
                  </w:tcBorders>
                  <w:vAlign w:val="center"/>
                </w:tcPr>
                <w:p w14:paraId="17EBA6E9">
                  <w:pPr>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排放口类型</w:t>
                  </w:r>
                </w:p>
              </w:tc>
              <w:tc>
                <w:tcPr>
                  <w:tcW w:w="750" w:type="dxa"/>
                  <w:vMerge w:val="restart"/>
                  <w:tcBorders>
                    <w:tl2br w:val="nil"/>
                    <w:tr2bl w:val="nil"/>
                  </w:tcBorders>
                  <w:vAlign w:val="center"/>
                </w:tcPr>
                <w:p w14:paraId="153612F6">
                  <w:pPr>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color w:val="auto"/>
                      <w:sz w:val="21"/>
                      <w:szCs w:val="21"/>
                    </w:rPr>
                    <w:t>污染物种类</w:t>
                  </w:r>
                </w:p>
              </w:tc>
              <w:tc>
                <w:tcPr>
                  <w:tcW w:w="1227" w:type="dxa"/>
                  <w:vMerge w:val="restart"/>
                  <w:tcBorders>
                    <w:tl2br w:val="nil"/>
                    <w:tr2bl w:val="nil"/>
                  </w:tcBorders>
                  <w:vAlign w:val="center"/>
                </w:tcPr>
                <w:p w14:paraId="1AF642DB">
                  <w:pPr>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bCs/>
                      <w:color w:val="auto"/>
                      <w:sz w:val="21"/>
                      <w:szCs w:val="21"/>
                    </w:rPr>
                    <w:t>排放标准</w:t>
                  </w:r>
                  <w:r>
                    <w:rPr>
                      <w:rFonts w:hint="default" w:ascii="Times New Roman" w:hAnsi="Times New Roman" w:eastAsia="宋体" w:cs="Times New Roman"/>
                      <w:b/>
                      <w:color w:val="auto"/>
                      <w:sz w:val="21"/>
                      <w:szCs w:val="21"/>
                    </w:rPr>
                    <w:t>浓度限值（mg/L）</w:t>
                  </w:r>
                </w:p>
              </w:tc>
            </w:tr>
            <w:tr w14:paraId="133C285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75" w:type="dxa"/>
                  <w:vMerge w:val="continue"/>
                  <w:tcBorders>
                    <w:tl2br w:val="nil"/>
                    <w:tr2bl w:val="nil"/>
                  </w:tcBorders>
                  <w:vAlign w:val="center"/>
                </w:tcPr>
                <w:p w14:paraId="2790341C">
                  <w:pPr>
                    <w:jc w:val="center"/>
                    <w:rPr>
                      <w:rFonts w:hint="default" w:ascii="Times New Roman" w:hAnsi="Times New Roman" w:eastAsia="宋体" w:cs="Times New Roman"/>
                      <w:color w:val="auto"/>
                      <w:sz w:val="21"/>
                      <w:szCs w:val="21"/>
                    </w:rPr>
                  </w:pPr>
                </w:p>
              </w:tc>
              <w:tc>
                <w:tcPr>
                  <w:tcW w:w="704" w:type="dxa"/>
                  <w:vMerge w:val="continue"/>
                  <w:tcBorders>
                    <w:tl2br w:val="nil"/>
                    <w:tr2bl w:val="nil"/>
                  </w:tcBorders>
                  <w:vAlign w:val="center"/>
                </w:tcPr>
                <w:p w14:paraId="7B457348">
                  <w:pPr>
                    <w:jc w:val="center"/>
                    <w:rPr>
                      <w:rFonts w:hint="default" w:ascii="Times New Roman" w:hAnsi="Times New Roman" w:eastAsia="宋体" w:cs="Times New Roman"/>
                      <w:color w:val="auto"/>
                      <w:sz w:val="21"/>
                      <w:szCs w:val="21"/>
                    </w:rPr>
                  </w:pPr>
                </w:p>
              </w:tc>
              <w:tc>
                <w:tcPr>
                  <w:tcW w:w="1015" w:type="dxa"/>
                  <w:vMerge w:val="continue"/>
                  <w:tcBorders>
                    <w:tl2br w:val="nil"/>
                    <w:tr2bl w:val="nil"/>
                  </w:tcBorders>
                  <w:vAlign w:val="center"/>
                </w:tcPr>
                <w:p w14:paraId="04D68116">
                  <w:pPr>
                    <w:jc w:val="center"/>
                    <w:rPr>
                      <w:rFonts w:hint="default" w:ascii="Times New Roman" w:hAnsi="Times New Roman" w:eastAsia="宋体" w:cs="Times New Roman"/>
                      <w:color w:val="auto"/>
                      <w:sz w:val="21"/>
                      <w:szCs w:val="21"/>
                    </w:rPr>
                  </w:pPr>
                </w:p>
              </w:tc>
              <w:tc>
                <w:tcPr>
                  <w:tcW w:w="577" w:type="dxa"/>
                  <w:vMerge w:val="continue"/>
                  <w:tcBorders>
                    <w:tl2br w:val="nil"/>
                    <w:tr2bl w:val="nil"/>
                  </w:tcBorders>
                  <w:vAlign w:val="center"/>
                </w:tcPr>
                <w:p w14:paraId="5B3A7007">
                  <w:pPr>
                    <w:jc w:val="center"/>
                    <w:rPr>
                      <w:rFonts w:hint="default" w:ascii="Times New Roman" w:hAnsi="Times New Roman" w:eastAsia="宋体" w:cs="Times New Roman"/>
                      <w:color w:val="auto"/>
                      <w:sz w:val="21"/>
                      <w:szCs w:val="21"/>
                    </w:rPr>
                  </w:pPr>
                </w:p>
              </w:tc>
              <w:tc>
                <w:tcPr>
                  <w:tcW w:w="646" w:type="dxa"/>
                  <w:tcBorders>
                    <w:tl2br w:val="nil"/>
                    <w:tr2bl w:val="nil"/>
                  </w:tcBorders>
                  <w:vAlign w:val="center"/>
                </w:tcPr>
                <w:p w14:paraId="0021D624">
                  <w:pPr>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污染治理设施编号</w:t>
                  </w:r>
                </w:p>
              </w:tc>
              <w:tc>
                <w:tcPr>
                  <w:tcW w:w="646" w:type="dxa"/>
                  <w:tcBorders>
                    <w:tl2br w:val="nil"/>
                    <w:tr2bl w:val="nil"/>
                  </w:tcBorders>
                  <w:vAlign w:val="center"/>
                </w:tcPr>
                <w:p w14:paraId="3F599BDE">
                  <w:pPr>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污染治理设施名称</w:t>
                  </w:r>
                </w:p>
              </w:tc>
              <w:tc>
                <w:tcPr>
                  <w:tcW w:w="669" w:type="dxa"/>
                  <w:tcBorders>
                    <w:tl2br w:val="nil"/>
                    <w:tr2bl w:val="nil"/>
                  </w:tcBorders>
                  <w:vAlign w:val="center"/>
                </w:tcPr>
                <w:p w14:paraId="36113CBB">
                  <w:pPr>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污染治理设施工艺</w:t>
                  </w:r>
                </w:p>
              </w:tc>
              <w:tc>
                <w:tcPr>
                  <w:tcW w:w="589" w:type="dxa"/>
                  <w:vMerge w:val="continue"/>
                  <w:tcBorders>
                    <w:tl2br w:val="nil"/>
                    <w:tr2bl w:val="nil"/>
                  </w:tcBorders>
                  <w:vAlign w:val="center"/>
                </w:tcPr>
                <w:p w14:paraId="7C7D5AB7">
                  <w:pPr>
                    <w:jc w:val="center"/>
                    <w:rPr>
                      <w:rFonts w:hint="default" w:ascii="Times New Roman" w:hAnsi="Times New Roman" w:eastAsia="宋体" w:cs="Times New Roman"/>
                      <w:color w:val="auto"/>
                      <w:sz w:val="21"/>
                      <w:szCs w:val="21"/>
                    </w:rPr>
                  </w:pPr>
                </w:p>
              </w:tc>
              <w:tc>
                <w:tcPr>
                  <w:tcW w:w="623" w:type="dxa"/>
                  <w:vMerge w:val="continue"/>
                  <w:tcBorders>
                    <w:tl2br w:val="nil"/>
                    <w:tr2bl w:val="nil"/>
                  </w:tcBorders>
                  <w:vAlign w:val="center"/>
                </w:tcPr>
                <w:p w14:paraId="4A7A06B2">
                  <w:pPr>
                    <w:jc w:val="center"/>
                    <w:rPr>
                      <w:rFonts w:hint="default" w:ascii="Times New Roman" w:hAnsi="Times New Roman" w:eastAsia="宋体" w:cs="Times New Roman"/>
                      <w:color w:val="auto"/>
                      <w:sz w:val="21"/>
                      <w:szCs w:val="21"/>
                    </w:rPr>
                  </w:pPr>
                </w:p>
              </w:tc>
              <w:tc>
                <w:tcPr>
                  <w:tcW w:w="335" w:type="dxa"/>
                  <w:vMerge w:val="continue"/>
                  <w:tcBorders>
                    <w:tl2br w:val="nil"/>
                    <w:tr2bl w:val="nil"/>
                  </w:tcBorders>
                  <w:vAlign w:val="center"/>
                </w:tcPr>
                <w:p w14:paraId="2070ABEC">
                  <w:pPr>
                    <w:jc w:val="center"/>
                    <w:rPr>
                      <w:rFonts w:hint="default" w:ascii="Times New Roman" w:hAnsi="Times New Roman" w:eastAsia="宋体" w:cs="Times New Roman"/>
                      <w:color w:val="auto"/>
                      <w:sz w:val="21"/>
                      <w:szCs w:val="21"/>
                    </w:rPr>
                  </w:pPr>
                </w:p>
              </w:tc>
              <w:tc>
                <w:tcPr>
                  <w:tcW w:w="750" w:type="dxa"/>
                  <w:vMerge w:val="continue"/>
                  <w:tcBorders>
                    <w:tl2br w:val="nil"/>
                    <w:tr2bl w:val="nil"/>
                  </w:tcBorders>
                  <w:vAlign w:val="center"/>
                </w:tcPr>
                <w:p w14:paraId="1ED55163">
                  <w:pPr>
                    <w:jc w:val="center"/>
                    <w:rPr>
                      <w:rFonts w:hint="default" w:ascii="Times New Roman" w:hAnsi="Times New Roman" w:eastAsia="宋体" w:cs="Times New Roman"/>
                      <w:color w:val="auto"/>
                      <w:sz w:val="21"/>
                      <w:szCs w:val="21"/>
                    </w:rPr>
                  </w:pPr>
                </w:p>
              </w:tc>
              <w:tc>
                <w:tcPr>
                  <w:tcW w:w="1227" w:type="dxa"/>
                  <w:vMerge w:val="continue"/>
                  <w:tcBorders>
                    <w:tl2br w:val="nil"/>
                    <w:tr2bl w:val="nil"/>
                  </w:tcBorders>
                  <w:vAlign w:val="center"/>
                </w:tcPr>
                <w:p w14:paraId="2809BBC3">
                  <w:pPr>
                    <w:jc w:val="center"/>
                    <w:rPr>
                      <w:rFonts w:hint="default" w:ascii="Times New Roman" w:hAnsi="Times New Roman" w:eastAsia="宋体" w:cs="Times New Roman"/>
                      <w:color w:val="auto"/>
                      <w:sz w:val="21"/>
                      <w:szCs w:val="21"/>
                    </w:rPr>
                  </w:pPr>
                </w:p>
              </w:tc>
            </w:tr>
            <w:tr w14:paraId="18C3053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75" w:type="dxa"/>
                  <w:vMerge w:val="restart"/>
                  <w:tcBorders>
                    <w:tl2br w:val="nil"/>
                    <w:tr2bl w:val="nil"/>
                  </w:tcBorders>
                  <w:vAlign w:val="center"/>
                </w:tcPr>
                <w:p w14:paraId="1E8247E2">
                  <w:pPr>
                    <w:jc w:val="both"/>
                    <w:rPr>
                      <w:rFonts w:hint="default" w:ascii="Times New Roman" w:hAnsi="Times New Roman" w:eastAsia="宋体" w:cs="Times New Roman"/>
                      <w:color w:val="auto"/>
                      <w:sz w:val="21"/>
                      <w:szCs w:val="21"/>
                    </w:rPr>
                  </w:pPr>
                  <w:r>
                    <w:rPr>
                      <w:rFonts w:hint="eastAsia" w:cs="Times New Roman"/>
                      <w:color w:val="auto"/>
                      <w:sz w:val="21"/>
                      <w:szCs w:val="21"/>
                      <w:lang w:val="en-US" w:eastAsia="zh-CN"/>
                    </w:rPr>
                    <w:t>生活污水</w:t>
                  </w:r>
                </w:p>
              </w:tc>
              <w:tc>
                <w:tcPr>
                  <w:tcW w:w="704" w:type="dxa"/>
                  <w:vMerge w:val="restart"/>
                  <w:tcBorders>
                    <w:tl2br w:val="nil"/>
                    <w:tr2bl w:val="nil"/>
                  </w:tcBorders>
                  <w:vAlign w:val="center"/>
                </w:tcPr>
                <w:p w14:paraId="4978BDAD">
                  <w:pPr>
                    <w:jc w:val="center"/>
                    <w:rPr>
                      <w:rFonts w:hint="eastAsia" w:ascii="Times New Roman" w:hAnsi="Times New Roman" w:eastAsia="宋体" w:cs="Times New Roman"/>
                      <w:color w:val="auto"/>
                      <w:sz w:val="21"/>
                      <w:szCs w:val="21"/>
                      <w:lang w:eastAsia="zh-CN"/>
                    </w:rPr>
                  </w:pPr>
                  <w:r>
                    <w:rPr>
                      <w:rFonts w:hint="eastAsia"/>
                      <w:color w:val="auto"/>
                    </w:rPr>
                    <w:t>120.41867</w:t>
                  </w:r>
                  <w:r>
                    <w:rPr>
                      <w:rFonts w:hint="eastAsia"/>
                      <w:color w:val="auto"/>
                      <w:lang w:val="en-US" w:eastAsia="zh-CN"/>
                    </w:rPr>
                    <w:t>4</w:t>
                  </w:r>
                  <w:r>
                    <w:rPr>
                      <w:rFonts w:hint="eastAsia"/>
                      <w:color w:val="auto"/>
                      <w:lang w:eastAsia="zh-CN"/>
                    </w:rPr>
                    <w:t>；32.497791</w:t>
                  </w:r>
                </w:p>
              </w:tc>
              <w:tc>
                <w:tcPr>
                  <w:tcW w:w="1015" w:type="dxa"/>
                  <w:vMerge w:val="restart"/>
                  <w:tcBorders>
                    <w:tl2br w:val="nil"/>
                    <w:tr2bl w:val="nil"/>
                  </w:tcBorders>
                  <w:vAlign w:val="center"/>
                </w:tcPr>
                <w:p w14:paraId="76563290">
                  <w:pPr>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Cs/>
                      <w:color w:val="auto"/>
                      <w:spacing w:val="4"/>
                      <w:kern w:val="0"/>
                      <w:sz w:val="21"/>
                      <w:szCs w:val="21"/>
                      <w:lang w:bidi="ar"/>
                    </w:rPr>
                    <w:t>鹰泰水务海安有限公司</w:t>
                  </w:r>
                </w:p>
              </w:tc>
              <w:tc>
                <w:tcPr>
                  <w:tcW w:w="577" w:type="dxa"/>
                  <w:vMerge w:val="restart"/>
                  <w:tcBorders>
                    <w:tl2br w:val="nil"/>
                    <w:tr2bl w:val="nil"/>
                  </w:tcBorders>
                  <w:vAlign w:val="center"/>
                </w:tcPr>
                <w:p w14:paraId="028EF423">
                  <w:pPr>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间断</w:t>
                  </w:r>
                </w:p>
              </w:tc>
              <w:tc>
                <w:tcPr>
                  <w:tcW w:w="646" w:type="dxa"/>
                  <w:vMerge w:val="restart"/>
                  <w:tcBorders>
                    <w:tl2br w:val="nil"/>
                    <w:tr2bl w:val="nil"/>
                  </w:tcBorders>
                  <w:vAlign w:val="center"/>
                </w:tcPr>
                <w:p w14:paraId="1DCB00B8">
                  <w:pPr>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TW001</w:t>
                  </w:r>
                </w:p>
              </w:tc>
              <w:tc>
                <w:tcPr>
                  <w:tcW w:w="646" w:type="dxa"/>
                  <w:vMerge w:val="restart"/>
                  <w:tcBorders>
                    <w:tl2br w:val="nil"/>
                    <w:tr2bl w:val="nil"/>
                  </w:tcBorders>
                  <w:vAlign w:val="center"/>
                </w:tcPr>
                <w:p w14:paraId="22616C10">
                  <w:pPr>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化粪池</w:t>
                  </w:r>
                </w:p>
              </w:tc>
              <w:tc>
                <w:tcPr>
                  <w:tcW w:w="669" w:type="dxa"/>
                  <w:vMerge w:val="restart"/>
                  <w:tcBorders>
                    <w:tl2br w:val="nil"/>
                    <w:tr2bl w:val="nil"/>
                  </w:tcBorders>
                  <w:vAlign w:val="center"/>
                </w:tcPr>
                <w:p w14:paraId="43E6DA26">
                  <w:pPr>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589" w:type="dxa"/>
                  <w:vMerge w:val="restart"/>
                  <w:tcBorders>
                    <w:tl2br w:val="nil"/>
                    <w:tr2bl w:val="nil"/>
                  </w:tcBorders>
                  <w:vAlign w:val="center"/>
                </w:tcPr>
                <w:p w14:paraId="244DF20A">
                  <w:pPr>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DW001</w:t>
                  </w:r>
                </w:p>
              </w:tc>
              <w:tc>
                <w:tcPr>
                  <w:tcW w:w="623" w:type="dxa"/>
                  <w:vMerge w:val="restart"/>
                  <w:tcBorders>
                    <w:tl2br w:val="nil"/>
                    <w:tr2bl w:val="nil"/>
                  </w:tcBorders>
                  <w:vAlign w:val="center"/>
                </w:tcPr>
                <w:p w14:paraId="280AB31D">
                  <w:pPr>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是</w:t>
                  </w:r>
                </w:p>
              </w:tc>
              <w:tc>
                <w:tcPr>
                  <w:tcW w:w="335" w:type="dxa"/>
                  <w:vMerge w:val="restart"/>
                  <w:tcBorders>
                    <w:tl2br w:val="nil"/>
                    <w:tr2bl w:val="nil"/>
                  </w:tcBorders>
                  <w:vAlign w:val="center"/>
                </w:tcPr>
                <w:p w14:paraId="40A500B0">
                  <w:pPr>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一般排放口</w:t>
                  </w:r>
                </w:p>
              </w:tc>
              <w:tc>
                <w:tcPr>
                  <w:tcW w:w="750" w:type="dxa"/>
                  <w:tcBorders>
                    <w:tl2br w:val="nil"/>
                    <w:tr2bl w:val="nil"/>
                  </w:tcBorders>
                  <w:vAlign w:val="center"/>
                </w:tcPr>
                <w:p w14:paraId="6629E3DC">
                  <w:pPr>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pH</w:t>
                  </w:r>
                </w:p>
              </w:tc>
              <w:tc>
                <w:tcPr>
                  <w:tcW w:w="1227" w:type="dxa"/>
                  <w:tcBorders>
                    <w:tl2br w:val="nil"/>
                    <w:tr2bl w:val="nil"/>
                  </w:tcBorders>
                  <w:vAlign w:val="center"/>
                </w:tcPr>
                <w:p w14:paraId="46F37EA4">
                  <w:pPr>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6-9（无量纲）</w:t>
                  </w:r>
                </w:p>
              </w:tc>
            </w:tr>
            <w:tr w14:paraId="5338AD6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75" w:type="dxa"/>
                  <w:vMerge w:val="continue"/>
                  <w:tcBorders>
                    <w:tl2br w:val="nil"/>
                    <w:tr2bl w:val="nil"/>
                  </w:tcBorders>
                  <w:vAlign w:val="center"/>
                </w:tcPr>
                <w:p w14:paraId="5F0F053C">
                  <w:pPr>
                    <w:pStyle w:val="2"/>
                    <w:spacing w:before="0" w:after="0" w:line="240" w:lineRule="auto"/>
                    <w:jc w:val="center"/>
                    <w:rPr>
                      <w:rFonts w:hint="default" w:ascii="Times New Roman" w:hAnsi="Times New Roman" w:eastAsia="宋体" w:cs="Times New Roman"/>
                      <w:color w:val="auto"/>
                      <w:sz w:val="21"/>
                      <w:szCs w:val="21"/>
                    </w:rPr>
                  </w:pPr>
                </w:p>
              </w:tc>
              <w:tc>
                <w:tcPr>
                  <w:tcW w:w="704" w:type="dxa"/>
                  <w:vMerge w:val="continue"/>
                  <w:tcBorders>
                    <w:tl2br w:val="nil"/>
                    <w:tr2bl w:val="nil"/>
                  </w:tcBorders>
                  <w:vAlign w:val="center"/>
                </w:tcPr>
                <w:p w14:paraId="4B32585A">
                  <w:pPr>
                    <w:pStyle w:val="2"/>
                    <w:spacing w:before="0" w:after="0" w:line="240" w:lineRule="auto"/>
                    <w:jc w:val="center"/>
                    <w:rPr>
                      <w:rFonts w:hint="default" w:ascii="Times New Roman" w:hAnsi="Times New Roman" w:eastAsia="宋体" w:cs="Times New Roman"/>
                      <w:color w:val="auto"/>
                      <w:sz w:val="21"/>
                      <w:szCs w:val="21"/>
                    </w:rPr>
                  </w:pPr>
                </w:p>
              </w:tc>
              <w:tc>
                <w:tcPr>
                  <w:tcW w:w="1015" w:type="dxa"/>
                  <w:vMerge w:val="continue"/>
                  <w:tcBorders>
                    <w:tl2br w:val="nil"/>
                    <w:tr2bl w:val="nil"/>
                  </w:tcBorders>
                  <w:vAlign w:val="center"/>
                </w:tcPr>
                <w:p w14:paraId="2154DB79">
                  <w:pPr>
                    <w:pStyle w:val="2"/>
                    <w:spacing w:before="0" w:after="0" w:line="240" w:lineRule="auto"/>
                    <w:jc w:val="center"/>
                    <w:rPr>
                      <w:rFonts w:hint="default" w:ascii="Times New Roman" w:hAnsi="Times New Roman" w:eastAsia="宋体" w:cs="Times New Roman"/>
                      <w:color w:val="auto"/>
                      <w:sz w:val="21"/>
                      <w:szCs w:val="21"/>
                    </w:rPr>
                  </w:pPr>
                </w:p>
              </w:tc>
              <w:tc>
                <w:tcPr>
                  <w:tcW w:w="577" w:type="dxa"/>
                  <w:vMerge w:val="continue"/>
                  <w:tcBorders>
                    <w:tl2br w:val="nil"/>
                    <w:tr2bl w:val="nil"/>
                  </w:tcBorders>
                  <w:vAlign w:val="center"/>
                </w:tcPr>
                <w:p w14:paraId="7CC22C69">
                  <w:pPr>
                    <w:pStyle w:val="2"/>
                    <w:spacing w:before="0" w:after="0" w:line="240" w:lineRule="auto"/>
                    <w:jc w:val="center"/>
                    <w:rPr>
                      <w:rFonts w:hint="default" w:ascii="Times New Roman" w:hAnsi="Times New Roman" w:eastAsia="宋体" w:cs="Times New Roman"/>
                      <w:color w:val="auto"/>
                      <w:sz w:val="21"/>
                      <w:szCs w:val="21"/>
                    </w:rPr>
                  </w:pPr>
                </w:p>
              </w:tc>
              <w:tc>
                <w:tcPr>
                  <w:tcW w:w="646" w:type="dxa"/>
                  <w:vMerge w:val="continue"/>
                  <w:tcBorders>
                    <w:tl2br w:val="nil"/>
                    <w:tr2bl w:val="nil"/>
                  </w:tcBorders>
                  <w:vAlign w:val="center"/>
                </w:tcPr>
                <w:p w14:paraId="758E4715">
                  <w:pPr>
                    <w:pStyle w:val="2"/>
                    <w:spacing w:before="0" w:after="0" w:line="240" w:lineRule="auto"/>
                    <w:jc w:val="center"/>
                    <w:rPr>
                      <w:rFonts w:hint="default" w:ascii="Times New Roman" w:hAnsi="Times New Roman" w:eastAsia="宋体" w:cs="Times New Roman"/>
                      <w:color w:val="auto"/>
                      <w:sz w:val="21"/>
                      <w:szCs w:val="21"/>
                    </w:rPr>
                  </w:pPr>
                </w:p>
              </w:tc>
              <w:tc>
                <w:tcPr>
                  <w:tcW w:w="646" w:type="dxa"/>
                  <w:vMerge w:val="continue"/>
                  <w:tcBorders>
                    <w:tl2br w:val="nil"/>
                    <w:tr2bl w:val="nil"/>
                  </w:tcBorders>
                  <w:vAlign w:val="center"/>
                </w:tcPr>
                <w:p w14:paraId="64873AD6">
                  <w:pPr>
                    <w:pStyle w:val="2"/>
                    <w:spacing w:before="0" w:after="0" w:line="240" w:lineRule="auto"/>
                    <w:jc w:val="center"/>
                    <w:rPr>
                      <w:rFonts w:hint="default" w:ascii="Times New Roman" w:hAnsi="Times New Roman" w:eastAsia="宋体" w:cs="Times New Roman"/>
                      <w:color w:val="auto"/>
                      <w:sz w:val="21"/>
                      <w:szCs w:val="21"/>
                    </w:rPr>
                  </w:pPr>
                </w:p>
              </w:tc>
              <w:tc>
                <w:tcPr>
                  <w:tcW w:w="669" w:type="dxa"/>
                  <w:vMerge w:val="continue"/>
                  <w:tcBorders>
                    <w:tl2br w:val="nil"/>
                    <w:tr2bl w:val="nil"/>
                  </w:tcBorders>
                  <w:vAlign w:val="center"/>
                </w:tcPr>
                <w:p w14:paraId="450B5738">
                  <w:pPr>
                    <w:pStyle w:val="2"/>
                    <w:spacing w:before="0" w:after="0" w:line="240" w:lineRule="auto"/>
                    <w:jc w:val="center"/>
                    <w:rPr>
                      <w:rFonts w:hint="default" w:ascii="Times New Roman" w:hAnsi="Times New Roman" w:eastAsia="宋体" w:cs="Times New Roman"/>
                      <w:color w:val="auto"/>
                      <w:sz w:val="21"/>
                      <w:szCs w:val="21"/>
                    </w:rPr>
                  </w:pPr>
                </w:p>
              </w:tc>
              <w:tc>
                <w:tcPr>
                  <w:tcW w:w="589" w:type="dxa"/>
                  <w:vMerge w:val="continue"/>
                  <w:tcBorders>
                    <w:tl2br w:val="nil"/>
                    <w:tr2bl w:val="nil"/>
                  </w:tcBorders>
                  <w:vAlign w:val="center"/>
                </w:tcPr>
                <w:p w14:paraId="47D390C4">
                  <w:pPr>
                    <w:pStyle w:val="2"/>
                    <w:spacing w:before="0" w:after="0" w:line="240" w:lineRule="auto"/>
                    <w:jc w:val="center"/>
                    <w:rPr>
                      <w:rFonts w:hint="default" w:ascii="Times New Roman" w:hAnsi="Times New Roman" w:eastAsia="宋体" w:cs="Times New Roman"/>
                      <w:color w:val="auto"/>
                      <w:sz w:val="21"/>
                      <w:szCs w:val="21"/>
                    </w:rPr>
                  </w:pPr>
                </w:p>
              </w:tc>
              <w:tc>
                <w:tcPr>
                  <w:tcW w:w="623" w:type="dxa"/>
                  <w:vMerge w:val="continue"/>
                  <w:tcBorders>
                    <w:tl2br w:val="nil"/>
                    <w:tr2bl w:val="nil"/>
                  </w:tcBorders>
                  <w:vAlign w:val="center"/>
                </w:tcPr>
                <w:p w14:paraId="59E89D1A">
                  <w:pPr>
                    <w:pStyle w:val="2"/>
                    <w:spacing w:before="0" w:after="0" w:line="240" w:lineRule="auto"/>
                    <w:jc w:val="center"/>
                    <w:rPr>
                      <w:rFonts w:hint="default" w:ascii="Times New Roman" w:hAnsi="Times New Roman" w:eastAsia="宋体" w:cs="Times New Roman"/>
                      <w:color w:val="auto"/>
                      <w:sz w:val="21"/>
                      <w:szCs w:val="21"/>
                    </w:rPr>
                  </w:pPr>
                </w:p>
              </w:tc>
              <w:tc>
                <w:tcPr>
                  <w:tcW w:w="335" w:type="dxa"/>
                  <w:vMerge w:val="continue"/>
                  <w:tcBorders>
                    <w:tl2br w:val="nil"/>
                    <w:tr2bl w:val="nil"/>
                  </w:tcBorders>
                  <w:vAlign w:val="center"/>
                </w:tcPr>
                <w:p w14:paraId="4C5C3C1C">
                  <w:pPr>
                    <w:pStyle w:val="2"/>
                    <w:spacing w:before="0" w:after="0" w:line="240" w:lineRule="auto"/>
                    <w:jc w:val="center"/>
                    <w:rPr>
                      <w:rFonts w:hint="default" w:ascii="Times New Roman" w:hAnsi="Times New Roman" w:eastAsia="宋体" w:cs="Times New Roman"/>
                      <w:color w:val="auto"/>
                      <w:sz w:val="21"/>
                      <w:szCs w:val="21"/>
                    </w:rPr>
                  </w:pPr>
                </w:p>
              </w:tc>
              <w:tc>
                <w:tcPr>
                  <w:tcW w:w="750" w:type="dxa"/>
                  <w:tcBorders>
                    <w:tl2br w:val="nil"/>
                    <w:tr2bl w:val="nil"/>
                  </w:tcBorders>
                  <w:vAlign w:val="center"/>
                </w:tcPr>
                <w:p w14:paraId="00D0DDFE">
                  <w:pPr>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COD</w:t>
                  </w:r>
                </w:p>
              </w:tc>
              <w:tc>
                <w:tcPr>
                  <w:tcW w:w="1227" w:type="dxa"/>
                  <w:tcBorders>
                    <w:tl2br w:val="nil"/>
                    <w:tr2bl w:val="nil"/>
                  </w:tcBorders>
                  <w:shd w:val="clear" w:color="auto" w:fill="auto"/>
                  <w:vAlign w:val="center"/>
                </w:tcPr>
                <w:p w14:paraId="19323212">
                  <w:pPr>
                    <w:adjustRightInd w:val="0"/>
                    <w:snapToGrid w:val="0"/>
                    <w:spacing w:before="24" w:beforeLines="10" w:after="24" w:afterLines="10" w:line="259" w:lineRule="auto"/>
                    <w:jc w:val="center"/>
                    <w:textAlignment w:val="baseline"/>
                    <w:rPr>
                      <w:rFonts w:hint="default" w:ascii="Times New Roman" w:hAnsi="Times New Roman" w:eastAsia="宋体" w:cs="Times New Roman"/>
                      <w:color w:val="auto"/>
                      <w:spacing w:val="-10"/>
                      <w:kern w:val="2"/>
                      <w:sz w:val="21"/>
                      <w:szCs w:val="21"/>
                      <w:lang w:val="en-US" w:eastAsia="zh-CN" w:bidi="ar"/>
                    </w:rPr>
                  </w:pPr>
                  <w:r>
                    <w:rPr>
                      <w:color w:val="auto"/>
                      <w:spacing w:val="-10"/>
                      <w:kern w:val="0"/>
                    </w:rPr>
                    <w:t>500</w:t>
                  </w:r>
                </w:p>
              </w:tc>
            </w:tr>
            <w:tr w14:paraId="3427FD8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75" w:type="dxa"/>
                  <w:vMerge w:val="continue"/>
                  <w:tcBorders>
                    <w:tl2br w:val="nil"/>
                    <w:tr2bl w:val="nil"/>
                  </w:tcBorders>
                  <w:vAlign w:val="center"/>
                </w:tcPr>
                <w:p w14:paraId="5CACE928">
                  <w:pPr>
                    <w:pStyle w:val="2"/>
                    <w:spacing w:before="0" w:after="0" w:line="240" w:lineRule="auto"/>
                    <w:jc w:val="center"/>
                    <w:rPr>
                      <w:rFonts w:hint="default" w:ascii="Times New Roman" w:hAnsi="Times New Roman" w:eastAsia="宋体" w:cs="Times New Roman"/>
                      <w:color w:val="auto"/>
                      <w:sz w:val="21"/>
                      <w:szCs w:val="21"/>
                    </w:rPr>
                  </w:pPr>
                </w:p>
              </w:tc>
              <w:tc>
                <w:tcPr>
                  <w:tcW w:w="704" w:type="dxa"/>
                  <w:vMerge w:val="continue"/>
                  <w:tcBorders>
                    <w:tl2br w:val="nil"/>
                    <w:tr2bl w:val="nil"/>
                  </w:tcBorders>
                  <w:vAlign w:val="center"/>
                </w:tcPr>
                <w:p w14:paraId="60C64530">
                  <w:pPr>
                    <w:pStyle w:val="2"/>
                    <w:spacing w:before="0" w:after="0" w:line="240" w:lineRule="auto"/>
                    <w:jc w:val="center"/>
                    <w:rPr>
                      <w:rFonts w:hint="default" w:ascii="Times New Roman" w:hAnsi="Times New Roman" w:eastAsia="宋体" w:cs="Times New Roman"/>
                      <w:color w:val="auto"/>
                      <w:sz w:val="21"/>
                      <w:szCs w:val="21"/>
                    </w:rPr>
                  </w:pPr>
                </w:p>
              </w:tc>
              <w:tc>
                <w:tcPr>
                  <w:tcW w:w="1015" w:type="dxa"/>
                  <w:vMerge w:val="continue"/>
                  <w:tcBorders>
                    <w:tl2br w:val="nil"/>
                    <w:tr2bl w:val="nil"/>
                  </w:tcBorders>
                  <w:vAlign w:val="center"/>
                </w:tcPr>
                <w:p w14:paraId="3B780E22">
                  <w:pPr>
                    <w:pStyle w:val="2"/>
                    <w:spacing w:before="0" w:after="0" w:line="240" w:lineRule="auto"/>
                    <w:jc w:val="center"/>
                    <w:rPr>
                      <w:rFonts w:hint="default" w:ascii="Times New Roman" w:hAnsi="Times New Roman" w:eastAsia="宋体" w:cs="Times New Roman"/>
                      <w:color w:val="auto"/>
                      <w:sz w:val="21"/>
                      <w:szCs w:val="21"/>
                    </w:rPr>
                  </w:pPr>
                </w:p>
              </w:tc>
              <w:tc>
                <w:tcPr>
                  <w:tcW w:w="577" w:type="dxa"/>
                  <w:vMerge w:val="continue"/>
                  <w:tcBorders>
                    <w:tl2br w:val="nil"/>
                    <w:tr2bl w:val="nil"/>
                  </w:tcBorders>
                  <w:vAlign w:val="center"/>
                </w:tcPr>
                <w:p w14:paraId="327FA87D">
                  <w:pPr>
                    <w:pStyle w:val="2"/>
                    <w:spacing w:before="0" w:after="0" w:line="240" w:lineRule="auto"/>
                    <w:jc w:val="center"/>
                    <w:rPr>
                      <w:rFonts w:hint="default" w:ascii="Times New Roman" w:hAnsi="Times New Roman" w:eastAsia="宋体" w:cs="Times New Roman"/>
                      <w:color w:val="auto"/>
                      <w:sz w:val="21"/>
                      <w:szCs w:val="21"/>
                    </w:rPr>
                  </w:pPr>
                </w:p>
              </w:tc>
              <w:tc>
                <w:tcPr>
                  <w:tcW w:w="646" w:type="dxa"/>
                  <w:vMerge w:val="continue"/>
                  <w:tcBorders>
                    <w:tl2br w:val="nil"/>
                    <w:tr2bl w:val="nil"/>
                  </w:tcBorders>
                  <w:vAlign w:val="center"/>
                </w:tcPr>
                <w:p w14:paraId="3133233E">
                  <w:pPr>
                    <w:pStyle w:val="2"/>
                    <w:spacing w:before="0" w:after="0" w:line="240" w:lineRule="auto"/>
                    <w:jc w:val="center"/>
                    <w:rPr>
                      <w:rFonts w:hint="default" w:ascii="Times New Roman" w:hAnsi="Times New Roman" w:eastAsia="宋体" w:cs="Times New Roman"/>
                      <w:color w:val="auto"/>
                      <w:sz w:val="21"/>
                      <w:szCs w:val="21"/>
                    </w:rPr>
                  </w:pPr>
                </w:p>
              </w:tc>
              <w:tc>
                <w:tcPr>
                  <w:tcW w:w="646" w:type="dxa"/>
                  <w:vMerge w:val="continue"/>
                  <w:tcBorders>
                    <w:tl2br w:val="nil"/>
                    <w:tr2bl w:val="nil"/>
                  </w:tcBorders>
                  <w:vAlign w:val="center"/>
                </w:tcPr>
                <w:p w14:paraId="75D268A4">
                  <w:pPr>
                    <w:pStyle w:val="2"/>
                    <w:spacing w:before="0" w:after="0" w:line="240" w:lineRule="auto"/>
                    <w:jc w:val="center"/>
                    <w:rPr>
                      <w:rFonts w:hint="default" w:ascii="Times New Roman" w:hAnsi="Times New Roman" w:eastAsia="宋体" w:cs="Times New Roman"/>
                      <w:color w:val="auto"/>
                      <w:sz w:val="21"/>
                      <w:szCs w:val="21"/>
                    </w:rPr>
                  </w:pPr>
                </w:p>
              </w:tc>
              <w:tc>
                <w:tcPr>
                  <w:tcW w:w="669" w:type="dxa"/>
                  <w:vMerge w:val="continue"/>
                  <w:tcBorders>
                    <w:tl2br w:val="nil"/>
                    <w:tr2bl w:val="nil"/>
                  </w:tcBorders>
                  <w:vAlign w:val="center"/>
                </w:tcPr>
                <w:p w14:paraId="4B4F15B6">
                  <w:pPr>
                    <w:pStyle w:val="2"/>
                    <w:spacing w:before="0" w:after="0" w:line="240" w:lineRule="auto"/>
                    <w:jc w:val="center"/>
                    <w:rPr>
                      <w:rFonts w:hint="default" w:ascii="Times New Roman" w:hAnsi="Times New Roman" w:eastAsia="宋体" w:cs="Times New Roman"/>
                      <w:color w:val="auto"/>
                      <w:sz w:val="21"/>
                      <w:szCs w:val="21"/>
                    </w:rPr>
                  </w:pPr>
                </w:p>
              </w:tc>
              <w:tc>
                <w:tcPr>
                  <w:tcW w:w="589" w:type="dxa"/>
                  <w:vMerge w:val="continue"/>
                  <w:tcBorders>
                    <w:tl2br w:val="nil"/>
                    <w:tr2bl w:val="nil"/>
                  </w:tcBorders>
                  <w:vAlign w:val="center"/>
                </w:tcPr>
                <w:p w14:paraId="6A8597C0">
                  <w:pPr>
                    <w:pStyle w:val="2"/>
                    <w:spacing w:before="0" w:after="0" w:line="240" w:lineRule="auto"/>
                    <w:jc w:val="center"/>
                    <w:rPr>
                      <w:rFonts w:hint="default" w:ascii="Times New Roman" w:hAnsi="Times New Roman" w:eastAsia="宋体" w:cs="Times New Roman"/>
                      <w:color w:val="auto"/>
                      <w:sz w:val="21"/>
                      <w:szCs w:val="21"/>
                    </w:rPr>
                  </w:pPr>
                </w:p>
              </w:tc>
              <w:tc>
                <w:tcPr>
                  <w:tcW w:w="623" w:type="dxa"/>
                  <w:vMerge w:val="continue"/>
                  <w:tcBorders>
                    <w:tl2br w:val="nil"/>
                    <w:tr2bl w:val="nil"/>
                  </w:tcBorders>
                  <w:vAlign w:val="center"/>
                </w:tcPr>
                <w:p w14:paraId="0DB4A0D4">
                  <w:pPr>
                    <w:pStyle w:val="2"/>
                    <w:spacing w:before="0" w:after="0" w:line="240" w:lineRule="auto"/>
                    <w:jc w:val="center"/>
                    <w:rPr>
                      <w:rFonts w:hint="default" w:ascii="Times New Roman" w:hAnsi="Times New Roman" w:eastAsia="宋体" w:cs="Times New Roman"/>
                      <w:color w:val="auto"/>
                      <w:sz w:val="21"/>
                      <w:szCs w:val="21"/>
                    </w:rPr>
                  </w:pPr>
                </w:p>
              </w:tc>
              <w:tc>
                <w:tcPr>
                  <w:tcW w:w="335" w:type="dxa"/>
                  <w:vMerge w:val="continue"/>
                  <w:tcBorders>
                    <w:tl2br w:val="nil"/>
                    <w:tr2bl w:val="nil"/>
                  </w:tcBorders>
                  <w:vAlign w:val="center"/>
                </w:tcPr>
                <w:p w14:paraId="249D4B1B">
                  <w:pPr>
                    <w:pStyle w:val="2"/>
                    <w:spacing w:before="0" w:after="0" w:line="240" w:lineRule="auto"/>
                    <w:jc w:val="center"/>
                    <w:rPr>
                      <w:rFonts w:hint="default" w:ascii="Times New Roman" w:hAnsi="Times New Roman" w:eastAsia="宋体" w:cs="Times New Roman"/>
                      <w:color w:val="auto"/>
                      <w:sz w:val="21"/>
                      <w:szCs w:val="21"/>
                    </w:rPr>
                  </w:pPr>
                </w:p>
              </w:tc>
              <w:tc>
                <w:tcPr>
                  <w:tcW w:w="750" w:type="dxa"/>
                  <w:tcBorders>
                    <w:tl2br w:val="nil"/>
                    <w:tr2bl w:val="nil"/>
                  </w:tcBorders>
                  <w:vAlign w:val="center"/>
                </w:tcPr>
                <w:p w14:paraId="30F4AC37">
                  <w:pPr>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SS</w:t>
                  </w:r>
                </w:p>
              </w:tc>
              <w:tc>
                <w:tcPr>
                  <w:tcW w:w="1227" w:type="dxa"/>
                  <w:tcBorders>
                    <w:tl2br w:val="nil"/>
                    <w:tr2bl w:val="nil"/>
                  </w:tcBorders>
                  <w:shd w:val="clear" w:color="auto" w:fill="auto"/>
                  <w:vAlign w:val="center"/>
                </w:tcPr>
                <w:p w14:paraId="105B7214">
                  <w:pPr>
                    <w:adjustRightInd w:val="0"/>
                    <w:snapToGrid w:val="0"/>
                    <w:spacing w:before="24" w:beforeLines="10" w:after="24" w:afterLines="10" w:line="259" w:lineRule="auto"/>
                    <w:jc w:val="center"/>
                    <w:textAlignment w:val="baseline"/>
                    <w:rPr>
                      <w:rFonts w:hint="default" w:ascii="Times New Roman" w:hAnsi="Times New Roman" w:eastAsia="宋体" w:cs="Times New Roman"/>
                      <w:color w:val="auto"/>
                      <w:spacing w:val="-10"/>
                      <w:kern w:val="2"/>
                      <w:sz w:val="21"/>
                      <w:szCs w:val="21"/>
                      <w:lang w:val="en-US" w:eastAsia="zh-CN" w:bidi="ar"/>
                    </w:rPr>
                  </w:pPr>
                  <w:r>
                    <w:rPr>
                      <w:color w:val="auto"/>
                      <w:spacing w:val="-10"/>
                      <w:kern w:val="0"/>
                    </w:rPr>
                    <w:t>400</w:t>
                  </w:r>
                </w:p>
              </w:tc>
            </w:tr>
            <w:tr w14:paraId="42462FB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75" w:type="dxa"/>
                  <w:vMerge w:val="continue"/>
                  <w:tcBorders>
                    <w:tl2br w:val="nil"/>
                    <w:tr2bl w:val="nil"/>
                  </w:tcBorders>
                  <w:vAlign w:val="center"/>
                </w:tcPr>
                <w:p w14:paraId="58D305C3">
                  <w:pPr>
                    <w:jc w:val="center"/>
                    <w:rPr>
                      <w:rFonts w:hint="default" w:ascii="Times New Roman" w:hAnsi="Times New Roman" w:eastAsia="宋体" w:cs="Times New Roman"/>
                      <w:color w:val="auto"/>
                      <w:sz w:val="21"/>
                      <w:szCs w:val="21"/>
                    </w:rPr>
                  </w:pPr>
                </w:p>
              </w:tc>
              <w:tc>
                <w:tcPr>
                  <w:tcW w:w="704" w:type="dxa"/>
                  <w:vMerge w:val="continue"/>
                  <w:tcBorders>
                    <w:tl2br w:val="nil"/>
                    <w:tr2bl w:val="nil"/>
                  </w:tcBorders>
                  <w:vAlign w:val="center"/>
                </w:tcPr>
                <w:p w14:paraId="5C0D37C2">
                  <w:pPr>
                    <w:jc w:val="center"/>
                    <w:rPr>
                      <w:rFonts w:hint="default" w:ascii="Times New Roman" w:hAnsi="Times New Roman" w:eastAsia="宋体" w:cs="Times New Roman"/>
                      <w:color w:val="auto"/>
                      <w:sz w:val="21"/>
                      <w:szCs w:val="21"/>
                    </w:rPr>
                  </w:pPr>
                </w:p>
              </w:tc>
              <w:tc>
                <w:tcPr>
                  <w:tcW w:w="1015" w:type="dxa"/>
                  <w:vMerge w:val="continue"/>
                  <w:tcBorders>
                    <w:tl2br w:val="nil"/>
                    <w:tr2bl w:val="nil"/>
                  </w:tcBorders>
                  <w:vAlign w:val="center"/>
                </w:tcPr>
                <w:p w14:paraId="09C5454D">
                  <w:pPr>
                    <w:jc w:val="center"/>
                    <w:rPr>
                      <w:rFonts w:hint="default" w:ascii="Times New Roman" w:hAnsi="Times New Roman" w:eastAsia="宋体" w:cs="Times New Roman"/>
                      <w:color w:val="auto"/>
                      <w:sz w:val="21"/>
                      <w:szCs w:val="21"/>
                    </w:rPr>
                  </w:pPr>
                </w:p>
              </w:tc>
              <w:tc>
                <w:tcPr>
                  <w:tcW w:w="577" w:type="dxa"/>
                  <w:vMerge w:val="continue"/>
                  <w:tcBorders>
                    <w:tl2br w:val="nil"/>
                    <w:tr2bl w:val="nil"/>
                  </w:tcBorders>
                  <w:vAlign w:val="center"/>
                </w:tcPr>
                <w:p w14:paraId="57912B20">
                  <w:pPr>
                    <w:jc w:val="center"/>
                    <w:rPr>
                      <w:rFonts w:hint="default" w:ascii="Times New Roman" w:hAnsi="Times New Roman" w:eastAsia="宋体" w:cs="Times New Roman"/>
                      <w:color w:val="auto"/>
                      <w:sz w:val="21"/>
                      <w:szCs w:val="21"/>
                    </w:rPr>
                  </w:pPr>
                </w:p>
              </w:tc>
              <w:tc>
                <w:tcPr>
                  <w:tcW w:w="646" w:type="dxa"/>
                  <w:vMerge w:val="continue"/>
                  <w:tcBorders>
                    <w:tl2br w:val="nil"/>
                    <w:tr2bl w:val="nil"/>
                  </w:tcBorders>
                  <w:vAlign w:val="center"/>
                </w:tcPr>
                <w:p w14:paraId="5D99F6C3">
                  <w:pPr>
                    <w:jc w:val="center"/>
                    <w:rPr>
                      <w:rFonts w:hint="default" w:ascii="Times New Roman" w:hAnsi="Times New Roman" w:eastAsia="宋体" w:cs="Times New Roman"/>
                      <w:color w:val="auto"/>
                      <w:sz w:val="21"/>
                      <w:szCs w:val="21"/>
                    </w:rPr>
                  </w:pPr>
                </w:p>
              </w:tc>
              <w:tc>
                <w:tcPr>
                  <w:tcW w:w="646" w:type="dxa"/>
                  <w:vMerge w:val="continue"/>
                  <w:tcBorders>
                    <w:tl2br w:val="nil"/>
                    <w:tr2bl w:val="nil"/>
                  </w:tcBorders>
                  <w:vAlign w:val="center"/>
                </w:tcPr>
                <w:p w14:paraId="59927F3E">
                  <w:pPr>
                    <w:jc w:val="center"/>
                    <w:rPr>
                      <w:rFonts w:hint="default" w:ascii="Times New Roman" w:hAnsi="Times New Roman" w:eastAsia="宋体" w:cs="Times New Roman"/>
                      <w:color w:val="auto"/>
                      <w:sz w:val="21"/>
                      <w:szCs w:val="21"/>
                    </w:rPr>
                  </w:pPr>
                </w:p>
              </w:tc>
              <w:tc>
                <w:tcPr>
                  <w:tcW w:w="669" w:type="dxa"/>
                  <w:vMerge w:val="continue"/>
                  <w:tcBorders>
                    <w:tl2br w:val="nil"/>
                    <w:tr2bl w:val="nil"/>
                  </w:tcBorders>
                  <w:vAlign w:val="center"/>
                </w:tcPr>
                <w:p w14:paraId="61A49845">
                  <w:pPr>
                    <w:jc w:val="center"/>
                    <w:rPr>
                      <w:rFonts w:hint="default" w:ascii="Times New Roman" w:hAnsi="Times New Roman" w:eastAsia="宋体" w:cs="Times New Roman"/>
                      <w:color w:val="auto"/>
                      <w:sz w:val="21"/>
                      <w:szCs w:val="21"/>
                    </w:rPr>
                  </w:pPr>
                </w:p>
              </w:tc>
              <w:tc>
                <w:tcPr>
                  <w:tcW w:w="589" w:type="dxa"/>
                  <w:vMerge w:val="continue"/>
                  <w:tcBorders>
                    <w:tl2br w:val="nil"/>
                    <w:tr2bl w:val="nil"/>
                  </w:tcBorders>
                  <w:vAlign w:val="center"/>
                </w:tcPr>
                <w:p w14:paraId="1F4EAE88">
                  <w:pPr>
                    <w:jc w:val="center"/>
                    <w:rPr>
                      <w:rFonts w:hint="default" w:ascii="Times New Roman" w:hAnsi="Times New Roman" w:eastAsia="宋体" w:cs="Times New Roman"/>
                      <w:color w:val="auto"/>
                      <w:sz w:val="21"/>
                      <w:szCs w:val="21"/>
                    </w:rPr>
                  </w:pPr>
                </w:p>
              </w:tc>
              <w:tc>
                <w:tcPr>
                  <w:tcW w:w="623" w:type="dxa"/>
                  <w:vMerge w:val="continue"/>
                  <w:tcBorders>
                    <w:tl2br w:val="nil"/>
                    <w:tr2bl w:val="nil"/>
                  </w:tcBorders>
                  <w:vAlign w:val="center"/>
                </w:tcPr>
                <w:p w14:paraId="5D407EFD">
                  <w:pPr>
                    <w:jc w:val="center"/>
                    <w:rPr>
                      <w:rFonts w:hint="default" w:ascii="Times New Roman" w:hAnsi="Times New Roman" w:eastAsia="宋体" w:cs="Times New Roman"/>
                      <w:color w:val="auto"/>
                      <w:sz w:val="21"/>
                      <w:szCs w:val="21"/>
                    </w:rPr>
                  </w:pPr>
                </w:p>
              </w:tc>
              <w:tc>
                <w:tcPr>
                  <w:tcW w:w="335" w:type="dxa"/>
                  <w:vMerge w:val="continue"/>
                  <w:tcBorders>
                    <w:tl2br w:val="nil"/>
                    <w:tr2bl w:val="nil"/>
                  </w:tcBorders>
                  <w:vAlign w:val="center"/>
                </w:tcPr>
                <w:p w14:paraId="7B13AAB4">
                  <w:pPr>
                    <w:jc w:val="center"/>
                    <w:rPr>
                      <w:rFonts w:hint="default" w:ascii="Times New Roman" w:hAnsi="Times New Roman" w:eastAsia="宋体" w:cs="Times New Roman"/>
                      <w:color w:val="auto"/>
                      <w:sz w:val="21"/>
                      <w:szCs w:val="21"/>
                    </w:rPr>
                  </w:pPr>
                </w:p>
              </w:tc>
              <w:tc>
                <w:tcPr>
                  <w:tcW w:w="750" w:type="dxa"/>
                  <w:tcBorders>
                    <w:tl2br w:val="nil"/>
                    <w:tr2bl w:val="nil"/>
                  </w:tcBorders>
                  <w:shd w:val="clear" w:color="auto" w:fill="auto"/>
                  <w:vAlign w:val="center"/>
                </w:tcPr>
                <w:p w14:paraId="6A82D8AA">
                  <w:pPr>
                    <w:jc w:val="center"/>
                    <w:rPr>
                      <w:rFonts w:hint="eastAsia"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氨氮</w:t>
                  </w:r>
                </w:p>
              </w:tc>
              <w:tc>
                <w:tcPr>
                  <w:tcW w:w="1227" w:type="dxa"/>
                  <w:tcBorders>
                    <w:tl2br w:val="nil"/>
                    <w:tr2bl w:val="nil"/>
                  </w:tcBorders>
                  <w:shd w:val="clear" w:color="auto" w:fill="auto"/>
                  <w:vAlign w:val="center"/>
                </w:tcPr>
                <w:p w14:paraId="076C02E9">
                  <w:pPr>
                    <w:adjustRightInd w:val="0"/>
                    <w:snapToGrid w:val="0"/>
                    <w:spacing w:before="24" w:beforeLines="10" w:after="24" w:afterLines="10" w:line="259" w:lineRule="auto"/>
                    <w:jc w:val="center"/>
                    <w:textAlignment w:val="baseline"/>
                    <w:rPr>
                      <w:rFonts w:hint="default" w:ascii="Times New Roman" w:hAnsi="Times New Roman" w:eastAsia="宋体" w:cs="Times New Roman"/>
                      <w:color w:val="auto"/>
                      <w:spacing w:val="-10"/>
                      <w:kern w:val="2"/>
                      <w:sz w:val="21"/>
                      <w:szCs w:val="21"/>
                      <w:lang w:val="en-US" w:eastAsia="zh-CN" w:bidi="ar"/>
                    </w:rPr>
                  </w:pPr>
                  <w:r>
                    <w:rPr>
                      <w:color w:val="auto"/>
                      <w:spacing w:val="-10"/>
                      <w:kern w:val="0"/>
                    </w:rPr>
                    <w:t>45</w:t>
                  </w:r>
                </w:p>
              </w:tc>
            </w:tr>
            <w:tr w14:paraId="1D8AF11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75" w:type="dxa"/>
                  <w:vMerge w:val="continue"/>
                  <w:tcBorders>
                    <w:tl2br w:val="nil"/>
                    <w:tr2bl w:val="nil"/>
                  </w:tcBorders>
                  <w:vAlign w:val="center"/>
                </w:tcPr>
                <w:p w14:paraId="38369CDF">
                  <w:pPr>
                    <w:jc w:val="center"/>
                    <w:rPr>
                      <w:rFonts w:hint="default" w:ascii="Times New Roman" w:hAnsi="Times New Roman" w:eastAsia="宋体" w:cs="Times New Roman"/>
                      <w:color w:val="auto"/>
                      <w:sz w:val="21"/>
                      <w:szCs w:val="21"/>
                    </w:rPr>
                  </w:pPr>
                </w:p>
              </w:tc>
              <w:tc>
                <w:tcPr>
                  <w:tcW w:w="704" w:type="dxa"/>
                  <w:vMerge w:val="continue"/>
                  <w:tcBorders>
                    <w:tl2br w:val="nil"/>
                    <w:tr2bl w:val="nil"/>
                  </w:tcBorders>
                  <w:vAlign w:val="center"/>
                </w:tcPr>
                <w:p w14:paraId="391D3910">
                  <w:pPr>
                    <w:jc w:val="center"/>
                    <w:rPr>
                      <w:rFonts w:hint="default" w:ascii="Times New Roman" w:hAnsi="Times New Roman" w:eastAsia="宋体" w:cs="Times New Roman"/>
                      <w:color w:val="auto"/>
                      <w:sz w:val="21"/>
                      <w:szCs w:val="21"/>
                    </w:rPr>
                  </w:pPr>
                </w:p>
              </w:tc>
              <w:tc>
                <w:tcPr>
                  <w:tcW w:w="1015" w:type="dxa"/>
                  <w:vMerge w:val="continue"/>
                  <w:tcBorders>
                    <w:tl2br w:val="nil"/>
                    <w:tr2bl w:val="nil"/>
                  </w:tcBorders>
                  <w:vAlign w:val="center"/>
                </w:tcPr>
                <w:p w14:paraId="5D019B24">
                  <w:pPr>
                    <w:jc w:val="center"/>
                    <w:rPr>
                      <w:rFonts w:hint="default" w:ascii="Times New Roman" w:hAnsi="Times New Roman" w:eastAsia="宋体" w:cs="Times New Roman"/>
                      <w:color w:val="auto"/>
                      <w:sz w:val="21"/>
                      <w:szCs w:val="21"/>
                    </w:rPr>
                  </w:pPr>
                </w:p>
              </w:tc>
              <w:tc>
                <w:tcPr>
                  <w:tcW w:w="577" w:type="dxa"/>
                  <w:vMerge w:val="continue"/>
                  <w:tcBorders>
                    <w:tl2br w:val="nil"/>
                    <w:tr2bl w:val="nil"/>
                  </w:tcBorders>
                  <w:vAlign w:val="center"/>
                </w:tcPr>
                <w:p w14:paraId="047E3343">
                  <w:pPr>
                    <w:jc w:val="center"/>
                    <w:rPr>
                      <w:rFonts w:hint="default" w:ascii="Times New Roman" w:hAnsi="Times New Roman" w:eastAsia="宋体" w:cs="Times New Roman"/>
                      <w:color w:val="auto"/>
                      <w:sz w:val="21"/>
                      <w:szCs w:val="21"/>
                    </w:rPr>
                  </w:pPr>
                </w:p>
              </w:tc>
              <w:tc>
                <w:tcPr>
                  <w:tcW w:w="646" w:type="dxa"/>
                  <w:vMerge w:val="continue"/>
                  <w:tcBorders>
                    <w:tl2br w:val="nil"/>
                    <w:tr2bl w:val="nil"/>
                  </w:tcBorders>
                  <w:vAlign w:val="center"/>
                </w:tcPr>
                <w:p w14:paraId="6A0DF26B">
                  <w:pPr>
                    <w:jc w:val="center"/>
                    <w:rPr>
                      <w:rFonts w:hint="default" w:ascii="Times New Roman" w:hAnsi="Times New Roman" w:eastAsia="宋体" w:cs="Times New Roman"/>
                      <w:color w:val="auto"/>
                      <w:sz w:val="21"/>
                      <w:szCs w:val="21"/>
                    </w:rPr>
                  </w:pPr>
                </w:p>
              </w:tc>
              <w:tc>
                <w:tcPr>
                  <w:tcW w:w="646" w:type="dxa"/>
                  <w:vMerge w:val="continue"/>
                  <w:tcBorders>
                    <w:tl2br w:val="nil"/>
                    <w:tr2bl w:val="nil"/>
                  </w:tcBorders>
                  <w:vAlign w:val="center"/>
                </w:tcPr>
                <w:p w14:paraId="1941F1EC">
                  <w:pPr>
                    <w:jc w:val="center"/>
                    <w:rPr>
                      <w:rFonts w:hint="default" w:ascii="Times New Roman" w:hAnsi="Times New Roman" w:eastAsia="宋体" w:cs="Times New Roman"/>
                      <w:color w:val="auto"/>
                      <w:sz w:val="21"/>
                      <w:szCs w:val="21"/>
                    </w:rPr>
                  </w:pPr>
                </w:p>
              </w:tc>
              <w:tc>
                <w:tcPr>
                  <w:tcW w:w="669" w:type="dxa"/>
                  <w:vMerge w:val="continue"/>
                  <w:tcBorders>
                    <w:tl2br w:val="nil"/>
                    <w:tr2bl w:val="nil"/>
                  </w:tcBorders>
                  <w:vAlign w:val="center"/>
                </w:tcPr>
                <w:p w14:paraId="121A25CD">
                  <w:pPr>
                    <w:jc w:val="center"/>
                    <w:rPr>
                      <w:rFonts w:hint="default" w:ascii="Times New Roman" w:hAnsi="Times New Roman" w:eastAsia="宋体" w:cs="Times New Roman"/>
                      <w:color w:val="auto"/>
                      <w:sz w:val="21"/>
                      <w:szCs w:val="21"/>
                    </w:rPr>
                  </w:pPr>
                </w:p>
              </w:tc>
              <w:tc>
                <w:tcPr>
                  <w:tcW w:w="589" w:type="dxa"/>
                  <w:vMerge w:val="continue"/>
                  <w:tcBorders>
                    <w:tl2br w:val="nil"/>
                    <w:tr2bl w:val="nil"/>
                  </w:tcBorders>
                  <w:vAlign w:val="center"/>
                </w:tcPr>
                <w:p w14:paraId="51E00346">
                  <w:pPr>
                    <w:jc w:val="center"/>
                    <w:rPr>
                      <w:rFonts w:hint="default" w:ascii="Times New Roman" w:hAnsi="Times New Roman" w:eastAsia="宋体" w:cs="Times New Roman"/>
                      <w:color w:val="auto"/>
                      <w:sz w:val="21"/>
                      <w:szCs w:val="21"/>
                    </w:rPr>
                  </w:pPr>
                </w:p>
              </w:tc>
              <w:tc>
                <w:tcPr>
                  <w:tcW w:w="623" w:type="dxa"/>
                  <w:vMerge w:val="continue"/>
                  <w:tcBorders>
                    <w:tl2br w:val="nil"/>
                    <w:tr2bl w:val="nil"/>
                  </w:tcBorders>
                  <w:vAlign w:val="center"/>
                </w:tcPr>
                <w:p w14:paraId="41F60DF4">
                  <w:pPr>
                    <w:jc w:val="center"/>
                    <w:rPr>
                      <w:rFonts w:hint="default" w:ascii="Times New Roman" w:hAnsi="Times New Roman" w:eastAsia="宋体" w:cs="Times New Roman"/>
                      <w:color w:val="auto"/>
                      <w:sz w:val="21"/>
                      <w:szCs w:val="21"/>
                    </w:rPr>
                  </w:pPr>
                </w:p>
              </w:tc>
              <w:tc>
                <w:tcPr>
                  <w:tcW w:w="335" w:type="dxa"/>
                  <w:vMerge w:val="continue"/>
                  <w:tcBorders>
                    <w:tl2br w:val="nil"/>
                    <w:tr2bl w:val="nil"/>
                  </w:tcBorders>
                  <w:vAlign w:val="center"/>
                </w:tcPr>
                <w:p w14:paraId="1B083DF7">
                  <w:pPr>
                    <w:jc w:val="center"/>
                    <w:rPr>
                      <w:rFonts w:hint="default" w:ascii="Times New Roman" w:hAnsi="Times New Roman" w:eastAsia="宋体" w:cs="Times New Roman"/>
                      <w:color w:val="auto"/>
                      <w:sz w:val="21"/>
                      <w:szCs w:val="21"/>
                    </w:rPr>
                  </w:pPr>
                </w:p>
              </w:tc>
              <w:tc>
                <w:tcPr>
                  <w:tcW w:w="750" w:type="dxa"/>
                  <w:tcBorders>
                    <w:tl2br w:val="nil"/>
                    <w:tr2bl w:val="nil"/>
                  </w:tcBorders>
                  <w:shd w:val="clear" w:color="auto" w:fill="auto"/>
                  <w:vAlign w:val="center"/>
                </w:tcPr>
                <w:p w14:paraId="6D31A19C">
                  <w:pPr>
                    <w:jc w:val="center"/>
                    <w:rPr>
                      <w:rFonts w:hint="default" w:ascii="Times New Roman" w:hAnsi="Times New Roman" w:eastAsia="宋体" w:cs="Times New Roman"/>
                      <w:color w:val="auto"/>
                      <w:kern w:val="2"/>
                      <w:sz w:val="21"/>
                      <w:szCs w:val="21"/>
                      <w:lang w:val="en-US" w:eastAsia="zh-CN" w:bidi="ar"/>
                    </w:rPr>
                  </w:pPr>
                  <w:r>
                    <w:rPr>
                      <w:rFonts w:hint="default" w:ascii="Times New Roman" w:hAnsi="Times New Roman" w:eastAsia="宋体" w:cs="Times New Roman"/>
                      <w:color w:val="auto"/>
                      <w:sz w:val="21"/>
                      <w:szCs w:val="21"/>
                    </w:rPr>
                    <w:t>TP</w:t>
                  </w:r>
                </w:p>
              </w:tc>
              <w:tc>
                <w:tcPr>
                  <w:tcW w:w="1227" w:type="dxa"/>
                  <w:tcBorders>
                    <w:tl2br w:val="nil"/>
                    <w:tr2bl w:val="nil"/>
                  </w:tcBorders>
                  <w:shd w:val="clear" w:color="auto" w:fill="auto"/>
                  <w:vAlign w:val="center"/>
                </w:tcPr>
                <w:p w14:paraId="1376585A">
                  <w:pPr>
                    <w:adjustRightInd w:val="0"/>
                    <w:snapToGrid w:val="0"/>
                    <w:spacing w:before="24" w:beforeLines="10" w:after="24" w:afterLines="10" w:line="259" w:lineRule="auto"/>
                    <w:jc w:val="center"/>
                    <w:textAlignment w:val="baseline"/>
                    <w:rPr>
                      <w:rFonts w:hint="default" w:ascii="Times New Roman" w:hAnsi="Times New Roman" w:eastAsia="宋体" w:cs="Times New Roman"/>
                      <w:color w:val="auto"/>
                      <w:spacing w:val="-10"/>
                      <w:kern w:val="2"/>
                      <w:sz w:val="21"/>
                      <w:szCs w:val="21"/>
                      <w:lang w:val="en-US" w:eastAsia="zh-CN" w:bidi="ar"/>
                    </w:rPr>
                  </w:pPr>
                  <w:r>
                    <w:rPr>
                      <w:color w:val="auto"/>
                      <w:spacing w:val="-10"/>
                      <w:kern w:val="0"/>
                    </w:rPr>
                    <w:t>8</w:t>
                  </w:r>
                </w:p>
              </w:tc>
            </w:tr>
            <w:tr w14:paraId="7E22BE8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61" w:hRule="atLeast"/>
              </w:trPr>
              <w:tc>
                <w:tcPr>
                  <w:tcW w:w="375" w:type="dxa"/>
                  <w:vMerge w:val="continue"/>
                  <w:tcBorders>
                    <w:tl2br w:val="nil"/>
                    <w:tr2bl w:val="nil"/>
                  </w:tcBorders>
                  <w:vAlign w:val="center"/>
                </w:tcPr>
                <w:p w14:paraId="427F48E2">
                  <w:pPr>
                    <w:jc w:val="center"/>
                    <w:rPr>
                      <w:rFonts w:hint="default" w:ascii="Times New Roman" w:hAnsi="Times New Roman" w:eastAsia="宋体" w:cs="Times New Roman"/>
                      <w:color w:val="auto"/>
                      <w:sz w:val="21"/>
                      <w:szCs w:val="21"/>
                    </w:rPr>
                  </w:pPr>
                </w:p>
              </w:tc>
              <w:tc>
                <w:tcPr>
                  <w:tcW w:w="704" w:type="dxa"/>
                  <w:vMerge w:val="continue"/>
                  <w:tcBorders>
                    <w:tl2br w:val="nil"/>
                    <w:tr2bl w:val="nil"/>
                  </w:tcBorders>
                  <w:vAlign w:val="center"/>
                </w:tcPr>
                <w:p w14:paraId="1C38DBCD">
                  <w:pPr>
                    <w:jc w:val="center"/>
                    <w:rPr>
                      <w:rFonts w:hint="default" w:ascii="Times New Roman" w:hAnsi="Times New Roman" w:eastAsia="宋体" w:cs="Times New Roman"/>
                      <w:color w:val="auto"/>
                      <w:sz w:val="21"/>
                      <w:szCs w:val="21"/>
                    </w:rPr>
                  </w:pPr>
                </w:p>
              </w:tc>
              <w:tc>
                <w:tcPr>
                  <w:tcW w:w="1015" w:type="dxa"/>
                  <w:vMerge w:val="continue"/>
                  <w:tcBorders>
                    <w:tl2br w:val="nil"/>
                    <w:tr2bl w:val="nil"/>
                  </w:tcBorders>
                  <w:vAlign w:val="center"/>
                </w:tcPr>
                <w:p w14:paraId="048E7DCB">
                  <w:pPr>
                    <w:jc w:val="center"/>
                    <w:rPr>
                      <w:rFonts w:hint="default" w:ascii="Times New Roman" w:hAnsi="Times New Roman" w:eastAsia="宋体" w:cs="Times New Roman"/>
                      <w:color w:val="auto"/>
                      <w:sz w:val="21"/>
                      <w:szCs w:val="21"/>
                    </w:rPr>
                  </w:pPr>
                </w:p>
              </w:tc>
              <w:tc>
                <w:tcPr>
                  <w:tcW w:w="577" w:type="dxa"/>
                  <w:vMerge w:val="continue"/>
                  <w:tcBorders>
                    <w:tl2br w:val="nil"/>
                    <w:tr2bl w:val="nil"/>
                  </w:tcBorders>
                  <w:vAlign w:val="center"/>
                </w:tcPr>
                <w:p w14:paraId="40B06431">
                  <w:pPr>
                    <w:jc w:val="center"/>
                    <w:rPr>
                      <w:rFonts w:hint="default" w:ascii="Times New Roman" w:hAnsi="Times New Roman" w:eastAsia="宋体" w:cs="Times New Roman"/>
                      <w:color w:val="auto"/>
                      <w:sz w:val="21"/>
                      <w:szCs w:val="21"/>
                    </w:rPr>
                  </w:pPr>
                </w:p>
              </w:tc>
              <w:tc>
                <w:tcPr>
                  <w:tcW w:w="646" w:type="dxa"/>
                  <w:vMerge w:val="continue"/>
                  <w:tcBorders>
                    <w:tl2br w:val="nil"/>
                    <w:tr2bl w:val="nil"/>
                  </w:tcBorders>
                  <w:vAlign w:val="center"/>
                </w:tcPr>
                <w:p w14:paraId="4C716134">
                  <w:pPr>
                    <w:jc w:val="center"/>
                    <w:rPr>
                      <w:rFonts w:hint="default" w:ascii="Times New Roman" w:hAnsi="Times New Roman" w:eastAsia="宋体" w:cs="Times New Roman"/>
                      <w:color w:val="auto"/>
                      <w:sz w:val="21"/>
                      <w:szCs w:val="21"/>
                    </w:rPr>
                  </w:pPr>
                </w:p>
              </w:tc>
              <w:tc>
                <w:tcPr>
                  <w:tcW w:w="646" w:type="dxa"/>
                  <w:vMerge w:val="continue"/>
                  <w:tcBorders>
                    <w:tl2br w:val="nil"/>
                    <w:tr2bl w:val="nil"/>
                  </w:tcBorders>
                  <w:vAlign w:val="center"/>
                </w:tcPr>
                <w:p w14:paraId="64D56989">
                  <w:pPr>
                    <w:jc w:val="center"/>
                    <w:rPr>
                      <w:rFonts w:hint="default" w:ascii="Times New Roman" w:hAnsi="Times New Roman" w:eastAsia="宋体" w:cs="Times New Roman"/>
                      <w:color w:val="auto"/>
                      <w:sz w:val="21"/>
                      <w:szCs w:val="21"/>
                    </w:rPr>
                  </w:pPr>
                </w:p>
              </w:tc>
              <w:tc>
                <w:tcPr>
                  <w:tcW w:w="669" w:type="dxa"/>
                  <w:vMerge w:val="continue"/>
                  <w:tcBorders>
                    <w:tl2br w:val="nil"/>
                    <w:tr2bl w:val="nil"/>
                  </w:tcBorders>
                  <w:vAlign w:val="center"/>
                </w:tcPr>
                <w:p w14:paraId="0590BA01">
                  <w:pPr>
                    <w:jc w:val="center"/>
                    <w:rPr>
                      <w:rFonts w:hint="default" w:ascii="Times New Roman" w:hAnsi="Times New Roman" w:eastAsia="宋体" w:cs="Times New Roman"/>
                      <w:color w:val="auto"/>
                      <w:sz w:val="21"/>
                      <w:szCs w:val="21"/>
                    </w:rPr>
                  </w:pPr>
                </w:p>
              </w:tc>
              <w:tc>
                <w:tcPr>
                  <w:tcW w:w="589" w:type="dxa"/>
                  <w:vMerge w:val="continue"/>
                  <w:tcBorders>
                    <w:tl2br w:val="nil"/>
                    <w:tr2bl w:val="nil"/>
                  </w:tcBorders>
                  <w:vAlign w:val="center"/>
                </w:tcPr>
                <w:p w14:paraId="03443FC4">
                  <w:pPr>
                    <w:jc w:val="center"/>
                    <w:rPr>
                      <w:rFonts w:hint="default" w:ascii="Times New Roman" w:hAnsi="Times New Roman" w:eastAsia="宋体" w:cs="Times New Roman"/>
                      <w:color w:val="auto"/>
                      <w:sz w:val="21"/>
                      <w:szCs w:val="21"/>
                    </w:rPr>
                  </w:pPr>
                </w:p>
              </w:tc>
              <w:tc>
                <w:tcPr>
                  <w:tcW w:w="623" w:type="dxa"/>
                  <w:vMerge w:val="continue"/>
                  <w:tcBorders>
                    <w:tl2br w:val="nil"/>
                    <w:tr2bl w:val="nil"/>
                  </w:tcBorders>
                  <w:vAlign w:val="center"/>
                </w:tcPr>
                <w:p w14:paraId="6DC33AEB">
                  <w:pPr>
                    <w:jc w:val="center"/>
                    <w:rPr>
                      <w:rFonts w:hint="default" w:ascii="Times New Roman" w:hAnsi="Times New Roman" w:eastAsia="宋体" w:cs="Times New Roman"/>
                      <w:color w:val="auto"/>
                      <w:sz w:val="21"/>
                      <w:szCs w:val="21"/>
                    </w:rPr>
                  </w:pPr>
                </w:p>
              </w:tc>
              <w:tc>
                <w:tcPr>
                  <w:tcW w:w="335" w:type="dxa"/>
                  <w:vMerge w:val="continue"/>
                  <w:tcBorders>
                    <w:tl2br w:val="nil"/>
                    <w:tr2bl w:val="nil"/>
                  </w:tcBorders>
                  <w:vAlign w:val="center"/>
                </w:tcPr>
                <w:p w14:paraId="0E84CF6C">
                  <w:pPr>
                    <w:jc w:val="center"/>
                    <w:rPr>
                      <w:rFonts w:hint="default" w:ascii="Times New Roman" w:hAnsi="Times New Roman" w:eastAsia="宋体" w:cs="Times New Roman"/>
                      <w:color w:val="auto"/>
                      <w:sz w:val="21"/>
                      <w:szCs w:val="21"/>
                    </w:rPr>
                  </w:pPr>
                </w:p>
              </w:tc>
              <w:tc>
                <w:tcPr>
                  <w:tcW w:w="750" w:type="dxa"/>
                  <w:tcBorders>
                    <w:tl2br w:val="nil"/>
                    <w:tr2bl w:val="nil"/>
                  </w:tcBorders>
                  <w:shd w:val="clear" w:color="auto" w:fill="auto"/>
                  <w:vAlign w:val="center"/>
                </w:tcPr>
                <w:p w14:paraId="7F6E8621">
                  <w:pPr>
                    <w:jc w:val="center"/>
                    <w:rPr>
                      <w:rFonts w:hint="default" w:ascii="Times New Roman" w:hAnsi="Times New Roman" w:eastAsia="宋体" w:cs="Times New Roman"/>
                      <w:color w:val="auto"/>
                      <w:kern w:val="2"/>
                      <w:sz w:val="21"/>
                      <w:szCs w:val="21"/>
                      <w:lang w:val="en-US" w:eastAsia="zh-CN" w:bidi="ar"/>
                    </w:rPr>
                  </w:pPr>
                  <w:r>
                    <w:rPr>
                      <w:rFonts w:hint="default" w:ascii="Times New Roman" w:hAnsi="Times New Roman" w:eastAsia="宋体" w:cs="Times New Roman"/>
                      <w:color w:val="auto"/>
                      <w:sz w:val="21"/>
                      <w:szCs w:val="21"/>
                    </w:rPr>
                    <w:t>TN</w:t>
                  </w:r>
                </w:p>
              </w:tc>
              <w:tc>
                <w:tcPr>
                  <w:tcW w:w="1227" w:type="dxa"/>
                  <w:tcBorders>
                    <w:tl2br w:val="nil"/>
                    <w:tr2bl w:val="nil"/>
                  </w:tcBorders>
                  <w:shd w:val="clear" w:color="auto" w:fill="auto"/>
                  <w:vAlign w:val="center"/>
                </w:tcPr>
                <w:p w14:paraId="3CCC156C">
                  <w:pPr>
                    <w:adjustRightInd w:val="0"/>
                    <w:snapToGrid w:val="0"/>
                    <w:spacing w:before="24" w:beforeLines="10" w:after="24" w:afterLines="10" w:line="259" w:lineRule="auto"/>
                    <w:jc w:val="center"/>
                    <w:textAlignment w:val="baseline"/>
                    <w:rPr>
                      <w:rFonts w:hint="default" w:ascii="Times New Roman" w:hAnsi="Times New Roman" w:eastAsia="宋体" w:cs="Times New Roman"/>
                      <w:color w:val="auto"/>
                      <w:spacing w:val="-10"/>
                      <w:kern w:val="2"/>
                      <w:sz w:val="21"/>
                      <w:szCs w:val="21"/>
                      <w:lang w:val="en-US" w:eastAsia="zh-CN" w:bidi="ar"/>
                    </w:rPr>
                  </w:pPr>
                  <w:r>
                    <w:rPr>
                      <w:color w:val="auto"/>
                      <w:spacing w:val="-10"/>
                      <w:kern w:val="0"/>
                    </w:rPr>
                    <w:t>70</w:t>
                  </w:r>
                </w:p>
              </w:tc>
            </w:tr>
          </w:tbl>
          <w:p w14:paraId="56BE48C7">
            <w:pPr>
              <w:spacing w:before="120" w:beforeLines="50" w:line="360" w:lineRule="auto"/>
              <w:ind w:firstLine="482"/>
              <w:rPr>
                <w:b/>
                <w:color w:val="auto"/>
                <w:sz w:val="24"/>
                <w:szCs w:val="24"/>
              </w:rPr>
            </w:pPr>
            <w:r>
              <w:rPr>
                <w:b/>
                <w:color w:val="auto"/>
                <w:sz w:val="24"/>
                <w:szCs w:val="24"/>
              </w:rPr>
              <w:t>2.2水污染源监测计划</w:t>
            </w:r>
          </w:p>
          <w:p w14:paraId="2E8B7D58">
            <w:pPr>
              <w:adjustRightInd w:val="0"/>
              <w:snapToGrid w:val="0"/>
              <w:spacing w:line="360" w:lineRule="auto"/>
              <w:ind w:firstLine="480" w:firstLineChars="200"/>
              <w:rPr>
                <w:rFonts w:hint="eastAsia"/>
                <w:color w:val="auto"/>
                <w:sz w:val="24"/>
                <w:szCs w:val="24"/>
                <w:lang w:eastAsia="zh-CN"/>
              </w:rPr>
            </w:pPr>
            <w:r>
              <w:rPr>
                <w:rFonts w:hint="eastAsia"/>
                <w:color w:val="auto"/>
                <w:sz w:val="24"/>
                <w:szCs w:val="24"/>
                <w:lang w:eastAsia="zh-CN"/>
              </w:rPr>
              <w:t>根据《排污单位自行监测技术指南 总则》（HJ819-2017）</w:t>
            </w:r>
            <w:r>
              <w:rPr>
                <w:rFonts w:hint="eastAsia"/>
                <w:color w:val="auto"/>
                <w:sz w:val="24"/>
                <w:szCs w:val="24"/>
                <w:lang w:val="en-US" w:eastAsia="zh-CN"/>
              </w:rPr>
              <w:t>等</w:t>
            </w:r>
            <w:r>
              <w:rPr>
                <w:rFonts w:hint="eastAsia"/>
                <w:color w:val="auto"/>
                <w:sz w:val="24"/>
                <w:szCs w:val="24"/>
                <w:lang w:eastAsia="zh-CN"/>
              </w:rPr>
              <w:t>要求，本项目为非重点排污单位，且</w:t>
            </w:r>
            <w:r>
              <w:rPr>
                <w:rFonts w:hint="eastAsia"/>
                <w:color w:val="auto"/>
                <w:sz w:val="24"/>
                <w:szCs w:val="24"/>
                <w:lang w:val="en-US" w:eastAsia="zh-CN"/>
              </w:rPr>
              <w:t>生活污水</w:t>
            </w:r>
            <w:r>
              <w:rPr>
                <w:rFonts w:hint="eastAsia"/>
                <w:color w:val="auto"/>
                <w:sz w:val="24"/>
                <w:szCs w:val="24"/>
                <w:lang w:eastAsia="zh-CN"/>
              </w:rPr>
              <w:t>间接排放，因此生活污水、雨水无最低监测频次要求。建设项目在接管口附近醒目处，设置环境保护图形标志牌。</w:t>
            </w:r>
          </w:p>
          <w:p w14:paraId="3F319778">
            <w:pPr>
              <w:adjustRightInd w:val="0"/>
              <w:snapToGrid w:val="0"/>
              <w:spacing w:line="360" w:lineRule="auto"/>
              <w:ind w:firstLine="482" w:firstLineChars="200"/>
              <w:rPr>
                <w:b/>
                <w:color w:val="auto"/>
                <w:spacing w:val="-10"/>
                <w:sz w:val="24"/>
                <w:szCs w:val="24"/>
              </w:rPr>
            </w:pPr>
            <w:r>
              <w:rPr>
                <w:b/>
                <w:color w:val="auto"/>
                <w:sz w:val="24"/>
                <w:szCs w:val="24"/>
              </w:rPr>
              <w:t>2</w:t>
            </w:r>
            <w:r>
              <w:rPr>
                <w:rFonts w:hint="eastAsia"/>
                <w:b/>
                <w:color w:val="auto"/>
                <w:sz w:val="24"/>
                <w:szCs w:val="24"/>
              </w:rPr>
              <w:t>.3</w:t>
            </w:r>
            <w:r>
              <w:rPr>
                <w:b/>
                <w:color w:val="auto"/>
                <w:sz w:val="24"/>
                <w:szCs w:val="24"/>
              </w:rPr>
              <w:t>废水环</w:t>
            </w:r>
            <w:r>
              <w:rPr>
                <w:b/>
                <w:color w:val="auto"/>
                <w:spacing w:val="-10"/>
                <w:sz w:val="24"/>
                <w:szCs w:val="24"/>
              </w:rPr>
              <w:t>境保护措施可行性分析</w:t>
            </w:r>
          </w:p>
          <w:p w14:paraId="0D516D36">
            <w:pPr>
              <w:spacing w:line="360" w:lineRule="auto"/>
              <w:ind w:firstLine="480" w:firstLineChars="200"/>
              <w:rPr>
                <w:rFonts w:hint="default"/>
                <w:color w:val="auto"/>
                <w:sz w:val="24"/>
                <w:szCs w:val="24"/>
                <w:highlight w:val="none"/>
                <w:lang w:bidi="ar-SA"/>
              </w:rPr>
            </w:pPr>
            <w:r>
              <w:rPr>
                <w:rFonts w:hint="eastAsia" w:cs="宋体"/>
                <w:color w:val="auto"/>
                <w:kern w:val="0"/>
                <w:sz w:val="24"/>
                <w:szCs w:val="24"/>
                <w:lang w:val="en-US" w:eastAsia="zh-CN"/>
              </w:rPr>
              <w:t>本项目</w:t>
            </w:r>
            <w:r>
              <w:rPr>
                <w:rFonts w:hint="eastAsia" w:cs="宋体"/>
                <w:color w:val="auto"/>
                <w:kern w:val="0"/>
                <w:sz w:val="24"/>
                <w:szCs w:val="24"/>
              </w:rPr>
              <w:t>实行雨污分流。项目厂区</w:t>
            </w:r>
            <w:r>
              <w:rPr>
                <w:rFonts w:hint="eastAsia"/>
                <w:color w:val="auto"/>
                <w:sz w:val="24"/>
                <w:szCs w:val="24"/>
              </w:rPr>
              <w:t>雨水经雨水管网收集后</w:t>
            </w:r>
            <w:r>
              <w:rPr>
                <w:rFonts w:hint="eastAsia"/>
                <w:color w:val="auto"/>
                <w:sz w:val="24"/>
                <w:szCs w:val="24"/>
                <w:highlight w:val="none"/>
                <w:lang w:val="en-US" w:eastAsia="zh-CN"/>
              </w:rPr>
              <w:t>就近</w:t>
            </w:r>
            <w:r>
              <w:rPr>
                <w:rFonts w:hint="eastAsia"/>
                <w:color w:val="auto"/>
                <w:sz w:val="24"/>
                <w:szCs w:val="24"/>
              </w:rPr>
              <w:t>排入</w:t>
            </w:r>
            <w:r>
              <w:rPr>
                <w:rFonts w:hint="eastAsia"/>
                <w:color w:val="auto"/>
                <w:sz w:val="24"/>
                <w:szCs w:val="24"/>
                <w:highlight w:val="none"/>
                <w:lang w:val="en-US" w:eastAsia="zh-CN"/>
              </w:rPr>
              <w:t>界河</w:t>
            </w:r>
            <w:r>
              <w:rPr>
                <w:rFonts w:hint="eastAsia"/>
                <w:color w:val="auto"/>
                <w:sz w:val="24"/>
                <w:szCs w:val="24"/>
              </w:rPr>
              <w:t>，雨水排放标准参照执行《地表水环境质量标准》（GB3838-2002）中</w:t>
            </w:r>
            <w:r>
              <w:rPr>
                <w:rFonts w:hint="default" w:ascii="Times New Roman" w:hAnsi="Times New Roman" w:eastAsia="宋体" w:cs="Times New Roman"/>
                <w:color w:val="auto"/>
                <w:spacing w:val="0"/>
                <w:sz w:val="24"/>
                <w:szCs w:val="24"/>
                <w:lang w:val="en-US" w:eastAsia="zh-CN"/>
              </w:rPr>
              <w:t>Ⅲ</w:t>
            </w:r>
            <w:r>
              <w:rPr>
                <w:rFonts w:hint="eastAsia"/>
                <w:color w:val="auto"/>
                <w:sz w:val="24"/>
                <w:szCs w:val="24"/>
              </w:rPr>
              <w:t>类标准</w:t>
            </w:r>
            <w:r>
              <w:rPr>
                <w:rFonts w:hint="eastAsia" w:cs="宋体"/>
                <w:color w:val="auto"/>
                <w:kern w:val="0"/>
                <w:sz w:val="24"/>
                <w:szCs w:val="24"/>
              </w:rPr>
              <w:t>；</w:t>
            </w:r>
            <w:r>
              <w:rPr>
                <w:rFonts w:hint="eastAsia"/>
                <w:color w:val="auto"/>
                <w:sz w:val="24"/>
                <w:szCs w:val="24"/>
              </w:rPr>
              <w:t>生活污水经化粪池预处理达标后</w:t>
            </w:r>
            <w:r>
              <w:rPr>
                <w:rFonts w:hint="eastAsia"/>
                <w:color w:val="auto"/>
                <w:sz w:val="24"/>
                <w:szCs w:val="24"/>
                <w:lang w:val="en-US" w:eastAsia="zh-CN"/>
              </w:rPr>
              <w:t>接管鹰泰水务海安有限公司</w:t>
            </w:r>
            <w:r>
              <w:rPr>
                <w:rFonts w:hint="eastAsia"/>
                <w:color w:val="auto"/>
                <w:sz w:val="24"/>
                <w:szCs w:val="24"/>
              </w:rPr>
              <w:t>处理，</w:t>
            </w:r>
            <w:r>
              <w:rPr>
                <w:rFonts w:hint="eastAsia" w:cs="宋体"/>
                <w:color w:val="auto"/>
                <w:kern w:val="0"/>
                <w:sz w:val="24"/>
                <w:szCs w:val="24"/>
              </w:rPr>
              <w:t>尾水达到</w:t>
            </w:r>
            <w:r>
              <w:rPr>
                <w:rFonts w:hint="eastAsia" w:cs="宋体"/>
                <w:color w:val="auto"/>
                <w:kern w:val="0"/>
                <w:sz w:val="24"/>
                <w:szCs w:val="24"/>
                <w:lang w:val="en-US" w:eastAsia="zh-CN"/>
              </w:rPr>
              <w:t>《城镇污水处理厂污染物排放标准》（DB32/4440-2022）表1中C</w:t>
            </w:r>
            <w:r>
              <w:rPr>
                <w:rFonts w:hint="eastAsia" w:cs="宋体"/>
                <w:color w:val="auto"/>
                <w:kern w:val="0"/>
                <w:sz w:val="24"/>
                <w:szCs w:val="24"/>
              </w:rPr>
              <w:t>标准后，</w:t>
            </w:r>
            <w:r>
              <w:rPr>
                <w:rFonts w:hint="eastAsia"/>
                <w:color w:val="auto"/>
                <w:sz w:val="24"/>
                <w:szCs w:val="24"/>
              </w:rPr>
              <w:t>排入栟茶运河</w:t>
            </w:r>
            <w:r>
              <w:rPr>
                <w:rFonts w:hint="eastAsia" w:cs="宋体"/>
                <w:color w:val="auto"/>
                <w:kern w:val="0"/>
                <w:sz w:val="24"/>
                <w:szCs w:val="24"/>
              </w:rPr>
              <w:t>。</w:t>
            </w:r>
          </w:p>
          <w:p w14:paraId="4B414369">
            <w:pPr>
              <w:spacing w:line="360" w:lineRule="auto"/>
              <w:ind w:firstLine="480" w:firstLineChars="200"/>
              <w:rPr>
                <w:rFonts w:hint="default"/>
                <w:bCs/>
                <w:color w:val="auto"/>
                <w:sz w:val="24"/>
                <w:szCs w:val="24"/>
                <w:highlight w:val="none"/>
                <w:lang w:bidi="ar-SA"/>
              </w:rPr>
            </w:pPr>
            <w:r>
              <w:rPr>
                <w:rFonts w:hint="eastAsia" w:cs="宋体"/>
                <w:color w:val="auto"/>
                <w:kern w:val="0"/>
                <w:sz w:val="24"/>
                <w:szCs w:val="32"/>
                <w:highlight w:val="none"/>
                <w:lang w:bidi="ar-SA"/>
              </w:rPr>
              <w:t>（1）</w:t>
            </w:r>
            <w:r>
              <w:rPr>
                <w:rFonts w:hint="eastAsia"/>
                <w:bCs/>
                <w:color w:val="auto"/>
                <w:sz w:val="24"/>
                <w:szCs w:val="24"/>
                <w:highlight w:val="none"/>
                <w:lang w:bidi="ar-SA"/>
              </w:rPr>
              <w:t>厂区污水处理措施可行性分析</w:t>
            </w:r>
          </w:p>
          <w:p w14:paraId="3C238BAD">
            <w:pPr>
              <w:spacing w:line="360" w:lineRule="auto"/>
              <w:ind w:firstLine="482" w:firstLineChars="200"/>
              <w:rPr>
                <w:rFonts w:hint="eastAsia" w:eastAsia="宋体"/>
                <w:b/>
                <w:bCs/>
                <w:color w:val="auto"/>
                <w:sz w:val="24"/>
                <w:szCs w:val="24"/>
                <w:highlight w:val="none"/>
                <w:lang w:bidi="ar-SA"/>
              </w:rPr>
            </w:pPr>
            <w:r>
              <w:rPr>
                <w:rFonts w:hint="eastAsia" w:eastAsia="宋体"/>
                <w:b/>
                <w:bCs/>
                <w:color w:val="auto"/>
                <w:sz w:val="24"/>
                <w:szCs w:val="24"/>
                <w:highlight w:val="none"/>
                <w:lang w:bidi="ar-SA"/>
              </w:rPr>
              <w:t>A、生活污水处理</w:t>
            </w:r>
          </w:p>
          <w:p w14:paraId="71B82B0B">
            <w:pPr>
              <w:spacing w:line="360" w:lineRule="auto"/>
              <w:ind w:firstLine="482" w:firstLineChars="200"/>
              <w:rPr>
                <w:rFonts w:hint="default" w:eastAsia="宋体"/>
                <w:color w:val="auto"/>
                <w:sz w:val="24"/>
                <w:szCs w:val="24"/>
                <w:highlight w:val="none"/>
                <w:lang w:bidi="ar-SA"/>
              </w:rPr>
            </w:pPr>
            <w:r>
              <w:rPr>
                <w:rFonts w:hint="eastAsia" w:eastAsia="宋体"/>
                <w:b/>
                <w:bCs/>
                <w:color w:val="auto"/>
                <w:sz w:val="24"/>
                <w:szCs w:val="24"/>
                <w:highlight w:val="none"/>
                <w:lang w:bidi="ar-SA"/>
              </w:rPr>
              <w:t>化粪池：</w:t>
            </w:r>
            <w:r>
              <w:rPr>
                <w:rFonts w:hint="eastAsia" w:eastAsia="宋体"/>
                <w:color w:val="auto"/>
                <w:sz w:val="24"/>
                <w:szCs w:val="24"/>
                <w:highlight w:val="none"/>
                <w:lang w:bidi="ar-SA"/>
              </w:rPr>
              <w:t>化粪池是一种利用沉淀和厌氧发酵的原理，去除生活污水中悬浮性有机物的处理设施，属于初级的过渡性生活污水处理构筑物。厂区设有</w:t>
            </w:r>
            <w:r>
              <w:rPr>
                <w:rFonts w:hint="eastAsia" w:eastAsia="宋体"/>
                <w:color w:val="auto"/>
                <w:sz w:val="24"/>
                <w:szCs w:val="24"/>
                <w:highlight w:val="none"/>
                <w:lang w:val="en-US" w:eastAsia="zh-CN" w:bidi="ar-SA"/>
              </w:rPr>
              <w:t>1</w:t>
            </w:r>
            <w:r>
              <w:rPr>
                <w:rFonts w:hint="eastAsia" w:eastAsia="宋体"/>
                <w:color w:val="auto"/>
                <w:sz w:val="24"/>
                <w:szCs w:val="24"/>
                <w:highlight w:val="none"/>
                <w:lang w:bidi="ar-SA"/>
              </w:rPr>
              <w:t>座</w:t>
            </w:r>
            <w:r>
              <w:rPr>
                <w:rFonts w:hint="eastAsia"/>
                <w:color w:val="auto"/>
                <w:sz w:val="24"/>
                <w:szCs w:val="24"/>
                <w:highlight w:val="none"/>
                <w:lang w:val="en-US" w:eastAsia="zh-CN" w:bidi="ar-SA"/>
              </w:rPr>
              <w:t>10</w:t>
            </w:r>
            <w:r>
              <w:rPr>
                <w:rFonts w:hint="eastAsia" w:eastAsia="宋体"/>
                <w:color w:val="auto"/>
                <w:sz w:val="24"/>
                <w:szCs w:val="24"/>
                <w:highlight w:val="none"/>
                <w:lang w:bidi="ar-SA"/>
              </w:rPr>
              <w:t>m</w:t>
            </w:r>
            <w:r>
              <w:rPr>
                <w:rFonts w:hint="eastAsia" w:eastAsia="宋体"/>
                <w:color w:val="auto"/>
                <w:sz w:val="24"/>
                <w:szCs w:val="24"/>
                <w:highlight w:val="none"/>
                <w:vertAlign w:val="superscript"/>
                <w:lang w:bidi="ar-SA"/>
              </w:rPr>
              <w:t>3</w:t>
            </w:r>
            <w:r>
              <w:rPr>
                <w:rFonts w:hint="eastAsia" w:eastAsia="宋体"/>
                <w:color w:val="auto"/>
                <w:sz w:val="24"/>
                <w:szCs w:val="24"/>
                <w:highlight w:val="none"/>
                <w:lang w:bidi="ar-SA"/>
              </w:rPr>
              <w:t>的化粪池，本项目</w:t>
            </w:r>
            <w:r>
              <w:rPr>
                <w:rFonts w:hint="eastAsia"/>
                <w:color w:val="auto"/>
                <w:sz w:val="24"/>
                <w:szCs w:val="24"/>
                <w:lang w:val="en-US" w:eastAsia="zh-CN"/>
              </w:rPr>
              <w:t>建成后全厂</w:t>
            </w:r>
            <w:r>
              <w:rPr>
                <w:rFonts w:hint="eastAsia" w:eastAsia="宋体"/>
                <w:color w:val="auto"/>
                <w:sz w:val="24"/>
                <w:szCs w:val="24"/>
                <w:highlight w:val="none"/>
                <w:lang w:bidi="ar-SA"/>
              </w:rPr>
              <w:t>生活污水合计产生量约为</w:t>
            </w:r>
            <w:r>
              <w:rPr>
                <w:rFonts w:hint="eastAsia"/>
                <w:color w:val="auto"/>
                <w:sz w:val="24"/>
                <w:szCs w:val="24"/>
                <w:highlight w:val="none"/>
                <w:lang w:val="en-US" w:eastAsia="zh-CN" w:bidi="ar-SA"/>
              </w:rPr>
              <w:t>6.1</w:t>
            </w:r>
            <w:r>
              <w:rPr>
                <w:rFonts w:hint="eastAsia" w:eastAsia="宋体"/>
                <w:color w:val="auto"/>
                <w:sz w:val="24"/>
                <w:szCs w:val="24"/>
                <w:highlight w:val="none"/>
                <w:lang w:bidi="ar-SA"/>
              </w:rPr>
              <w:t>m</w:t>
            </w:r>
            <w:r>
              <w:rPr>
                <w:rFonts w:hint="eastAsia" w:eastAsia="宋体"/>
                <w:color w:val="auto"/>
                <w:sz w:val="24"/>
                <w:szCs w:val="24"/>
                <w:highlight w:val="none"/>
                <w:vertAlign w:val="superscript"/>
                <w:lang w:bidi="ar-SA"/>
              </w:rPr>
              <w:t>3</w:t>
            </w:r>
            <w:r>
              <w:rPr>
                <w:rFonts w:hint="eastAsia" w:eastAsia="宋体"/>
                <w:color w:val="auto"/>
                <w:sz w:val="24"/>
                <w:szCs w:val="24"/>
                <w:highlight w:val="none"/>
                <w:lang w:bidi="ar-SA"/>
              </w:rPr>
              <w:t>/d，因此化粪池容积能满足本项目生活污水处理需求。</w:t>
            </w:r>
          </w:p>
          <w:p w14:paraId="6B42B0DB">
            <w:pPr>
              <w:spacing w:line="360" w:lineRule="auto"/>
              <w:ind w:firstLine="442" w:firstLineChars="200"/>
              <w:rPr>
                <w:rFonts w:hint="default"/>
                <w:bCs/>
                <w:color w:val="auto"/>
                <w:spacing w:val="-10"/>
                <w:sz w:val="24"/>
                <w:szCs w:val="24"/>
                <w:highlight w:val="none"/>
                <w:lang w:bidi="ar-SA"/>
              </w:rPr>
            </w:pPr>
            <w:r>
              <w:rPr>
                <w:rFonts w:hint="default"/>
                <w:b/>
                <w:bCs w:val="0"/>
                <w:color w:val="auto"/>
                <w:spacing w:val="-10"/>
                <w:sz w:val="24"/>
                <w:szCs w:val="24"/>
                <w:highlight w:val="none"/>
                <w:lang w:bidi="ar-SA"/>
              </w:rPr>
              <w:t>B、</w:t>
            </w:r>
            <w:r>
              <w:rPr>
                <w:rFonts w:hint="eastAsia"/>
                <w:b/>
                <w:bCs w:val="0"/>
                <w:color w:val="auto"/>
                <w:spacing w:val="-10"/>
                <w:sz w:val="24"/>
                <w:szCs w:val="24"/>
                <w:highlight w:val="none"/>
                <w:lang w:val="en-US" w:eastAsia="zh-CN" w:bidi="ar-SA"/>
              </w:rPr>
              <w:t>清洗</w:t>
            </w:r>
            <w:r>
              <w:rPr>
                <w:rFonts w:hint="default"/>
                <w:b/>
                <w:bCs w:val="0"/>
                <w:color w:val="auto"/>
                <w:spacing w:val="-10"/>
                <w:sz w:val="24"/>
                <w:szCs w:val="24"/>
                <w:highlight w:val="none"/>
                <w:lang w:bidi="ar-SA"/>
              </w:rPr>
              <w:t>废水处理回用分析</w:t>
            </w:r>
          </w:p>
          <w:p w14:paraId="431BEBBA">
            <w:pPr>
              <w:spacing w:line="360" w:lineRule="auto"/>
              <w:ind w:firstLine="480" w:firstLineChars="200"/>
              <w:rPr>
                <w:rFonts w:hint="default"/>
                <w:bCs/>
                <w:color w:val="auto"/>
                <w:spacing w:val="-10"/>
                <w:sz w:val="24"/>
                <w:szCs w:val="24"/>
                <w:highlight w:val="none"/>
                <w:lang w:bidi="ar-SA"/>
              </w:rPr>
            </w:pPr>
            <w:r>
              <w:rPr>
                <w:rFonts w:hint="eastAsia"/>
                <w:bCs/>
                <w:color w:val="auto"/>
                <w:sz w:val="24"/>
                <w:szCs w:val="24"/>
                <w:highlight w:val="none"/>
                <w:lang w:val="en-US" w:eastAsia="zh-CN"/>
              </w:rPr>
              <w:t>清洗</w:t>
            </w:r>
            <w:r>
              <w:rPr>
                <w:rFonts w:hint="eastAsia"/>
                <w:color w:val="auto"/>
                <w:kern w:val="0"/>
                <w:sz w:val="24"/>
                <w:szCs w:val="32"/>
                <w:lang w:bidi="ar"/>
              </w:rPr>
              <w:t>废水</w:t>
            </w:r>
            <w:r>
              <w:rPr>
                <w:rFonts w:hint="eastAsia"/>
                <w:color w:val="auto"/>
                <w:kern w:val="0"/>
                <w:sz w:val="24"/>
                <w:szCs w:val="32"/>
                <w:lang w:val="en-US" w:eastAsia="zh-CN" w:bidi="ar"/>
              </w:rPr>
              <w:t>产生</w:t>
            </w:r>
            <w:r>
              <w:rPr>
                <w:rFonts w:hint="eastAsia"/>
                <w:color w:val="auto"/>
                <w:kern w:val="0"/>
                <w:sz w:val="24"/>
                <w:szCs w:val="32"/>
                <w:lang w:bidi="ar"/>
              </w:rPr>
              <w:t>量</w:t>
            </w:r>
            <w:r>
              <w:rPr>
                <w:rFonts w:hint="eastAsia"/>
                <w:color w:val="auto"/>
                <w:kern w:val="0"/>
                <w:sz w:val="24"/>
                <w:szCs w:val="32"/>
                <w:lang w:val="en-US" w:eastAsia="zh-CN" w:bidi="ar"/>
              </w:rPr>
              <w:t>平均</w:t>
            </w:r>
            <w:r>
              <w:rPr>
                <w:rFonts w:hint="eastAsia"/>
                <w:color w:val="auto"/>
                <w:kern w:val="0"/>
                <w:sz w:val="24"/>
                <w:szCs w:val="32"/>
                <w:highlight w:val="none"/>
                <w:lang w:val="en-US" w:eastAsia="zh-CN" w:bidi="ar"/>
              </w:rPr>
              <w:t>为</w:t>
            </w:r>
            <w:r>
              <w:rPr>
                <w:rFonts w:hint="eastAsia"/>
                <w:color w:val="auto"/>
                <w:sz w:val="24"/>
                <w:szCs w:val="24"/>
                <w:lang w:val="en-US" w:eastAsia="zh-CN"/>
              </w:rPr>
              <w:t>0.4768</w:t>
            </w:r>
            <w:r>
              <w:rPr>
                <w:rFonts w:hint="eastAsia"/>
                <w:color w:val="auto"/>
                <w:kern w:val="0"/>
                <w:sz w:val="24"/>
                <w:szCs w:val="24"/>
                <w:highlight w:val="none"/>
                <w:lang w:bidi="ar"/>
              </w:rPr>
              <w:t>t/</w:t>
            </w:r>
            <w:r>
              <w:rPr>
                <w:rFonts w:hint="eastAsia"/>
                <w:color w:val="auto"/>
                <w:kern w:val="0"/>
                <w:sz w:val="24"/>
                <w:szCs w:val="32"/>
                <w:highlight w:val="none"/>
                <w:lang w:val="en-US" w:eastAsia="zh-CN" w:bidi="ar"/>
              </w:rPr>
              <w:t>d</w:t>
            </w:r>
            <w:r>
              <w:rPr>
                <w:rFonts w:hint="eastAsia"/>
                <w:color w:val="auto"/>
                <w:sz w:val="24"/>
                <w:szCs w:val="24"/>
                <w:lang w:eastAsia="zh-CN"/>
              </w:rPr>
              <w:t>，</w:t>
            </w:r>
            <w:r>
              <w:rPr>
                <w:rFonts w:hint="eastAsia"/>
                <w:color w:val="auto"/>
                <w:sz w:val="24"/>
                <w:szCs w:val="24"/>
                <w:lang w:val="en-US" w:eastAsia="zh-CN"/>
              </w:rPr>
              <w:t>废水处理设施处理规模为</w:t>
            </w:r>
            <w:r>
              <w:rPr>
                <w:rFonts w:hint="eastAsia" w:ascii="Times New Roman" w:hAnsi="Times New Roman" w:eastAsia="宋体" w:cs="宋体"/>
                <w:color w:val="auto"/>
                <w:kern w:val="2"/>
                <w:sz w:val="24"/>
                <w:szCs w:val="24"/>
                <w:lang w:val="en-US" w:eastAsia="zh-CN" w:bidi="ar"/>
              </w:rPr>
              <w:t>0.6t/d</w:t>
            </w:r>
            <w:r>
              <w:rPr>
                <w:rFonts w:hint="eastAsia"/>
                <w:color w:val="auto"/>
                <w:kern w:val="0"/>
                <w:sz w:val="24"/>
                <w:szCs w:val="32"/>
                <w:lang w:val="en-US" w:eastAsia="zh-CN" w:bidi="ar"/>
              </w:rPr>
              <w:t>，可满足本项目废水处理需求</w:t>
            </w:r>
            <w:r>
              <w:rPr>
                <w:rFonts w:hint="default"/>
                <w:color w:val="auto"/>
                <w:kern w:val="0"/>
                <w:sz w:val="24"/>
                <w:szCs w:val="32"/>
                <w:lang w:bidi="ar"/>
              </w:rPr>
              <w:t>。具体处理流程如下图所示</w:t>
            </w:r>
            <w:r>
              <w:rPr>
                <w:rFonts w:hint="eastAsia"/>
                <w:color w:val="auto"/>
                <w:kern w:val="0"/>
                <w:sz w:val="24"/>
                <w:szCs w:val="32"/>
                <w:lang w:bidi="ar"/>
              </w:rPr>
              <w:t>。</w:t>
            </w:r>
          </w:p>
          <w:p w14:paraId="393994FC">
            <w:pPr>
              <w:spacing w:before="156"/>
              <w:ind w:left="-2" w:leftChars="-1" w:firstLine="249" w:firstLineChars="119"/>
              <w:jc w:val="center"/>
              <w:rPr>
                <w:rFonts w:hint="eastAsia"/>
                <w:color w:val="auto"/>
              </w:rPr>
            </w:pPr>
            <w:r>
              <w:rPr>
                <w:color w:val="auto"/>
              </w:rPr>
              <w:object>
                <v:shape id="_x0000_i1025" o:spt="75" type="#_x0000_t75" style="height:286.85pt;width:252.25pt;" o:ole="t" filled="f" o:preferrelative="t" stroked="f" coordsize="21600,21600">
                  <v:path/>
                  <v:fill on="f" focussize="0,0"/>
                  <v:stroke on="f"/>
                  <v:imagedata r:id="rId12" o:title=""/>
                  <o:lock v:ext="edit" aspectratio="t"/>
                  <w10:wrap type="none"/>
                  <w10:anchorlock/>
                </v:shape>
                <o:OLEObject Type="Embed" ProgID="Visio.Drawing.15" ShapeID="_x0000_i1025" DrawAspect="Content" ObjectID="_1468075725" r:id="rId11">
                  <o:LockedField>false</o:LockedField>
                </o:OLEObject>
              </w:object>
            </w:r>
            <w:r>
              <w:rPr>
                <w:color w:val="auto"/>
              </w:rPr>
              <mc:AlternateContent>
                <mc:Choice Requires="wps">
                  <w:drawing>
                    <wp:anchor distT="0" distB="0" distL="114300" distR="114300" simplePos="0" relativeHeight="251660288" behindDoc="0" locked="0" layoutInCell="1" allowOverlap="1">
                      <wp:simplePos x="0" y="0"/>
                      <wp:positionH relativeFrom="column">
                        <wp:posOffset>2926080</wp:posOffset>
                      </wp:positionH>
                      <wp:positionV relativeFrom="paragraph">
                        <wp:posOffset>178435</wp:posOffset>
                      </wp:positionV>
                      <wp:extent cx="7620" cy="480060"/>
                      <wp:effectExtent l="0" t="0" r="0" b="0"/>
                      <wp:wrapNone/>
                      <wp:docPr id="43" name="直接箭头连接符 43"/>
                      <wp:cNvGraphicFramePr/>
                      <a:graphic xmlns:a="http://schemas.openxmlformats.org/drawingml/2006/main">
                        <a:graphicData uri="http://schemas.microsoft.com/office/word/2010/wordprocessingShape">
                          <wps:wsp>
                            <wps:cNvCnPr/>
                            <wps:spPr>
                              <a:xfrm flipH="1">
                                <a:off x="0" y="0"/>
                                <a:ext cx="7620" cy="480060"/>
                              </a:xfrm>
                              <a:prstGeom prst="straightConnector1">
                                <a:avLst/>
                              </a:prstGeom>
                              <a:ln>
                                <a:noFill/>
                              </a:ln>
                            </wps:spPr>
                            <wps:bodyPr/>
                          </wps:wsp>
                        </a:graphicData>
                      </a:graphic>
                    </wp:anchor>
                  </w:drawing>
                </mc:Choice>
                <mc:Fallback>
                  <w:pict>
                    <v:shape id="_x0000_s1026" o:spid="_x0000_s1026" o:spt="32" type="#_x0000_t32" style="position:absolute;left:0pt;flip:x;margin-left:230.4pt;margin-top:14.05pt;height:37.8pt;width:0.6pt;z-index:251660288;mso-width-relative:page;mso-height-relative:page;" filled="f" stroked="f" coordsize="21600,21600" o:gfxdata="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XJCQWNYAAAAKAQAADwAAAAAAAAABACAAAAAiAAAAZHJzL2Rvd25yZXYueG1sUEsBAhQAFAAAAAgA&#10;h07iQDfZGq61AQAARQMAAA4AAAAAAAAAAQAgAAAAJQEAAGRycy9lMm9Eb2MueG1sUEsFBgAAAAAG&#10;AAYAWQEAAEwFAAAAAA==&#10;">
                      <v:fill on="f" focussize="0,0"/>
                      <v:stroke on="f"/>
                      <v:imagedata o:title=""/>
                      <o:lock v:ext="edit" aspectratio="f"/>
                    </v:shape>
                  </w:pict>
                </mc:Fallback>
              </mc:AlternateContent>
            </w:r>
          </w:p>
          <w:p w14:paraId="794769F5">
            <w:pPr>
              <w:spacing w:line="240" w:lineRule="auto"/>
              <w:ind w:left="-2" w:leftChars="-1" w:firstLine="287" w:firstLineChars="119"/>
              <w:jc w:val="center"/>
              <w:rPr>
                <w:color w:val="auto"/>
                <w:sz w:val="24"/>
                <w:szCs w:val="24"/>
              </w:rPr>
            </w:pPr>
            <w:r>
              <w:rPr>
                <w:rFonts w:hint="eastAsia"/>
                <w:b/>
                <w:bCs/>
                <w:color w:val="auto"/>
                <w:sz w:val="24"/>
                <w:szCs w:val="24"/>
              </w:rPr>
              <w:t>图</w:t>
            </w:r>
            <w:r>
              <w:rPr>
                <w:rFonts w:hint="eastAsia"/>
                <w:b/>
                <w:bCs/>
                <w:color w:val="auto"/>
                <w:sz w:val="24"/>
                <w:szCs w:val="24"/>
                <w:lang w:val="en-US" w:eastAsia="zh-CN"/>
              </w:rPr>
              <w:t>4-2</w:t>
            </w:r>
            <w:r>
              <w:rPr>
                <w:b/>
                <w:bCs/>
                <w:color w:val="auto"/>
                <w:sz w:val="24"/>
                <w:szCs w:val="24"/>
              </w:rPr>
              <w:t xml:space="preserve"> </w:t>
            </w:r>
            <w:r>
              <w:rPr>
                <w:rFonts w:hint="eastAsia"/>
                <w:b/>
                <w:bCs/>
                <w:color w:val="auto"/>
                <w:sz w:val="24"/>
                <w:szCs w:val="24"/>
                <w:lang w:val="en-US" w:eastAsia="zh-CN"/>
              </w:rPr>
              <w:t>废水处理</w:t>
            </w:r>
            <w:r>
              <w:rPr>
                <w:rFonts w:hint="eastAsia"/>
                <w:b/>
                <w:bCs/>
                <w:color w:val="auto"/>
                <w:sz w:val="24"/>
                <w:szCs w:val="24"/>
              </w:rPr>
              <w:t>工艺流程图</w:t>
            </w:r>
          </w:p>
          <w:p w14:paraId="5752ED74">
            <w:pPr>
              <w:spacing w:line="360" w:lineRule="auto"/>
              <w:ind w:firstLine="482" w:firstLineChars="200"/>
              <w:rPr>
                <w:rFonts w:hint="default"/>
                <w:bCs/>
                <w:color w:val="auto"/>
                <w:spacing w:val="-10"/>
                <w:sz w:val="24"/>
                <w:szCs w:val="24"/>
                <w:highlight w:val="none"/>
                <w:lang w:bidi="ar-SA"/>
              </w:rPr>
            </w:pPr>
            <w:r>
              <w:rPr>
                <w:rFonts w:hint="eastAsia"/>
                <w:b/>
                <w:bCs w:val="0"/>
                <w:color w:val="auto"/>
                <w:sz w:val="24"/>
                <w:szCs w:val="24"/>
                <w:highlight w:val="none"/>
                <w:lang w:val="en-US" w:eastAsia="zh-CN"/>
              </w:rPr>
              <w:t>废</w:t>
            </w:r>
            <w:r>
              <w:rPr>
                <w:rFonts w:hint="default"/>
                <w:b/>
                <w:bCs w:val="0"/>
                <w:color w:val="auto"/>
                <w:sz w:val="24"/>
                <w:szCs w:val="24"/>
                <w:highlight w:val="none"/>
              </w:rPr>
              <w:t>水处理设施工艺说明</w:t>
            </w:r>
            <w:r>
              <w:rPr>
                <w:rFonts w:hint="eastAsia"/>
                <w:b/>
                <w:bCs w:val="0"/>
                <w:color w:val="auto"/>
                <w:sz w:val="24"/>
                <w:szCs w:val="24"/>
                <w:highlight w:val="none"/>
                <w:lang w:eastAsia="zh-CN"/>
              </w:rPr>
              <w:t>：</w:t>
            </w:r>
          </w:p>
          <w:p w14:paraId="0A619407">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eastAsia="宋体" w:cs="Times New Roman"/>
                <w:color w:val="auto"/>
                <w:sz w:val="24"/>
                <w:szCs w:val="24"/>
                <w:lang w:bidi="ar-SA"/>
              </w:rPr>
            </w:pPr>
            <w:bookmarkStart w:id="30" w:name="_Toc49760927"/>
            <w:r>
              <w:rPr>
                <w:rFonts w:hint="eastAsia" w:ascii="Times New Roman" w:hAnsi="Times New Roman" w:eastAsia="宋体" w:cs="Times New Roman"/>
                <w:b/>
                <w:color w:val="auto"/>
                <w:sz w:val="24"/>
                <w:szCs w:val="24"/>
                <w:lang w:bidi="ar-SA"/>
              </w:rPr>
              <w:t>预过滤阶段</w:t>
            </w:r>
            <w:r>
              <w:rPr>
                <w:rFonts w:hint="eastAsia" w:ascii="Times New Roman" w:hAnsi="Times New Roman" w:eastAsia="宋体" w:cs="Times New Roman"/>
                <w:color w:val="auto"/>
                <w:sz w:val="24"/>
                <w:szCs w:val="24"/>
                <w:lang w:bidi="ar-SA"/>
              </w:rPr>
              <w:t>：</w:t>
            </w:r>
            <w:bookmarkEnd w:id="30"/>
            <w:r>
              <w:rPr>
                <w:rFonts w:hint="eastAsia" w:ascii="Times New Roman" w:hAnsi="Times New Roman" w:eastAsia="宋体" w:cs="Times New Roman"/>
                <w:color w:val="auto"/>
                <w:sz w:val="24"/>
                <w:szCs w:val="24"/>
                <w:lang w:val="en-US" w:eastAsia="zh-CN" w:bidi="ar-SA"/>
              </w:rPr>
              <w:t>废水</w:t>
            </w:r>
            <w:r>
              <w:rPr>
                <w:rFonts w:hint="eastAsia" w:ascii="Times New Roman" w:hAnsi="Times New Roman" w:eastAsia="宋体" w:cs="Times New Roman"/>
                <w:color w:val="auto"/>
                <w:sz w:val="24"/>
                <w:szCs w:val="24"/>
                <w:lang w:bidi="ar-SA"/>
              </w:rPr>
              <w:t>经过前置袋式过滤器初步过滤，原液中较大的固体颗粒被滤袋过滤后经过隔膜泵P600将原液输送至三相分离器水箱。初步</w:t>
            </w:r>
            <w:r>
              <w:rPr>
                <w:rFonts w:hint="default" w:ascii="Times New Roman" w:hAnsi="Times New Roman" w:eastAsia="宋体" w:cs="Times New Roman"/>
                <w:color w:val="auto"/>
                <w:sz w:val="24"/>
                <w:szCs w:val="24"/>
                <w:lang w:bidi="ar-SA"/>
              </w:rPr>
              <w:t>过滤能</w:t>
            </w:r>
            <w:r>
              <w:rPr>
                <w:rFonts w:hint="eastAsia" w:ascii="Times New Roman" w:hAnsi="Times New Roman" w:eastAsia="宋体" w:cs="Times New Roman"/>
                <w:color w:val="auto"/>
                <w:sz w:val="24"/>
                <w:szCs w:val="24"/>
                <w:lang w:bidi="ar-SA"/>
              </w:rPr>
              <w:t>确保气动隔膜泵膜片</w:t>
            </w:r>
            <w:r>
              <w:rPr>
                <w:rFonts w:hint="default" w:ascii="Times New Roman" w:hAnsi="Times New Roman" w:eastAsia="宋体" w:cs="Times New Roman"/>
                <w:color w:val="auto"/>
                <w:sz w:val="24"/>
                <w:szCs w:val="24"/>
                <w:lang w:bidi="ar-SA"/>
              </w:rPr>
              <w:t>不受</w:t>
            </w:r>
            <w:r>
              <w:rPr>
                <w:rFonts w:hint="eastAsia" w:ascii="Times New Roman" w:hAnsi="Times New Roman" w:eastAsia="宋体" w:cs="Times New Roman"/>
                <w:color w:val="auto"/>
                <w:sz w:val="24"/>
                <w:szCs w:val="24"/>
                <w:lang w:bidi="ar-SA"/>
              </w:rPr>
              <w:t>原液</w:t>
            </w:r>
            <w:r>
              <w:rPr>
                <w:rFonts w:hint="default" w:ascii="Times New Roman" w:hAnsi="Times New Roman" w:eastAsia="宋体" w:cs="Times New Roman"/>
                <w:color w:val="auto"/>
                <w:sz w:val="24"/>
                <w:szCs w:val="24"/>
                <w:lang w:bidi="ar-SA"/>
              </w:rPr>
              <w:t>大颗粒物影响，确保隔膜泵</w:t>
            </w:r>
            <w:r>
              <w:rPr>
                <w:rFonts w:hint="eastAsia" w:ascii="Times New Roman" w:hAnsi="Times New Roman" w:eastAsia="宋体" w:cs="Times New Roman"/>
                <w:color w:val="auto"/>
                <w:sz w:val="24"/>
                <w:szCs w:val="24"/>
                <w:lang w:bidi="ar-SA"/>
              </w:rPr>
              <w:t>能</w:t>
            </w:r>
            <w:r>
              <w:rPr>
                <w:rFonts w:hint="default" w:ascii="Times New Roman" w:hAnsi="Times New Roman" w:eastAsia="宋体" w:cs="Times New Roman"/>
                <w:color w:val="auto"/>
                <w:sz w:val="24"/>
                <w:szCs w:val="24"/>
                <w:lang w:bidi="ar-SA"/>
              </w:rPr>
              <w:t>顺利工作，为后段工序提供动力输出</w:t>
            </w:r>
            <w:r>
              <w:rPr>
                <w:rFonts w:hint="eastAsia" w:ascii="Times New Roman" w:hAnsi="Times New Roman" w:eastAsia="宋体" w:cs="Times New Roman"/>
                <w:color w:val="auto"/>
                <w:sz w:val="24"/>
                <w:szCs w:val="24"/>
                <w:lang w:bidi="ar-SA"/>
              </w:rPr>
              <w:t>。</w:t>
            </w:r>
            <w:r>
              <w:rPr>
                <w:rFonts w:hint="default" w:ascii="Times New Roman" w:hAnsi="Times New Roman" w:eastAsia="宋体" w:cs="Times New Roman"/>
                <w:color w:val="auto"/>
                <w:sz w:val="24"/>
                <w:szCs w:val="24"/>
                <w:lang w:bidi="ar-SA"/>
              </w:rPr>
              <w:t>气动</w:t>
            </w:r>
            <w:r>
              <w:rPr>
                <w:rFonts w:hint="eastAsia" w:ascii="Times New Roman" w:hAnsi="Times New Roman" w:eastAsia="宋体" w:cs="Times New Roman"/>
                <w:color w:val="auto"/>
                <w:sz w:val="24"/>
                <w:szCs w:val="24"/>
                <w:lang w:bidi="ar-SA"/>
              </w:rPr>
              <w:t>隔膜泵</w:t>
            </w:r>
            <w:r>
              <w:rPr>
                <w:rFonts w:hint="default" w:ascii="Times New Roman" w:hAnsi="Times New Roman" w:eastAsia="宋体" w:cs="Times New Roman"/>
                <w:color w:val="auto"/>
                <w:sz w:val="24"/>
                <w:szCs w:val="24"/>
                <w:lang w:bidi="ar-SA"/>
              </w:rPr>
              <w:t>可以</w:t>
            </w:r>
            <w:r>
              <w:rPr>
                <w:rFonts w:hint="eastAsia" w:ascii="Times New Roman" w:hAnsi="Times New Roman" w:eastAsia="宋体" w:cs="Times New Roman"/>
                <w:color w:val="auto"/>
                <w:sz w:val="24"/>
                <w:szCs w:val="24"/>
                <w:lang w:bidi="ar-SA"/>
              </w:rPr>
              <w:t>通过调节</w:t>
            </w:r>
            <w:r>
              <w:rPr>
                <w:rFonts w:hint="default" w:ascii="Times New Roman" w:hAnsi="Times New Roman" w:eastAsia="宋体" w:cs="Times New Roman"/>
                <w:color w:val="auto"/>
                <w:sz w:val="24"/>
                <w:szCs w:val="24"/>
                <w:lang w:bidi="ar-SA"/>
              </w:rPr>
              <w:t>进气调速阀控制</w:t>
            </w:r>
            <w:r>
              <w:rPr>
                <w:rFonts w:hint="eastAsia" w:ascii="Times New Roman" w:hAnsi="Times New Roman" w:eastAsia="宋体" w:cs="Times New Roman"/>
                <w:color w:val="auto"/>
                <w:sz w:val="24"/>
                <w:szCs w:val="24"/>
                <w:lang w:bidi="ar-SA"/>
              </w:rPr>
              <w:t>隔膜泵</w:t>
            </w:r>
            <w:r>
              <w:rPr>
                <w:rFonts w:hint="default" w:ascii="Times New Roman" w:hAnsi="Times New Roman" w:eastAsia="宋体" w:cs="Times New Roman"/>
                <w:color w:val="auto"/>
                <w:sz w:val="24"/>
                <w:szCs w:val="24"/>
                <w:lang w:bidi="ar-SA"/>
              </w:rPr>
              <w:t>工作</w:t>
            </w:r>
            <w:r>
              <w:rPr>
                <w:rFonts w:hint="eastAsia" w:ascii="Times New Roman" w:hAnsi="Times New Roman" w:eastAsia="宋体" w:cs="Times New Roman"/>
                <w:color w:val="auto"/>
                <w:sz w:val="24"/>
                <w:szCs w:val="24"/>
                <w:lang w:bidi="ar-SA"/>
              </w:rPr>
              <w:t>频率，</w:t>
            </w:r>
            <w:r>
              <w:rPr>
                <w:rFonts w:hint="default" w:ascii="Times New Roman" w:hAnsi="Times New Roman" w:eastAsia="宋体" w:cs="Times New Roman"/>
                <w:color w:val="auto"/>
                <w:sz w:val="24"/>
                <w:szCs w:val="24"/>
                <w:lang w:bidi="ar-SA"/>
              </w:rPr>
              <w:t>进而达到控制进入三项分离器原液流量</w:t>
            </w:r>
            <w:r>
              <w:rPr>
                <w:rFonts w:hint="eastAsia" w:ascii="Times New Roman" w:hAnsi="Times New Roman" w:eastAsia="宋体" w:cs="Times New Roman"/>
                <w:color w:val="auto"/>
                <w:sz w:val="24"/>
                <w:szCs w:val="24"/>
                <w:lang w:bidi="ar-SA"/>
              </w:rPr>
              <w:t>速度</w:t>
            </w:r>
            <w:r>
              <w:rPr>
                <w:rFonts w:hint="default" w:ascii="Times New Roman" w:hAnsi="Times New Roman" w:eastAsia="宋体" w:cs="Times New Roman"/>
                <w:color w:val="auto"/>
                <w:sz w:val="24"/>
                <w:szCs w:val="24"/>
                <w:lang w:bidi="ar-SA"/>
              </w:rPr>
              <w:t>的作用</w:t>
            </w:r>
            <w:r>
              <w:rPr>
                <w:rFonts w:hint="eastAsia" w:ascii="宋体" w:hAnsi="宋体" w:eastAsia="宋体" w:cs="Times New Roman"/>
                <w:color w:val="auto"/>
                <w:sz w:val="22"/>
                <w:szCs w:val="21"/>
                <w:lang w:bidi="ar-SA"/>
              </w:rPr>
              <w:t>。</w:t>
            </w:r>
          </w:p>
          <w:p w14:paraId="73FFBE01">
            <w:pPr>
              <w:spacing w:line="360" w:lineRule="auto"/>
              <w:ind w:firstLine="482" w:firstLineChars="200"/>
              <w:rPr>
                <w:rFonts w:hint="default"/>
                <w:bCs/>
                <w:color w:val="auto"/>
                <w:spacing w:val="-10"/>
                <w:sz w:val="24"/>
                <w:szCs w:val="24"/>
                <w:highlight w:val="none"/>
                <w:lang w:bidi="ar-SA"/>
              </w:rPr>
            </w:pPr>
            <w:bookmarkStart w:id="31" w:name="_Toc49760928"/>
            <w:r>
              <w:rPr>
                <w:rFonts w:hint="eastAsia" w:ascii="Times New Roman" w:hAnsi="Times New Roman" w:eastAsia="宋体" w:cs="Times New Roman"/>
                <w:b/>
                <w:color w:val="auto"/>
                <w:sz w:val="24"/>
                <w:szCs w:val="24"/>
                <w:lang w:val="en-US" w:eastAsia="zh-CN" w:bidi="ar-SA"/>
              </w:rPr>
              <w:t>三相分离</w:t>
            </w:r>
            <w:r>
              <w:rPr>
                <w:rFonts w:hint="eastAsia" w:ascii="Times New Roman" w:hAnsi="Times New Roman" w:eastAsia="宋体" w:cs="Times New Roman"/>
                <w:b/>
                <w:color w:val="auto"/>
                <w:sz w:val="24"/>
                <w:szCs w:val="24"/>
                <w:lang w:bidi="ar-SA"/>
              </w:rPr>
              <w:t>阶段</w:t>
            </w:r>
            <w:r>
              <w:rPr>
                <w:rFonts w:hint="eastAsia" w:ascii="Times New Roman" w:hAnsi="Times New Roman" w:eastAsia="宋体" w:cs="Times New Roman"/>
                <w:color w:val="auto"/>
                <w:sz w:val="24"/>
                <w:szCs w:val="24"/>
                <w:lang w:bidi="ar-SA"/>
              </w:rPr>
              <w:t>：</w:t>
            </w:r>
            <w:bookmarkEnd w:id="31"/>
            <w:r>
              <w:rPr>
                <w:rFonts w:hint="eastAsia" w:ascii="Times New Roman" w:hAnsi="Times New Roman" w:eastAsia="宋体" w:cs="Times New Roman"/>
                <w:color w:val="auto"/>
                <w:sz w:val="24"/>
                <w:szCs w:val="24"/>
                <w:lang w:bidi="ar-SA"/>
              </w:rPr>
              <w:t>用于</w:t>
            </w:r>
            <w:r>
              <w:rPr>
                <w:rFonts w:hint="eastAsia" w:cs="Times New Roman"/>
                <w:color w:val="auto"/>
                <w:sz w:val="24"/>
                <w:szCs w:val="24"/>
                <w:lang w:val="en-US" w:eastAsia="zh-CN" w:bidi="ar-SA"/>
              </w:rPr>
              <w:t>分离、</w:t>
            </w:r>
            <w:r>
              <w:rPr>
                <w:rFonts w:hint="eastAsia" w:ascii="Times New Roman" w:hAnsi="Times New Roman" w:eastAsia="宋体" w:cs="Times New Roman"/>
                <w:color w:val="auto"/>
                <w:sz w:val="24"/>
                <w:szCs w:val="24"/>
                <w:lang w:bidi="ar-SA"/>
              </w:rPr>
              <w:t>去除废水中油、悬浮物，其核心原理是‌利用油、水、悬浮物之间的密度差异，通过重力沉降、聚结等物理方法实现油-水-渣三相分离‌。</w:t>
            </w:r>
            <w:r>
              <w:rPr>
                <w:rFonts w:hint="eastAsia" w:ascii="Times New Roman" w:hAnsi="Times New Roman" w:eastAsia="宋体" w:cs="Times New Roman"/>
                <w:color w:val="auto"/>
                <w:sz w:val="24"/>
                <w:szCs w:val="24"/>
                <w:lang w:val="en-US" w:eastAsia="zh-CN" w:bidi="ar-SA"/>
              </w:rPr>
              <w:t>废水先进入</w:t>
            </w:r>
            <w:r>
              <w:rPr>
                <w:rFonts w:hint="default" w:ascii="Times New Roman" w:hAnsi="Times New Roman" w:eastAsia="宋体" w:cs="Times New Roman"/>
                <w:color w:val="auto"/>
                <w:sz w:val="24"/>
                <w:szCs w:val="24"/>
                <w:lang w:bidi="ar-SA"/>
              </w:rPr>
              <w:t>附有亲油性</w:t>
            </w:r>
            <w:r>
              <w:rPr>
                <w:rFonts w:hint="eastAsia" w:ascii="Times New Roman" w:hAnsi="Times New Roman" w:eastAsia="宋体" w:cs="Times New Roman"/>
                <w:color w:val="auto"/>
                <w:sz w:val="24"/>
                <w:szCs w:val="24"/>
                <w:lang w:val="en-US" w:eastAsia="zh-CN" w:bidi="ar-SA"/>
              </w:rPr>
              <w:t>涂层</w:t>
            </w:r>
            <w:r>
              <w:rPr>
                <w:rFonts w:hint="default" w:ascii="Times New Roman" w:hAnsi="Times New Roman" w:eastAsia="宋体" w:cs="Times New Roman"/>
                <w:color w:val="auto"/>
                <w:sz w:val="24"/>
                <w:szCs w:val="24"/>
                <w:lang w:bidi="ar-SA"/>
              </w:rPr>
              <w:t>材料的不锈钢板组和锥形沉降漏斗组成</w:t>
            </w:r>
            <w:r>
              <w:rPr>
                <w:rFonts w:hint="eastAsia" w:ascii="Times New Roman" w:hAnsi="Times New Roman" w:eastAsia="宋体" w:cs="Times New Roman"/>
                <w:color w:val="auto"/>
                <w:sz w:val="24"/>
                <w:szCs w:val="24"/>
                <w:lang w:val="en-US" w:eastAsia="zh-CN" w:bidi="ar-SA"/>
              </w:rPr>
              <w:t>的腔室</w:t>
            </w:r>
            <w:r>
              <w:rPr>
                <w:rFonts w:hint="default" w:ascii="Times New Roman" w:hAnsi="Times New Roman" w:eastAsia="宋体" w:cs="Times New Roman"/>
                <w:color w:val="auto"/>
                <w:sz w:val="24"/>
                <w:szCs w:val="24"/>
                <w:lang w:bidi="ar-SA"/>
              </w:rPr>
              <w:t>，根据“浅池理论”，极小的板间距使得绝大部分的固体颗粒沿斜板逐渐沉淀下来，堆积在底部的锥形漏斗中</w:t>
            </w:r>
            <w:r>
              <w:rPr>
                <w:rFonts w:hint="eastAsia" w:ascii="宋体" w:hAnsi="宋体" w:eastAsia="宋体" w:cs="宋体"/>
                <w:color w:val="auto"/>
                <w:kern w:val="0"/>
                <w:sz w:val="22"/>
                <w:szCs w:val="21"/>
                <w:lang w:eastAsia="zh-CN" w:bidi="ar-SA"/>
              </w:rPr>
              <w:t>，</w:t>
            </w:r>
            <w:r>
              <w:rPr>
                <w:rFonts w:hint="default" w:ascii="Times New Roman" w:hAnsi="Times New Roman" w:eastAsia="宋体" w:cs="Times New Roman"/>
                <w:color w:val="auto"/>
                <w:sz w:val="24"/>
                <w:szCs w:val="24"/>
                <w:lang w:bidi="ar-SA"/>
              </w:rPr>
              <w:t>而表面浮油沿着斜板上沿由小油滴逐渐聚集</w:t>
            </w:r>
            <w:r>
              <w:rPr>
                <w:rFonts w:hint="eastAsia" w:cs="Times New Roman"/>
                <w:color w:val="auto"/>
                <w:sz w:val="24"/>
                <w:szCs w:val="24"/>
                <w:lang w:val="en-US" w:eastAsia="zh-CN" w:bidi="ar-SA"/>
              </w:rPr>
              <w:t>成</w:t>
            </w:r>
            <w:r>
              <w:rPr>
                <w:rFonts w:hint="default" w:ascii="Times New Roman" w:hAnsi="Times New Roman" w:eastAsia="宋体" w:cs="Times New Roman"/>
                <w:color w:val="auto"/>
                <w:sz w:val="24"/>
                <w:szCs w:val="24"/>
                <w:lang w:bidi="ar-SA"/>
              </w:rPr>
              <w:t>大油滴。</w:t>
            </w:r>
            <w:r>
              <w:rPr>
                <w:rFonts w:hint="eastAsia" w:ascii="宋体" w:hAnsi="宋体" w:eastAsia="宋体" w:cs="宋体"/>
                <w:color w:val="auto"/>
                <w:kern w:val="0"/>
                <w:sz w:val="22"/>
                <w:szCs w:val="21"/>
                <w:lang w:val="en-US" w:eastAsia="zh-CN" w:bidi="ar-SA"/>
              </w:rPr>
              <w:t>之后废水</w:t>
            </w:r>
            <w:r>
              <w:rPr>
                <w:rFonts w:hint="default" w:ascii="Times New Roman" w:hAnsi="Times New Roman" w:eastAsia="宋体" w:cs="Times New Roman"/>
                <w:color w:val="auto"/>
                <w:sz w:val="24"/>
                <w:szCs w:val="24"/>
                <w:lang w:bidi="ar-SA"/>
              </w:rPr>
              <w:t>进入304波纹带孔板组</w:t>
            </w:r>
            <w:r>
              <w:rPr>
                <w:rFonts w:hint="eastAsia" w:ascii="Times New Roman" w:hAnsi="Times New Roman" w:eastAsia="宋体" w:cs="Times New Roman"/>
                <w:color w:val="auto"/>
                <w:sz w:val="24"/>
                <w:szCs w:val="24"/>
                <w:lang w:val="en-US" w:eastAsia="zh-CN" w:bidi="ar-SA"/>
              </w:rPr>
              <w:t>组成的腔室，</w:t>
            </w:r>
            <w:r>
              <w:rPr>
                <w:rFonts w:hint="default" w:ascii="Times New Roman" w:hAnsi="Times New Roman" w:eastAsia="宋体" w:cs="Times New Roman"/>
                <w:color w:val="auto"/>
                <w:sz w:val="24"/>
                <w:szCs w:val="24"/>
                <w:lang w:bidi="ar-SA"/>
              </w:rPr>
              <w:t>废液经过波纹型的流道时，油滴不断与波纹板进行碰撞，油滴附着在板上，慢慢汇聚形成大的油滴，通过波纹板上的孔，浮升到表面</w:t>
            </w:r>
            <w:r>
              <w:rPr>
                <w:rFonts w:hint="eastAsia" w:ascii="Times New Roman" w:hAnsi="Times New Roman" w:eastAsia="宋体" w:cs="Times New Roman"/>
                <w:color w:val="auto"/>
                <w:sz w:val="24"/>
                <w:szCs w:val="24"/>
                <w:lang w:bidi="ar-SA"/>
              </w:rPr>
              <w:t>，</w:t>
            </w:r>
            <w:r>
              <w:rPr>
                <w:rFonts w:hint="default" w:ascii="Times New Roman" w:hAnsi="Times New Roman" w:eastAsia="宋体" w:cs="Times New Roman"/>
                <w:color w:val="auto"/>
                <w:sz w:val="24"/>
                <w:szCs w:val="24"/>
                <w:lang w:bidi="ar-SA"/>
              </w:rPr>
              <w:t>而在该腔室的上方，有一个</w:t>
            </w:r>
            <w:r>
              <w:rPr>
                <w:rFonts w:hint="eastAsia" w:ascii="Times New Roman" w:hAnsi="Times New Roman" w:eastAsia="宋体" w:cs="Times New Roman"/>
                <w:color w:val="auto"/>
                <w:sz w:val="24"/>
                <w:szCs w:val="24"/>
                <w:lang w:bidi="ar-SA"/>
              </w:rPr>
              <w:t>撇</w:t>
            </w:r>
            <w:r>
              <w:rPr>
                <w:rFonts w:hint="default" w:ascii="Times New Roman" w:hAnsi="Times New Roman" w:eastAsia="宋体" w:cs="Times New Roman"/>
                <w:color w:val="auto"/>
                <w:sz w:val="24"/>
                <w:szCs w:val="24"/>
                <w:lang w:bidi="ar-SA"/>
              </w:rPr>
              <w:t>油槽，</w:t>
            </w:r>
            <w:r>
              <w:rPr>
                <w:rFonts w:hint="eastAsia" w:ascii="Times New Roman" w:hAnsi="Times New Roman" w:eastAsia="宋体" w:cs="Times New Roman"/>
                <w:color w:val="auto"/>
                <w:sz w:val="24"/>
                <w:szCs w:val="24"/>
                <w:lang w:bidi="ar-SA"/>
              </w:rPr>
              <w:t>当上层</w:t>
            </w:r>
            <w:r>
              <w:rPr>
                <w:rFonts w:hint="default" w:ascii="Times New Roman" w:hAnsi="Times New Roman" w:eastAsia="宋体" w:cs="Times New Roman"/>
                <w:color w:val="auto"/>
                <w:sz w:val="24"/>
                <w:szCs w:val="24"/>
                <w:lang w:bidi="ar-SA"/>
              </w:rPr>
              <w:t>浮油聚集到一定程度会</w:t>
            </w:r>
            <w:r>
              <w:rPr>
                <w:rFonts w:hint="eastAsia" w:ascii="Times New Roman" w:hAnsi="Times New Roman" w:eastAsia="宋体" w:cs="Times New Roman"/>
                <w:color w:val="auto"/>
                <w:sz w:val="24"/>
                <w:szCs w:val="24"/>
                <w:lang w:bidi="ar-SA"/>
              </w:rPr>
              <w:t>自动</w:t>
            </w:r>
            <w:r>
              <w:rPr>
                <w:rFonts w:hint="default" w:ascii="Times New Roman" w:hAnsi="Times New Roman" w:eastAsia="宋体" w:cs="Times New Roman"/>
                <w:color w:val="auto"/>
                <w:sz w:val="24"/>
                <w:szCs w:val="24"/>
                <w:lang w:bidi="ar-SA"/>
              </w:rPr>
              <w:t>溢流到浮油收集槽；同时</w:t>
            </w:r>
            <w:r>
              <w:rPr>
                <w:rFonts w:hint="eastAsia" w:ascii="Times New Roman" w:hAnsi="Times New Roman" w:eastAsia="宋体" w:cs="Times New Roman"/>
                <w:color w:val="auto"/>
                <w:sz w:val="24"/>
                <w:szCs w:val="24"/>
                <w:lang w:val="en-US" w:eastAsia="zh-CN" w:bidi="ar-SA"/>
              </w:rPr>
              <w:t>废水</w:t>
            </w:r>
            <w:r>
              <w:rPr>
                <w:rFonts w:hint="default" w:ascii="Times New Roman" w:hAnsi="Times New Roman" w:eastAsia="宋体" w:cs="Times New Roman"/>
                <w:color w:val="auto"/>
                <w:sz w:val="24"/>
                <w:szCs w:val="24"/>
                <w:lang w:bidi="ar-SA"/>
              </w:rPr>
              <w:t>中的</w:t>
            </w:r>
            <w:r>
              <w:rPr>
                <w:rFonts w:hint="eastAsia" w:ascii="Times New Roman" w:hAnsi="Times New Roman" w:eastAsia="宋体" w:cs="Times New Roman"/>
                <w:color w:val="auto"/>
                <w:sz w:val="24"/>
                <w:szCs w:val="24"/>
                <w:lang w:bidi="ar-SA"/>
              </w:rPr>
              <w:t>微小</w:t>
            </w:r>
            <w:r>
              <w:rPr>
                <w:rFonts w:hint="default" w:ascii="Times New Roman" w:hAnsi="Times New Roman" w:eastAsia="宋体" w:cs="Times New Roman"/>
                <w:color w:val="auto"/>
                <w:sz w:val="24"/>
                <w:szCs w:val="24"/>
                <w:lang w:bidi="ar-SA"/>
              </w:rPr>
              <w:t>颗粒物</w:t>
            </w:r>
            <w:r>
              <w:rPr>
                <w:rFonts w:hint="eastAsia" w:ascii="Times New Roman" w:hAnsi="Times New Roman" w:eastAsia="宋体" w:cs="Times New Roman"/>
                <w:color w:val="auto"/>
                <w:sz w:val="24"/>
                <w:szCs w:val="24"/>
                <w:lang w:bidi="ar-SA"/>
              </w:rPr>
              <w:t>流速</w:t>
            </w:r>
            <w:r>
              <w:rPr>
                <w:rFonts w:hint="default" w:ascii="Times New Roman" w:hAnsi="Times New Roman" w:eastAsia="宋体" w:cs="Times New Roman"/>
                <w:color w:val="auto"/>
                <w:sz w:val="24"/>
                <w:szCs w:val="24"/>
                <w:lang w:bidi="ar-SA"/>
              </w:rPr>
              <w:t>会</w:t>
            </w:r>
            <w:r>
              <w:rPr>
                <w:rFonts w:hint="eastAsia" w:ascii="Times New Roman" w:hAnsi="Times New Roman" w:eastAsia="宋体" w:cs="Times New Roman"/>
                <w:color w:val="auto"/>
                <w:sz w:val="24"/>
                <w:szCs w:val="24"/>
                <w:lang w:bidi="ar-SA"/>
              </w:rPr>
              <w:t>因</w:t>
            </w:r>
            <w:r>
              <w:rPr>
                <w:rFonts w:hint="default" w:ascii="Times New Roman" w:hAnsi="Times New Roman" w:eastAsia="宋体" w:cs="Times New Roman"/>
                <w:color w:val="auto"/>
                <w:sz w:val="24"/>
                <w:szCs w:val="24"/>
                <w:lang w:bidi="ar-SA"/>
              </w:rPr>
              <w:t>波纹带的</w:t>
            </w:r>
            <w:r>
              <w:rPr>
                <w:rFonts w:hint="eastAsia" w:ascii="Times New Roman" w:hAnsi="Times New Roman" w:eastAsia="宋体" w:cs="Times New Roman"/>
                <w:color w:val="auto"/>
                <w:sz w:val="24"/>
                <w:szCs w:val="24"/>
                <w:lang w:bidi="ar-SA"/>
              </w:rPr>
              <w:t>阻碍</w:t>
            </w:r>
            <w:r>
              <w:rPr>
                <w:rFonts w:hint="default" w:ascii="Times New Roman" w:hAnsi="Times New Roman" w:eastAsia="宋体" w:cs="Times New Roman"/>
                <w:color w:val="auto"/>
                <w:sz w:val="24"/>
                <w:szCs w:val="24"/>
                <w:lang w:bidi="ar-SA"/>
              </w:rPr>
              <w:t>进一步降低，在接近</w:t>
            </w:r>
            <w:r>
              <w:rPr>
                <w:rFonts w:hint="eastAsia" w:ascii="Times New Roman" w:hAnsi="Times New Roman" w:eastAsia="宋体" w:cs="Times New Roman"/>
                <w:color w:val="auto"/>
                <w:sz w:val="24"/>
                <w:szCs w:val="24"/>
                <w:lang w:bidi="ar-SA"/>
              </w:rPr>
              <w:t>静止</w:t>
            </w:r>
            <w:r>
              <w:rPr>
                <w:rFonts w:hint="default" w:ascii="Times New Roman" w:hAnsi="Times New Roman" w:eastAsia="宋体" w:cs="Times New Roman"/>
                <w:color w:val="auto"/>
                <w:sz w:val="24"/>
                <w:szCs w:val="24"/>
                <w:lang w:bidi="ar-SA"/>
              </w:rPr>
              <w:t>状态下进一步沉降</w:t>
            </w:r>
            <w:r>
              <w:rPr>
                <w:rFonts w:hint="eastAsia" w:ascii="Times New Roman" w:hAnsi="Times New Roman" w:eastAsia="宋体" w:cs="Times New Roman"/>
                <w:color w:val="auto"/>
                <w:sz w:val="24"/>
                <w:szCs w:val="24"/>
                <w:lang w:bidi="ar-SA"/>
              </w:rPr>
              <w:t>。</w:t>
            </w:r>
          </w:p>
          <w:p w14:paraId="454BC85B">
            <w:pPr>
              <w:spacing w:line="360" w:lineRule="auto"/>
              <w:ind w:firstLine="442" w:firstLineChars="200"/>
              <w:rPr>
                <w:rFonts w:hint="eastAsia" w:eastAsia="宋体"/>
                <w:bCs/>
                <w:color w:val="auto"/>
                <w:spacing w:val="-10"/>
                <w:sz w:val="24"/>
                <w:szCs w:val="24"/>
                <w:highlight w:val="none"/>
                <w:lang w:val="en-US" w:eastAsia="zh-CN" w:bidi="ar-SA"/>
              </w:rPr>
            </w:pPr>
            <w:r>
              <w:rPr>
                <w:rFonts w:hint="default"/>
                <w:b/>
                <w:bCs w:val="0"/>
                <w:color w:val="auto"/>
                <w:spacing w:val="-10"/>
                <w:sz w:val="24"/>
                <w:szCs w:val="24"/>
                <w:highlight w:val="none"/>
                <w:lang w:bidi="ar-SA"/>
              </w:rPr>
              <w:t>低温蒸发</w:t>
            </w:r>
            <w:r>
              <w:rPr>
                <w:rFonts w:hint="eastAsia"/>
                <w:b/>
                <w:bCs w:val="0"/>
                <w:color w:val="auto"/>
                <w:spacing w:val="-10"/>
                <w:sz w:val="24"/>
                <w:szCs w:val="24"/>
                <w:highlight w:val="none"/>
                <w:lang w:val="en-US" w:eastAsia="zh-CN" w:bidi="ar-SA"/>
              </w:rPr>
              <w:t>阶段：</w:t>
            </w:r>
            <w:r>
              <w:rPr>
                <w:rFonts w:hint="eastAsia"/>
                <w:b w:val="0"/>
                <w:bCs/>
                <w:color w:val="auto"/>
                <w:spacing w:val="-10"/>
                <w:sz w:val="24"/>
                <w:szCs w:val="24"/>
                <w:highlight w:val="none"/>
                <w:lang w:val="en-US" w:eastAsia="zh-CN" w:bidi="ar-SA"/>
              </w:rPr>
              <w:t>废水到中液位后，蒸发器自动进水，压缩机运行产生热量给蒸发罐内废水加热，在真空状态下(配套真空泵为机械式)，废水温度上升到30℃左右，废水开始蒸发，预热完成。蒸发温度设定为35-40℃，压缩机压缩冷媒产生热量，水分快速蒸发的同时，冷媒通过膨胀阀汽化后吸收热量制冷，蒸气上升遇冷液化进入储水罐，冷媒吸收了热量，通过压缩机压缩制热，给废水再加热。如果在蒸发的过程中有气泡上升，传感器检测到后，消泡剂自动加进去消泡，一个周期完成后，开始排出浓缩液（一个周期的时间可设定），压缩泵停止工作，浓缩液管路气动阀打开，蒸发罐加压，将浓缩液压入浓缩桶内。</w:t>
            </w:r>
          </w:p>
          <w:p w14:paraId="3E752595">
            <w:pPr>
              <w:spacing w:line="360" w:lineRule="auto"/>
              <w:ind w:firstLine="442" w:firstLineChars="200"/>
              <w:rPr>
                <w:rFonts w:hint="eastAsia"/>
                <w:bCs/>
                <w:color w:val="auto"/>
                <w:spacing w:val="-10"/>
                <w:sz w:val="24"/>
                <w:szCs w:val="24"/>
                <w:highlight w:val="none"/>
                <w:lang w:val="en-US" w:eastAsia="zh-CN" w:bidi="ar-SA"/>
              </w:rPr>
            </w:pPr>
            <w:r>
              <w:rPr>
                <w:rFonts w:hint="eastAsia"/>
                <w:b/>
                <w:bCs w:val="0"/>
                <w:color w:val="auto"/>
                <w:spacing w:val="-10"/>
                <w:sz w:val="24"/>
                <w:szCs w:val="24"/>
                <w:highlight w:val="none"/>
                <w:lang w:val="en-US" w:eastAsia="zh-CN" w:bidi="ar-SA"/>
              </w:rPr>
              <w:t>陶瓷膜过滤阶段：</w:t>
            </w:r>
            <w:r>
              <w:rPr>
                <w:rFonts w:hint="eastAsia"/>
                <w:b w:val="0"/>
                <w:bCs/>
                <w:color w:val="auto"/>
                <w:spacing w:val="-10"/>
                <w:sz w:val="24"/>
                <w:szCs w:val="24"/>
                <w:highlight w:val="none"/>
                <w:lang w:val="en-US" w:eastAsia="zh-CN" w:bidi="ar-SA"/>
              </w:rPr>
              <w:t>采用无机纳米陶瓷膜，可去除50nm以上颗粒物、浮油，阻止悬浮物、胶质物和微生物大分子通过。</w:t>
            </w:r>
          </w:p>
          <w:p w14:paraId="2873B50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bCs/>
                <w:color w:val="auto"/>
                <w:spacing w:val="-10"/>
                <w:sz w:val="24"/>
                <w:szCs w:val="24"/>
                <w:lang w:bidi="ar"/>
              </w:rPr>
            </w:pPr>
            <w:r>
              <w:rPr>
                <w:rFonts w:hint="eastAsia"/>
                <w:b/>
                <w:color w:val="auto"/>
                <w:sz w:val="24"/>
                <w:szCs w:val="24"/>
              </w:rPr>
              <w:t>表4-</w:t>
            </w:r>
            <w:r>
              <w:rPr>
                <w:rFonts w:hint="eastAsia"/>
                <w:b/>
                <w:color w:val="auto"/>
                <w:sz w:val="24"/>
                <w:szCs w:val="24"/>
                <w:lang w:val="en-US" w:eastAsia="zh-CN"/>
              </w:rPr>
              <w:t>13</w:t>
            </w:r>
            <w:r>
              <w:rPr>
                <w:rFonts w:hint="eastAsia"/>
                <w:b/>
                <w:color w:val="auto"/>
                <w:sz w:val="24"/>
                <w:szCs w:val="24"/>
              </w:rPr>
              <w:t xml:space="preserve"> 生产废水处理装置参数一览表</w:t>
            </w:r>
          </w:p>
          <w:tbl>
            <w:tblPr>
              <w:tblStyle w:val="26"/>
              <w:tblW w:w="4979"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700"/>
              <w:gridCol w:w="1246"/>
              <w:gridCol w:w="3341"/>
              <w:gridCol w:w="688"/>
              <w:gridCol w:w="2153"/>
            </w:tblGrid>
            <w:tr w14:paraId="14FE8A2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30" w:type="pct"/>
                  <w:tcBorders>
                    <w:tl2br w:val="nil"/>
                    <w:tr2bl w:val="nil"/>
                  </w:tcBorders>
                  <w:noWrap w:val="0"/>
                  <w:vAlign w:val="center"/>
                </w:tcPr>
                <w:p w14:paraId="74695628">
                  <w:pPr>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240" w:lineRule="auto"/>
                    <w:ind w:left="0" w:leftChars="0" w:right="0" w:rightChars="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序号</w:t>
                  </w:r>
                </w:p>
              </w:tc>
              <w:tc>
                <w:tcPr>
                  <w:tcW w:w="766" w:type="pct"/>
                  <w:tcBorders>
                    <w:tl2br w:val="nil"/>
                    <w:tr2bl w:val="nil"/>
                  </w:tcBorders>
                  <w:noWrap w:val="0"/>
                  <w:vAlign w:val="center"/>
                </w:tcPr>
                <w:p w14:paraId="217AED45">
                  <w:pPr>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240" w:lineRule="auto"/>
                    <w:ind w:left="0" w:leftChars="0" w:right="0" w:rightChars="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名称</w:t>
                  </w:r>
                </w:p>
              </w:tc>
              <w:tc>
                <w:tcPr>
                  <w:tcW w:w="2055" w:type="pct"/>
                  <w:tcBorders>
                    <w:tl2br w:val="nil"/>
                    <w:tr2bl w:val="nil"/>
                  </w:tcBorders>
                  <w:noWrap w:val="0"/>
                  <w:vAlign w:val="center"/>
                </w:tcPr>
                <w:p w14:paraId="548389A3">
                  <w:pPr>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240" w:lineRule="auto"/>
                    <w:ind w:left="0" w:leftChars="0" w:right="0" w:rightChars="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规格型号/尺寸</w:t>
                  </w:r>
                </w:p>
              </w:tc>
              <w:tc>
                <w:tcPr>
                  <w:tcW w:w="423" w:type="pct"/>
                  <w:tcBorders>
                    <w:tl2br w:val="nil"/>
                    <w:tr2bl w:val="nil"/>
                  </w:tcBorders>
                  <w:noWrap w:val="0"/>
                  <w:vAlign w:val="center"/>
                </w:tcPr>
                <w:p w14:paraId="1016BF7C">
                  <w:pPr>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240" w:lineRule="auto"/>
                    <w:ind w:left="0" w:leftChars="0" w:right="0" w:rightChars="0"/>
                    <w:jc w:val="center"/>
                    <w:textAlignment w:val="auto"/>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数量</w:t>
                  </w:r>
                </w:p>
              </w:tc>
              <w:tc>
                <w:tcPr>
                  <w:tcW w:w="1324" w:type="pct"/>
                  <w:tcBorders>
                    <w:tl2br w:val="nil"/>
                    <w:tr2bl w:val="nil"/>
                  </w:tcBorders>
                  <w:noWrap w:val="0"/>
                  <w:vAlign w:val="center"/>
                </w:tcPr>
                <w:p w14:paraId="73699997">
                  <w:pPr>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240" w:lineRule="auto"/>
                    <w:ind w:left="0" w:leftChars="0" w:right="0" w:rightChars="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备注</w:t>
                  </w:r>
                </w:p>
              </w:tc>
            </w:tr>
            <w:tr w14:paraId="36B3664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19" w:hRule="atLeast"/>
                <w:jc w:val="center"/>
              </w:trPr>
              <w:tc>
                <w:tcPr>
                  <w:tcW w:w="430" w:type="pct"/>
                  <w:tcBorders>
                    <w:tl2br w:val="nil"/>
                    <w:tr2bl w:val="nil"/>
                  </w:tcBorders>
                  <w:noWrap w:val="0"/>
                  <w:vAlign w:val="center"/>
                </w:tcPr>
                <w:p w14:paraId="1EB372F9">
                  <w:pPr>
                    <w:keepNext w:val="0"/>
                    <w:keepLines w:val="0"/>
                    <w:pageBreakBefore w:val="0"/>
                    <w:widowControl w:val="0"/>
                    <w:numPr>
                      <w:ilvl w:val="0"/>
                      <w:numId w:val="9"/>
                    </w:numPr>
                    <w:suppressLineNumbers w:val="0"/>
                    <w:kinsoku/>
                    <w:wordWrap/>
                    <w:overflowPunct/>
                    <w:topLinePunct w:val="0"/>
                    <w:autoSpaceDE/>
                    <w:autoSpaceDN/>
                    <w:bidi w:val="0"/>
                    <w:adjustRightInd/>
                    <w:snapToGrid/>
                    <w:spacing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lang w:val="en-US" w:eastAsia="zh-CN" w:bidi="ar-SA"/>
                    </w:rPr>
                  </w:pPr>
                </w:p>
              </w:tc>
              <w:tc>
                <w:tcPr>
                  <w:tcW w:w="766" w:type="pct"/>
                  <w:tcBorders>
                    <w:tl2br w:val="nil"/>
                    <w:tr2bl w:val="nil"/>
                  </w:tcBorders>
                  <w:shd w:val="clear" w:color="auto" w:fill="auto"/>
                  <w:noWrap w:val="0"/>
                  <w:vAlign w:val="center"/>
                </w:tcPr>
                <w:p w14:paraId="36CEFD99">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lang w:val="en-US" w:eastAsia="zh-CN" w:bidi="ar"/>
                    </w:rPr>
                  </w:pPr>
                  <w:r>
                    <w:rPr>
                      <w:rFonts w:hint="default" w:ascii="Times New Roman" w:hAnsi="Times New Roman" w:eastAsia="宋体" w:cs="Times New Roman"/>
                      <w:color w:val="auto"/>
                      <w:sz w:val="21"/>
                      <w:szCs w:val="21"/>
                    </w:rPr>
                    <w:t>原液桶</w:t>
                  </w:r>
                </w:p>
              </w:tc>
              <w:tc>
                <w:tcPr>
                  <w:tcW w:w="2055" w:type="pct"/>
                  <w:tcBorders>
                    <w:tl2br w:val="nil"/>
                    <w:tr2bl w:val="nil"/>
                  </w:tcBorders>
                  <w:shd w:val="clear" w:color="auto" w:fill="auto"/>
                  <w:noWrap w:val="0"/>
                  <w:vAlign w:val="center"/>
                </w:tcPr>
                <w:p w14:paraId="6B09CCD8">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lang w:val="en-US" w:eastAsia="zh-CN" w:bidi="ar"/>
                    </w:rPr>
                  </w:pPr>
                  <w:r>
                    <w:rPr>
                      <w:rFonts w:hint="default" w:ascii="Times New Roman" w:hAnsi="Times New Roman" w:eastAsia="宋体" w:cs="Times New Roman"/>
                      <w:color w:val="auto"/>
                      <w:sz w:val="21"/>
                      <w:szCs w:val="21"/>
                    </w:rPr>
                    <w:t>≥</w:t>
                  </w:r>
                  <w:r>
                    <w:rPr>
                      <w:rFonts w:hint="default" w:ascii="Times New Roman" w:hAnsi="Times New Roman" w:eastAsia="宋体" w:cs="Times New Roman"/>
                      <w:color w:val="auto"/>
                      <w:sz w:val="21"/>
                      <w:szCs w:val="21"/>
                      <w:lang w:val="en-US" w:eastAsia="zh-CN"/>
                    </w:rPr>
                    <w:t>15</w:t>
                  </w:r>
                  <w:r>
                    <w:rPr>
                      <w:rFonts w:hint="default" w:ascii="Times New Roman" w:hAnsi="Times New Roman" w:eastAsia="宋体" w:cs="Times New Roman"/>
                      <w:color w:val="auto"/>
                      <w:sz w:val="21"/>
                      <w:szCs w:val="21"/>
                    </w:rPr>
                    <w:t>00L</w:t>
                  </w:r>
                </w:p>
              </w:tc>
              <w:tc>
                <w:tcPr>
                  <w:tcW w:w="423" w:type="pct"/>
                  <w:tcBorders>
                    <w:tl2br w:val="nil"/>
                    <w:tr2bl w:val="nil"/>
                  </w:tcBorders>
                  <w:shd w:val="clear" w:color="auto" w:fill="auto"/>
                  <w:noWrap w:val="0"/>
                  <w:vAlign w:val="center"/>
                </w:tcPr>
                <w:p w14:paraId="0CB82F2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lang w:val="en-US" w:eastAsia="zh-CN" w:bidi="ar"/>
                    </w:rPr>
                  </w:pPr>
                  <w:r>
                    <w:rPr>
                      <w:rFonts w:hint="default" w:ascii="Times New Roman" w:hAnsi="Times New Roman" w:eastAsia="宋体" w:cs="Times New Roman"/>
                      <w:color w:val="auto"/>
                      <w:sz w:val="21"/>
                      <w:szCs w:val="21"/>
                    </w:rPr>
                    <w:t>1座</w:t>
                  </w:r>
                </w:p>
              </w:tc>
              <w:tc>
                <w:tcPr>
                  <w:tcW w:w="1324" w:type="pct"/>
                  <w:tcBorders>
                    <w:tl2br w:val="nil"/>
                    <w:tr2bl w:val="nil"/>
                  </w:tcBorders>
                  <w:shd w:val="clear" w:color="auto" w:fill="auto"/>
                  <w:noWrap w:val="0"/>
                  <w:vAlign w:val="center"/>
                </w:tcPr>
                <w:p w14:paraId="508DCFD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
                    </w:rPr>
                  </w:pPr>
                  <w:r>
                    <w:rPr>
                      <w:rFonts w:hint="default" w:ascii="Times New Roman" w:hAnsi="Times New Roman" w:eastAsia="宋体" w:cs="Times New Roman"/>
                      <w:color w:val="auto"/>
                      <w:sz w:val="21"/>
                      <w:szCs w:val="21"/>
                    </w:rPr>
                    <w:t>PE桶</w:t>
                  </w:r>
                </w:p>
              </w:tc>
            </w:tr>
            <w:tr w14:paraId="6CD4FF5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12" w:hRule="atLeast"/>
                <w:jc w:val="center"/>
              </w:trPr>
              <w:tc>
                <w:tcPr>
                  <w:tcW w:w="430" w:type="pct"/>
                  <w:tcBorders>
                    <w:tl2br w:val="nil"/>
                    <w:tr2bl w:val="nil"/>
                  </w:tcBorders>
                  <w:noWrap w:val="0"/>
                  <w:vAlign w:val="center"/>
                </w:tcPr>
                <w:p w14:paraId="7C4D9037">
                  <w:pPr>
                    <w:keepNext w:val="0"/>
                    <w:keepLines w:val="0"/>
                    <w:pageBreakBefore w:val="0"/>
                    <w:widowControl w:val="0"/>
                    <w:numPr>
                      <w:ilvl w:val="0"/>
                      <w:numId w:val="9"/>
                    </w:numPr>
                    <w:suppressLineNumbers w:val="0"/>
                    <w:kinsoku/>
                    <w:wordWrap/>
                    <w:overflowPunct/>
                    <w:topLinePunct w:val="0"/>
                    <w:autoSpaceDE/>
                    <w:autoSpaceDN/>
                    <w:bidi w:val="0"/>
                    <w:adjustRightInd/>
                    <w:snapToGrid/>
                    <w:spacing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lang w:val="en-US" w:eastAsia="zh-CN" w:bidi="ar-SA"/>
                    </w:rPr>
                  </w:pPr>
                </w:p>
              </w:tc>
              <w:tc>
                <w:tcPr>
                  <w:tcW w:w="766" w:type="pct"/>
                  <w:tcBorders>
                    <w:tl2br w:val="nil"/>
                    <w:tr2bl w:val="nil"/>
                  </w:tcBorders>
                  <w:shd w:val="clear" w:color="auto" w:fill="auto"/>
                  <w:noWrap w:val="0"/>
                  <w:vAlign w:val="center"/>
                </w:tcPr>
                <w:p w14:paraId="55BBD5E4">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lang w:val="en-US" w:eastAsia="zh-CN" w:bidi="ar"/>
                    </w:rPr>
                  </w:pPr>
                  <w:r>
                    <w:rPr>
                      <w:rFonts w:hint="default" w:ascii="Times New Roman" w:hAnsi="Times New Roman" w:eastAsia="宋体" w:cs="Times New Roman"/>
                      <w:color w:val="auto"/>
                      <w:sz w:val="21"/>
                      <w:szCs w:val="21"/>
                    </w:rPr>
                    <w:t>预过滤</w:t>
                  </w:r>
                </w:p>
              </w:tc>
              <w:tc>
                <w:tcPr>
                  <w:tcW w:w="2055" w:type="pct"/>
                  <w:tcBorders>
                    <w:tl2br w:val="nil"/>
                    <w:tr2bl w:val="nil"/>
                  </w:tcBorders>
                  <w:shd w:val="clear" w:color="auto" w:fill="auto"/>
                  <w:noWrap w:val="0"/>
                  <w:vAlign w:val="center"/>
                </w:tcPr>
                <w:p w14:paraId="5AE23B23">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lang w:val="en-US" w:eastAsia="zh-CN" w:bidi="ar"/>
                    </w:rPr>
                  </w:pPr>
                  <w:r>
                    <w:rPr>
                      <w:rFonts w:hint="default" w:ascii="Times New Roman" w:hAnsi="Times New Roman" w:eastAsia="宋体" w:cs="Times New Roman"/>
                      <w:color w:val="auto"/>
                      <w:sz w:val="21"/>
                      <w:szCs w:val="21"/>
                    </w:rPr>
                    <w:t>30目，304</w:t>
                  </w:r>
                </w:p>
              </w:tc>
              <w:tc>
                <w:tcPr>
                  <w:tcW w:w="423" w:type="pct"/>
                  <w:tcBorders>
                    <w:tl2br w:val="nil"/>
                    <w:tr2bl w:val="nil"/>
                  </w:tcBorders>
                  <w:shd w:val="clear" w:color="auto" w:fill="auto"/>
                  <w:noWrap w:val="0"/>
                  <w:vAlign w:val="center"/>
                </w:tcPr>
                <w:p w14:paraId="107E63A1">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lang w:val="en-US" w:eastAsia="zh-CN" w:bidi="ar"/>
                    </w:rPr>
                  </w:pPr>
                  <w:r>
                    <w:rPr>
                      <w:rFonts w:hint="default" w:ascii="Times New Roman" w:hAnsi="Times New Roman" w:eastAsia="宋体" w:cs="Times New Roman"/>
                      <w:color w:val="auto"/>
                      <w:sz w:val="21"/>
                      <w:szCs w:val="21"/>
                    </w:rPr>
                    <w:t>1套</w:t>
                  </w:r>
                </w:p>
              </w:tc>
              <w:tc>
                <w:tcPr>
                  <w:tcW w:w="1324" w:type="pct"/>
                  <w:tcBorders>
                    <w:tl2br w:val="nil"/>
                    <w:tr2bl w:val="nil"/>
                  </w:tcBorders>
                  <w:shd w:val="clear" w:color="auto" w:fill="auto"/>
                  <w:noWrap w:val="0"/>
                  <w:vAlign w:val="center"/>
                </w:tcPr>
                <w:p w14:paraId="3EC631E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
                    </w:rPr>
                  </w:pPr>
                  <w:r>
                    <w:rPr>
                      <w:rFonts w:hint="default" w:ascii="Times New Roman" w:hAnsi="Times New Roman" w:eastAsia="宋体" w:cs="Times New Roman"/>
                      <w:color w:val="auto"/>
                      <w:sz w:val="21"/>
                      <w:szCs w:val="21"/>
                    </w:rPr>
                    <w:t>滤袋，滤罐</w:t>
                  </w:r>
                </w:p>
              </w:tc>
            </w:tr>
            <w:tr w14:paraId="35F1053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30" w:type="pct"/>
                  <w:tcBorders>
                    <w:tl2br w:val="nil"/>
                    <w:tr2bl w:val="nil"/>
                  </w:tcBorders>
                  <w:noWrap w:val="0"/>
                  <w:vAlign w:val="center"/>
                </w:tcPr>
                <w:p w14:paraId="1A599D6C">
                  <w:pPr>
                    <w:keepNext w:val="0"/>
                    <w:keepLines w:val="0"/>
                    <w:pageBreakBefore w:val="0"/>
                    <w:widowControl w:val="0"/>
                    <w:numPr>
                      <w:ilvl w:val="0"/>
                      <w:numId w:val="9"/>
                    </w:numPr>
                    <w:suppressLineNumbers w:val="0"/>
                    <w:kinsoku/>
                    <w:wordWrap/>
                    <w:overflowPunct/>
                    <w:topLinePunct w:val="0"/>
                    <w:autoSpaceDE/>
                    <w:autoSpaceDN/>
                    <w:bidi w:val="0"/>
                    <w:adjustRightInd/>
                    <w:snapToGrid/>
                    <w:spacing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lang w:val="en-US" w:eastAsia="zh-CN" w:bidi="ar-SA"/>
                    </w:rPr>
                  </w:pPr>
                </w:p>
              </w:tc>
              <w:tc>
                <w:tcPr>
                  <w:tcW w:w="766" w:type="pct"/>
                  <w:tcBorders>
                    <w:tl2br w:val="nil"/>
                    <w:tr2bl w:val="nil"/>
                  </w:tcBorders>
                  <w:shd w:val="clear" w:color="auto" w:fill="auto"/>
                  <w:noWrap w:val="0"/>
                  <w:vAlign w:val="center"/>
                </w:tcPr>
                <w:p w14:paraId="1671A675">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lang w:val="en-US" w:eastAsia="zh-CN" w:bidi="ar"/>
                    </w:rPr>
                  </w:pPr>
                  <w:r>
                    <w:rPr>
                      <w:rFonts w:hint="default" w:ascii="Times New Roman" w:hAnsi="Times New Roman" w:eastAsia="宋体" w:cs="Times New Roman"/>
                      <w:color w:val="auto"/>
                      <w:sz w:val="21"/>
                      <w:szCs w:val="21"/>
                    </w:rPr>
                    <w:t>三相分离</w:t>
                  </w:r>
                </w:p>
              </w:tc>
              <w:tc>
                <w:tcPr>
                  <w:tcW w:w="2055" w:type="pct"/>
                  <w:tcBorders>
                    <w:tl2br w:val="nil"/>
                    <w:tr2bl w:val="nil"/>
                  </w:tcBorders>
                  <w:shd w:val="clear" w:color="auto" w:fill="auto"/>
                  <w:noWrap w:val="0"/>
                  <w:vAlign w:val="center"/>
                </w:tcPr>
                <w:p w14:paraId="209D5BC6">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SXFL-F-50</w:t>
                  </w:r>
                </w:p>
                <w:p w14:paraId="2D8169A8">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lang w:val="en-US" w:eastAsia="zh-CN" w:bidi="ar"/>
                    </w:rPr>
                  </w:pPr>
                  <w:r>
                    <w:rPr>
                      <w:rFonts w:hint="default" w:ascii="Times New Roman" w:hAnsi="Times New Roman" w:eastAsia="宋体" w:cs="Times New Roman"/>
                      <w:color w:val="auto"/>
                      <w:sz w:val="21"/>
                      <w:szCs w:val="21"/>
                    </w:rPr>
                    <w:t>L860*W425*H900mm，304/Q235框架</w:t>
                  </w:r>
                </w:p>
              </w:tc>
              <w:tc>
                <w:tcPr>
                  <w:tcW w:w="423" w:type="pct"/>
                  <w:tcBorders>
                    <w:tl2br w:val="nil"/>
                    <w:tr2bl w:val="nil"/>
                  </w:tcBorders>
                  <w:shd w:val="clear" w:color="auto" w:fill="auto"/>
                  <w:noWrap w:val="0"/>
                  <w:vAlign w:val="center"/>
                </w:tcPr>
                <w:p w14:paraId="78D4BECB">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lang w:val="en-US" w:eastAsia="zh-CN" w:bidi="ar"/>
                    </w:rPr>
                  </w:pPr>
                  <w:r>
                    <w:rPr>
                      <w:rFonts w:hint="default" w:ascii="Times New Roman" w:hAnsi="Times New Roman" w:eastAsia="宋体" w:cs="Times New Roman"/>
                      <w:color w:val="auto"/>
                      <w:sz w:val="21"/>
                      <w:szCs w:val="21"/>
                    </w:rPr>
                    <w:t>1套</w:t>
                  </w:r>
                </w:p>
              </w:tc>
              <w:tc>
                <w:tcPr>
                  <w:tcW w:w="1324" w:type="pct"/>
                  <w:tcBorders>
                    <w:tl2br w:val="nil"/>
                    <w:tr2bl w:val="nil"/>
                  </w:tcBorders>
                  <w:shd w:val="clear" w:color="auto" w:fill="auto"/>
                  <w:noWrap w:val="0"/>
                  <w:vAlign w:val="center"/>
                </w:tcPr>
                <w:p w14:paraId="4C42AED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
                    </w:rPr>
                  </w:pPr>
                  <w:r>
                    <w:rPr>
                      <w:rFonts w:hint="default" w:ascii="Times New Roman" w:hAnsi="Times New Roman" w:eastAsia="宋体" w:cs="Times New Roman"/>
                      <w:color w:val="auto"/>
                      <w:sz w:val="21"/>
                      <w:szCs w:val="21"/>
                    </w:rPr>
                    <w:t>沉淀槽，撇油槽，集水槽等</w:t>
                  </w:r>
                </w:p>
              </w:tc>
            </w:tr>
            <w:tr w14:paraId="00881C6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430" w:type="pct"/>
                  <w:tcBorders>
                    <w:tl2br w:val="nil"/>
                    <w:tr2bl w:val="nil"/>
                  </w:tcBorders>
                  <w:noWrap w:val="0"/>
                  <w:vAlign w:val="center"/>
                </w:tcPr>
                <w:p w14:paraId="0EEC428E">
                  <w:pPr>
                    <w:keepNext w:val="0"/>
                    <w:keepLines w:val="0"/>
                    <w:pageBreakBefore w:val="0"/>
                    <w:widowControl w:val="0"/>
                    <w:numPr>
                      <w:ilvl w:val="0"/>
                      <w:numId w:val="9"/>
                    </w:numPr>
                    <w:suppressLineNumbers w:val="0"/>
                    <w:kinsoku/>
                    <w:wordWrap/>
                    <w:overflowPunct/>
                    <w:topLinePunct w:val="0"/>
                    <w:autoSpaceDE/>
                    <w:autoSpaceDN/>
                    <w:bidi w:val="0"/>
                    <w:adjustRightInd/>
                    <w:snapToGrid/>
                    <w:spacing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lang w:val="en-US" w:eastAsia="zh-CN" w:bidi="ar-SA"/>
                    </w:rPr>
                  </w:pPr>
                </w:p>
              </w:tc>
              <w:tc>
                <w:tcPr>
                  <w:tcW w:w="766" w:type="pct"/>
                  <w:tcBorders>
                    <w:tl2br w:val="nil"/>
                    <w:tr2bl w:val="nil"/>
                  </w:tcBorders>
                  <w:shd w:val="clear" w:color="auto" w:fill="auto"/>
                  <w:noWrap w:val="0"/>
                  <w:vAlign w:val="center"/>
                </w:tcPr>
                <w:p w14:paraId="1826C239">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lang w:val="en-US" w:eastAsia="zh-CN" w:bidi="ar"/>
                    </w:rPr>
                  </w:pPr>
                  <w:r>
                    <w:rPr>
                      <w:rFonts w:hint="default" w:ascii="Times New Roman" w:hAnsi="Times New Roman" w:eastAsia="宋体" w:cs="Times New Roman"/>
                      <w:color w:val="auto"/>
                      <w:sz w:val="21"/>
                      <w:szCs w:val="21"/>
                    </w:rPr>
                    <w:t>低温蒸发器</w:t>
                  </w:r>
                </w:p>
              </w:tc>
              <w:tc>
                <w:tcPr>
                  <w:tcW w:w="2055" w:type="pct"/>
                  <w:tcBorders>
                    <w:tl2br w:val="nil"/>
                    <w:tr2bl w:val="nil"/>
                  </w:tcBorders>
                  <w:shd w:val="clear" w:color="auto" w:fill="auto"/>
                  <w:noWrap w:val="0"/>
                  <w:vAlign w:val="center"/>
                </w:tcPr>
                <w:p w14:paraId="1E54E315">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0"/>
                      <w:szCs w:val="20"/>
                      <w:lang w:val="en-US" w:eastAsia="zh-CN" w:bidi="ar"/>
                    </w:rPr>
                    <w:t>1500×990×1820mm</w:t>
                  </w:r>
                </w:p>
                <w:p w14:paraId="02D50B9A">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lang w:val="en-US" w:eastAsia="zh-CN" w:bidi="ar"/>
                    </w:rPr>
                  </w:pPr>
                  <w:r>
                    <w:rPr>
                      <w:rFonts w:hint="default" w:ascii="Times New Roman" w:hAnsi="Times New Roman" w:eastAsia="宋体" w:cs="Times New Roman"/>
                      <w:color w:val="auto"/>
                      <w:sz w:val="21"/>
                      <w:szCs w:val="21"/>
                    </w:rPr>
                    <w:t>LT-600，N=</w:t>
                  </w:r>
                  <w:r>
                    <w:rPr>
                      <w:rFonts w:hint="default" w:ascii="Times New Roman" w:hAnsi="Times New Roman" w:eastAsia="宋体" w:cs="Times New Roman"/>
                      <w:color w:val="auto"/>
                      <w:sz w:val="21"/>
                      <w:szCs w:val="21"/>
                      <w:lang w:val="en-US" w:eastAsia="zh-CN"/>
                    </w:rPr>
                    <w:t>4.6</w:t>
                  </w:r>
                  <w:r>
                    <w:rPr>
                      <w:rFonts w:hint="eastAsia" w:cs="Times New Roman"/>
                      <w:color w:val="auto"/>
                      <w:sz w:val="21"/>
                      <w:szCs w:val="21"/>
                      <w:lang w:val="en-US" w:eastAsia="zh-CN"/>
                    </w:rPr>
                    <w:t>kW，蒸发能力0.6t/天(24h)</w:t>
                  </w:r>
                </w:p>
              </w:tc>
              <w:tc>
                <w:tcPr>
                  <w:tcW w:w="423" w:type="pct"/>
                  <w:tcBorders>
                    <w:tl2br w:val="nil"/>
                    <w:tr2bl w:val="nil"/>
                  </w:tcBorders>
                  <w:shd w:val="clear" w:color="auto" w:fill="auto"/>
                  <w:noWrap w:val="0"/>
                  <w:vAlign w:val="center"/>
                </w:tcPr>
                <w:p w14:paraId="200BE20D">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lang w:val="en-US" w:eastAsia="zh-CN" w:bidi="ar"/>
                    </w:rPr>
                  </w:pPr>
                  <w:r>
                    <w:rPr>
                      <w:rFonts w:hint="default" w:ascii="Times New Roman" w:hAnsi="Times New Roman" w:eastAsia="宋体" w:cs="Times New Roman"/>
                      <w:color w:val="auto"/>
                      <w:sz w:val="21"/>
                      <w:szCs w:val="21"/>
                    </w:rPr>
                    <w:t>1套</w:t>
                  </w:r>
                </w:p>
              </w:tc>
              <w:tc>
                <w:tcPr>
                  <w:tcW w:w="1324" w:type="pct"/>
                  <w:vMerge w:val="restart"/>
                  <w:tcBorders>
                    <w:tl2br w:val="nil"/>
                    <w:tr2bl w:val="nil"/>
                  </w:tcBorders>
                  <w:shd w:val="clear" w:color="auto" w:fill="auto"/>
                  <w:noWrap w:val="0"/>
                  <w:vAlign w:val="center"/>
                </w:tcPr>
                <w:p w14:paraId="042A398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
                    </w:rPr>
                  </w:pPr>
                  <w:r>
                    <w:rPr>
                      <w:rFonts w:hint="default" w:ascii="Times New Roman" w:hAnsi="Times New Roman" w:eastAsia="宋体" w:cs="Times New Roman"/>
                      <w:color w:val="auto"/>
                      <w:sz w:val="21"/>
                      <w:szCs w:val="21"/>
                    </w:rPr>
                    <w:t>压缩机换热系统，蒸发系统，冷却系统，消泡系统等</w:t>
                  </w:r>
                </w:p>
              </w:tc>
            </w:tr>
            <w:tr w14:paraId="67D6661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430" w:type="pct"/>
                  <w:tcBorders>
                    <w:tl2br w:val="nil"/>
                    <w:tr2bl w:val="nil"/>
                  </w:tcBorders>
                  <w:noWrap w:val="0"/>
                  <w:vAlign w:val="center"/>
                </w:tcPr>
                <w:p w14:paraId="1F9CB814">
                  <w:pPr>
                    <w:keepNext w:val="0"/>
                    <w:keepLines w:val="0"/>
                    <w:pageBreakBefore w:val="0"/>
                    <w:widowControl w:val="0"/>
                    <w:numPr>
                      <w:ilvl w:val="0"/>
                      <w:numId w:val="9"/>
                    </w:numPr>
                    <w:suppressLineNumbers w:val="0"/>
                    <w:kinsoku/>
                    <w:wordWrap/>
                    <w:overflowPunct/>
                    <w:topLinePunct w:val="0"/>
                    <w:autoSpaceDE/>
                    <w:autoSpaceDN/>
                    <w:bidi w:val="0"/>
                    <w:adjustRightInd/>
                    <w:snapToGrid/>
                    <w:spacing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lang w:val="en-US" w:eastAsia="zh-CN" w:bidi="ar-SA"/>
                    </w:rPr>
                  </w:pPr>
                </w:p>
              </w:tc>
              <w:tc>
                <w:tcPr>
                  <w:tcW w:w="766" w:type="pct"/>
                  <w:tcBorders>
                    <w:tl2br w:val="nil"/>
                    <w:tr2bl w:val="nil"/>
                  </w:tcBorders>
                  <w:shd w:val="clear" w:color="auto" w:fill="auto"/>
                  <w:noWrap w:val="0"/>
                  <w:vAlign w:val="center"/>
                </w:tcPr>
                <w:p w14:paraId="22A938FE">
                  <w:pPr>
                    <w:spacing w:line="240" w:lineRule="auto"/>
                    <w:ind w:firstLine="0" w:firstLineChars="0"/>
                    <w:jc w:val="center"/>
                    <w:rPr>
                      <w:rFonts w:hint="default" w:ascii="Times New Roman" w:hAnsi="Times New Roman" w:eastAsia="宋体" w:cs="Times New Roman"/>
                      <w:color w:val="auto"/>
                      <w:kern w:val="2"/>
                      <w:sz w:val="21"/>
                      <w:szCs w:val="21"/>
                      <w:lang w:val="en-US" w:eastAsia="zh-CN" w:bidi="ar"/>
                    </w:rPr>
                  </w:pPr>
                  <w:r>
                    <w:rPr>
                      <w:rFonts w:hint="eastAsia"/>
                      <w:color w:val="auto"/>
                      <w:sz w:val="21"/>
                      <w:szCs w:val="21"/>
                    </w:rPr>
                    <w:t>风冷冷凝器</w:t>
                  </w:r>
                </w:p>
              </w:tc>
              <w:tc>
                <w:tcPr>
                  <w:tcW w:w="2055" w:type="pct"/>
                  <w:tcBorders>
                    <w:tl2br w:val="nil"/>
                    <w:tr2bl w:val="nil"/>
                  </w:tcBorders>
                  <w:shd w:val="clear" w:color="auto" w:fill="auto"/>
                  <w:noWrap w:val="0"/>
                  <w:vAlign w:val="center"/>
                </w:tcPr>
                <w:p w14:paraId="032C8E45">
                  <w:pPr>
                    <w:spacing w:line="240" w:lineRule="auto"/>
                    <w:ind w:firstLine="0" w:firstLineChars="0"/>
                    <w:jc w:val="center"/>
                    <w:rPr>
                      <w:rFonts w:hint="default" w:ascii="Times New Roman" w:hAnsi="Times New Roman" w:eastAsia="宋体" w:cs="Times New Roman"/>
                      <w:color w:val="auto"/>
                      <w:kern w:val="2"/>
                      <w:sz w:val="21"/>
                      <w:szCs w:val="21"/>
                      <w:lang w:val="en-US" w:eastAsia="zh-CN" w:bidi="ar"/>
                    </w:rPr>
                  </w:pPr>
                  <w:r>
                    <w:rPr>
                      <w:color w:val="auto"/>
                      <w:sz w:val="21"/>
                      <w:szCs w:val="21"/>
                    </w:rPr>
                    <w:t>YWF4D-350S-102</w:t>
                  </w:r>
                  <w:r>
                    <w:rPr>
                      <w:rFonts w:hint="eastAsia"/>
                      <w:color w:val="auto"/>
                      <w:sz w:val="21"/>
                      <w:szCs w:val="21"/>
                    </w:rPr>
                    <w:t>WSDLNQ-42</w:t>
                  </w:r>
                </w:p>
              </w:tc>
              <w:tc>
                <w:tcPr>
                  <w:tcW w:w="423" w:type="pct"/>
                  <w:tcBorders>
                    <w:tl2br w:val="nil"/>
                    <w:tr2bl w:val="nil"/>
                  </w:tcBorders>
                  <w:shd w:val="clear" w:color="auto" w:fill="auto"/>
                  <w:noWrap w:val="0"/>
                  <w:vAlign w:val="center"/>
                </w:tcPr>
                <w:p w14:paraId="7040DDD6">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1件</w:t>
                  </w:r>
                </w:p>
              </w:tc>
              <w:tc>
                <w:tcPr>
                  <w:tcW w:w="1324" w:type="pct"/>
                  <w:vMerge w:val="continue"/>
                  <w:tcBorders>
                    <w:tl2br w:val="nil"/>
                    <w:tr2bl w:val="nil"/>
                  </w:tcBorders>
                  <w:shd w:val="clear" w:color="auto" w:fill="auto"/>
                  <w:noWrap w:val="0"/>
                  <w:vAlign w:val="center"/>
                </w:tcPr>
                <w:p w14:paraId="07561F8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rPr>
                  </w:pPr>
                </w:p>
              </w:tc>
            </w:tr>
            <w:tr w14:paraId="6F7C183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30" w:type="pct"/>
                  <w:tcBorders>
                    <w:tl2br w:val="nil"/>
                    <w:tr2bl w:val="nil"/>
                  </w:tcBorders>
                  <w:noWrap w:val="0"/>
                  <w:vAlign w:val="center"/>
                </w:tcPr>
                <w:p w14:paraId="3DAFC13F">
                  <w:pPr>
                    <w:keepNext w:val="0"/>
                    <w:keepLines w:val="0"/>
                    <w:pageBreakBefore w:val="0"/>
                    <w:widowControl w:val="0"/>
                    <w:numPr>
                      <w:ilvl w:val="0"/>
                      <w:numId w:val="9"/>
                    </w:numPr>
                    <w:suppressLineNumbers w:val="0"/>
                    <w:kinsoku/>
                    <w:wordWrap/>
                    <w:overflowPunct/>
                    <w:topLinePunct w:val="0"/>
                    <w:autoSpaceDE/>
                    <w:autoSpaceDN/>
                    <w:bidi w:val="0"/>
                    <w:adjustRightInd/>
                    <w:snapToGrid/>
                    <w:spacing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lang w:val="en-US" w:eastAsia="zh-CN" w:bidi="ar-SA"/>
                    </w:rPr>
                  </w:pPr>
                </w:p>
              </w:tc>
              <w:tc>
                <w:tcPr>
                  <w:tcW w:w="766" w:type="pct"/>
                  <w:tcBorders>
                    <w:tl2br w:val="nil"/>
                    <w:tr2bl w:val="nil"/>
                  </w:tcBorders>
                  <w:shd w:val="clear" w:color="auto" w:fill="auto"/>
                  <w:noWrap w:val="0"/>
                  <w:vAlign w:val="center"/>
                </w:tcPr>
                <w:p w14:paraId="25673577">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lang w:val="en-US" w:eastAsia="zh-CN" w:bidi="ar"/>
                    </w:rPr>
                  </w:pPr>
                  <w:r>
                    <w:rPr>
                      <w:rFonts w:hint="default" w:ascii="Times New Roman" w:hAnsi="Times New Roman" w:eastAsia="宋体" w:cs="Times New Roman"/>
                      <w:color w:val="auto"/>
                      <w:sz w:val="21"/>
                      <w:szCs w:val="21"/>
                    </w:rPr>
                    <w:t>陶瓷膜</w:t>
                  </w:r>
                </w:p>
              </w:tc>
              <w:tc>
                <w:tcPr>
                  <w:tcW w:w="2055" w:type="pct"/>
                  <w:tcBorders>
                    <w:tl2br w:val="nil"/>
                    <w:tr2bl w:val="nil"/>
                  </w:tcBorders>
                  <w:shd w:val="clear" w:color="auto" w:fill="auto"/>
                  <w:noWrap w:val="0"/>
                  <w:vAlign w:val="center"/>
                </w:tcPr>
                <w:p w14:paraId="642536E5">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lang w:val="en-US" w:eastAsia="zh-CN" w:bidi="ar"/>
                    </w:rPr>
                  </w:pPr>
                  <w:r>
                    <w:rPr>
                      <w:rFonts w:hint="default" w:ascii="Times New Roman" w:hAnsi="Times New Roman" w:eastAsia="宋体" w:cs="Times New Roman"/>
                      <w:color w:val="auto"/>
                      <w:sz w:val="21"/>
                      <w:szCs w:val="21"/>
                    </w:rPr>
                    <w:t>CM-I，N=1.1</w:t>
                  </w:r>
                  <w:r>
                    <w:rPr>
                      <w:rFonts w:hint="eastAsia" w:cs="Times New Roman"/>
                      <w:color w:val="auto"/>
                      <w:sz w:val="21"/>
                      <w:szCs w:val="21"/>
                      <w:lang w:eastAsia="zh-CN"/>
                    </w:rPr>
                    <w:t>kW，陶瓷膜</w:t>
                  </w:r>
                  <w:r>
                    <w:rPr>
                      <w:rFonts w:hint="eastAsia" w:cs="Times New Roman"/>
                      <w:color w:val="auto"/>
                      <w:sz w:val="21"/>
                      <w:szCs w:val="21"/>
                      <w:lang w:val="en-US" w:eastAsia="zh-CN"/>
                    </w:rPr>
                    <w:t>过滤面积</w:t>
                  </w:r>
                  <w:r>
                    <w:rPr>
                      <w:rFonts w:hint="eastAsia" w:cs="Times New Roman"/>
                      <w:color w:val="auto"/>
                      <w:sz w:val="21"/>
                      <w:szCs w:val="21"/>
                      <w:lang w:eastAsia="zh-CN"/>
                    </w:rPr>
                    <w:t>12</w:t>
                  </w:r>
                  <w:r>
                    <w:rPr>
                      <w:rFonts w:hint="eastAsia" w:cs="Times New Roman"/>
                      <w:color w:val="auto"/>
                      <w:sz w:val="21"/>
                      <w:szCs w:val="21"/>
                      <w:lang w:val="en-US" w:eastAsia="zh-CN"/>
                    </w:rPr>
                    <w:t>0</w:t>
                  </w:r>
                  <w:r>
                    <w:rPr>
                      <w:rFonts w:hint="eastAsia" w:cs="Times New Roman"/>
                      <w:color w:val="auto"/>
                      <w:sz w:val="21"/>
                      <w:szCs w:val="21"/>
                      <w:lang w:eastAsia="zh-CN"/>
                    </w:rPr>
                    <w:t>0mm</w:t>
                  </w:r>
                  <w:r>
                    <w:rPr>
                      <w:rFonts w:hint="eastAsia" w:cs="Times New Roman"/>
                      <w:color w:val="auto"/>
                      <w:sz w:val="21"/>
                      <w:szCs w:val="21"/>
                      <w:lang w:val="en-US" w:eastAsia="zh-CN"/>
                    </w:rPr>
                    <w:t>*</w:t>
                  </w:r>
                  <w:r>
                    <w:rPr>
                      <w:rFonts w:hint="eastAsia" w:cs="Times New Roman"/>
                      <w:color w:val="auto"/>
                      <w:sz w:val="21"/>
                      <w:szCs w:val="21"/>
                      <w:lang w:eastAsia="zh-CN"/>
                    </w:rPr>
                    <w:t>30</w:t>
                  </w:r>
                  <w:r>
                    <w:rPr>
                      <w:rFonts w:hint="eastAsia" w:cs="Times New Roman"/>
                      <w:color w:val="auto"/>
                      <w:sz w:val="21"/>
                      <w:szCs w:val="21"/>
                      <w:lang w:val="en-US" w:eastAsia="zh-CN"/>
                    </w:rPr>
                    <w:t>0</w:t>
                  </w:r>
                  <w:r>
                    <w:rPr>
                      <w:rFonts w:hint="eastAsia" w:cs="Times New Roman"/>
                      <w:color w:val="auto"/>
                      <w:sz w:val="21"/>
                      <w:szCs w:val="21"/>
                      <w:lang w:eastAsia="zh-CN"/>
                    </w:rPr>
                    <w:t>mm，通量</w:t>
                  </w:r>
                  <w:r>
                    <w:rPr>
                      <w:rFonts w:hint="eastAsia" w:cs="Times New Roman"/>
                      <w:color w:val="auto"/>
                      <w:sz w:val="21"/>
                      <w:szCs w:val="21"/>
                      <w:lang w:val="en-US" w:eastAsia="zh-CN"/>
                    </w:rPr>
                    <w:t>69‌L/(m²·h)</w:t>
                  </w:r>
                </w:p>
              </w:tc>
              <w:tc>
                <w:tcPr>
                  <w:tcW w:w="423" w:type="pct"/>
                  <w:tcBorders>
                    <w:tl2br w:val="nil"/>
                    <w:tr2bl w:val="nil"/>
                  </w:tcBorders>
                  <w:shd w:val="clear" w:color="auto" w:fill="auto"/>
                  <w:noWrap w:val="0"/>
                  <w:vAlign w:val="center"/>
                </w:tcPr>
                <w:p w14:paraId="148D38AA">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lang w:val="en-US" w:eastAsia="zh-CN" w:bidi="ar"/>
                    </w:rPr>
                  </w:pPr>
                  <w:r>
                    <w:rPr>
                      <w:rFonts w:hint="default" w:ascii="Times New Roman" w:hAnsi="Times New Roman" w:eastAsia="宋体" w:cs="Times New Roman"/>
                      <w:color w:val="auto"/>
                      <w:sz w:val="21"/>
                      <w:szCs w:val="21"/>
                    </w:rPr>
                    <w:t>1套</w:t>
                  </w:r>
                </w:p>
              </w:tc>
              <w:tc>
                <w:tcPr>
                  <w:tcW w:w="1324" w:type="pct"/>
                  <w:tcBorders>
                    <w:tl2br w:val="nil"/>
                    <w:tr2bl w:val="nil"/>
                  </w:tcBorders>
                  <w:shd w:val="clear" w:color="auto" w:fill="auto"/>
                  <w:noWrap w:val="0"/>
                  <w:vAlign w:val="center"/>
                </w:tcPr>
                <w:p w14:paraId="737A489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
                    </w:rPr>
                  </w:pPr>
                  <w:r>
                    <w:rPr>
                      <w:rFonts w:hint="default" w:ascii="Times New Roman" w:hAnsi="Times New Roman" w:eastAsia="宋体" w:cs="Times New Roman"/>
                      <w:color w:val="auto"/>
                      <w:sz w:val="21"/>
                      <w:szCs w:val="21"/>
                    </w:rPr>
                    <w:t>循环泵，陶瓷膜等</w:t>
                  </w:r>
                </w:p>
              </w:tc>
            </w:tr>
            <w:tr w14:paraId="778CD0B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30" w:type="pct"/>
                  <w:tcBorders>
                    <w:tl2br w:val="nil"/>
                    <w:tr2bl w:val="nil"/>
                  </w:tcBorders>
                  <w:noWrap w:val="0"/>
                  <w:vAlign w:val="center"/>
                </w:tcPr>
                <w:p w14:paraId="427ED833">
                  <w:pPr>
                    <w:keepNext w:val="0"/>
                    <w:keepLines w:val="0"/>
                    <w:pageBreakBefore w:val="0"/>
                    <w:widowControl w:val="0"/>
                    <w:numPr>
                      <w:ilvl w:val="0"/>
                      <w:numId w:val="9"/>
                    </w:numPr>
                    <w:suppressLineNumbers w:val="0"/>
                    <w:kinsoku/>
                    <w:wordWrap/>
                    <w:overflowPunct/>
                    <w:topLinePunct w:val="0"/>
                    <w:autoSpaceDE/>
                    <w:autoSpaceDN/>
                    <w:bidi w:val="0"/>
                    <w:adjustRightInd/>
                    <w:snapToGrid/>
                    <w:spacing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lang w:val="en-US" w:eastAsia="zh-CN" w:bidi="ar-SA"/>
                    </w:rPr>
                  </w:pPr>
                </w:p>
              </w:tc>
              <w:tc>
                <w:tcPr>
                  <w:tcW w:w="766" w:type="pct"/>
                  <w:tcBorders>
                    <w:tl2br w:val="nil"/>
                    <w:tr2bl w:val="nil"/>
                  </w:tcBorders>
                  <w:shd w:val="clear" w:color="auto" w:fill="auto"/>
                  <w:noWrap w:val="0"/>
                  <w:vAlign w:val="center"/>
                </w:tcPr>
                <w:p w14:paraId="66D0FC43">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lang w:val="en-US" w:eastAsia="zh-CN" w:bidi="ar"/>
                    </w:rPr>
                  </w:pPr>
                  <w:r>
                    <w:rPr>
                      <w:rFonts w:hint="default" w:ascii="Times New Roman" w:hAnsi="Times New Roman" w:eastAsia="宋体" w:cs="Times New Roman"/>
                      <w:color w:val="auto"/>
                      <w:sz w:val="21"/>
                      <w:szCs w:val="21"/>
                    </w:rPr>
                    <w:t>出水桶</w:t>
                  </w:r>
                </w:p>
              </w:tc>
              <w:tc>
                <w:tcPr>
                  <w:tcW w:w="2055" w:type="pct"/>
                  <w:tcBorders>
                    <w:tl2br w:val="nil"/>
                    <w:tr2bl w:val="nil"/>
                  </w:tcBorders>
                  <w:shd w:val="clear" w:color="auto" w:fill="auto"/>
                  <w:noWrap w:val="0"/>
                  <w:vAlign w:val="center"/>
                </w:tcPr>
                <w:p w14:paraId="62B2F1F4">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lang w:val="en-US" w:eastAsia="zh-CN" w:bidi="ar"/>
                    </w:rPr>
                  </w:pPr>
                  <w:r>
                    <w:rPr>
                      <w:rFonts w:hint="default" w:ascii="Times New Roman" w:hAnsi="Times New Roman" w:eastAsia="宋体" w:cs="Times New Roman"/>
                      <w:color w:val="auto"/>
                      <w:sz w:val="21"/>
                      <w:szCs w:val="21"/>
                    </w:rPr>
                    <w:t>≥</w:t>
                  </w:r>
                  <w:r>
                    <w:rPr>
                      <w:rFonts w:hint="default" w:ascii="Times New Roman" w:hAnsi="Times New Roman" w:eastAsia="宋体" w:cs="Times New Roman"/>
                      <w:color w:val="auto"/>
                      <w:sz w:val="21"/>
                      <w:szCs w:val="21"/>
                      <w:lang w:val="en-US" w:eastAsia="zh-CN"/>
                    </w:rPr>
                    <w:t>15</w:t>
                  </w:r>
                  <w:r>
                    <w:rPr>
                      <w:rFonts w:hint="default" w:ascii="Times New Roman" w:hAnsi="Times New Roman" w:eastAsia="宋体" w:cs="Times New Roman"/>
                      <w:color w:val="auto"/>
                      <w:sz w:val="21"/>
                      <w:szCs w:val="21"/>
                    </w:rPr>
                    <w:t>00L</w:t>
                  </w:r>
                </w:p>
              </w:tc>
              <w:tc>
                <w:tcPr>
                  <w:tcW w:w="423" w:type="pct"/>
                  <w:tcBorders>
                    <w:tl2br w:val="nil"/>
                    <w:tr2bl w:val="nil"/>
                  </w:tcBorders>
                  <w:shd w:val="clear" w:color="auto" w:fill="auto"/>
                  <w:noWrap w:val="0"/>
                  <w:vAlign w:val="center"/>
                </w:tcPr>
                <w:p w14:paraId="5DE70769">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lang w:val="en-US" w:eastAsia="zh-CN" w:bidi="ar"/>
                    </w:rPr>
                  </w:pPr>
                  <w:r>
                    <w:rPr>
                      <w:rFonts w:hint="default" w:ascii="Times New Roman" w:hAnsi="Times New Roman" w:eastAsia="宋体" w:cs="Times New Roman"/>
                      <w:color w:val="auto"/>
                      <w:sz w:val="21"/>
                      <w:szCs w:val="21"/>
                    </w:rPr>
                    <w:t>1座</w:t>
                  </w:r>
                </w:p>
              </w:tc>
              <w:tc>
                <w:tcPr>
                  <w:tcW w:w="1324" w:type="pct"/>
                  <w:tcBorders>
                    <w:tl2br w:val="nil"/>
                    <w:tr2bl w:val="nil"/>
                  </w:tcBorders>
                  <w:shd w:val="clear" w:color="auto" w:fill="auto"/>
                  <w:noWrap w:val="0"/>
                  <w:vAlign w:val="center"/>
                </w:tcPr>
                <w:p w14:paraId="5053E9D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
                    </w:rPr>
                  </w:pPr>
                  <w:r>
                    <w:rPr>
                      <w:rFonts w:hint="default" w:ascii="Times New Roman" w:hAnsi="Times New Roman" w:eastAsia="宋体" w:cs="Times New Roman"/>
                      <w:color w:val="auto"/>
                      <w:sz w:val="21"/>
                      <w:szCs w:val="21"/>
                    </w:rPr>
                    <w:t>PE桶</w:t>
                  </w:r>
                </w:p>
              </w:tc>
            </w:tr>
            <w:tr w14:paraId="06F620D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30" w:type="pct"/>
                  <w:tcBorders>
                    <w:tl2br w:val="nil"/>
                    <w:tr2bl w:val="nil"/>
                  </w:tcBorders>
                  <w:noWrap w:val="0"/>
                  <w:vAlign w:val="center"/>
                </w:tcPr>
                <w:p w14:paraId="3DBDEE53">
                  <w:pPr>
                    <w:keepNext w:val="0"/>
                    <w:keepLines w:val="0"/>
                    <w:pageBreakBefore w:val="0"/>
                    <w:widowControl w:val="0"/>
                    <w:numPr>
                      <w:ilvl w:val="0"/>
                      <w:numId w:val="9"/>
                    </w:numPr>
                    <w:suppressLineNumbers w:val="0"/>
                    <w:kinsoku/>
                    <w:wordWrap/>
                    <w:overflowPunct/>
                    <w:topLinePunct w:val="0"/>
                    <w:autoSpaceDE/>
                    <w:autoSpaceDN/>
                    <w:bidi w:val="0"/>
                    <w:adjustRightInd/>
                    <w:snapToGrid/>
                    <w:spacing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lang w:val="en-US" w:eastAsia="zh-CN" w:bidi="ar-SA"/>
                    </w:rPr>
                  </w:pPr>
                </w:p>
              </w:tc>
              <w:tc>
                <w:tcPr>
                  <w:tcW w:w="766" w:type="pct"/>
                  <w:tcBorders>
                    <w:tl2br w:val="nil"/>
                    <w:tr2bl w:val="nil"/>
                  </w:tcBorders>
                  <w:shd w:val="clear" w:color="auto" w:fill="auto"/>
                  <w:noWrap w:val="0"/>
                  <w:vAlign w:val="center"/>
                </w:tcPr>
                <w:p w14:paraId="52EA626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
                    </w:rPr>
                  </w:pPr>
                  <w:r>
                    <w:rPr>
                      <w:rFonts w:hint="default" w:ascii="Times New Roman" w:hAnsi="Times New Roman" w:eastAsia="宋体" w:cs="Times New Roman"/>
                      <w:color w:val="auto"/>
                      <w:sz w:val="21"/>
                      <w:szCs w:val="21"/>
                    </w:rPr>
                    <w:t>浓液桶</w:t>
                  </w:r>
                </w:p>
              </w:tc>
              <w:tc>
                <w:tcPr>
                  <w:tcW w:w="2055" w:type="pct"/>
                  <w:tcBorders>
                    <w:tl2br w:val="nil"/>
                    <w:tr2bl w:val="nil"/>
                  </w:tcBorders>
                  <w:shd w:val="clear" w:color="auto" w:fill="auto"/>
                  <w:noWrap w:val="0"/>
                  <w:vAlign w:val="center"/>
                </w:tcPr>
                <w:p w14:paraId="566C601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
                    </w:rPr>
                  </w:pPr>
                  <w:r>
                    <w:rPr>
                      <w:rFonts w:hint="default" w:ascii="Times New Roman" w:hAnsi="Times New Roman" w:eastAsia="宋体" w:cs="Times New Roman"/>
                      <w:color w:val="auto"/>
                      <w:sz w:val="21"/>
                      <w:szCs w:val="21"/>
                    </w:rPr>
                    <w:t>1m</w:t>
                  </w:r>
                  <w:r>
                    <w:rPr>
                      <w:rFonts w:hint="default" w:ascii="Times New Roman" w:hAnsi="Times New Roman" w:eastAsia="宋体" w:cs="Times New Roman"/>
                      <w:color w:val="auto"/>
                      <w:sz w:val="21"/>
                      <w:szCs w:val="21"/>
                      <w:vertAlign w:val="superscript"/>
                    </w:rPr>
                    <w:t>3</w:t>
                  </w:r>
                </w:p>
              </w:tc>
              <w:tc>
                <w:tcPr>
                  <w:tcW w:w="423" w:type="pct"/>
                  <w:tcBorders>
                    <w:tl2br w:val="nil"/>
                    <w:tr2bl w:val="nil"/>
                  </w:tcBorders>
                  <w:shd w:val="clear" w:color="auto" w:fill="auto"/>
                  <w:noWrap w:val="0"/>
                  <w:vAlign w:val="center"/>
                </w:tcPr>
                <w:p w14:paraId="76718FC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
                    </w:rPr>
                  </w:pPr>
                  <w:r>
                    <w:rPr>
                      <w:rFonts w:hint="default" w:ascii="Times New Roman" w:hAnsi="Times New Roman" w:eastAsia="宋体" w:cs="Times New Roman"/>
                      <w:color w:val="auto"/>
                      <w:sz w:val="21"/>
                      <w:szCs w:val="21"/>
                    </w:rPr>
                    <w:t>1座</w:t>
                  </w:r>
                </w:p>
              </w:tc>
              <w:tc>
                <w:tcPr>
                  <w:tcW w:w="1324" w:type="pct"/>
                  <w:tcBorders>
                    <w:tl2br w:val="nil"/>
                    <w:tr2bl w:val="nil"/>
                  </w:tcBorders>
                  <w:shd w:val="clear" w:color="auto" w:fill="auto"/>
                  <w:noWrap w:val="0"/>
                  <w:vAlign w:val="center"/>
                </w:tcPr>
                <w:p w14:paraId="39B9F09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
                    </w:rPr>
                  </w:pPr>
                  <w:r>
                    <w:rPr>
                      <w:rFonts w:hint="default" w:ascii="Times New Roman" w:hAnsi="Times New Roman" w:eastAsia="宋体" w:cs="Times New Roman"/>
                      <w:color w:val="auto"/>
                      <w:kern w:val="2"/>
                      <w:sz w:val="21"/>
                      <w:szCs w:val="21"/>
                      <w:lang w:val="en-US" w:eastAsia="zh-CN" w:bidi="ar"/>
                    </w:rPr>
                    <w:t>/</w:t>
                  </w:r>
                </w:p>
              </w:tc>
            </w:tr>
          </w:tbl>
          <w:p w14:paraId="7C25910D">
            <w:pPr>
              <w:adjustRightInd w:val="0"/>
              <w:snapToGrid w:val="0"/>
              <w:jc w:val="center"/>
              <w:rPr>
                <w:rFonts w:hint="default" w:ascii="Times New Roman" w:hAnsi="Times New Roman" w:eastAsia="宋体" w:cs="Times New Roman"/>
                <w:b/>
                <w:bCs/>
                <w:color w:val="auto"/>
                <w:kern w:val="0"/>
                <w:sz w:val="24"/>
                <w:szCs w:val="24"/>
                <w:highlight w:val="none"/>
                <w:lang w:bidi="ar-SA"/>
              </w:rPr>
            </w:pPr>
            <w:r>
              <w:rPr>
                <w:rFonts w:hint="default" w:ascii="Times New Roman" w:hAnsi="Times New Roman" w:eastAsia="宋体" w:cs="Times New Roman"/>
                <w:b/>
                <w:bCs/>
                <w:color w:val="auto"/>
                <w:kern w:val="0"/>
                <w:sz w:val="24"/>
                <w:szCs w:val="24"/>
                <w:highlight w:val="none"/>
                <w:lang w:bidi="ar-SA"/>
              </w:rPr>
              <w:t>表4-</w:t>
            </w:r>
            <w:r>
              <w:rPr>
                <w:rFonts w:hint="eastAsia" w:ascii="Times New Roman" w:hAnsi="Times New Roman" w:eastAsia="宋体" w:cs="Times New Roman"/>
                <w:b/>
                <w:bCs/>
                <w:color w:val="auto"/>
                <w:kern w:val="0"/>
                <w:sz w:val="24"/>
                <w:szCs w:val="24"/>
                <w:highlight w:val="none"/>
                <w:lang w:val="en-US" w:eastAsia="zh-CN" w:bidi="ar-SA"/>
              </w:rPr>
              <w:t>14</w:t>
            </w:r>
            <w:r>
              <w:rPr>
                <w:rFonts w:hint="default" w:ascii="Times New Roman" w:hAnsi="Times New Roman" w:eastAsia="宋体" w:cs="Times New Roman"/>
                <w:b/>
                <w:bCs/>
                <w:color w:val="auto"/>
                <w:kern w:val="0"/>
                <w:sz w:val="24"/>
                <w:szCs w:val="24"/>
                <w:highlight w:val="none"/>
                <w:lang w:bidi="ar-SA"/>
              </w:rPr>
              <w:t xml:space="preserve"> 本项目各构筑物处理效率一览表  单位：mg/L</w:t>
            </w:r>
          </w:p>
          <w:tbl>
            <w:tblPr>
              <w:tblStyle w:val="26"/>
              <w:tblW w:w="8152" w:type="dxa"/>
              <w:tblInd w:w="0" w:type="dxa"/>
              <w:tblBorders>
                <w:top w:val="single" w:color="auto" w:sz="12" w:space="0"/>
                <w:left w:val="none" w:color="auto" w:sz="0" w:space="0"/>
                <w:bottom w:val="single" w:color="auto" w:sz="12" w:space="0"/>
                <w:right w:val="none" w:color="auto" w:sz="0" w:space="0"/>
                <w:insideH w:val="single" w:color="auto" w:sz="6" w:space="0"/>
                <w:insideV w:val="single" w:color="auto" w:sz="4" w:space="0"/>
              </w:tblBorders>
              <w:tblLayout w:type="fixed"/>
              <w:tblCellMar>
                <w:top w:w="0" w:type="dxa"/>
                <w:left w:w="108" w:type="dxa"/>
                <w:bottom w:w="0" w:type="dxa"/>
                <w:right w:w="108" w:type="dxa"/>
              </w:tblCellMar>
            </w:tblPr>
            <w:tblGrid>
              <w:gridCol w:w="715"/>
              <w:gridCol w:w="800"/>
              <w:gridCol w:w="1327"/>
              <w:gridCol w:w="1327"/>
              <w:gridCol w:w="1327"/>
              <w:gridCol w:w="1327"/>
              <w:gridCol w:w="1329"/>
            </w:tblGrid>
            <w:tr w14:paraId="64DFE5AB">
              <w:tblPrEx>
                <w:tblBorders>
                  <w:top w:val="single" w:color="auto" w:sz="12" w:space="0"/>
                  <w:left w:val="none" w:color="auto" w:sz="0" w:space="0"/>
                  <w:bottom w:val="single" w:color="auto" w:sz="12" w:space="0"/>
                  <w:right w:val="none" w:color="auto" w:sz="0" w:space="0"/>
                  <w:insideH w:val="single" w:color="auto" w:sz="6" w:space="0"/>
                  <w:insideV w:val="single" w:color="auto" w:sz="4" w:space="0"/>
                </w:tblBorders>
                <w:tblCellMar>
                  <w:top w:w="0" w:type="dxa"/>
                  <w:left w:w="108" w:type="dxa"/>
                  <w:bottom w:w="0" w:type="dxa"/>
                  <w:right w:w="108" w:type="dxa"/>
                </w:tblCellMar>
              </w:tblPrEx>
              <w:trPr>
                <w:trHeight w:val="352" w:hRule="atLeast"/>
              </w:trPr>
              <w:tc>
                <w:tcPr>
                  <w:tcW w:w="1515" w:type="dxa"/>
                  <w:gridSpan w:val="2"/>
                  <w:tcBorders>
                    <w:tl2br w:val="nil"/>
                    <w:tr2bl w:val="nil"/>
                  </w:tcBorders>
                  <w:vAlign w:val="center"/>
                </w:tcPr>
                <w:p w14:paraId="45A879A2">
                  <w:pPr>
                    <w:widowControl/>
                    <w:jc w:val="center"/>
                    <w:rPr>
                      <w:rFonts w:hint="default" w:ascii="Times New Roman" w:hAnsi="Times New Roman" w:eastAsia="宋体" w:cs="Times New Roman"/>
                      <w:b/>
                      <w:color w:val="auto"/>
                      <w:kern w:val="0"/>
                      <w:sz w:val="21"/>
                      <w:szCs w:val="21"/>
                      <w:highlight w:val="none"/>
                      <w:lang w:bidi="ar-SA"/>
                    </w:rPr>
                  </w:pPr>
                  <w:r>
                    <w:rPr>
                      <w:rFonts w:hint="default" w:ascii="Times New Roman" w:hAnsi="Times New Roman" w:eastAsia="宋体" w:cs="Times New Roman"/>
                      <w:b/>
                      <w:color w:val="auto"/>
                      <w:kern w:val="0"/>
                      <w:sz w:val="21"/>
                      <w:szCs w:val="21"/>
                      <w:highlight w:val="none"/>
                      <w:lang w:bidi="ar-SA"/>
                    </w:rPr>
                    <w:t>处理工段</w:t>
                  </w:r>
                </w:p>
              </w:tc>
              <w:tc>
                <w:tcPr>
                  <w:tcW w:w="1327" w:type="dxa"/>
                  <w:tcBorders>
                    <w:tl2br w:val="nil"/>
                    <w:tr2bl w:val="nil"/>
                  </w:tcBorders>
                  <w:vAlign w:val="center"/>
                </w:tcPr>
                <w:p w14:paraId="5E715DC6">
                  <w:pPr>
                    <w:widowControl/>
                    <w:jc w:val="center"/>
                    <w:rPr>
                      <w:rFonts w:hint="default" w:ascii="Times New Roman" w:hAnsi="Times New Roman" w:eastAsia="宋体" w:cs="Times New Roman"/>
                      <w:b/>
                      <w:color w:val="auto"/>
                      <w:kern w:val="0"/>
                      <w:sz w:val="21"/>
                      <w:szCs w:val="21"/>
                      <w:highlight w:val="none"/>
                      <w:lang w:val="en-US" w:eastAsia="zh-CN" w:bidi="ar-SA"/>
                    </w:rPr>
                  </w:pPr>
                  <w:r>
                    <w:rPr>
                      <w:rFonts w:hint="default" w:ascii="Times New Roman" w:hAnsi="Times New Roman" w:eastAsia="宋体" w:cs="Times New Roman"/>
                      <w:b/>
                      <w:color w:val="auto"/>
                      <w:kern w:val="0"/>
                      <w:sz w:val="21"/>
                      <w:szCs w:val="21"/>
                      <w:highlight w:val="none"/>
                      <w:lang w:bidi="ar-SA"/>
                    </w:rPr>
                    <w:t>pH</w:t>
                  </w:r>
                  <w:r>
                    <w:rPr>
                      <w:rFonts w:hint="default" w:ascii="Times New Roman" w:hAnsi="Times New Roman" w:eastAsia="宋体" w:cs="Times New Roman"/>
                      <w:b/>
                      <w:color w:val="auto"/>
                      <w:kern w:val="0"/>
                      <w:sz w:val="21"/>
                      <w:szCs w:val="21"/>
                      <w:highlight w:val="none"/>
                      <w:lang w:eastAsia="zh-CN" w:bidi="ar-SA"/>
                    </w:rPr>
                    <w:t>（</w:t>
                  </w:r>
                  <w:r>
                    <w:rPr>
                      <w:rFonts w:hint="default" w:ascii="Times New Roman" w:hAnsi="Times New Roman" w:eastAsia="宋体" w:cs="Times New Roman"/>
                      <w:b/>
                      <w:color w:val="auto"/>
                      <w:kern w:val="0"/>
                      <w:sz w:val="21"/>
                      <w:szCs w:val="21"/>
                      <w:highlight w:val="none"/>
                      <w:lang w:val="en-US" w:eastAsia="zh-CN" w:bidi="ar-SA"/>
                    </w:rPr>
                    <w:t>无量纲）</w:t>
                  </w:r>
                </w:p>
              </w:tc>
              <w:tc>
                <w:tcPr>
                  <w:tcW w:w="1327" w:type="dxa"/>
                  <w:tcBorders>
                    <w:tl2br w:val="nil"/>
                    <w:tr2bl w:val="nil"/>
                  </w:tcBorders>
                  <w:vAlign w:val="center"/>
                </w:tcPr>
                <w:p w14:paraId="38E26A78">
                  <w:pPr>
                    <w:widowControl/>
                    <w:jc w:val="center"/>
                    <w:rPr>
                      <w:rFonts w:hint="default" w:ascii="Times New Roman" w:hAnsi="Times New Roman" w:eastAsia="宋体" w:cs="Times New Roman"/>
                      <w:b/>
                      <w:color w:val="auto"/>
                      <w:kern w:val="0"/>
                      <w:sz w:val="21"/>
                      <w:szCs w:val="21"/>
                      <w:highlight w:val="none"/>
                      <w:lang w:bidi="ar-SA"/>
                    </w:rPr>
                  </w:pPr>
                  <w:r>
                    <w:rPr>
                      <w:rFonts w:hint="default" w:ascii="Times New Roman" w:hAnsi="Times New Roman" w:eastAsia="宋体" w:cs="Times New Roman"/>
                      <w:b/>
                      <w:color w:val="auto"/>
                      <w:kern w:val="0"/>
                      <w:sz w:val="21"/>
                      <w:szCs w:val="21"/>
                      <w:highlight w:val="none"/>
                      <w:lang w:bidi="ar-SA"/>
                    </w:rPr>
                    <w:t>COD</w:t>
                  </w:r>
                </w:p>
              </w:tc>
              <w:tc>
                <w:tcPr>
                  <w:tcW w:w="1327" w:type="dxa"/>
                  <w:tcBorders>
                    <w:tl2br w:val="nil"/>
                    <w:tr2bl w:val="nil"/>
                  </w:tcBorders>
                  <w:vAlign w:val="center"/>
                </w:tcPr>
                <w:p w14:paraId="4CDBD7F1">
                  <w:pPr>
                    <w:widowControl/>
                    <w:jc w:val="center"/>
                    <w:rPr>
                      <w:rFonts w:hint="default" w:ascii="Times New Roman" w:hAnsi="Times New Roman" w:eastAsia="宋体" w:cs="Times New Roman"/>
                      <w:b/>
                      <w:color w:val="auto"/>
                      <w:kern w:val="0"/>
                      <w:sz w:val="21"/>
                      <w:szCs w:val="21"/>
                      <w:highlight w:val="none"/>
                      <w:lang w:bidi="ar-SA"/>
                    </w:rPr>
                  </w:pPr>
                  <w:r>
                    <w:rPr>
                      <w:rFonts w:hint="default" w:ascii="Times New Roman" w:hAnsi="Times New Roman" w:eastAsia="宋体" w:cs="Times New Roman"/>
                      <w:b/>
                      <w:color w:val="auto"/>
                      <w:kern w:val="0"/>
                      <w:sz w:val="21"/>
                      <w:szCs w:val="21"/>
                      <w:highlight w:val="none"/>
                      <w:lang w:bidi="ar-SA"/>
                    </w:rPr>
                    <w:t>SS</w:t>
                  </w:r>
                </w:p>
              </w:tc>
              <w:tc>
                <w:tcPr>
                  <w:tcW w:w="1327" w:type="dxa"/>
                  <w:tcBorders>
                    <w:tl2br w:val="nil"/>
                    <w:tr2bl w:val="nil"/>
                  </w:tcBorders>
                  <w:vAlign w:val="center"/>
                </w:tcPr>
                <w:p w14:paraId="4E384C62">
                  <w:pPr>
                    <w:widowControl/>
                    <w:jc w:val="center"/>
                    <w:rPr>
                      <w:rFonts w:hint="default" w:ascii="Times New Roman" w:hAnsi="Times New Roman" w:eastAsia="宋体" w:cs="Times New Roman"/>
                      <w:b/>
                      <w:color w:val="auto"/>
                      <w:kern w:val="0"/>
                      <w:sz w:val="21"/>
                      <w:szCs w:val="21"/>
                      <w:highlight w:val="none"/>
                      <w:lang w:val="en-US" w:eastAsia="zh-CN" w:bidi="ar-SA"/>
                    </w:rPr>
                  </w:pPr>
                  <w:r>
                    <w:rPr>
                      <w:rFonts w:hint="default" w:ascii="Times New Roman" w:hAnsi="Times New Roman" w:eastAsia="宋体" w:cs="Times New Roman"/>
                      <w:b/>
                      <w:color w:val="auto"/>
                      <w:kern w:val="0"/>
                      <w:sz w:val="21"/>
                      <w:szCs w:val="21"/>
                      <w:highlight w:val="none"/>
                      <w:lang w:val="en-US" w:eastAsia="zh-CN" w:bidi="ar-SA"/>
                    </w:rPr>
                    <w:t>TDS</w:t>
                  </w:r>
                </w:p>
              </w:tc>
              <w:tc>
                <w:tcPr>
                  <w:tcW w:w="1329" w:type="dxa"/>
                  <w:tcBorders>
                    <w:tl2br w:val="nil"/>
                    <w:tr2bl w:val="nil"/>
                  </w:tcBorders>
                  <w:vAlign w:val="center"/>
                </w:tcPr>
                <w:p w14:paraId="087A8E66">
                  <w:pPr>
                    <w:widowControl/>
                    <w:jc w:val="center"/>
                    <w:rPr>
                      <w:rFonts w:hint="default" w:ascii="Times New Roman" w:hAnsi="Times New Roman" w:eastAsia="宋体" w:cs="Times New Roman"/>
                      <w:b/>
                      <w:color w:val="auto"/>
                      <w:kern w:val="0"/>
                      <w:sz w:val="21"/>
                      <w:szCs w:val="21"/>
                      <w:highlight w:val="none"/>
                      <w:lang w:val="en-US" w:eastAsia="zh-CN" w:bidi="ar-SA"/>
                    </w:rPr>
                  </w:pPr>
                  <w:r>
                    <w:rPr>
                      <w:rFonts w:hint="default" w:ascii="Times New Roman" w:hAnsi="Times New Roman" w:eastAsia="宋体" w:cs="Times New Roman"/>
                      <w:b/>
                      <w:color w:val="auto"/>
                      <w:kern w:val="0"/>
                      <w:sz w:val="21"/>
                      <w:szCs w:val="21"/>
                      <w:highlight w:val="none"/>
                      <w:lang w:val="en-US" w:eastAsia="zh-CN" w:bidi="ar-SA"/>
                    </w:rPr>
                    <w:t>石油类</w:t>
                  </w:r>
                </w:p>
              </w:tc>
            </w:tr>
            <w:tr w14:paraId="0A5CCCD0">
              <w:tblPrEx>
                <w:tblBorders>
                  <w:top w:val="single" w:color="auto" w:sz="12" w:space="0"/>
                  <w:left w:val="none" w:color="auto" w:sz="0" w:space="0"/>
                  <w:bottom w:val="single" w:color="auto" w:sz="12" w:space="0"/>
                  <w:right w:val="none" w:color="auto" w:sz="0" w:space="0"/>
                  <w:insideH w:val="single" w:color="auto" w:sz="6" w:space="0"/>
                  <w:insideV w:val="single" w:color="auto" w:sz="4" w:space="0"/>
                </w:tblBorders>
                <w:tblCellMar>
                  <w:top w:w="0" w:type="dxa"/>
                  <w:left w:w="108" w:type="dxa"/>
                  <w:bottom w:w="0" w:type="dxa"/>
                  <w:right w:w="108" w:type="dxa"/>
                </w:tblCellMar>
              </w:tblPrEx>
              <w:trPr>
                <w:trHeight w:val="277" w:hRule="atLeast"/>
              </w:trPr>
              <w:tc>
                <w:tcPr>
                  <w:tcW w:w="715" w:type="dxa"/>
                  <w:vMerge w:val="restart"/>
                  <w:tcBorders>
                    <w:tl2br w:val="nil"/>
                    <w:tr2bl w:val="nil"/>
                  </w:tcBorders>
                  <w:vAlign w:val="center"/>
                </w:tcPr>
                <w:p w14:paraId="42168068">
                  <w:pPr>
                    <w:widowControl/>
                    <w:jc w:val="center"/>
                    <w:rPr>
                      <w:rFonts w:hint="default" w:ascii="Times New Roman" w:hAnsi="Times New Roman" w:eastAsia="宋体" w:cs="Times New Roman"/>
                      <w:color w:val="auto"/>
                      <w:kern w:val="0"/>
                      <w:sz w:val="21"/>
                      <w:szCs w:val="21"/>
                      <w:highlight w:val="none"/>
                      <w:lang w:bidi="ar-SA"/>
                    </w:rPr>
                  </w:pPr>
                  <w:r>
                    <w:rPr>
                      <w:rFonts w:hint="default" w:ascii="Times New Roman" w:hAnsi="Times New Roman" w:eastAsia="宋体" w:cs="Times New Roman"/>
                      <w:color w:val="auto"/>
                      <w:kern w:val="0"/>
                      <w:sz w:val="21"/>
                      <w:szCs w:val="21"/>
                      <w:highlight w:val="none"/>
                      <w:lang w:val="en-US" w:eastAsia="zh-CN" w:bidi="ar-SA"/>
                    </w:rPr>
                    <w:t>原液桶</w:t>
                  </w:r>
                </w:p>
              </w:tc>
              <w:tc>
                <w:tcPr>
                  <w:tcW w:w="800" w:type="dxa"/>
                  <w:tcBorders>
                    <w:tl2br w:val="nil"/>
                    <w:tr2bl w:val="nil"/>
                  </w:tcBorders>
                  <w:vAlign w:val="center"/>
                </w:tcPr>
                <w:p w14:paraId="04D798CB">
                  <w:pPr>
                    <w:widowControl/>
                    <w:jc w:val="center"/>
                    <w:rPr>
                      <w:rFonts w:hint="default" w:ascii="Times New Roman" w:hAnsi="Times New Roman" w:eastAsia="宋体" w:cs="Times New Roman"/>
                      <w:color w:val="auto"/>
                      <w:kern w:val="0"/>
                      <w:sz w:val="21"/>
                      <w:szCs w:val="21"/>
                      <w:highlight w:val="none"/>
                      <w:lang w:bidi="ar-SA"/>
                    </w:rPr>
                  </w:pPr>
                  <w:r>
                    <w:rPr>
                      <w:rFonts w:hint="default" w:ascii="Times New Roman" w:hAnsi="Times New Roman" w:eastAsia="宋体" w:cs="Times New Roman"/>
                      <w:color w:val="auto"/>
                      <w:kern w:val="0"/>
                      <w:sz w:val="21"/>
                      <w:szCs w:val="21"/>
                      <w:highlight w:val="none"/>
                      <w:lang w:bidi="ar-SA"/>
                    </w:rPr>
                    <w:t>进水</w:t>
                  </w:r>
                </w:p>
              </w:tc>
              <w:tc>
                <w:tcPr>
                  <w:tcW w:w="1327" w:type="dxa"/>
                  <w:tcBorders>
                    <w:tl2br w:val="nil"/>
                    <w:tr2bl w:val="nil"/>
                  </w:tcBorders>
                  <w:vAlign w:val="center"/>
                </w:tcPr>
                <w:p w14:paraId="2A5C661E">
                  <w:pPr>
                    <w:widowControl/>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6~9</w:t>
                  </w:r>
                </w:p>
              </w:tc>
              <w:tc>
                <w:tcPr>
                  <w:tcW w:w="1327" w:type="dxa"/>
                  <w:tcBorders>
                    <w:tl2br w:val="nil"/>
                    <w:tr2bl w:val="nil"/>
                  </w:tcBorders>
                  <w:vAlign w:val="center"/>
                </w:tcPr>
                <w:p w14:paraId="70F257AA">
                  <w:pPr>
                    <w:widowControl/>
                    <w:jc w:val="center"/>
                    <w:rPr>
                      <w:rFonts w:hint="default" w:ascii="Times New Roman" w:hAnsi="Times New Roman" w:eastAsia="宋体" w:cs="Times New Roman"/>
                      <w:bCs/>
                      <w:color w:val="auto"/>
                      <w:kern w:val="0"/>
                      <w:sz w:val="21"/>
                      <w:szCs w:val="21"/>
                      <w:highlight w:val="none"/>
                      <w:lang w:val="en-US" w:eastAsia="zh-CN" w:bidi="ar-SA"/>
                    </w:rPr>
                  </w:pPr>
                  <w:r>
                    <w:rPr>
                      <w:rFonts w:hint="eastAsia" w:ascii="Times New Roman" w:hAnsi="Times New Roman" w:eastAsia="宋体" w:cs="Times New Roman"/>
                      <w:bCs/>
                      <w:color w:val="auto"/>
                      <w:kern w:val="0"/>
                      <w:sz w:val="21"/>
                      <w:szCs w:val="21"/>
                      <w:highlight w:val="none"/>
                      <w:lang w:val="en-US" w:eastAsia="zh-CN" w:bidi="ar-SA"/>
                    </w:rPr>
                    <w:t>600</w:t>
                  </w:r>
                </w:p>
              </w:tc>
              <w:tc>
                <w:tcPr>
                  <w:tcW w:w="1327" w:type="dxa"/>
                  <w:tcBorders>
                    <w:tl2br w:val="nil"/>
                    <w:tr2bl w:val="nil"/>
                  </w:tcBorders>
                  <w:vAlign w:val="center"/>
                </w:tcPr>
                <w:p w14:paraId="6EA806F5">
                  <w:pPr>
                    <w:widowControl/>
                    <w:jc w:val="center"/>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500</w:t>
                  </w:r>
                </w:p>
              </w:tc>
              <w:tc>
                <w:tcPr>
                  <w:tcW w:w="1327" w:type="dxa"/>
                  <w:tcBorders>
                    <w:tl2br w:val="nil"/>
                    <w:tr2bl w:val="nil"/>
                  </w:tcBorders>
                  <w:vAlign w:val="center"/>
                </w:tcPr>
                <w:p w14:paraId="4BD0F8EB">
                  <w:pPr>
                    <w:widowControl/>
                    <w:jc w:val="center"/>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500</w:t>
                  </w:r>
                </w:p>
              </w:tc>
              <w:tc>
                <w:tcPr>
                  <w:tcW w:w="1329" w:type="dxa"/>
                  <w:tcBorders>
                    <w:tl2br w:val="nil"/>
                    <w:tr2bl w:val="nil"/>
                  </w:tcBorders>
                  <w:vAlign w:val="center"/>
                </w:tcPr>
                <w:p w14:paraId="5D473253">
                  <w:pPr>
                    <w:widowControl/>
                    <w:jc w:val="center"/>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300</w:t>
                  </w:r>
                </w:p>
              </w:tc>
            </w:tr>
            <w:tr w14:paraId="068E8AAA">
              <w:tblPrEx>
                <w:tblBorders>
                  <w:top w:val="single" w:color="auto" w:sz="12" w:space="0"/>
                  <w:left w:val="none" w:color="auto" w:sz="0" w:space="0"/>
                  <w:bottom w:val="single" w:color="auto" w:sz="12" w:space="0"/>
                  <w:right w:val="none" w:color="auto" w:sz="0" w:space="0"/>
                  <w:insideH w:val="single" w:color="auto" w:sz="6" w:space="0"/>
                  <w:insideV w:val="single" w:color="auto" w:sz="4" w:space="0"/>
                </w:tblBorders>
                <w:tblCellMar>
                  <w:top w:w="0" w:type="dxa"/>
                  <w:left w:w="108" w:type="dxa"/>
                  <w:bottom w:w="0" w:type="dxa"/>
                  <w:right w:w="108" w:type="dxa"/>
                </w:tblCellMar>
              </w:tblPrEx>
              <w:trPr>
                <w:trHeight w:val="277" w:hRule="atLeast"/>
              </w:trPr>
              <w:tc>
                <w:tcPr>
                  <w:tcW w:w="715" w:type="dxa"/>
                  <w:vMerge w:val="continue"/>
                  <w:tcBorders>
                    <w:tl2br w:val="nil"/>
                    <w:tr2bl w:val="nil"/>
                  </w:tcBorders>
                  <w:vAlign w:val="center"/>
                </w:tcPr>
                <w:p w14:paraId="30C005F3">
                  <w:pPr>
                    <w:widowControl/>
                    <w:jc w:val="center"/>
                    <w:rPr>
                      <w:rFonts w:hint="default" w:ascii="Times New Roman" w:hAnsi="Times New Roman" w:eastAsia="宋体" w:cs="Times New Roman"/>
                      <w:color w:val="auto"/>
                      <w:kern w:val="0"/>
                      <w:sz w:val="21"/>
                      <w:szCs w:val="21"/>
                      <w:highlight w:val="none"/>
                      <w:lang w:bidi="ar-SA"/>
                    </w:rPr>
                  </w:pPr>
                </w:p>
              </w:tc>
              <w:tc>
                <w:tcPr>
                  <w:tcW w:w="800" w:type="dxa"/>
                  <w:tcBorders>
                    <w:tl2br w:val="nil"/>
                    <w:tr2bl w:val="nil"/>
                  </w:tcBorders>
                  <w:vAlign w:val="center"/>
                </w:tcPr>
                <w:p w14:paraId="2F7C1EFF">
                  <w:pPr>
                    <w:widowControl/>
                    <w:jc w:val="center"/>
                    <w:rPr>
                      <w:rFonts w:hint="default" w:ascii="Times New Roman" w:hAnsi="Times New Roman" w:eastAsia="宋体" w:cs="Times New Roman"/>
                      <w:color w:val="auto"/>
                      <w:kern w:val="0"/>
                      <w:sz w:val="21"/>
                      <w:szCs w:val="21"/>
                      <w:highlight w:val="none"/>
                      <w:lang w:bidi="ar-SA"/>
                    </w:rPr>
                  </w:pPr>
                  <w:r>
                    <w:rPr>
                      <w:rFonts w:hint="default" w:ascii="Times New Roman" w:hAnsi="Times New Roman" w:eastAsia="宋体" w:cs="Times New Roman"/>
                      <w:color w:val="auto"/>
                      <w:kern w:val="0"/>
                      <w:sz w:val="21"/>
                      <w:szCs w:val="21"/>
                      <w:highlight w:val="none"/>
                      <w:lang w:bidi="ar-SA"/>
                    </w:rPr>
                    <w:t>出水</w:t>
                  </w:r>
                </w:p>
              </w:tc>
              <w:tc>
                <w:tcPr>
                  <w:tcW w:w="1327" w:type="dxa"/>
                  <w:tcBorders>
                    <w:tl2br w:val="nil"/>
                    <w:tr2bl w:val="nil"/>
                  </w:tcBorders>
                  <w:shd w:val="clear" w:color="auto" w:fill="auto"/>
                  <w:vAlign w:val="center"/>
                </w:tcPr>
                <w:p w14:paraId="02C99F0A">
                  <w:pPr>
                    <w:widowControl/>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6~9</w:t>
                  </w:r>
                </w:p>
              </w:tc>
              <w:tc>
                <w:tcPr>
                  <w:tcW w:w="1327" w:type="dxa"/>
                  <w:tcBorders>
                    <w:tl2br w:val="nil"/>
                    <w:tr2bl w:val="nil"/>
                  </w:tcBorders>
                  <w:shd w:val="clear" w:color="auto" w:fill="auto"/>
                  <w:vAlign w:val="center"/>
                </w:tcPr>
                <w:p w14:paraId="0D60C637">
                  <w:pPr>
                    <w:widowControl/>
                    <w:jc w:val="center"/>
                    <w:rPr>
                      <w:rFonts w:hint="default" w:ascii="Times New Roman" w:hAnsi="Times New Roman" w:eastAsia="宋体" w:cs="Times New Roman"/>
                      <w:bCs/>
                      <w:color w:val="auto"/>
                      <w:kern w:val="0"/>
                      <w:sz w:val="21"/>
                      <w:szCs w:val="21"/>
                      <w:highlight w:val="none"/>
                      <w:lang w:val="en-US" w:eastAsia="zh-CN" w:bidi="ar-SA"/>
                    </w:rPr>
                  </w:pPr>
                  <w:r>
                    <w:rPr>
                      <w:rFonts w:hint="eastAsia" w:ascii="Times New Roman" w:hAnsi="Times New Roman" w:eastAsia="宋体" w:cs="Times New Roman"/>
                      <w:bCs/>
                      <w:color w:val="auto"/>
                      <w:kern w:val="0"/>
                      <w:sz w:val="21"/>
                      <w:szCs w:val="21"/>
                      <w:highlight w:val="none"/>
                      <w:lang w:val="en-US" w:eastAsia="zh-CN" w:bidi="ar-SA"/>
                    </w:rPr>
                    <w:t>600</w:t>
                  </w:r>
                </w:p>
              </w:tc>
              <w:tc>
                <w:tcPr>
                  <w:tcW w:w="1327" w:type="dxa"/>
                  <w:tcBorders>
                    <w:tl2br w:val="nil"/>
                    <w:tr2bl w:val="nil"/>
                  </w:tcBorders>
                  <w:shd w:val="clear" w:color="auto" w:fill="auto"/>
                  <w:vAlign w:val="center"/>
                </w:tcPr>
                <w:p w14:paraId="37CC5A73">
                  <w:pPr>
                    <w:widowControl/>
                    <w:jc w:val="center"/>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500</w:t>
                  </w:r>
                </w:p>
              </w:tc>
              <w:tc>
                <w:tcPr>
                  <w:tcW w:w="1327" w:type="dxa"/>
                  <w:tcBorders>
                    <w:tl2br w:val="nil"/>
                    <w:tr2bl w:val="nil"/>
                  </w:tcBorders>
                  <w:shd w:val="clear" w:color="auto" w:fill="auto"/>
                  <w:vAlign w:val="center"/>
                </w:tcPr>
                <w:p w14:paraId="7A9A9047">
                  <w:pPr>
                    <w:widowControl/>
                    <w:jc w:val="center"/>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500</w:t>
                  </w:r>
                </w:p>
              </w:tc>
              <w:tc>
                <w:tcPr>
                  <w:tcW w:w="1329" w:type="dxa"/>
                  <w:tcBorders>
                    <w:tl2br w:val="nil"/>
                    <w:tr2bl w:val="nil"/>
                  </w:tcBorders>
                  <w:shd w:val="clear" w:color="auto" w:fill="auto"/>
                  <w:vAlign w:val="center"/>
                </w:tcPr>
                <w:p w14:paraId="6438D78A">
                  <w:pPr>
                    <w:widowControl/>
                    <w:jc w:val="center"/>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300</w:t>
                  </w:r>
                </w:p>
              </w:tc>
            </w:tr>
            <w:tr w14:paraId="660CBF11">
              <w:tblPrEx>
                <w:tblBorders>
                  <w:top w:val="single" w:color="auto" w:sz="12" w:space="0"/>
                  <w:left w:val="none" w:color="auto" w:sz="0" w:space="0"/>
                  <w:bottom w:val="single" w:color="auto" w:sz="12" w:space="0"/>
                  <w:right w:val="none" w:color="auto" w:sz="0" w:space="0"/>
                  <w:insideH w:val="single" w:color="auto" w:sz="6" w:space="0"/>
                  <w:insideV w:val="single" w:color="auto" w:sz="4" w:space="0"/>
                </w:tblBorders>
                <w:tblCellMar>
                  <w:top w:w="0" w:type="dxa"/>
                  <w:left w:w="108" w:type="dxa"/>
                  <w:bottom w:w="0" w:type="dxa"/>
                  <w:right w:w="108" w:type="dxa"/>
                </w:tblCellMar>
              </w:tblPrEx>
              <w:trPr>
                <w:trHeight w:val="235" w:hRule="atLeast"/>
              </w:trPr>
              <w:tc>
                <w:tcPr>
                  <w:tcW w:w="715" w:type="dxa"/>
                  <w:vMerge w:val="continue"/>
                  <w:tcBorders>
                    <w:tl2br w:val="nil"/>
                    <w:tr2bl w:val="nil"/>
                  </w:tcBorders>
                  <w:vAlign w:val="center"/>
                </w:tcPr>
                <w:p w14:paraId="0232FC06">
                  <w:pPr>
                    <w:widowControl/>
                    <w:jc w:val="center"/>
                    <w:rPr>
                      <w:rFonts w:hint="default" w:ascii="Times New Roman" w:hAnsi="Times New Roman" w:eastAsia="宋体" w:cs="Times New Roman"/>
                      <w:color w:val="auto"/>
                      <w:kern w:val="0"/>
                      <w:sz w:val="21"/>
                      <w:szCs w:val="21"/>
                      <w:highlight w:val="none"/>
                      <w:lang w:bidi="ar-SA"/>
                    </w:rPr>
                  </w:pPr>
                </w:p>
              </w:tc>
              <w:tc>
                <w:tcPr>
                  <w:tcW w:w="800" w:type="dxa"/>
                  <w:tcBorders>
                    <w:tl2br w:val="nil"/>
                    <w:tr2bl w:val="nil"/>
                  </w:tcBorders>
                  <w:vAlign w:val="center"/>
                </w:tcPr>
                <w:p w14:paraId="61DC064A">
                  <w:pPr>
                    <w:widowControl/>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bidi="ar-SA"/>
                    </w:rPr>
                    <w:t>去除率</w:t>
                  </w:r>
                  <w:r>
                    <w:rPr>
                      <w:rFonts w:hint="eastAsia" w:ascii="Times New Roman" w:hAnsi="Times New Roman" w:eastAsia="宋体" w:cs="Times New Roman"/>
                      <w:color w:val="auto"/>
                      <w:kern w:val="0"/>
                      <w:sz w:val="21"/>
                      <w:szCs w:val="21"/>
                      <w:highlight w:val="none"/>
                      <w:lang w:val="en-US" w:eastAsia="zh-CN" w:bidi="ar-SA"/>
                    </w:rPr>
                    <w:t>/%</w:t>
                  </w:r>
                </w:p>
              </w:tc>
              <w:tc>
                <w:tcPr>
                  <w:tcW w:w="1327" w:type="dxa"/>
                  <w:tcBorders>
                    <w:tl2br w:val="nil"/>
                    <w:tr2bl w:val="nil"/>
                  </w:tcBorders>
                  <w:vAlign w:val="center"/>
                </w:tcPr>
                <w:p w14:paraId="3587D225">
                  <w:pPr>
                    <w:widowControl/>
                    <w:jc w:val="center"/>
                    <w:rPr>
                      <w:rFonts w:hint="eastAsia" w:ascii="Times New Roman" w:hAnsi="Times New Roman" w:eastAsia="宋体" w:cs="Times New Roman"/>
                      <w:color w:val="auto"/>
                      <w:kern w:val="0"/>
                      <w:sz w:val="21"/>
                      <w:szCs w:val="21"/>
                      <w:highlight w:val="none"/>
                      <w:lang w:eastAsia="zh-CN" w:bidi="ar-SA"/>
                    </w:rPr>
                  </w:pPr>
                  <w:r>
                    <w:rPr>
                      <w:rFonts w:hint="eastAsia" w:ascii="Times New Roman" w:hAnsi="Times New Roman" w:eastAsia="宋体" w:cs="Times New Roman"/>
                      <w:color w:val="auto"/>
                      <w:kern w:val="0"/>
                      <w:sz w:val="21"/>
                      <w:szCs w:val="21"/>
                      <w:highlight w:val="none"/>
                      <w:lang w:val="en-US" w:eastAsia="zh-CN" w:bidi="ar-SA"/>
                    </w:rPr>
                    <w:t>/</w:t>
                  </w:r>
                </w:p>
              </w:tc>
              <w:tc>
                <w:tcPr>
                  <w:tcW w:w="1327" w:type="dxa"/>
                  <w:tcBorders>
                    <w:tl2br w:val="nil"/>
                    <w:tr2bl w:val="nil"/>
                  </w:tcBorders>
                  <w:vAlign w:val="center"/>
                </w:tcPr>
                <w:p w14:paraId="1929B473">
                  <w:pPr>
                    <w:widowControl/>
                    <w:jc w:val="center"/>
                    <w:rPr>
                      <w:rFonts w:hint="default" w:ascii="Times New Roman" w:hAnsi="Times New Roman" w:eastAsia="宋体" w:cs="Times New Roman"/>
                      <w:color w:val="auto"/>
                      <w:kern w:val="0"/>
                      <w:sz w:val="21"/>
                      <w:szCs w:val="21"/>
                      <w:highlight w:val="none"/>
                      <w:lang w:bidi="ar-SA"/>
                    </w:rPr>
                  </w:pPr>
                  <w:r>
                    <w:rPr>
                      <w:rFonts w:hint="default" w:ascii="Times New Roman" w:hAnsi="Times New Roman" w:cs="Times New Roman"/>
                      <w:bCs/>
                      <w:color w:val="auto"/>
                      <w:kern w:val="0"/>
                      <w:sz w:val="21"/>
                      <w:szCs w:val="21"/>
                      <w:highlight w:val="none"/>
                    </w:rPr>
                    <w:t>0</w:t>
                  </w:r>
                </w:p>
              </w:tc>
              <w:tc>
                <w:tcPr>
                  <w:tcW w:w="1327" w:type="dxa"/>
                  <w:tcBorders>
                    <w:tl2br w:val="nil"/>
                    <w:tr2bl w:val="nil"/>
                  </w:tcBorders>
                  <w:vAlign w:val="center"/>
                </w:tcPr>
                <w:p w14:paraId="3A694BA8">
                  <w:pPr>
                    <w:widowControl/>
                    <w:jc w:val="center"/>
                    <w:rPr>
                      <w:rFonts w:hint="default" w:ascii="Times New Roman" w:hAnsi="Times New Roman" w:eastAsia="宋体" w:cs="Times New Roman"/>
                      <w:color w:val="auto"/>
                      <w:kern w:val="0"/>
                      <w:sz w:val="21"/>
                      <w:szCs w:val="21"/>
                      <w:highlight w:val="none"/>
                      <w:lang w:bidi="ar-SA"/>
                    </w:rPr>
                  </w:pPr>
                  <w:r>
                    <w:rPr>
                      <w:rFonts w:hint="default" w:ascii="Times New Roman" w:hAnsi="Times New Roman" w:cs="Times New Roman"/>
                      <w:color w:val="auto"/>
                      <w:kern w:val="0"/>
                      <w:sz w:val="21"/>
                      <w:szCs w:val="21"/>
                      <w:highlight w:val="none"/>
                    </w:rPr>
                    <w:t>0</w:t>
                  </w:r>
                </w:p>
              </w:tc>
              <w:tc>
                <w:tcPr>
                  <w:tcW w:w="1327" w:type="dxa"/>
                  <w:tcBorders>
                    <w:tl2br w:val="nil"/>
                    <w:tr2bl w:val="nil"/>
                  </w:tcBorders>
                  <w:vAlign w:val="center"/>
                </w:tcPr>
                <w:p w14:paraId="69A693A7">
                  <w:pPr>
                    <w:widowControl/>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kern w:val="0"/>
                      <w:sz w:val="21"/>
                      <w:szCs w:val="21"/>
                      <w:highlight w:val="none"/>
                      <w:lang w:val="en-US" w:eastAsia="zh-CN"/>
                    </w:rPr>
                    <w:t>0</w:t>
                  </w:r>
                </w:p>
              </w:tc>
              <w:tc>
                <w:tcPr>
                  <w:tcW w:w="1329" w:type="dxa"/>
                  <w:tcBorders>
                    <w:tl2br w:val="nil"/>
                    <w:tr2bl w:val="nil"/>
                  </w:tcBorders>
                  <w:vAlign w:val="center"/>
                </w:tcPr>
                <w:p w14:paraId="3D5BD8DF">
                  <w:pPr>
                    <w:widowControl/>
                    <w:jc w:val="center"/>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rPr>
                    <w:t>0</w:t>
                  </w:r>
                </w:p>
              </w:tc>
            </w:tr>
            <w:tr w14:paraId="21941A56">
              <w:tblPrEx>
                <w:tblBorders>
                  <w:top w:val="single" w:color="auto" w:sz="12" w:space="0"/>
                  <w:left w:val="none" w:color="auto" w:sz="0" w:space="0"/>
                  <w:bottom w:val="single" w:color="auto" w:sz="12" w:space="0"/>
                  <w:right w:val="none" w:color="auto" w:sz="0" w:space="0"/>
                  <w:insideH w:val="single" w:color="auto" w:sz="6" w:space="0"/>
                  <w:insideV w:val="single" w:color="auto" w:sz="4" w:space="0"/>
                </w:tblBorders>
                <w:tblCellMar>
                  <w:top w:w="0" w:type="dxa"/>
                  <w:left w:w="108" w:type="dxa"/>
                  <w:bottom w:w="0" w:type="dxa"/>
                  <w:right w:w="108" w:type="dxa"/>
                </w:tblCellMar>
              </w:tblPrEx>
              <w:trPr>
                <w:trHeight w:val="277" w:hRule="atLeast"/>
              </w:trPr>
              <w:tc>
                <w:tcPr>
                  <w:tcW w:w="715" w:type="dxa"/>
                  <w:vMerge w:val="restart"/>
                  <w:tcBorders>
                    <w:tl2br w:val="nil"/>
                    <w:tr2bl w:val="nil"/>
                  </w:tcBorders>
                  <w:vAlign w:val="center"/>
                </w:tcPr>
                <w:p w14:paraId="151253C6">
                  <w:pPr>
                    <w:widowControl/>
                    <w:jc w:val="center"/>
                    <w:rPr>
                      <w:rFonts w:hint="default" w:ascii="Times New Roman" w:hAnsi="Times New Roman" w:eastAsia="宋体" w:cs="Times New Roman"/>
                      <w:color w:val="auto"/>
                      <w:kern w:val="0"/>
                      <w:sz w:val="21"/>
                      <w:szCs w:val="21"/>
                      <w:highlight w:val="none"/>
                      <w:lang w:val="en-US" w:bidi="ar-SA"/>
                    </w:rPr>
                  </w:pPr>
                  <w:r>
                    <w:rPr>
                      <w:rFonts w:hint="eastAsia" w:ascii="Times New Roman" w:hAnsi="Times New Roman" w:eastAsia="宋体" w:cs="Times New Roman"/>
                      <w:color w:val="auto"/>
                      <w:kern w:val="0"/>
                      <w:sz w:val="21"/>
                      <w:szCs w:val="21"/>
                      <w:highlight w:val="none"/>
                      <w:lang w:val="en-US" w:eastAsia="zh-CN" w:bidi="ar-SA"/>
                    </w:rPr>
                    <w:t>预过滤+三相分离器</w:t>
                  </w:r>
                </w:p>
              </w:tc>
              <w:tc>
                <w:tcPr>
                  <w:tcW w:w="800" w:type="dxa"/>
                  <w:tcBorders>
                    <w:tl2br w:val="nil"/>
                    <w:tr2bl w:val="nil"/>
                  </w:tcBorders>
                  <w:vAlign w:val="center"/>
                </w:tcPr>
                <w:p w14:paraId="0292F9BE">
                  <w:pPr>
                    <w:widowControl/>
                    <w:jc w:val="center"/>
                    <w:rPr>
                      <w:rFonts w:hint="default" w:ascii="Times New Roman" w:hAnsi="Times New Roman" w:eastAsia="宋体" w:cs="Times New Roman"/>
                      <w:color w:val="auto"/>
                      <w:kern w:val="0"/>
                      <w:sz w:val="21"/>
                      <w:szCs w:val="21"/>
                      <w:highlight w:val="none"/>
                      <w:lang w:bidi="ar-SA"/>
                    </w:rPr>
                  </w:pPr>
                  <w:r>
                    <w:rPr>
                      <w:rFonts w:hint="default" w:ascii="Times New Roman" w:hAnsi="Times New Roman" w:eastAsia="宋体" w:cs="Times New Roman"/>
                      <w:color w:val="auto"/>
                      <w:kern w:val="0"/>
                      <w:sz w:val="21"/>
                      <w:szCs w:val="21"/>
                      <w:highlight w:val="none"/>
                      <w:lang w:bidi="ar-SA"/>
                    </w:rPr>
                    <w:t>进水</w:t>
                  </w:r>
                </w:p>
              </w:tc>
              <w:tc>
                <w:tcPr>
                  <w:tcW w:w="1327" w:type="dxa"/>
                  <w:tcBorders>
                    <w:tl2br w:val="nil"/>
                    <w:tr2bl w:val="nil"/>
                  </w:tcBorders>
                  <w:shd w:val="clear" w:color="auto" w:fill="auto"/>
                  <w:vAlign w:val="center"/>
                </w:tcPr>
                <w:p w14:paraId="05DB0EDE">
                  <w:pPr>
                    <w:widowControl/>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6~9</w:t>
                  </w:r>
                </w:p>
              </w:tc>
              <w:tc>
                <w:tcPr>
                  <w:tcW w:w="1327" w:type="dxa"/>
                  <w:tcBorders>
                    <w:tl2br w:val="nil"/>
                    <w:tr2bl w:val="nil"/>
                  </w:tcBorders>
                  <w:shd w:val="clear" w:color="auto" w:fill="auto"/>
                  <w:vAlign w:val="center"/>
                </w:tcPr>
                <w:p w14:paraId="39224076">
                  <w:pPr>
                    <w:widowControl/>
                    <w:jc w:val="center"/>
                    <w:rPr>
                      <w:rFonts w:hint="default" w:ascii="Times New Roman" w:hAnsi="Times New Roman" w:eastAsia="宋体" w:cs="Times New Roman"/>
                      <w:bCs/>
                      <w:color w:val="auto"/>
                      <w:kern w:val="0"/>
                      <w:sz w:val="21"/>
                      <w:szCs w:val="21"/>
                      <w:highlight w:val="none"/>
                      <w:lang w:val="en-US" w:eastAsia="zh-CN" w:bidi="ar-SA"/>
                    </w:rPr>
                  </w:pPr>
                  <w:r>
                    <w:rPr>
                      <w:rFonts w:hint="eastAsia" w:ascii="Times New Roman" w:hAnsi="Times New Roman" w:eastAsia="宋体" w:cs="Times New Roman"/>
                      <w:bCs/>
                      <w:color w:val="auto"/>
                      <w:kern w:val="0"/>
                      <w:sz w:val="21"/>
                      <w:szCs w:val="21"/>
                      <w:highlight w:val="none"/>
                      <w:lang w:val="en-US" w:eastAsia="zh-CN" w:bidi="ar-SA"/>
                    </w:rPr>
                    <w:t>600</w:t>
                  </w:r>
                </w:p>
              </w:tc>
              <w:tc>
                <w:tcPr>
                  <w:tcW w:w="1327" w:type="dxa"/>
                  <w:tcBorders>
                    <w:tl2br w:val="nil"/>
                    <w:tr2bl w:val="nil"/>
                  </w:tcBorders>
                  <w:shd w:val="clear" w:color="auto" w:fill="auto"/>
                  <w:vAlign w:val="center"/>
                </w:tcPr>
                <w:p w14:paraId="09CFBDF7">
                  <w:pPr>
                    <w:widowControl/>
                    <w:jc w:val="center"/>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500</w:t>
                  </w:r>
                </w:p>
              </w:tc>
              <w:tc>
                <w:tcPr>
                  <w:tcW w:w="1327" w:type="dxa"/>
                  <w:tcBorders>
                    <w:tl2br w:val="nil"/>
                    <w:tr2bl w:val="nil"/>
                  </w:tcBorders>
                  <w:shd w:val="clear" w:color="auto" w:fill="auto"/>
                  <w:vAlign w:val="center"/>
                </w:tcPr>
                <w:p w14:paraId="40CA844C">
                  <w:pPr>
                    <w:widowControl/>
                    <w:jc w:val="center"/>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500</w:t>
                  </w:r>
                </w:p>
              </w:tc>
              <w:tc>
                <w:tcPr>
                  <w:tcW w:w="1329" w:type="dxa"/>
                  <w:tcBorders>
                    <w:tl2br w:val="nil"/>
                    <w:tr2bl w:val="nil"/>
                  </w:tcBorders>
                  <w:shd w:val="clear" w:color="auto" w:fill="auto"/>
                  <w:vAlign w:val="center"/>
                </w:tcPr>
                <w:p w14:paraId="773E044D">
                  <w:pPr>
                    <w:widowControl/>
                    <w:jc w:val="center"/>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300</w:t>
                  </w:r>
                </w:p>
              </w:tc>
            </w:tr>
            <w:tr w14:paraId="3B7380A3">
              <w:tblPrEx>
                <w:tblBorders>
                  <w:top w:val="single" w:color="auto" w:sz="12" w:space="0"/>
                  <w:left w:val="none" w:color="auto" w:sz="0" w:space="0"/>
                  <w:bottom w:val="single" w:color="auto" w:sz="12" w:space="0"/>
                  <w:right w:val="none" w:color="auto" w:sz="0" w:space="0"/>
                  <w:insideH w:val="single" w:color="auto" w:sz="6" w:space="0"/>
                  <w:insideV w:val="single" w:color="auto" w:sz="4" w:space="0"/>
                </w:tblBorders>
                <w:tblCellMar>
                  <w:top w:w="0" w:type="dxa"/>
                  <w:left w:w="108" w:type="dxa"/>
                  <w:bottom w:w="0" w:type="dxa"/>
                  <w:right w:w="108" w:type="dxa"/>
                </w:tblCellMar>
              </w:tblPrEx>
              <w:trPr>
                <w:trHeight w:val="277" w:hRule="atLeast"/>
              </w:trPr>
              <w:tc>
                <w:tcPr>
                  <w:tcW w:w="715" w:type="dxa"/>
                  <w:vMerge w:val="continue"/>
                  <w:tcBorders>
                    <w:tl2br w:val="nil"/>
                    <w:tr2bl w:val="nil"/>
                  </w:tcBorders>
                  <w:vAlign w:val="center"/>
                </w:tcPr>
                <w:p w14:paraId="4436225D">
                  <w:pPr>
                    <w:widowControl/>
                    <w:jc w:val="center"/>
                    <w:rPr>
                      <w:rFonts w:hint="default" w:ascii="Times New Roman" w:hAnsi="Times New Roman" w:eastAsia="宋体" w:cs="Times New Roman"/>
                      <w:color w:val="auto"/>
                      <w:kern w:val="0"/>
                      <w:sz w:val="21"/>
                      <w:szCs w:val="21"/>
                      <w:highlight w:val="none"/>
                      <w:lang w:bidi="ar-SA"/>
                    </w:rPr>
                  </w:pPr>
                </w:p>
              </w:tc>
              <w:tc>
                <w:tcPr>
                  <w:tcW w:w="800" w:type="dxa"/>
                  <w:tcBorders>
                    <w:tl2br w:val="nil"/>
                    <w:tr2bl w:val="nil"/>
                  </w:tcBorders>
                  <w:vAlign w:val="center"/>
                </w:tcPr>
                <w:p w14:paraId="09514D3E">
                  <w:pPr>
                    <w:widowControl/>
                    <w:jc w:val="center"/>
                    <w:rPr>
                      <w:rFonts w:hint="default" w:ascii="Times New Roman" w:hAnsi="Times New Roman" w:eastAsia="宋体" w:cs="Times New Roman"/>
                      <w:color w:val="auto"/>
                      <w:kern w:val="0"/>
                      <w:sz w:val="21"/>
                      <w:szCs w:val="21"/>
                      <w:highlight w:val="none"/>
                      <w:lang w:bidi="ar-SA"/>
                    </w:rPr>
                  </w:pPr>
                  <w:r>
                    <w:rPr>
                      <w:rFonts w:hint="default" w:ascii="Times New Roman" w:hAnsi="Times New Roman" w:eastAsia="宋体" w:cs="Times New Roman"/>
                      <w:color w:val="auto"/>
                      <w:kern w:val="0"/>
                      <w:sz w:val="21"/>
                      <w:szCs w:val="21"/>
                      <w:highlight w:val="none"/>
                      <w:lang w:bidi="ar-SA"/>
                    </w:rPr>
                    <w:t>出水</w:t>
                  </w:r>
                </w:p>
              </w:tc>
              <w:tc>
                <w:tcPr>
                  <w:tcW w:w="1327" w:type="dxa"/>
                  <w:tcBorders>
                    <w:tl2br w:val="nil"/>
                    <w:tr2bl w:val="nil"/>
                  </w:tcBorders>
                  <w:vAlign w:val="center"/>
                </w:tcPr>
                <w:p w14:paraId="606621B7">
                  <w:pPr>
                    <w:widowControl/>
                    <w:jc w:val="center"/>
                    <w:rPr>
                      <w:rFonts w:hint="default" w:ascii="Times New Roman" w:hAnsi="Times New Roman" w:eastAsia="宋体" w:cs="Times New Roman"/>
                      <w:color w:val="auto"/>
                      <w:kern w:val="0"/>
                      <w:sz w:val="21"/>
                      <w:szCs w:val="21"/>
                      <w:highlight w:val="none"/>
                      <w:lang w:bidi="ar-SA"/>
                    </w:rPr>
                  </w:pPr>
                  <w:r>
                    <w:rPr>
                      <w:rFonts w:hint="default" w:ascii="Times New Roman" w:hAnsi="Times New Roman" w:eastAsia="宋体" w:cs="Times New Roman"/>
                      <w:color w:val="auto"/>
                      <w:kern w:val="0"/>
                      <w:sz w:val="21"/>
                      <w:szCs w:val="21"/>
                      <w:highlight w:val="none"/>
                      <w:lang w:val="en-US" w:eastAsia="zh-CN" w:bidi="ar-SA"/>
                    </w:rPr>
                    <w:t>6~9</w:t>
                  </w:r>
                </w:p>
              </w:tc>
              <w:tc>
                <w:tcPr>
                  <w:tcW w:w="1327" w:type="dxa"/>
                  <w:tcBorders>
                    <w:tl2br w:val="nil"/>
                    <w:tr2bl w:val="nil"/>
                  </w:tcBorders>
                  <w:vAlign w:val="center"/>
                </w:tcPr>
                <w:p w14:paraId="4B496AED">
                  <w:pPr>
                    <w:widowControl/>
                    <w:jc w:val="center"/>
                    <w:rPr>
                      <w:rFonts w:hint="default" w:ascii="Times New Roman" w:hAnsi="Times New Roman" w:eastAsia="宋体" w:cs="Times New Roman"/>
                      <w:bCs/>
                      <w:color w:val="auto"/>
                      <w:kern w:val="0"/>
                      <w:sz w:val="21"/>
                      <w:szCs w:val="21"/>
                      <w:highlight w:val="none"/>
                      <w:lang w:val="en-US" w:eastAsia="zh-CN" w:bidi="ar-SA"/>
                    </w:rPr>
                  </w:pPr>
                  <w:r>
                    <w:rPr>
                      <w:rFonts w:hint="eastAsia" w:ascii="Times New Roman" w:hAnsi="Times New Roman" w:eastAsia="宋体" w:cs="Times New Roman"/>
                      <w:bCs/>
                      <w:color w:val="auto"/>
                      <w:kern w:val="0"/>
                      <w:sz w:val="21"/>
                      <w:szCs w:val="21"/>
                      <w:highlight w:val="none"/>
                      <w:lang w:val="en-US" w:eastAsia="zh-CN" w:bidi="ar-SA"/>
                    </w:rPr>
                    <w:t>600</w:t>
                  </w:r>
                </w:p>
              </w:tc>
              <w:tc>
                <w:tcPr>
                  <w:tcW w:w="1327" w:type="dxa"/>
                  <w:tcBorders>
                    <w:tl2br w:val="nil"/>
                    <w:tr2bl w:val="nil"/>
                  </w:tcBorders>
                  <w:vAlign w:val="center"/>
                </w:tcPr>
                <w:p w14:paraId="7D3E1E01">
                  <w:pPr>
                    <w:widowControl/>
                    <w:jc w:val="center"/>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50</w:t>
                  </w:r>
                </w:p>
              </w:tc>
              <w:tc>
                <w:tcPr>
                  <w:tcW w:w="1327" w:type="dxa"/>
                  <w:tcBorders>
                    <w:tl2br w:val="nil"/>
                    <w:tr2bl w:val="nil"/>
                  </w:tcBorders>
                  <w:shd w:val="clear" w:color="auto" w:fill="auto"/>
                  <w:vAlign w:val="center"/>
                </w:tcPr>
                <w:p w14:paraId="1CBC2F52">
                  <w:pPr>
                    <w:widowControl/>
                    <w:jc w:val="center"/>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500</w:t>
                  </w:r>
                </w:p>
              </w:tc>
              <w:tc>
                <w:tcPr>
                  <w:tcW w:w="1329" w:type="dxa"/>
                  <w:tcBorders>
                    <w:tl2br w:val="nil"/>
                    <w:tr2bl w:val="nil"/>
                  </w:tcBorders>
                  <w:shd w:val="clear" w:color="auto" w:fill="auto"/>
                  <w:vAlign w:val="center"/>
                </w:tcPr>
                <w:p w14:paraId="2316D7EE">
                  <w:pPr>
                    <w:widowControl/>
                    <w:jc w:val="center"/>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30</w:t>
                  </w:r>
                </w:p>
              </w:tc>
            </w:tr>
            <w:tr w14:paraId="35492982">
              <w:tblPrEx>
                <w:tblBorders>
                  <w:top w:val="single" w:color="auto" w:sz="12" w:space="0"/>
                  <w:left w:val="none" w:color="auto" w:sz="0" w:space="0"/>
                  <w:bottom w:val="single" w:color="auto" w:sz="12" w:space="0"/>
                  <w:right w:val="none" w:color="auto" w:sz="0" w:space="0"/>
                  <w:insideH w:val="single" w:color="auto" w:sz="6" w:space="0"/>
                  <w:insideV w:val="single" w:color="auto" w:sz="4" w:space="0"/>
                </w:tblBorders>
                <w:tblCellMar>
                  <w:top w:w="0" w:type="dxa"/>
                  <w:left w:w="108" w:type="dxa"/>
                  <w:bottom w:w="0" w:type="dxa"/>
                  <w:right w:w="108" w:type="dxa"/>
                </w:tblCellMar>
              </w:tblPrEx>
              <w:trPr>
                <w:trHeight w:val="235" w:hRule="atLeast"/>
              </w:trPr>
              <w:tc>
                <w:tcPr>
                  <w:tcW w:w="715" w:type="dxa"/>
                  <w:vMerge w:val="continue"/>
                  <w:tcBorders>
                    <w:tl2br w:val="nil"/>
                    <w:tr2bl w:val="nil"/>
                  </w:tcBorders>
                  <w:vAlign w:val="center"/>
                </w:tcPr>
                <w:p w14:paraId="1625329A">
                  <w:pPr>
                    <w:widowControl/>
                    <w:jc w:val="center"/>
                    <w:rPr>
                      <w:rFonts w:hint="default" w:ascii="Times New Roman" w:hAnsi="Times New Roman" w:eastAsia="宋体" w:cs="Times New Roman"/>
                      <w:color w:val="auto"/>
                      <w:kern w:val="0"/>
                      <w:sz w:val="21"/>
                      <w:szCs w:val="21"/>
                      <w:highlight w:val="none"/>
                      <w:lang w:bidi="ar-SA"/>
                    </w:rPr>
                  </w:pPr>
                </w:p>
              </w:tc>
              <w:tc>
                <w:tcPr>
                  <w:tcW w:w="800" w:type="dxa"/>
                  <w:tcBorders>
                    <w:tl2br w:val="nil"/>
                    <w:tr2bl w:val="nil"/>
                  </w:tcBorders>
                  <w:vAlign w:val="center"/>
                </w:tcPr>
                <w:p w14:paraId="393B5B38">
                  <w:pPr>
                    <w:widowControl/>
                    <w:jc w:val="center"/>
                    <w:rPr>
                      <w:rFonts w:hint="default" w:ascii="Times New Roman" w:hAnsi="Times New Roman" w:eastAsia="宋体" w:cs="Times New Roman"/>
                      <w:color w:val="auto"/>
                      <w:kern w:val="0"/>
                      <w:sz w:val="21"/>
                      <w:szCs w:val="21"/>
                      <w:highlight w:val="none"/>
                      <w:lang w:bidi="ar-SA"/>
                    </w:rPr>
                  </w:pPr>
                  <w:r>
                    <w:rPr>
                      <w:rFonts w:hint="default" w:ascii="Times New Roman" w:hAnsi="Times New Roman" w:eastAsia="宋体" w:cs="Times New Roman"/>
                      <w:color w:val="auto"/>
                      <w:kern w:val="0"/>
                      <w:sz w:val="21"/>
                      <w:szCs w:val="21"/>
                      <w:highlight w:val="none"/>
                      <w:lang w:bidi="ar-SA"/>
                    </w:rPr>
                    <w:t>去除率</w:t>
                  </w:r>
                  <w:r>
                    <w:rPr>
                      <w:rFonts w:hint="eastAsia" w:ascii="Times New Roman" w:hAnsi="Times New Roman" w:eastAsia="宋体" w:cs="Times New Roman"/>
                      <w:color w:val="auto"/>
                      <w:kern w:val="0"/>
                      <w:sz w:val="21"/>
                      <w:szCs w:val="21"/>
                      <w:highlight w:val="none"/>
                      <w:lang w:val="en-US" w:eastAsia="zh-CN" w:bidi="ar-SA"/>
                    </w:rPr>
                    <w:t>/%</w:t>
                  </w:r>
                </w:p>
              </w:tc>
              <w:tc>
                <w:tcPr>
                  <w:tcW w:w="1327" w:type="dxa"/>
                  <w:tcBorders>
                    <w:tl2br w:val="nil"/>
                    <w:tr2bl w:val="nil"/>
                  </w:tcBorders>
                  <w:vAlign w:val="center"/>
                </w:tcPr>
                <w:p w14:paraId="7D2CE80A">
                  <w:pPr>
                    <w:widowControl/>
                    <w:jc w:val="center"/>
                    <w:rPr>
                      <w:rFonts w:hint="eastAsia" w:ascii="Times New Roman" w:hAnsi="Times New Roman" w:eastAsia="宋体" w:cs="Times New Roman"/>
                      <w:color w:val="auto"/>
                      <w:kern w:val="0"/>
                      <w:sz w:val="21"/>
                      <w:szCs w:val="21"/>
                      <w:highlight w:val="none"/>
                      <w:lang w:eastAsia="zh-CN" w:bidi="ar-SA"/>
                    </w:rPr>
                  </w:pPr>
                  <w:r>
                    <w:rPr>
                      <w:rFonts w:hint="eastAsia" w:ascii="Times New Roman" w:hAnsi="Times New Roman" w:eastAsia="宋体" w:cs="Times New Roman"/>
                      <w:color w:val="auto"/>
                      <w:kern w:val="0"/>
                      <w:sz w:val="21"/>
                      <w:szCs w:val="21"/>
                      <w:highlight w:val="none"/>
                      <w:lang w:val="en-US" w:eastAsia="zh-CN" w:bidi="ar-SA"/>
                    </w:rPr>
                    <w:t>/</w:t>
                  </w:r>
                </w:p>
              </w:tc>
              <w:tc>
                <w:tcPr>
                  <w:tcW w:w="1327" w:type="dxa"/>
                  <w:tcBorders>
                    <w:tl2br w:val="nil"/>
                    <w:tr2bl w:val="nil"/>
                  </w:tcBorders>
                  <w:vAlign w:val="center"/>
                </w:tcPr>
                <w:p w14:paraId="0E73FA17">
                  <w:pPr>
                    <w:widowControl/>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bCs/>
                      <w:color w:val="auto"/>
                      <w:kern w:val="0"/>
                      <w:sz w:val="21"/>
                      <w:szCs w:val="21"/>
                      <w:highlight w:val="none"/>
                    </w:rPr>
                    <w:t>0</w:t>
                  </w:r>
                </w:p>
              </w:tc>
              <w:tc>
                <w:tcPr>
                  <w:tcW w:w="1327" w:type="dxa"/>
                  <w:tcBorders>
                    <w:tl2br w:val="nil"/>
                    <w:tr2bl w:val="nil"/>
                  </w:tcBorders>
                  <w:vAlign w:val="center"/>
                </w:tcPr>
                <w:p w14:paraId="60F96F44">
                  <w:pPr>
                    <w:widowControl/>
                    <w:jc w:val="center"/>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90</w:t>
                  </w:r>
                </w:p>
              </w:tc>
              <w:tc>
                <w:tcPr>
                  <w:tcW w:w="1327" w:type="dxa"/>
                  <w:tcBorders>
                    <w:tl2br w:val="nil"/>
                    <w:tr2bl w:val="nil"/>
                  </w:tcBorders>
                  <w:vAlign w:val="center"/>
                </w:tcPr>
                <w:p w14:paraId="47080B6E">
                  <w:pPr>
                    <w:widowControl/>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bCs/>
                      <w:color w:val="auto"/>
                      <w:kern w:val="0"/>
                      <w:sz w:val="21"/>
                      <w:szCs w:val="21"/>
                      <w:highlight w:val="none"/>
                    </w:rPr>
                    <w:t>0</w:t>
                  </w:r>
                </w:p>
              </w:tc>
              <w:tc>
                <w:tcPr>
                  <w:tcW w:w="1329" w:type="dxa"/>
                  <w:tcBorders>
                    <w:tl2br w:val="nil"/>
                    <w:tr2bl w:val="nil"/>
                  </w:tcBorders>
                  <w:vAlign w:val="center"/>
                </w:tcPr>
                <w:p w14:paraId="107A5FA8">
                  <w:pPr>
                    <w:widowControl/>
                    <w:jc w:val="center"/>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90</w:t>
                  </w:r>
                </w:p>
              </w:tc>
            </w:tr>
            <w:tr w14:paraId="7026FC4A">
              <w:tblPrEx>
                <w:tblBorders>
                  <w:top w:val="single" w:color="auto" w:sz="12" w:space="0"/>
                  <w:left w:val="none" w:color="auto" w:sz="0" w:space="0"/>
                  <w:bottom w:val="single" w:color="auto" w:sz="12" w:space="0"/>
                  <w:right w:val="none" w:color="auto" w:sz="0" w:space="0"/>
                  <w:insideH w:val="single" w:color="auto" w:sz="6" w:space="0"/>
                  <w:insideV w:val="single" w:color="auto" w:sz="4" w:space="0"/>
                </w:tblBorders>
                <w:tblCellMar>
                  <w:top w:w="0" w:type="dxa"/>
                  <w:left w:w="108" w:type="dxa"/>
                  <w:bottom w:w="0" w:type="dxa"/>
                  <w:right w:w="108" w:type="dxa"/>
                </w:tblCellMar>
              </w:tblPrEx>
              <w:trPr>
                <w:trHeight w:val="235" w:hRule="atLeast"/>
              </w:trPr>
              <w:tc>
                <w:tcPr>
                  <w:tcW w:w="715" w:type="dxa"/>
                  <w:vMerge w:val="restart"/>
                  <w:tcBorders>
                    <w:tl2br w:val="nil"/>
                    <w:tr2bl w:val="nil"/>
                  </w:tcBorders>
                  <w:vAlign w:val="center"/>
                </w:tcPr>
                <w:p w14:paraId="52937486">
                  <w:pPr>
                    <w:widowControl/>
                    <w:jc w:val="center"/>
                    <w:rPr>
                      <w:rFonts w:hint="default" w:ascii="Times New Roman" w:hAnsi="Times New Roman" w:eastAsia="宋体" w:cs="Times New Roman"/>
                      <w:color w:val="auto"/>
                      <w:kern w:val="0"/>
                      <w:sz w:val="21"/>
                      <w:szCs w:val="21"/>
                      <w:highlight w:val="none"/>
                      <w:lang w:bidi="ar-SA"/>
                    </w:rPr>
                  </w:pPr>
                  <w:r>
                    <w:rPr>
                      <w:rFonts w:hint="eastAsia" w:ascii="Times New Roman" w:hAnsi="Times New Roman" w:eastAsia="宋体" w:cs="Times New Roman"/>
                      <w:color w:val="auto"/>
                      <w:kern w:val="0"/>
                      <w:sz w:val="21"/>
                      <w:szCs w:val="21"/>
                      <w:highlight w:val="none"/>
                      <w:lang w:val="en-US" w:eastAsia="zh-CN" w:bidi="ar-SA"/>
                    </w:rPr>
                    <w:t>低温蒸发器</w:t>
                  </w:r>
                </w:p>
              </w:tc>
              <w:tc>
                <w:tcPr>
                  <w:tcW w:w="800" w:type="dxa"/>
                  <w:tcBorders>
                    <w:tl2br w:val="nil"/>
                    <w:tr2bl w:val="nil"/>
                  </w:tcBorders>
                  <w:shd w:val="clear" w:color="auto" w:fill="auto"/>
                  <w:vAlign w:val="center"/>
                </w:tcPr>
                <w:p w14:paraId="472E4FE6">
                  <w:pPr>
                    <w:widowControl/>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bidi="ar-SA"/>
                    </w:rPr>
                    <w:t>进水</w:t>
                  </w:r>
                </w:p>
              </w:tc>
              <w:tc>
                <w:tcPr>
                  <w:tcW w:w="1327" w:type="dxa"/>
                  <w:tcBorders>
                    <w:tl2br w:val="nil"/>
                    <w:tr2bl w:val="nil"/>
                  </w:tcBorders>
                  <w:shd w:val="clear" w:color="auto" w:fill="auto"/>
                  <w:vAlign w:val="center"/>
                </w:tcPr>
                <w:p w14:paraId="180BD89D">
                  <w:pPr>
                    <w:widowControl/>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6~9</w:t>
                  </w:r>
                </w:p>
              </w:tc>
              <w:tc>
                <w:tcPr>
                  <w:tcW w:w="1327" w:type="dxa"/>
                  <w:tcBorders>
                    <w:tl2br w:val="nil"/>
                    <w:tr2bl w:val="nil"/>
                  </w:tcBorders>
                  <w:shd w:val="clear" w:color="auto" w:fill="auto"/>
                  <w:vAlign w:val="center"/>
                </w:tcPr>
                <w:p w14:paraId="4807ADEF">
                  <w:pPr>
                    <w:widowControl/>
                    <w:jc w:val="center"/>
                    <w:rPr>
                      <w:rFonts w:hint="default" w:ascii="Times New Roman" w:hAnsi="Times New Roman" w:eastAsia="宋体" w:cs="Times New Roman"/>
                      <w:bCs/>
                      <w:color w:val="auto"/>
                      <w:kern w:val="0"/>
                      <w:sz w:val="21"/>
                      <w:szCs w:val="21"/>
                      <w:highlight w:val="none"/>
                      <w:lang w:val="en-US" w:eastAsia="zh-CN" w:bidi="ar-SA"/>
                    </w:rPr>
                  </w:pPr>
                  <w:r>
                    <w:rPr>
                      <w:rFonts w:hint="eastAsia" w:ascii="Times New Roman" w:hAnsi="Times New Roman" w:eastAsia="宋体" w:cs="Times New Roman"/>
                      <w:bCs/>
                      <w:color w:val="auto"/>
                      <w:kern w:val="0"/>
                      <w:sz w:val="21"/>
                      <w:szCs w:val="21"/>
                      <w:highlight w:val="none"/>
                      <w:lang w:val="en-US" w:eastAsia="zh-CN" w:bidi="ar-SA"/>
                    </w:rPr>
                    <w:t>600</w:t>
                  </w:r>
                </w:p>
              </w:tc>
              <w:tc>
                <w:tcPr>
                  <w:tcW w:w="1327" w:type="dxa"/>
                  <w:tcBorders>
                    <w:tl2br w:val="nil"/>
                    <w:tr2bl w:val="nil"/>
                  </w:tcBorders>
                  <w:shd w:val="clear" w:color="auto" w:fill="auto"/>
                  <w:vAlign w:val="center"/>
                </w:tcPr>
                <w:p w14:paraId="49FCE7AB">
                  <w:pPr>
                    <w:widowControl/>
                    <w:jc w:val="center"/>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50</w:t>
                  </w:r>
                </w:p>
              </w:tc>
              <w:tc>
                <w:tcPr>
                  <w:tcW w:w="1327" w:type="dxa"/>
                  <w:tcBorders>
                    <w:tl2br w:val="nil"/>
                    <w:tr2bl w:val="nil"/>
                  </w:tcBorders>
                  <w:shd w:val="clear" w:color="auto" w:fill="auto"/>
                  <w:vAlign w:val="center"/>
                </w:tcPr>
                <w:p w14:paraId="3A6876F1">
                  <w:pPr>
                    <w:widowControl/>
                    <w:jc w:val="center"/>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500</w:t>
                  </w:r>
                </w:p>
              </w:tc>
              <w:tc>
                <w:tcPr>
                  <w:tcW w:w="1329" w:type="dxa"/>
                  <w:tcBorders>
                    <w:tl2br w:val="nil"/>
                    <w:tr2bl w:val="nil"/>
                  </w:tcBorders>
                  <w:shd w:val="clear" w:color="auto" w:fill="auto"/>
                  <w:vAlign w:val="center"/>
                </w:tcPr>
                <w:p w14:paraId="404DBA78">
                  <w:pPr>
                    <w:widowControl/>
                    <w:jc w:val="center"/>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30</w:t>
                  </w:r>
                </w:p>
              </w:tc>
            </w:tr>
            <w:tr w14:paraId="22DC7F7A">
              <w:tblPrEx>
                <w:tblBorders>
                  <w:top w:val="single" w:color="auto" w:sz="12" w:space="0"/>
                  <w:left w:val="none" w:color="auto" w:sz="0" w:space="0"/>
                  <w:bottom w:val="single" w:color="auto" w:sz="12" w:space="0"/>
                  <w:right w:val="none" w:color="auto" w:sz="0" w:space="0"/>
                  <w:insideH w:val="single" w:color="auto" w:sz="6" w:space="0"/>
                  <w:insideV w:val="single" w:color="auto" w:sz="4" w:space="0"/>
                </w:tblBorders>
                <w:tblCellMar>
                  <w:top w:w="0" w:type="dxa"/>
                  <w:left w:w="108" w:type="dxa"/>
                  <w:bottom w:w="0" w:type="dxa"/>
                  <w:right w:w="108" w:type="dxa"/>
                </w:tblCellMar>
              </w:tblPrEx>
              <w:trPr>
                <w:trHeight w:val="235" w:hRule="atLeast"/>
              </w:trPr>
              <w:tc>
                <w:tcPr>
                  <w:tcW w:w="715" w:type="dxa"/>
                  <w:vMerge w:val="continue"/>
                  <w:tcBorders>
                    <w:tl2br w:val="nil"/>
                    <w:tr2bl w:val="nil"/>
                  </w:tcBorders>
                  <w:vAlign w:val="center"/>
                </w:tcPr>
                <w:p w14:paraId="0E13B0E5">
                  <w:pPr>
                    <w:widowControl/>
                    <w:jc w:val="center"/>
                    <w:rPr>
                      <w:rFonts w:hint="default" w:ascii="Times New Roman" w:hAnsi="Times New Roman" w:eastAsia="宋体" w:cs="Times New Roman"/>
                      <w:color w:val="auto"/>
                      <w:kern w:val="0"/>
                      <w:sz w:val="21"/>
                      <w:szCs w:val="21"/>
                      <w:highlight w:val="none"/>
                      <w:lang w:bidi="ar-SA"/>
                    </w:rPr>
                  </w:pPr>
                </w:p>
              </w:tc>
              <w:tc>
                <w:tcPr>
                  <w:tcW w:w="800" w:type="dxa"/>
                  <w:tcBorders>
                    <w:tl2br w:val="nil"/>
                    <w:tr2bl w:val="nil"/>
                  </w:tcBorders>
                  <w:shd w:val="clear" w:color="auto" w:fill="auto"/>
                  <w:vAlign w:val="center"/>
                </w:tcPr>
                <w:p w14:paraId="76F4A880">
                  <w:pPr>
                    <w:widowControl/>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bidi="ar-SA"/>
                    </w:rPr>
                    <w:t>出水</w:t>
                  </w:r>
                </w:p>
              </w:tc>
              <w:tc>
                <w:tcPr>
                  <w:tcW w:w="1327" w:type="dxa"/>
                  <w:tcBorders>
                    <w:tl2br w:val="nil"/>
                    <w:tr2bl w:val="nil"/>
                  </w:tcBorders>
                  <w:shd w:val="clear" w:color="auto" w:fill="auto"/>
                  <w:vAlign w:val="center"/>
                </w:tcPr>
                <w:p w14:paraId="2F660628">
                  <w:pPr>
                    <w:widowControl/>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6~9</w:t>
                  </w:r>
                </w:p>
              </w:tc>
              <w:tc>
                <w:tcPr>
                  <w:tcW w:w="1327" w:type="dxa"/>
                  <w:tcBorders>
                    <w:tl2br w:val="nil"/>
                    <w:tr2bl w:val="nil"/>
                  </w:tcBorders>
                  <w:vAlign w:val="center"/>
                </w:tcPr>
                <w:p w14:paraId="7D7B729D">
                  <w:pPr>
                    <w:widowControl/>
                    <w:jc w:val="center"/>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30</w:t>
                  </w:r>
                </w:p>
              </w:tc>
              <w:tc>
                <w:tcPr>
                  <w:tcW w:w="1327" w:type="dxa"/>
                  <w:tcBorders>
                    <w:tl2br w:val="nil"/>
                    <w:tr2bl w:val="nil"/>
                  </w:tcBorders>
                  <w:shd w:val="clear" w:color="auto" w:fill="auto"/>
                  <w:vAlign w:val="center"/>
                </w:tcPr>
                <w:p w14:paraId="6933145E">
                  <w:pPr>
                    <w:widowControl/>
                    <w:jc w:val="center"/>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20</w:t>
                  </w:r>
                </w:p>
              </w:tc>
              <w:tc>
                <w:tcPr>
                  <w:tcW w:w="1327" w:type="dxa"/>
                  <w:tcBorders>
                    <w:tl2br w:val="nil"/>
                    <w:tr2bl w:val="nil"/>
                  </w:tcBorders>
                  <w:shd w:val="clear" w:color="auto" w:fill="auto"/>
                  <w:vAlign w:val="center"/>
                </w:tcPr>
                <w:p w14:paraId="3FCAC3EC">
                  <w:pPr>
                    <w:widowControl/>
                    <w:jc w:val="center"/>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80</w:t>
                  </w:r>
                </w:p>
              </w:tc>
              <w:tc>
                <w:tcPr>
                  <w:tcW w:w="1329" w:type="dxa"/>
                  <w:tcBorders>
                    <w:tl2br w:val="nil"/>
                    <w:tr2bl w:val="nil"/>
                  </w:tcBorders>
                  <w:shd w:val="clear" w:color="auto" w:fill="auto"/>
                  <w:vAlign w:val="center"/>
                </w:tcPr>
                <w:p w14:paraId="4601FCC0">
                  <w:pPr>
                    <w:widowControl/>
                    <w:jc w:val="center"/>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1.5</w:t>
                  </w:r>
                </w:p>
              </w:tc>
            </w:tr>
            <w:tr w14:paraId="764D0867">
              <w:tblPrEx>
                <w:tblBorders>
                  <w:top w:val="single" w:color="auto" w:sz="12" w:space="0"/>
                  <w:left w:val="none" w:color="auto" w:sz="0" w:space="0"/>
                  <w:bottom w:val="single" w:color="auto" w:sz="12" w:space="0"/>
                  <w:right w:val="none" w:color="auto" w:sz="0" w:space="0"/>
                  <w:insideH w:val="single" w:color="auto" w:sz="6" w:space="0"/>
                  <w:insideV w:val="single" w:color="auto" w:sz="4" w:space="0"/>
                </w:tblBorders>
                <w:tblCellMar>
                  <w:top w:w="0" w:type="dxa"/>
                  <w:left w:w="108" w:type="dxa"/>
                  <w:bottom w:w="0" w:type="dxa"/>
                  <w:right w:w="108" w:type="dxa"/>
                </w:tblCellMar>
              </w:tblPrEx>
              <w:trPr>
                <w:trHeight w:val="235" w:hRule="atLeast"/>
              </w:trPr>
              <w:tc>
                <w:tcPr>
                  <w:tcW w:w="715" w:type="dxa"/>
                  <w:vMerge w:val="continue"/>
                  <w:tcBorders>
                    <w:tl2br w:val="nil"/>
                    <w:tr2bl w:val="nil"/>
                  </w:tcBorders>
                  <w:vAlign w:val="center"/>
                </w:tcPr>
                <w:p w14:paraId="74F2B6A3">
                  <w:pPr>
                    <w:widowControl/>
                    <w:jc w:val="center"/>
                    <w:rPr>
                      <w:rFonts w:hint="default" w:ascii="Times New Roman" w:hAnsi="Times New Roman" w:eastAsia="宋体" w:cs="Times New Roman"/>
                      <w:color w:val="auto"/>
                      <w:kern w:val="0"/>
                      <w:sz w:val="21"/>
                      <w:szCs w:val="21"/>
                      <w:highlight w:val="none"/>
                      <w:lang w:bidi="ar-SA"/>
                    </w:rPr>
                  </w:pPr>
                </w:p>
              </w:tc>
              <w:tc>
                <w:tcPr>
                  <w:tcW w:w="800" w:type="dxa"/>
                  <w:tcBorders>
                    <w:tl2br w:val="nil"/>
                    <w:tr2bl w:val="nil"/>
                  </w:tcBorders>
                  <w:shd w:val="clear" w:color="auto" w:fill="auto"/>
                  <w:vAlign w:val="center"/>
                </w:tcPr>
                <w:p w14:paraId="275B8B89">
                  <w:pPr>
                    <w:widowControl/>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bidi="ar-SA"/>
                    </w:rPr>
                    <w:t>去除率</w:t>
                  </w:r>
                  <w:r>
                    <w:rPr>
                      <w:rFonts w:hint="eastAsia" w:ascii="Times New Roman" w:hAnsi="Times New Roman" w:eastAsia="宋体" w:cs="Times New Roman"/>
                      <w:color w:val="auto"/>
                      <w:kern w:val="0"/>
                      <w:sz w:val="21"/>
                      <w:szCs w:val="21"/>
                      <w:highlight w:val="none"/>
                      <w:lang w:val="en-US" w:eastAsia="zh-CN" w:bidi="ar-SA"/>
                    </w:rPr>
                    <w:t>/%</w:t>
                  </w:r>
                </w:p>
              </w:tc>
              <w:tc>
                <w:tcPr>
                  <w:tcW w:w="1327" w:type="dxa"/>
                  <w:tcBorders>
                    <w:tl2br w:val="nil"/>
                    <w:tr2bl w:val="nil"/>
                  </w:tcBorders>
                  <w:shd w:val="clear" w:color="auto" w:fill="auto"/>
                  <w:vAlign w:val="center"/>
                </w:tcPr>
                <w:p w14:paraId="5F5E5D9F">
                  <w:pPr>
                    <w:widowControl/>
                    <w:jc w:val="center"/>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w:t>
                  </w:r>
                </w:p>
              </w:tc>
              <w:tc>
                <w:tcPr>
                  <w:tcW w:w="1327" w:type="dxa"/>
                  <w:tcBorders>
                    <w:tl2br w:val="nil"/>
                    <w:tr2bl w:val="nil"/>
                  </w:tcBorders>
                  <w:vAlign w:val="center"/>
                </w:tcPr>
                <w:p w14:paraId="6612A3AD">
                  <w:pPr>
                    <w:widowControl/>
                    <w:jc w:val="center"/>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95</w:t>
                  </w:r>
                </w:p>
              </w:tc>
              <w:tc>
                <w:tcPr>
                  <w:tcW w:w="1327" w:type="dxa"/>
                  <w:tcBorders>
                    <w:tl2br w:val="nil"/>
                    <w:tr2bl w:val="nil"/>
                  </w:tcBorders>
                  <w:vAlign w:val="center"/>
                </w:tcPr>
                <w:p w14:paraId="17D10599">
                  <w:pPr>
                    <w:widowControl/>
                    <w:jc w:val="center"/>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60</w:t>
                  </w:r>
                </w:p>
              </w:tc>
              <w:tc>
                <w:tcPr>
                  <w:tcW w:w="1327" w:type="dxa"/>
                  <w:tcBorders>
                    <w:tl2br w:val="nil"/>
                    <w:tr2bl w:val="nil"/>
                  </w:tcBorders>
                  <w:vAlign w:val="center"/>
                </w:tcPr>
                <w:p w14:paraId="20A6B2E7">
                  <w:pPr>
                    <w:widowControl/>
                    <w:jc w:val="center"/>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84</w:t>
                  </w:r>
                </w:p>
              </w:tc>
              <w:tc>
                <w:tcPr>
                  <w:tcW w:w="1329" w:type="dxa"/>
                  <w:tcBorders>
                    <w:tl2br w:val="nil"/>
                    <w:tr2bl w:val="nil"/>
                  </w:tcBorders>
                  <w:shd w:val="clear" w:color="auto" w:fill="auto"/>
                  <w:vAlign w:val="center"/>
                </w:tcPr>
                <w:p w14:paraId="6E11F993">
                  <w:pPr>
                    <w:widowControl/>
                    <w:jc w:val="center"/>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95</w:t>
                  </w:r>
                </w:p>
              </w:tc>
            </w:tr>
            <w:tr w14:paraId="2D8E71D6">
              <w:tblPrEx>
                <w:tblBorders>
                  <w:top w:val="single" w:color="auto" w:sz="12" w:space="0"/>
                  <w:left w:val="none" w:color="auto" w:sz="0" w:space="0"/>
                  <w:bottom w:val="single" w:color="auto" w:sz="12" w:space="0"/>
                  <w:right w:val="none" w:color="auto" w:sz="0" w:space="0"/>
                  <w:insideH w:val="single" w:color="auto" w:sz="6" w:space="0"/>
                  <w:insideV w:val="single" w:color="auto" w:sz="4" w:space="0"/>
                </w:tblBorders>
                <w:tblCellMar>
                  <w:top w:w="0" w:type="dxa"/>
                  <w:left w:w="108" w:type="dxa"/>
                  <w:bottom w:w="0" w:type="dxa"/>
                  <w:right w:w="108" w:type="dxa"/>
                </w:tblCellMar>
              </w:tblPrEx>
              <w:trPr>
                <w:trHeight w:val="264" w:hRule="atLeast"/>
              </w:trPr>
              <w:tc>
                <w:tcPr>
                  <w:tcW w:w="715" w:type="dxa"/>
                  <w:vMerge w:val="restart"/>
                  <w:tcBorders>
                    <w:tl2br w:val="nil"/>
                    <w:tr2bl w:val="nil"/>
                  </w:tcBorders>
                  <w:vAlign w:val="center"/>
                </w:tcPr>
                <w:p w14:paraId="579730B9">
                  <w:pPr>
                    <w:widowControl/>
                    <w:jc w:val="center"/>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陶瓷膜过滤</w:t>
                  </w:r>
                </w:p>
              </w:tc>
              <w:tc>
                <w:tcPr>
                  <w:tcW w:w="800" w:type="dxa"/>
                  <w:tcBorders>
                    <w:tl2br w:val="nil"/>
                    <w:tr2bl w:val="nil"/>
                  </w:tcBorders>
                  <w:vAlign w:val="center"/>
                </w:tcPr>
                <w:p w14:paraId="152FB4E3">
                  <w:pPr>
                    <w:widowControl/>
                    <w:jc w:val="center"/>
                    <w:rPr>
                      <w:rFonts w:hint="default" w:ascii="Times New Roman" w:hAnsi="Times New Roman" w:eastAsia="宋体" w:cs="Times New Roman"/>
                      <w:color w:val="auto"/>
                      <w:kern w:val="0"/>
                      <w:sz w:val="21"/>
                      <w:szCs w:val="21"/>
                      <w:highlight w:val="none"/>
                      <w:lang w:bidi="ar-SA"/>
                    </w:rPr>
                  </w:pPr>
                  <w:r>
                    <w:rPr>
                      <w:rFonts w:hint="default" w:ascii="Times New Roman" w:hAnsi="Times New Roman" w:eastAsia="宋体" w:cs="Times New Roman"/>
                      <w:color w:val="auto"/>
                      <w:kern w:val="0"/>
                      <w:sz w:val="21"/>
                      <w:szCs w:val="21"/>
                      <w:highlight w:val="none"/>
                      <w:lang w:bidi="ar-SA"/>
                    </w:rPr>
                    <w:t>进水</w:t>
                  </w:r>
                </w:p>
              </w:tc>
              <w:tc>
                <w:tcPr>
                  <w:tcW w:w="1327" w:type="dxa"/>
                  <w:tcBorders>
                    <w:tl2br w:val="nil"/>
                    <w:tr2bl w:val="nil"/>
                  </w:tcBorders>
                  <w:shd w:val="clear" w:color="auto" w:fill="auto"/>
                  <w:vAlign w:val="center"/>
                </w:tcPr>
                <w:p w14:paraId="4C78C563">
                  <w:pPr>
                    <w:widowControl/>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6~9</w:t>
                  </w:r>
                </w:p>
              </w:tc>
              <w:tc>
                <w:tcPr>
                  <w:tcW w:w="1327" w:type="dxa"/>
                  <w:tcBorders>
                    <w:tl2br w:val="nil"/>
                    <w:tr2bl w:val="nil"/>
                  </w:tcBorders>
                  <w:shd w:val="clear" w:color="auto" w:fill="auto"/>
                  <w:vAlign w:val="center"/>
                </w:tcPr>
                <w:p w14:paraId="3C332F54">
                  <w:pPr>
                    <w:widowControl/>
                    <w:jc w:val="center"/>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30</w:t>
                  </w:r>
                </w:p>
              </w:tc>
              <w:tc>
                <w:tcPr>
                  <w:tcW w:w="1327" w:type="dxa"/>
                  <w:tcBorders>
                    <w:tl2br w:val="nil"/>
                    <w:tr2bl w:val="nil"/>
                  </w:tcBorders>
                  <w:shd w:val="clear" w:color="auto" w:fill="auto"/>
                  <w:vAlign w:val="center"/>
                </w:tcPr>
                <w:p w14:paraId="6E724636">
                  <w:pPr>
                    <w:widowControl/>
                    <w:jc w:val="center"/>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20</w:t>
                  </w:r>
                </w:p>
              </w:tc>
              <w:tc>
                <w:tcPr>
                  <w:tcW w:w="1327" w:type="dxa"/>
                  <w:tcBorders>
                    <w:tl2br w:val="nil"/>
                    <w:tr2bl w:val="nil"/>
                  </w:tcBorders>
                  <w:shd w:val="clear" w:color="auto" w:fill="auto"/>
                  <w:vAlign w:val="center"/>
                </w:tcPr>
                <w:p w14:paraId="5F3B72B8">
                  <w:pPr>
                    <w:widowControl/>
                    <w:jc w:val="center"/>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80</w:t>
                  </w:r>
                </w:p>
              </w:tc>
              <w:tc>
                <w:tcPr>
                  <w:tcW w:w="1329" w:type="dxa"/>
                  <w:tcBorders>
                    <w:tl2br w:val="nil"/>
                    <w:tr2bl w:val="nil"/>
                  </w:tcBorders>
                  <w:shd w:val="clear" w:color="auto" w:fill="auto"/>
                  <w:vAlign w:val="center"/>
                </w:tcPr>
                <w:p w14:paraId="0646127B">
                  <w:pPr>
                    <w:widowControl/>
                    <w:jc w:val="center"/>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1.5</w:t>
                  </w:r>
                </w:p>
              </w:tc>
            </w:tr>
            <w:tr w14:paraId="4C9080FA">
              <w:tblPrEx>
                <w:tblBorders>
                  <w:top w:val="single" w:color="auto" w:sz="12" w:space="0"/>
                  <w:left w:val="none" w:color="auto" w:sz="0" w:space="0"/>
                  <w:bottom w:val="single" w:color="auto" w:sz="12" w:space="0"/>
                  <w:right w:val="none" w:color="auto" w:sz="0" w:space="0"/>
                  <w:insideH w:val="single" w:color="auto" w:sz="6" w:space="0"/>
                  <w:insideV w:val="single" w:color="auto" w:sz="4" w:space="0"/>
                </w:tblBorders>
                <w:tblCellMar>
                  <w:top w:w="0" w:type="dxa"/>
                  <w:left w:w="108" w:type="dxa"/>
                  <w:bottom w:w="0" w:type="dxa"/>
                  <w:right w:w="108" w:type="dxa"/>
                </w:tblCellMar>
              </w:tblPrEx>
              <w:trPr>
                <w:trHeight w:val="277" w:hRule="atLeast"/>
              </w:trPr>
              <w:tc>
                <w:tcPr>
                  <w:tcW w:w="715" w:type="dxa"/>
                  <w:vMerge w:val="continue"/>
                  <w:tcBorders>
                    <w:tl2br w:val="nil"/>
                    <w:tr2bl w:val="nil"/>
                  </w:tcBorders>
                  <w:vAlign w:val="center"/>
                </w:tcPr>
                <w:p w14:paraId="3D68C6EF">
                  <w:pPr>
                    <w:widowControl/>
                    <w:jc w:val="center"/>
                    <w:rPr>
                      <w:rFonts w:hint="default" w:ascii="Times New Roman" w:hAnsi="Times New Roman" w:eastAsia="宋体" w:cs="Times New Roman"/>
                      <w:color w:val="auto"/>
                      <w:kern w:val="0"/>
                      <w:sz w:val="21"/>
                      <w:szCs w:val="21"/>
                      <w:highlight w:val="none"/>
                      <w:lang w:bidi="ar-SA"/>
                    </w:rPr>
                  </w:pPr>
                </w:p>
              </w:tc>
              <w:tc>
                <w:tcPr>
                  <w:tcW w:w="800" w:type="dxa"/>
                  <w:tcBorders>
                    <w:tl2br w:val="nil"/>
                    <w:tr2bl w:val="nil"/>
                  </w:tcBorders>
                  <w:vAlign w:val="center"/>
                </w:tcPr>
                <w:p w14:paraId="6DAF362D">
                  <w:pPr>
                    <w:widowControl/>
                    <w:jc w:val="center"/>
                    <w:rPr>
                      <w:rFonts w:hint="default" w:ascii="Times New Roman" w:hAnsi="Times New Roman" w:eastAsia="宋体" w:cs="Times New Roman"/>
                      <w:color w:val="auto"/>
                      <w:kern w:val="0"/>
                      <w:sz w:val="21"/>
                      <w:szCs w:val="21"/>
                      <w:highlight w:val="none"/>
                      <w:lang w:bidi="ar-SA"/>
                    </w:rPr>
                  </w:pPr>
                  <w:r>
                    <w:rPr>
                      <w:rFonts w:hint="default" w:ascii="Times New Roman" w:hAnsi="Times New Roman" w:eastAsia="宋体" w:cs="Times New Roman"/>
                      <w:color w:val="auto"/>
                      <w:kern w:val="0"/>
                      <w:sz w:val="21"/>
                      <w:szCs w:val="21"/>
                      <w:highlight w:val="none"/>
                      <w:lang w:bidi="ar-SA"/>
                    </w:rPr>
                    <w:t>出水</w:t>
                  </w:r>
                </w:p>
              </w:tc>
              <w:tc>
                <w:tcPr>
                  <w:tcW w:w="1327" w:type="dxa"/>
                  <w:tcBorders>
                    <w:tl2br w:val="nil"/>
                    <w:tr2bl w:val="nil"/>
                  </w:tcBorders>
                  <w:vAlign w:val="center"/>
                </w:tcPr>
                <w:p w14:paraId="05AA0A4C">
                  <w:pPr>
                    <w:widowControl/>
                    <w:jc w:val="center"/>
                    <w:rPr>
                      <w:rFonts w:hint="default" w:ascii="Times New Roman" w:hAnsi="Times New Roman" w:eastAsia="宋体" w:cs="Times New Roman"/>
                      <w:color w:val="auto"/>
                      <w:kern w:val="0"/>
                      <w:sz w:val="21"/>
                      <w:szCs w:val="21"/>
                      <w:highlight w:val="none"/>
                      <w:lang w:bidi="ar-SA"/>
                    </w:rPr>
                  </w:pPr>
                  <w:r>
                    <w:rPr>
                      <w:rFonts w:hint="default" w:ascii="Times New Roman" w:hAnsi="Times New Roman" w:eastAsia="宋体" w:cs="Times New Roman"/>
                      <w:color w:val="auto"/>
                      <w:kern w:val="0"/>
                      <w:sz w:val="21"/>
                      <w:szCs w:val="21"/>
                      <w:highlight w:val="none"/>
                      <w:lang w:bidi="ar-SA"/>
                    </w:rPr>
                    <w:t>/</w:t>
                  </w:r>
                </w:p>
              </w:tc>
              <w:tc>
                <w:tcPr>
                  <w:tcW w:w="1327" w:type="dxa"/>
                  <w:tcBorders>
                    <w:tl2br w:val="nil"/>
                    <w:tr2bl w:val="nil"/>
                  </w:tcBorders>
                  <w:shd w:val="clear" w:color="auto" w:fill="auto"/>
                  <w:vAlign w:val="center"/>
                </w:tcPr>
                <w:p w14:paraId="3D5BEB09">
                  <w:pPr>
                    <w:widowControl/>
                    <w:jc w:val="center"/>
                    <w:rPr>
                      <w:rFonts w:hint="default" w:ascii="Times New Roman" w:hAnsi="Times New Roman" w:eastAsia="宋体" w:cs="Times New Roman"/>
                      <w:color w:val="auto"/>
                      <w:kern w:val="0"/>
                      <w:sz w:val="21"/>
                      <w:szCs w:val="21"/>
                      <w:highlight w:val="none"/>
                      <w:lang w:val="en-US" w:eastAsia="zh-CN" w:bidi="ar"/>
                    </w:rPr>
                  </w:pPr>
                  <w:r>
                    <w:rPr>
                      <w:rFonts w:hint="eastAsia" w:ascii="Times New Roman" w:hAnsi="Times New Roman" w:eastAsia="宋体" w:cs="Times New Roman"/>
                      <w:color w:val="auto"/>
                      <w:kern w:val="0"/>
                      <w:sz w:val="21"/>
                      <w:szCs w:val="21"/>
                      <w:highlight w:val="none"/>
                      <w:lang w:val="en-US" w:eastAsia="zh-CN" w:bidi="ar-SA"/>
                    </w:rPr>
                    <w:t>30</w:t>
                  </w:r>
                </w:p>
              </w:tc>
              <w:tc>
                <w:tcPr>
                  <w:tcW w:w="1327" w:type="dxa"/>
                  <w:tcBorders>
                    <w:tl2br w:val="nil"/>
                    <w:tr2bl w:val="nil"/>
                  </w:tcBorders>
                  <w:shd w:val="clear" w:color="auto" w:fill="auto"/>
                  <w:vAlign w:val="center"/>
                </w:tcPr>
                <w:p w14:paraId="60C4942A">
                  <w:pPr>
                    <w:widowControl/>
                    <w:jc w:val="center"/>
                    <w:rPr>
                      <w:rFonts w:hint="default" w:ascii="Times New Roman" w:hAnsi="Times New Roman" w:eastAsia="宋体" w:cs="Times New Roman"/>
                      <w:color w:val="auto"/>
                      <w:kern w:val="0"/>
                      <w:sz w:val="21"/>
                      <w:szCs w:val="21"/>
                      <w:highlight w:val="none"/>
                      <w:lang w:val="en-US" w:eastAsia="zh-CN" w:bidi="ar"/>
                    </w:rPr>
                  </w:pPr>
                  <w:r>
                    <w:rPr>
                      <w:rFonts w:hint="eastAsia" w:ascii="Times New Roman" w:hAnsi="Times New Roman" w:eastAsia="宋体" w:cs="Times New Roman"/>
                      <w:color w:val="auto"/>
                      <w:kern w:val="0"/>
                      <w:sz w:val="21"/>
                      <w:szCs w:val="21"/>
                      <w:highlight w:val="none"/>
                      <w:lang w:val="en-US" w:eastAsia="zh-CN" w:bidi="ar"/>
                    </w:rPr>
                    <w:t>18</w:t>
                  </w:r>
                </w:p>
              </w:tc>
              <w:tc>
                <w:tcPr>
                  <w:tcW w:w="1327" w:type="dxa"/>
                  <w:tcBorders>
                    <w:tl2br w:val="nil"/>
                    <w:tr2bl w:val="nil"/>
                  </w:tcBorders>
                  <w:shd w:val="clear" w:color="auto" w:fill="auto"/>
                  <w:vAlign w:val="center"/>
                </w:tcPr>
                <w:p w14:paraId="083383BE">
                  <w:pPr>
                    <w:widowControl/>
                    <w:jc w:val="center"/>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80</w:t>
                  </w:r>
                </w:p>
              </w:tc>
              <w:tc>
                <w:tcPr>
                  <w:tcW w:w="1329" w:type="dxa"/>
                  <w:tcBorders>
                    <w:tl2br w:val="nil"/>
                    <w:tr2bl w:val="nil"/>
                  </w:tcBorders>
                  <w:shd w:val="clear" w:color="auto" w:fill="auto"/>
                  <w:vAlign w:val="center"/>
                </w:tcPr>
                <w:p w14:paraId="4F4D3A6B">
                  <w:pPr>
                    <w:widowControl/>
                    <w:jc w:val="center"/>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1</w:t>
                  </w:r>
                </w:p>
              </w:tc>
            </w:tr>
            <w:tr w14:paraId="277FDE25">
              <w:tblPrEx>
                <w:tblBorders>
                  <w:top w:val="single" w:color="auto" w:sz="12" w:space="0"/>
                  <w:left w:val="none" w:color="auto" w:sz="0" w:space="0"/>
                  <w:bottom w:val="single" w:color="auto" w:sz="12" w:space="0"/>
                  <w:right w:val="none" w:color="auto" w:sz="0" w:space="0"/>
                  <w:insideH w:val="single" w:color="auto" w:sz="6" w:space="0"/>
                  <w:insideV w:val="single" w:color="auto" w:sz="4" w:space="0"/>
                </w:tblBorders>
                <w:tblCellMar>
                  <w:top w:w="0" w:type="dxa"/>
                  <w:left w:w="108" w:type="dxa"/>
                  <w:bottom w:w="0" w:type="dxa"/>
                  <w:right w:w="108" w:type="dxa"/>
                </w:tblCellMar>
              </w:tblPrEx>
              <w:trPr>
                <w:trHeight w:val="235" w:hRule="atLeast"/>
              </w:trPr>
              <w:tc>
                <w:tcPr>
                  <w:tcW w:w="715" w:type="dxa"/>
                  <w:vMerge w:val="continue"/>
                  <w:tcBorders>
                    <w:tl2br w:val="nil"/>
                    <w:tr2bl w:val="nil"/>
                  </w:tcBorders>
                  <w:vAlign w:val="center"/>
                </w:tcPr>
                <w:p w14:paraId="4A6D02BF">
                  <w:pPr>
                    <w:widowControl/>
                    <w:jc w:val="center"/>
                    <w:rPr>
                      <w:rFonts w:hint="default" w:ascii="Times New Roman" w:hAnsi="Times New Roman" w:eastAsia="宋体" w:cs="Times New Roman"/>
                      <w:color w:val="auto"/>
                      <w:kern w:val="0"/>
                      <w:sz w:val="21"/>
                      <w:szCs w:val="21"/>
                      <w:highlight w:val="none"/>
                      <w:lang w:bidi="ar-SA"/>
                    </w:rPr>
                  </w:pPr>
                </w:p>
              </w:tc>
              <w:tc>
                <w:tcPr>
                  <w:tcW w:w="800" w:type="dxa"/>
                  <w:tcBorders>
                    <w:tl2br w:val="nil"/>
                    <w:tr2bl w:val="nil"/>
                  </w:tcBorders>
                  <w:vAlign w:val="center"/>
                </w:tcPr>
                <w:p w14:paraId="47711E4B">
                  <w:pPr>
                    <w:widowControl/>
                    <w:jc w:val="center"/>
                    <w:rPr>
                      <w:rFonts w:hint="default" w:ascii="Times New Roman" w:hAnsi="Times New Roman" w:eastAsia="宋体" w:cs="Times New Roman"/>
                      <w:color w:val="auto"/>
                      <w:kern w:val="0"/>
                      <w:sz w:val="21"/>
                      <w:szCs w:val="21"/>
                      <w:highlight w:val="none"/>
                      <w:lang w:bidi="ar-SA"/>
                    </w:rPr>
                  </w:pPr>
                  <w:r>
                    <w:rPr>
                      <w:rFonts w:hint="default" w:ascii="Times New Roman" w:hAnsi="Times New Roman" w:eastAsia="宋体" w:cs="Times New Roman"/>
                      <w:color w:val="auto"/>
                      <w:kern w:val="0"/>
                      <w:sz w:val="21"/>
                      <w:szCs w:val="21"/>
                      <w:highlight w:val="none"/>
                      <w:lang w:bidi="ar-SA"/>
                    </w:rPr>
                    <w:t>去除率</w:t>
                  </w:r>
                  <w:r>
                    <w:rPr>
                      <w:rFonts w:hint="eastAsia" w:ascii="Times New Roman" w:hAnsi="Times New Roman" w:eastAsia="宋体" w:cs="Times New Roman"/>
                      <w:color w:val="auto"/>
                      <w:kern w:val="0"/>
                      <w:sz w:val="21"/>
                      <w:szCs w:val="21"/>
                      <w:highlight w:val="none"/>
                      <w:lang w:val="en-US" w:eastAsia="zh-CN" w:bidi="ar-SA"/>
                    </w:rPr>
                    <w:t>/%</w:t>
                  </w:r>
                </w:p>
              </w:tc>
              <w:tc>
                <w:tcPr>
                  <w:tcW w:w="1327" w:type="dxa"/>
                  <w:tcBorders>
                    <w:tl2br w:val="nil"/>
                    <w:tr2bl w:val="nil"/>
                  </w:tcBorders>
                  <w:vAlign w:val="center"/>
                </w:tcPr>
                <w:p w14:paraId="70B3D420">
                  <w:pPr>
                    <w:widowControl/>
                    <w:jc w:val="center"/>
                    <w:rPr>
                      <w:rFonts w:hint="default" w:ascii="Times New Roman" w:hAnsi="Times New Roman" w:eastAsia="宋体" w:cs="Times New Roman"/>
                      <w:color w:val="auto"/>
                      <w:kern w:val="0"/>
                      <w:sz w:val="21"/>
                      <w:szCs w:val="21"/>
                      <w:highlight w:val="none"/>
                      <w:lang w:bidi="ar-SA"/>
                    </w:rPr>
                  </w:pPr>
                  <w:r>
                    <w:rPr>
                      <w:rFonts w:hint="default" w:ascii="Times New Roman" w:hAnsi="Times New Roman" w:eastAsia="宋体" w:cs="Times New Roman"/>
                      <w:color w:val="auto"/>
                      <w:kern w:val="0"/>
                      <w:sz w:val="21"/>
                      <w:szCs w:val="21"/>
                      <w:highlight w:val="none"/>
                      <w:lang w:bidi="ar-SA"/>
                    </w:rPr>
                    <w:t>/</w:t>
                  </w:r>
                </w:p>
              </w:tc>
              <w:tc>
                <w:tcPr>
                  <w:tcW w:w="1327" w:type="dxa"/>
                  <w:tcBorders>
                    <w:tl2br w:val="nil"/>
                    <w:tr2bl w:val="nil"/>
                  </w:tcBorders>
                  <w:vAlign w:val="center"/>
                </w:tcPr>
                <w:p w14:paraId="199F2563">
                  <w:pPr>
                    <w:widowControl/>
                    <w:jc w:val="center"/>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cs="Times New Roman"/>
                      <w:bCs/>
                      <w:color w:val="auto"/>
                      <w:kern w:val="0"/>
                      <w:sz w:val="21"/>
                      <w:szCs w:val="21"/>
                      <w:highlight w:val="none"/>
                    </w:rPr>
                    <w:t>0</w:t>
                  </w:r>
                </w:p>
              </w:tc>
              <w:tc>
                <w:tcPr>
                  <w:tcW w:w="1327" w:type="dxa"/>
                  <w:tcBorders>
                    <w:tl2br w:val="nil"/>
                    <w:tr2bl w:val="nil"/>
                  </w:tcBorders>
                  <w:vAlign w:val="center"/>
                </w:tcPr>
                <w:p w14:paraId="6462BA46">
                  <w:pPr>
                    <w:widowControl/>
                    <w:jc w:val="center"/>
                    <w:rPr>
                      <w:rFonts w:hint="default" w:ascii="Times New Roman" w:hAnsi="Times New Roman" w:eastAsia="宋体" w:cs="Times New Roman"/>
                      <w:color w:val="auto"/>
                      <w:kern w:val="0"/>
                      <w:sz w:val="21"/>
                      <w:szCs w:val="21"/>
                      <w:highlight w:val="none"/>
                      <w:lang w:val="en-US" w:eastAsia="zh-CN" w:bidi="ar"/>
                    </w:rPr>
                  </w:pPr>
                  <w:r>
                    <w:rPr>
                      <w:rFonts w:hint="eastAsia" w:ascii="Times New Roman" w:hAnsi="Times New Roman" w:eastAsia="宋体" w:cs="Times New Roman"/>
                      <w:color w:val="auto"/>
                      <w:kern w:val="0"/>
                      <w:sz w:val="21"/>
                      <w:szCs w:val="21"/>
                      <w:highlight w:val="none"/>
                      <w:lang w:val="en-US" w:eastAsia="zh-CN" w:bidi="ar"/>
                    </w:rPr>
                    <w:t>10</w:t>
                  </w:r>
                </w:p>
              </w:tc>
              <w:tc>
                <w:tcPr>
                  <w:tcW w:w="1327" w:type="dxa"/>
                  <w:tcBorders>
                    <w:tl2br w:val="nil"/>
                    <w:tr2bl w:val="nil"/>
                  </w:tcBorders>
                  <w:vAlign w:val="center"/>
                </w:tcPr>
                <w:p w14:paraId="4F3B0533">
                  <w:pPr>
                    <w:widowControl/>
                    <w:jc w:val="center"/>
                    <w:rPr>
                      <w:rFonts w:hint="default" w:ascii="Times New Roman" w:hAnsi="Times New Roman" w:eastAsia="宋体" w:cs="Times New Roman"/>
                      <w:color w:val="auto"/>
                      <w:kern w:val="0"/>
                      <w:sz w:val="21"/>
                      <w:szCs w:val="21"/>
                      <w:highlight w:val="none"/>
                      <w:lang w:val="en-US" w:eastAsia="zh-CN" w:bidi="ar"/>
                    </w:rPr>
                  </w:pPr>
                  <w:r>
                    <w:rPr>
                      <w:rFonts w:hint="eastAsia" w:ascii="Times New Roman" w:hAnsi="Times New Roman" w:eastAsia="宋体" w:cs="Times New Roman"/>
                      <w:color w:val="auto"/>
                      <w:kern w:val="0"/>
                      <w:sz w:val="21"/>
                      <w:szCs w:val="21"/>
                      <w:highlight w:val="none"/>
                      <w:lang w:val="en-US" w:eastAsia="zh-CN" w:bidi="ar"/>
                    </w:rPr>
                    <w:t>0</w:t>
                  </w:r>
                </w:p>
              </w:tc>
              <w:tc>
                <w:tcPr>
                  <w:tcW w:w="1329" w:type="dxa"/>
                  <w:tcBorders>
                    <w:tl2br w:val="nil"/>
                    <w:tr2bl w:val="nil"/>
                  </w:tcBorders>
                  <w:vAlign w:val="center"/>
                </w:tcPr>
                <w:p w14:paraId="1DDF5A9C">
                  <w:pPr>
                    <w:widowControl/>
                    <w:jc w:val="center"/>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33.3</w:t>
                  </w:r>
                </w:p>
              </w:tc>
            </w:tr>
            <w:tr w14:paraId="43E8F6EF">
              <w:tblPrEx>
                <w:tblBorders>
                  <w:top w:val="single" w:color="auto" w:sz="12" w:space="0"/>
                  <w:left w:val="none" w:color="auto" w:sz="0" w:space="0"/>
                  <w:bottom w:val="single" w:color="auto" w:sz="12" w:space="0"/>
                  <w:right w:val="none" w:color="auto" w:sz="0" w:space="0"/>
                  <w:insideH w:val="single" w:color="auto" w:sz="6" w:space="0"/>
                  <w:insideV w:val="single" w:color="auto" w:sz="4" w:space="0"/>
                </w:tblBorders>
                <w:tblCellMar>
                  <w:top w:w="0" w:type="dxa"/>
                  <w:left w:w="108" w:type="dxa"/>
                  <w:bottom w:w="0" w:type="dxa"/>
                  <w:right w:w="108" w:type="dxa"/>
                </w:tblCellMar>
              </w:tblPrEx>
              <w:trPr>
                <w:trHeight w:val="277" w:hRule="atLeast"/>
              </w:trPr>
              <w:tc>
                <w:tcPr>
                  <w:tcW w:w="1515" w:type="dxa"/>
                  <w:gridSpan w:val="2"/>
                  <w:tcBorders>
                    <w:tl2br w:val="nil"/>
                    <w:tr2bl w:val="nil"/>
                  </w:tcBorders>
                  <w:vAlign w:val="center"/>
                </w:tcPr>
                <w:p w14:paraId="32FFD30D">
                  <w:pPr>
                    <w:widowControl/>
                    <w:jc w:val="center"/>
                    <w:rPr>
                      <w:rFonts w:hint="default" w:ascii="Times New Roman" w:hAnsi="Times New Roman" w:eastAsia="宋体" w:cs="Times New Roman"/>
                      <w:color w:val="auto"/>
                      <w:kern w:val="0"/>
                      <w:sz w:val="21"/>
                      <w:szCs w:val="21"/>
                      <w:highlight w:val="none"/>
                      <w:lang w:bidi="ar-SA"/>
                    </w:rPr>
                  </w:pPr>
                  <w:r>
                    <w:rPr>
                      <w:rFonts w:hint="default" w:ascii="Times New Roman" w:hAnsi="Times New Roman" w:eastAsia="宋体" w:cs="Times New Roman"/>
                      <w:color w:val="auto"/>
                      <w:kern w:val="0"/>
                      <w:sz w:val="21"/>
                      <w:szCs w:val="21"/>
                      <w:highlight w:val="none"/>
                      <w:lang w:bidi="ar-SA"/>
                    </w:rPr>
                    <w:t>出水浓度</w:t>
                  </w:r>
                </w:p>
              </w:tc>
              <w:tc>
                <w:tcPr>
                  <w:tcW w:w="1327" w:type="dxa"/>
                  <w:tcBorders>
                    <w:tl2br w:val="nil"/>
                    <w:tr2bl w:val="nil"/>
                  </w:tcBorders>
                  <w:vAlign w:val="center"/>
                </w:tcPr>
                <w:p w14:paraId="1183EDE2">
                  <w:pPr>
                    <w:widowControl/>
                    <w:jc w:val="center"/>
                    <w:rPr>
                      <w:rFonts w:hint="default" w:ascii="Times New Roman" w:hAnsi="Times New Roman" w:eastAsia="宋体" w:cs="Times New Roman"/>
                      <w:color w:val="auto"/>
                      <w:kern w:val="0"/>
                      <w:sz w:val="21"/>
                      <w:szCs w:val="21"/>
                      <w:highlight w:val="none"/>
                      <w:lang w:bidi="ar-SA"/>
                    </w:rPr>
                  </w:pPr>
                  <w:r>
                    <w:rPr>
                      <w:rFonts w:hint="default" w:ascii="Times New Roman" w:hAnsi="Times New Roman" w:eastAsia="宋体" w:cs="Times New Roman"/>
                      <w:color w:val="auto"/>
                      <w:kern w:val="0"/>
                      <w:sz w:val="21"/>
                      <w:szCs w:val="21"/>
                      <w:highlight w:val="none"/>
                      <w:lang w:bidi="ar-SA"/>
                    </w:rPr>
                    <w:t>6~9</w:t>
                  </w:r>
                </w:p>
              </w:tc>
              <w:tc>
                <w:tcPr>
                  <w:tcW w:w="1327" w:type="dxa"/>
                  <w:tcBorders>
                    <w:tl2br w:val="nil"/>
                    <w:tr2bl w:val="nil"/>
                  </w:tcBorders>
                  <w:shd w:val="clear" w:color="auto" w:fill="auto"/>
                  <w:vAlign w:val="center"/>
                </w:tcPr>
                <w:p w14:paraId="3DC42071">
                  <w:pPr>
                    <w:widowControl/>
                    <w:jc w:val="center"/>
                    <w:rPr>
                      <w:rFonts w:hint="default" w:ascii="Times New Roman" w:hAnsi="Times New Roman" w:eastAsia="宋体" w:cs="Times New Roman"/>
                      <w:color w:val="auto"/>
                      <w:kern w:val="0"/>
                      <w:sz w:val="21"/>
                      <w:szCs w:val="21"/>
                      <w:highlight w:val="none"/>
                      <w:lang w:val="en-US" w:eastAsia="zh-CN" w:bidi="ar"/>
                    </w:rPr>
                  </w:pPr>
                  <w:r>
                    <w:rPr>
                      <w:rFonts w:hint="eastAsia" w:ascii="Times New Roman" w:hAnsi="Times New Roman" w:eastAsia="宋体" w:cs="Times New Roman"/>
                      <w:color w:val="auto"/>
                      <w:kern w:val="0"/>
                      <w:sz w:val="21"/>
                      <w:szCs w:val="21"/>
                      <w:highlight w:val="none"/>
                      <w:lang w:val="en-US" w:eastAsia="zh-CN" w:bidi="ar-SA"/>
                    </w:rPr>
                    <w:t>30</w:t>
                  </w:r>
                </w:p>
              </w:tc>
              <w:tc>
                <w:tcPr>
                  <w:tcW w:w="1327" w:type="dxa"/>
                  <w:tcBorders>
                    <w:tl2br w:val="nil"/>
                    <w:tr2bl w:val="nil"/>
                  </w:tcBorders>
                  <w:shd w:val="clear" w:color="auto" w:fill="auto"/>
                  <w:vAlign w:val="center"/>
                </w:tcPr>
                <w:p w14:paraId="4C8F9335">
                  <w:pPr>
                    <w:widowControl/>
                    <w:jc w:val="center"/>
                    <w:rPr>
                      <w:rFonts w:hint="default" w:ascii="Times New Roman" w:hAnsi="Times New Roman" w:eastAsia="宋体" w:cs="Times New Roman"/>
                      <w:color w:val="auto"/>
                      <w:kern w:val="0"/>
                      <w:sz w:val="21"/>
                      <w:szCs w:val="21"/>
                      <w:highlight w:val="none"/>
                      <w:lang w:val="en-US" w:eastAsia="zh-CN" w:bidi="ar"/>
                    </w:rPr>
                  </w:pPr>
                  <w:r>
                    <w:rPr>
                      <w:rFonts w:hint="eastAsia" w:ascii="Times New Roman" w:hAnsi="Times New Roman" w:eastAsia="宋体" w:cs="Times New Roman"/>
                      <w:color w:val="auto"/>
                      <w:kern w:val="0"/>
                      <w:sz w:val="21"/>
                      <w:szCs w:val="21"/>
                      <w:highlight w:val="none"/>
                      <w:lang w:val="en-US" w:eastAsia="zh-CN" w:bidi="ar"/>
                    </w:rPr>
                    <w:t>18</w:t>
                  </w:r>
                </w:p>
              </w:tc>
              <w:tc>
                <w:tcPr>
                  <w:tcW w:w="1327" w:type="dxa"/>
                  <w:tcBorders>
                    <w:tl2br w:val="nil"/>
                    <w:tr2bl w:val="nil"/>
                  </w:tcBorders>
                  <w:shd w:val="clear" w:color="auto" w:fill="auto"/>
                  <w:vAlign w:val="center"/>
                </w:tcPr>
                <w:p w14:paraId="07B20F7F">
                  <w:pPr>
                    <w:widowControl/>
                    <w:jc w:val="center"/>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80</w:t>
                  </w:r>
                </w:p>
              </w:tc>
              <w:tc>
                <w:tcPr>
                  <w:tcW w:w="1329" w:type="dxa"/>
                  <w:tcBorders>
                    <w:tl2br w:val="nil"/>
                    <w:tr2bl w:val="nil"/>
                  </w:tcBorders>
                  <w:shd w:val="clear" w:color="auto" w:fill="auto"/>
                  <w:vAlign w:val="center"/>
                </w:tcPr>
                <w:p w14:paraId="763BBB7B">
                  <w:pPr>
                    <w:widowControl/>
                    <w:jc w:val="center"/>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1</w:t>
                  </w:r>
                </w:p>
              </w:tc>
            </w:tr>
            <w:tr w14:paraId="1E06A13F">
              <w:tblPrEx>
                <w:tblBorders>
                  <w:top w:val="single" w:color="auto" w:sz="12" w:space="0"/>
                  <w:left w:val="none" w:color="auto" w:sz="0" w:space="0"/>
                  <w:bottom w:val="single" w:color="auto" w:sz="12" w:space="0"/>
                  <w:right w:val="none" w:color="auto" w:sz="0" w:space="0"/>
                  <w:insideH w:val="single" w:color="auto" w:sz="6" w:space="0"/>
                  <w:insideV w:val="single" w:color="auto" w:sz="4" w:space="0"/>
                </w:tblBorders>
                <w:tblCellMar>
                  <w:top w:w="0" w:type="dxa"/>
                  <w:left w:w="108" w:type="dxa"/>
                  <w:bottom w:w="0" w:type="dxa"/>
                  <w:right w:w="108" w:type="dxa"/>
                </w:tblCellMar>
              </w:tblPrEx>
              <w:trPr>
                <w:trHeight w:val="235" w:hRule="atLeast"/>
              </w:trPr>
              <w:tc>
                <w:tcPr>
                  <w:tcW w:w="1515" w:type="dxa"/>
                  <w:gridSpan w:val="2"/>
                  <w:tcBorders>
                    <w:tl2br w:val="nil"/>
                    <w:tr2bl w:val="nil"/>
                  </w:tcBorders>
                  <w:vAlign w:val="center"/>
                </w:tcPr>
                <w:p w14:paraId="14DEB15B">
                  <w:pPr>
                    <w:widowControl/>
                    <w:jc w:val="center"/>
                    <w:rPr>
                      <w:rFonts w:hint="default" w:ascii="Times New Roman" w:hAnsi="Times New Roman" w:eastAsia="宋体" w:cs="Times New Roman"/>
                      <w:color w:val="auto"/>
                      <w:kern w:val="0"/>
                      <w:sz w:val="21"/>
                      <w:szCs w:val="21"/>
                      <w:highlight w:val="none"/>
                      <w:lang w:bidi="ar-SA"/>
                    </w:rPr>
                  </w:pPr>
                  <w:r>
                    <w:rPr>
                      <w:rFonts w:hint="eastAsia" w:ascii="Times New Roman" w:hAnsi="Times New Roman" w:eastAsia="宋体" w:cs="Times New Roman"/>
                      <w:color w:val="auto"/>
                      <w:kern w:val="0"/>
                      <w:sz w:val="21"/>
                      <w:szCs w:val="21"/>
                      <w:highlight w:val="none"/>
                      <w:lang w:val="en-US" w:eastAsia="zh-CN" w:bidi="ar-SA"/>
                    </w:rPr>
                    <w:t>回用</w:t>
                  </w:r>
                  <w:r>
                    <w:rPr>
                      <w:rFonts w:hint="default" w:ascii="Times New Roman" w:hAnsi="Times New Roman" w:eastAsia="宋体" w:cs="Times New Roman"/>
                      <w:color w:val="auto"/>
                      <w:kern w:val="0"/>
                      <w:sz w:val="21"/>
                      <w:szCs w:val="21"/>
                      <w:highlight w:val="none"/>
                      <w:lang w:bidi="ar-SA"/>
                    </w:rPr>
                    <w:t>标准</w:t>
                  </w:r>
                </w:p>
              </w:tc>
              <w:tc>
                <w:tcPr>
                  <w:tcW w:w="1327" w:type="dxa"/>
                  <w:tcBorders>
                    <w:tl2br w:val="nil"/>
                    <w:tr2bl w:val="nil"/>
                  </w:tcBorders>
                  <w:vAlign w:val="center"/>
                </w:tcPr>
                <w:p w14:paraId="2EB023C3">
                  <w:pPr>
                    <w:widowControl/>
                    <w:jc w:val="center"/>
                    <w:rPr>
                      <w:rFonts w:hint="default" w:ascii="Times New Roman" w:hAnsi="Times New Roman" w:eastAsia="宋体" w:cs="Times New Roman"/>
                      <w:color w:val="auto"/>
                      <w:kern w:val="0"/>
                      <w:sz w:val="21"/>
                      <w:szCs w:val="21"/>
                      <w:highlight w:val="none"/>
                      <w:lang w:bidi="ar-SA"/>
                    </w:rPr>
                  </w:pPr>
                  <w:r>
                    <w:rPr>
                      <w:rFonts w:hint="default" w:ascii="Times New Roman" w:hAnsi="Times New Roman" w:eastAsia="宋体" w:cs="Times New Roman"/>
                      <w:color w:val="auto"/>
                      <w:kern w:val="0"/>
                      <w:sz w:val="21"/>
                      <w:szCs w:val="21"/>
                      <w:highlight w:val="none"/>
                      <w:lang w:bidi="ar-SA"/>
                    </w:rPr>
                    <w:t>6~9</w:t>
                  </w:r>
                </w:p>
              </w:tc>
              <w:tc>
                <w:tcPr>
                  <w:tcW w:w="1327" w:type="dxa"/>
                  <w:tcBorders>
                    <w:tl2br w:val="nil"/>
                    <w:tr2bl w:val="nil"/>
                  </w:tcBorders>
                  <w:vAlign w:val="center"/>
                </w:tcPr>
                <w:p w14:paraId="3A7CA1CC">
                  <w:pPr>
                    <w:widowControl/>
                    <w:jc w:val="center"/>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50</w:t>
                  </w:r>
                </w:p>
              </w:tc>
              <w:tc>
                <w:tcPr>
                  <w:tcW w:w="1327" w:type="dxa"/>
                  <w:tcBorders>
                    <w:tl2br w:val="nil"/>
                    <w:tr2bl w:val="nil"/>
                  </w:tcBorders>
                  <w:vAlign w:val="center"/>
                </w:tcPr>
                <w:p w14:paraId="3D722E92">
                  <w:pPr>
                    <w:widowControl/>
                    <w:jc w:val="center"/>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w:t>
                  </w:r>
                </w:p>
              </w:tc>
              <w:tc>
                <w:tcPr>
                  <w:tcW w:w="1327" w:type="dxa"/>
                  <w:tcBorders>
                    <w:tl2br w:val="nil"/>
                    <w:tr2bl w:val="nil"/>
                  </w:tcBorders>
                  <w:vAlign w:val="center"/>
                </w:tcPr>
                <w:p w14:paraId="40766212">
                  <w:pPr>
                    <w:widowControl/>
                    <w:jc w:val="center"/>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1500</w:t>
                  </w:r>
                </w:p>
              </w:tc>
              <w:tc>
                <w:tcPr>
                  <w:tcW w:w="1329" w:type="dxa"/>
                  <w:tcBorders>
                    <w:tl2br w:val="nil"/>
                    <w:tr2bl w:val="nil"/>
                  </w:tcBorders>
                  <w:vAlign w:val="center"/>
                </w:tcPr>
                <w:p w14:paraId="7F46EE72">
                  <w:pPr>
                    <w:widowControl/>
                    <w:jc w:val="center"/>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1</w:t>
                  </w:r>
                </w:p>
              </w:tc>
            </w:tr>
            <w:tr w14:paraId="45F17778">
              <w:tblPrEx>
                <w:tblBorders>
                  <w:top w:val="single" w:color="auto" w:sz="12" w:space="0"/>
                  <w:left w:val="none" w:color="auto" w:sz="0" w:space="0"/>
                  <w:bottom w:val="single" w:color="auto" w:sz="12" w:space="0"/>
                  <w:right w:val="none" w:color="auto" w:sz="0" w:space="0"/>
                  <w:insideH w:val="single" w:color="auto" w:sz="6" w:space="0"/>
                  <w:insideV w:val="single" w:color="auto" w:sz="4" w:space="0"/>
                </w:tblBorders>
                <w:tblCellMar>
                  <w:top w:w="0" w:type="dxa"/>
                  <w:left w:w="108" w:type="dxa"/>
                  <w:bottom w:w="0" w:type="dxa"/>
                  <w:right w:w="108" w:type="dxa"/>
                </w:tblCellMar>
              </w:tblPrEx>
              <w:trPr>
                <w:trHeight w:val="325" w:hRule="atLeast"/>
              </w:trPr>
              <w:tc>
                <w:tcPr>
                  <w:tcW w:w="1515" w:type="dxa"/>
                  <w:gridSpan w:val="2"/>
                  <w:tcBorders>
                    <w:tl2br w:val="nil"/>
                    <w:tr2bl w:val="nil"/>
                  </w:tcBorders>
                  <w:vAlign w:val="center"/>
                </w:tcPr>
                <w:p w14:paraId="285BDCB2">
                  <w:pPr>
                    <w:widowControl/>
                    <w:jc w:val="center"/>
                    <w:rPr>
                      <w:rFonts w:hint="default" w:ascii="Times New Roman" w:hAnsi="Times New Roman" w:eastAsia="宋体" w:cs="Times New Roman"/>
                      <w:color w:val="auto"/>
                      <w:kern w:val="0"/>
                      <w:sz w:val="21"/>
                      <w:szCs w:val="21"/>
                      <w:highlight w:val="none"/>
                      <w:lang w:bidi="ar-SA"/>
                    </w:rPr>
                  </w:pPr>
                  <w:r>
                    <w:rPr>
                      <w:rFonts w:hint="default" w:ascii="Times New Roman" w:hAnsi="Times New Roman" w:eastAsia="宋体" w:cs="Times New Roman"/>
                      <w:color w:val="auto"/>
                      <w:kern w:val="0"/>
                      <w:sz w:val="21"/>
                      <w:szCs w:val="21"/>
                      <w:highlight w:val="none"/>
                      <w:lang w:bidi="ar-SA"/>
                    </w:rPr>
                    <w:t>达标排放情况</w:t>
                  </w:r>
                </w:p>
              </w:tc>
              <w:tc>
                <w:tcPr>
                  <w:tcW w:w="1327" w:type="dxa"/>
                  <w:tcBorders>
                    <w:tl2br w:val="nil"/>
                    <w:tr2bl w:val="nil"/>
                  </w:tcBorders>
                  <w:shd w:val="clear" w:color="auto" w:fill="auto"/>
                  <w:vAlign w:val="center"/>
                </w:tcPr>
                <w:p w14:paraId="5AAF766E">
                  <w:pPr>
                    <w:widowControl/>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bidi="ar-SA"/>
                    </w:rPr>
                    <w:t>达标</w:t>
                  </w:r>
                </w:p>
              </w:tc>
              <w:tc>
                <w:tcPr>
                  <w:tcW w:w="1327" w:type="dxa"/>
                  <w:tcBorders>
                    <w:tl2br w:val="nil"/>
                    <w:tr2bl w:val="nil"/>
                  </w:tcBorders>
                  <w:shd w:val="clear" w:color="auto" w:fill="auto"/>
                  <w:vAlign w:val="center"/>
                </w:tcPr>
                <w:p w14:paraId="6E66939D">
                  <w:pPr>
                    <w:widowControl/>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bidi="ar-SA"/>
                    </w:rPr>
                    <w:t>达标</w:t>
                  </w:r>
                </w:p>
              </w:tc>
              <w:tc>
                <w:tcPr>
                  <w:tcW w:w="1327" w:type="dxa"/>
                  <w:tcBorders>
                    <w:tl2br w:val="nil"/>
                    <w:tr2bl w:val="nil"/>
                  </w:tcBorders>
                  <w:shd w:val="clear" w:color="auto" w:fill="auto"/>
                  <w:vAlign w:val="center"/>
                </w:tcPr>
                <w:p w14:paraId="581BF4B4">
                  <w:pPr>
                    <w:widowControl/>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bidi="ar-SA"/>
                    </w:rPr>
                    <w:t>达标</w:t>
                  </w:r>
                </w:p>
              </w:tc>
              <w:tc>
                <w:tcPr>
                  <w:tcW w:w="1327" w:type="dxa"/>
                  <w:tcBorders>
                    <w:tl2br w:val="nil"/>
                    <w:tr2bl w:val="nil"/>
                  </w:tcBorders>
                  <w:shd w:val="clear" w:color="auto" w:fill="auto"/>
                  <w:vAlign w:val="center"/>
                </w:tcPr>
                <w:p w14:paraId="21C584F8">
                  <w:pPr>
                    <w:widowControl/>
                    <w:jc w:val="center"/>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eastAsia="宋体" w:cs="Times New Roman"/>
                      <w:color w:val="auto"/>
                      <w:kern w:val="0"/>
                      <w:sz w:val="21"/>
                      <w:szCs w:val="21"/>
                      <w:highlight w:val="none"/>
                      <w:lang w:bidi="ar-SA"/>
                    </w:rPr>
                    <w:t>达标</w:t>
                  </w:r>
                </w:p>
              </w:tc>
              <w:tc>
                <w:tcPr>
                  <w:tcW w:w="1329" w:type="dxa"/>
                  <w:tcBorders>
                    <w:tl2br w:val="nil"/>
                    <w:tr2bl w:val="nil"/>
                  </w:tcBorders>
                  <w:shd w:val="clear" w:color="auto" w:fill="auto"/>
                  <w:vAlign w:val="center"/>
                </w:tcPr>
                <w:p w14:paraId="6EE57F42">
                  <w:pPr>
                    <w:widowControl/>
                    <w:jc w:val="center"/>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达标</w:t>
                  </w:r>
                </w:p>
              </w:tc>
            </w:tr>
          </w:tbl>
          <w:p w14:paraId="5DED3EA5">
            <w:pPr>
              <w:spacing w:line="360" w:lineRule="auto"/>
              <w:ind w:firstLine="480" w:firstLineChars="200"/>
              <w:rPr>
                <w:rFonts w:hint="eastAsia"/>
                <w:bCs/>
                <w:color w:val="auto"/>
                <w:spacing w:val="-10"/>
                <w:sz w:val="24"/>
                <w:szCs w:val="24"/>
                <w:highlight w:val="none"/>
                <w:lang w:val="en-US" w:eastAsia="zh-CN" w:bidi="ar-SA"/>
              </w:rPr>
            </w:pPr>
            <w:r>
              <w:rPr>
                <w:rFonts w:hint="eastAsia" w:cs="Times New Roman"/>
                <w:b w:val="0"/>
                <w:bCs w:val="0"/>
                <w:color w:val="auto"/>
                <w:kern w:val="0"/>
                <w:sz w:val="24"/>
                <w:szCs w:val="24"/>
                <w:lang w:val="en-US" w:eastAsia="zh-CN"/>
              </w:rPr>
              <w:t>综上所述</w:t>
            </w:r>
            <w:r>
              <w:rPr>
                <w:rFonts w:hint="eastAsia" w:ascii="Times New Roman" w:hAnsi="Times New Roman" w:eastAsia="宋体" w:cs="Times New Roman"/>
                <w:b w:val="0"/>
                <w:bCs w:val="0"/>
                <w:color w:val="auto"/>
                <w:kern w:val="0"/>
                <w:sz w:val="24"/>
                <w:szCs w:val="24"/>
                <w:lang w:val="en-US" w:eastAsia="zh-CN"/>
              </w:rPr>
              <w:t>，</w:t>
            </w:r>
            <w:r>
              <w:rPr>
                <w:rFonts w:hint="eastAsia" w:cs="Times New Roman"/>
                <w:color w:val="auto"/>
                <w:kern w:val="0"/>
                <w:sz w:val="24"/>
                <w:szCs w:val="24"/>
                <w:lang w:val="en-US" w:eastAsia="zh-CN"/>
              </w:rPr>
              <w:t>清洗</w:t>
            </w:r>
            <w:r>
              <w:rPr>
                <w:rFonts w:hint="eastAsia" w:ascii="Times New Roman" w:hAnsi="Times New Roman" w:eastAsia="宋体" w:cs="Times New Roman"/>
                <w:color w:val="auto"/>
                <w:kern w:val="0"/>
                <w:sz w:val="24"/>
                <w:szCs w:val="24"/>
                <w:lang w:val="en-US" w:eastAsia="zh-CN"/>
              </w:rPr>
              <w:t>工序产生的废水主要为SS、石油类</w:t>
            </w:r>
            <w:r>
              <w:rPr>
                <w:rFonts w:hint="eastAsia" w:cs="Times New Roman"/>
                <w:color w:val="auto"/>
                <w:kern w:val="0"/>
                <w:sz w:val="24"/>
                <w:szCs w:val="24"/>
                <w:lang w:val="en-US" w:eastAsia="zh-CN"/>
              </w:rPr>
              <w:t>、</w:t>
            </w:r>
            <w:r>
              <w:rPr>
                <w:rFonts w:hint="eastAsia" w:ascii="Times New Roman" w:hAnsi="Times New Roman" w:eastAsia="宋体" w:cs="Times New Roman"/>
                <w:color w:val="auto"/>
                <w:kern w:val="0"/>
                <w:sz w:val="24"/>
                <w:szCs w:val="24"/>
                <w:lang w:val="en-US" w:eastAsia="zh-CN"/>
              </w:rPr>
              <w:t>COD</w:t>
            </w:r>
            <w:r>
              <w:rPr>
                <w:rFonts w:hint="eastAsia" w:cs="Times New Roman"/>
                <w:color w:val="auto"/>
                <w:kern w:val="0"/>
                <w:sz w:val="24"/>
                <w:szCs w:val="24"/>
                <w:lang w:val="en-US" w:eastAsia="zh-CN"/>
              </w:rPr>
              <w:t>、TDS，</w:t>
            </w:r>
            <w:r>
              <w:rPr>
                <w:rFonts w:hint="eastAsia"/>
                <w:color w:val="auto"/>
                <w:sz w:val="24"/>
                <w:szCs w:val="24"/>
                <w:lang w:val="en-US" w:eastAsia="zh-CN"/>
              </w:rPr>
              <w:t>经</w:t>
            </w:r>
            <w:r>
              <w:rPr>
                <w:rFonts w:hint="eastAsia" w:eastAsia="宋体"/>
                <w:color w:val="auto"/>
                <w:sz w:val="24"/>
                <w:szCs w:val="24"/>
                <w:lang w:val="en-US" w:eastAsia="zh-CN" w:bidi="ar-SA"/>
              </w:rPr>
              <w:t>预过滤+三相分离器+低温蒸发器+陶瓷膜过滤</w:t>
            </w:r>
            <w:r>
              <w:rPr>
                <w:rFonts w:hint="eastAsia"/>
                <w:color w:val="auto"/>
                <w:sz w:val="24"/>
                <w:szCs w:val="24"/>
                <w:lang w:val="en-US" w:eastAsia="zh-CN" w:bidi="ar-SA"/>
              </w:rPr>
              <w:t>后可以</w:t>
            </w:r>
            <w:r>
              <w:rPr>
                <w:rFonts w:hint="eastAsia" w:cs="Times New Roman"/>
                <w:color w:val="auto"/>
                <w:kern w:val="0"/>
                <w:sz w:val="24"/>
                <w:szCs w:val="24"/>
                <w:lang w:val="en-US" w:eastAsia="zh-CN"/>
              </w:rPr>
              <w:t>满足《城市污水再生利用 工业用水水质》（GB/T19923-2024）表1中直流冷却水、洗涤用水标准限值，可回用于清洗工序</w:t>
            </w:r>
            <w:r>
              <w:rPr>
                <w:rFonts w:hint="eastAsia" w:ascii="Times New Roman" w:hAnsi="Times New Roman" w:eastAsia="宋体" w:cs="Times New Roman"/>
                <w:color w:val="auto"/>
                <w:kern w:val="0"/>
                <w:sz w:val="24"/>
                <w:szCs w:val="24"/>
                <w:lang w:val="en-US" w:eastAsia="zh-CN"/>
              </w:rPr>
              <w:t>。</w:t>
            </w:r>
          </w:p>
          <w:p w14:paraId="0DD4D39D">
            <w:pPr>
              <w:spacing w:line="360" w:lineRule="auto"/>
              <w:ind w:firstLine="440" w:firstLineChars="200"/>
              <w:rPr>
                <w:rFonts w:hint="default"/>
                <w:bCs/>
                <w:color w:val="auto"/>
                <w:spacing w:val="-10"/>
                <w:sz w:val="24"/>
                <w:szCs w:val="24"/>
                <w:highlight w:val="none"/>
                <w:lang w:bidi="ar-SA"/>
              </w:rPr>
            </w:pPr>
            <w:r>
              <w:rPr>
                <w:rFonts w:hint="default"/>
                <w:bCs/>
                <w:color w:val="auto"/>
                <w:spacing w:val="-10"/>
                <w:sz w:val="24"/>
                <w:szCs w:val="24"/>
                <w:highlight w:val="none"/>
                <w:lang w:bidi="ar-SA"/>
              </w:rPr>
              <w:t>（</w:t>
            </w:r>
            <w:r>
              <w:rPr>
                <w:rFonts w:hint="eastAsia"/>
                <w:bCs/>
                <w:color w:val="auto"/>
                <w:spacing w:val="-10"/>
                <w:sz w:val="24"/>
                <w:szCs w:val="24"/>
                <w:highlight w:val="none"/>
                <w:lang w:bidi="ar-SA"/>
              </w:rPr>
              <w:t>2</w:t>
            </w:r>
            <w:r>
              <w:rPr>
                <w:rFonts w:hint="default"/>
                <w:bCs/>
                <w:color w:val="auto"/>
                <w:spacing w:val="-10"/>
                <w:sz w:val="24"/>
                <w:szCs w:val="24"/>
                <w:highlight w:val="none"/>
                <w:lang w:bidi="ar-SA"/>
              </w:rPr>
              <w:t>）接管可行性</w:t>
            </w:r>
          </w:p>
          <w:p w14:paraId="6F90257C">
            <w:pPr>
              <w:keepNext w:val="0"/>
              <w:keepLines w:val="0"/>
              <w:suppressLineNumbers w:val="0"/>
              <w:spacing w:before="0" w:beforeAutospacing="0" w:after="0" w:afterAutospacing="0" w:line="360" w:lineRule="auto"/>
              <w:ind w:left="0" w:right="0" w:firstLine="480" w:firstLineChars="200"/>
              <w:rPr>
                <w:rFonts w:hint="default" w:ascii="Times New Roman" w:hAnsi="Times New Roman" w:cs="Times New Roman"/>
                <w:color w:val="auto"/>
                <w:sz w:val="24"/>
                <w:szCs w:val="24"/>
                <w:lang w:bidi="ar-SA"/>
              </w:rPr>
            </w:pPr>
            <w:r>
              <w:rPr>
                <w:rFonts w:hint="default" w:ascii="Times New Roman" w:hAnsi="Times New Roman" w:cs="Times New Roman"/>
                <w:color w:val="auto"/>
                <w:sz w:val="24"/>
                <w:szCs w:val="24"/>
                <w:lang w:bidi="ar-SA"/>
              </w:rPr>
              <w:t>项目所在地污水管网已铺设到位，</w:t>
            </w:r>
            <w:r>
              <w:rPr>
                <w:rFonts w:hint="eastAsia" w:cs="Times New Roman"/>
                <w:color w:val="auto"/>
                <w:sz w:val="24"/>
                <w:szCs w:val="24"/>
                <w:lang w:val="en-US" w:eastAsia="zh-CN" w:bidi="ar-SA"/>
              </w:rPr>
              <w:t>本</w:t>
            </w:r>
            <w:r>
              <w:rPr>
                <w:rFonts w:hint="eastAsia" w:ascii="Times New Roman" w:hAnsi="Times New Roman" w:cs="Times New Roman"/>
                <w:color w:val="auto"/>
                <w:sz w:val="24"/>
                <w:szCs w:val="24"/>
                <w:lang w:bidi="ar-SA"/>
              </w:rPr>
              <w:t>项目</w:t>
            </w:r>
            <w:r>
              <w:rPr>
                <w:rFonts w:hint="default" w:ascii="Times New Roman" w:hAnsi="Times New Roman" w:cs="Times New Roman"/>
                <w:color w:val="auto"/>
                <w:sz w:val="24"/>
                <w:szCs w:val="24"/>
                <w:lang w:bidi="ar-SA"/>
              </w:rPr>
              <w:t>生活污水经化粪池处理后接管</w:t>
            </w:r>
            <w:r>
              <w:rPr>
                <w:rFonts w:hint="eastAsia" w:cs="Times New Roman"/>
                <w:color w:val="auto"/>
                <w:sz w:val="24"/>
                <w:szCs w:val="24"/>
                <w:lang w:val="en-US" w:eastAsia="zh-CN" w:bidi="ar-SA"/>
              </w:rPr>
              <w:t>至鹰泰水务海安有限公司</w:t>
            </w:r>
            <w:r>
              <w:rPr>
                <w:rFonts w:hint="default" w:ascii="Times New Roman" w:hAnsi="Times New Roman" w:cs="Times New Roman"/>
                <w:color w:val="auto"/>
                <w:sz w:val="24"/>
                <w:szCs w:val="24"/>
                <w:lang w:bidi="ar-SA"/>
              </w:rPr>
              <w:t>集中处理。</w:t>
            </w:r>
          </w:p>
          <w:p w14:paraId="23DFC9AE">
            <w:pPr>
              <w:adjustRightInd w:val="0"/>
              <w:snapToGrid w:val="0"/>
              <w:spacing w:line="360" w:lineRule="auto"/>
              <w:ind w:firstLine="480" w:firstLineChars="200"/>
              <w:rPr>
                <w:color w:val="auto"/>
                <w:sz w:val="24"/>
                <w:szCs w:val="24"/>
              </w:rPr>
            </w:pPr>
            <w:r>
              <w:rPr>
                <w:color w:val="auto"/>
                <w:sz w:val="24"/>
                <w:szCs w:val="24"/>
              </w:rPr>
              <w:t>①污水处理厂概况</w:t>
            </w:r>
          </w:p>
          <w:p w14:paraId="5B48E097">
            <w:pPr>
              <w:spacing w:line="360" w:lineRule="auto"/>
              <w:ind w:firstLine="480"/>
              <w:rPr>
                <w:color w:val="auto"/>
                <w:sz w:val="24"/>
                <w:szCs w:val="24"/>
                <w:lang w:bidi="ar"/>
              </w:rPr>
            </w:pPr>
            <w:r>
              <w:rPr>
                <w:rFonts w:hint="eastAsia"/>
                <w:color w:val="auto"/>
                <w:sz w:val="24"/>
                <w:szCs w:val="24"/>
                <w:lang w:bidi="ar"/>
              </w:rPr>
              <w:t>鹰泰水务海安有限公司，坐落于海安高新技术产业开发区通学桥村</w:t>
            </w:r>
            <w:r>
              <w:rPr>
                <w:color w:val="auto"/>
                <w:sz w:val="24"/>
                <w:szCs w:val="24"/>
                <w:lang w:bidi="ar"/>
              </w:rPr>
              <w:t>30</w:t>
            </w:r>
            <w:r>
              <w:rPr>
                <w:rFonts w:hint="eastAsia"/>
                <w:color w:val="auto"/>
                <w:sz w:val="24"/>
                <w:szCs w:val="24"/>
                <w:lang w:bidi="ar"/>
              </w:rPr>
              <w:t>组，设计处理能力为日处理污水</w:t>
            </w:r>
            <w:r>
              <w:rPr>
                <w:color w:val="auto"/>
                <w:sz w:val="24"/>
                <w:szCs w:val="24"/>
                <w:lang w:bidi="ar"/>
              </w:rPr>
              <w:t>2.00</w:t>
            </w:r>
            <w:r>
              <w:rPr>
                <w:rFonts w:hint="eastAsia"/>
                <w:color w:val="auto"/>
                <w:sz w:val="24"/>
                <w:szCs w:val="24"/>
                <w:lang w:bidi="ar"/>
              </w:rPr>
              <w:t>万立方米。鹰泰水务海安有限公司自</w:t>
            </w:r>
            <w:r>
              <w:rPr>
                <w:color w:val="auto"/>
                <w:sz w:val="24"/>
                <w:szCs w:val="24"/>
                <w:lang w:bidi="ar"/>
              </w:rPr>
              <w:t>2010</w:t>
            </w:r>
            <w:r>
              <w:rPr>
                <w:rFonts w:hint="eastAsia"/>
                <w:color w:val="auto"/>
                <w:sz w:val="24"/>
                <w:szCs w:val="24"/>
                <w:lang w:bidi="ar"/>
              </w:rPr>
              <w:t>年</w:t>
            </w:r>
            <w:r>
              <w:rPr>
                <w:color w:val="auto"/>
                <w:sz w:val="24"/>
                <w:szCs w:val="24"/>
                <w:lang w:bidi="ar"/>
              </w:rPr>
              <w:t>12</w:t>
            </w:r>
            <w:r>
              <w:rPr>
                <w:rFonts w:hint="eastAsia"/>
                <w:color w:val="auto"/>
                <w:sz w:val="24"/>
                <w:szCs w:val="24"/>
                <w:lang w:bidi="ar"/>
              </w:rPr>
              <w:t>月正式投入运行以来，污水处理设备运转良好，日平均处理污水量为1.92万立方米。该项目采用先进的污水处理设备，厂区主体工艺采用</w:t>
            </w:r>
            <w:r>
              <w:rPr>
                <w:color w:val="auto"/>
                <w:sz w:val="24"/>
                <w:szCs w:val="24"/>
                <w:lang w:bidi="ar"/>
              </w:rPr>
              <w:t>A/O</w:t>
            </w:r>
            <w:r>
              <w:rPr>
                <w:rFonts w:hint="eastAsia"/>
                <w:color w:val="auto"/>
                <w:sz w:val="24"/>
                <w:szCs w:val="24"/>
                <w:lang w:bidi="ar"/>
              </w:rPr>
              <w:t>处理工艺。尾水达到《城镇污水处理厂污染物排放标准》（DB32/4440-2022）表1中C标准后，以岸边排放的形式排往栟茶运河。鹰泰水务海安有限公司污水处理工艺流程</w:t>
            </w:r>
            <w:r>
              <w:rPr>
                <w:color w:val="auto"/>
                <w:sz w:val="24"/>
                <w:szCs w:val="24"/>
              </w:rPr>
              <w:t>如下：</w:t>
            </w:r>
          </w:p>
          <w:p w14:paraId="15DCEC88">
            <w:pPr>
              <w:spacing w:line="360" w:lineRule="auto"/>
              <w:jc w:val="center"/>
              <w:rPr>
                <w:b/>
                <w:bCs/>
                <w:color w:val="auto"/>
              </w:rPr>
            </w:pPr>
            <w:r>
              <w:rPr>
                <w:color w:val="auto"/>
              </w:rPr>
              <w:drawing>
                <wp:inline distT="0" distB="0" distL="114300" distR="114300">
                  <wp:extent cx="5130800" cy="4904740"/>
                  <wp:effectExtent l="0" t="0" r="12700" b="10160"/>
                  <wp:docPr id="5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
                          <pic:cNvPicPr>
                            <a:picLocks noChangeAspect="1"/>
                          </pic:cNvPicPr>
                        </pic:nvPicPr>
                        <pic:blipFill>
                          <a:blip r:embed="rId13"/>
                          <a:stretch>
                            <a:fillRect/>
                          </a:stretch>
                        </pic:blipFill>
                        <pic:spPr>
                          <a:xfrm>
                            <a:off x="0" y="0"/>
                            <a:ext cx="5130800" cy="4904740"/>
                          </a:xfrm>
                          <a:prstGeom prst="rect">
                            <a:avLst/>
                          </a:prstGeom>
                          <a:noFill/>
                          <a:ln>
                            <a:noFill/>
                          </a:ln>
                        </pic:spPr>
                      </pic:pic>
                    </a:graphicData>
                  </a:graphic>
                </wp:inline>
              </w:drawing>
            </w:r>
          </w:p>
          <w:p w14:paraId="576AD18E">
            <w:pPr>
              <w:jc w:val="center"/>
              <w:outlineLvl w:val="0"/>
              <w:rPr>
                <w:b/>
                <w:color w:val="auto"/>
                <w:sz w:val="24"/>
                <w:szCs w:val="24"/>
              </w:rPr>
            </w:pPr>
            <w:r>
              <w:rPr>
                <w:b/>
                <w:bCs/>
                <w:color w:val="auto"/>
                <w:sz w:val="24"/>
                <w:szCs w:val="24"/>
              </w:rPr>
              <w:t>图4-</w:t>
            </w:r>
            <w:r>
              <w:rPr>
                <w:rFonts w:hint="eastAsia"/>
                <w:b/>
                <w:bCs/>
                <w:color w:val="auto"/>
                <w:sz w:val="24"/>
                <w:szCs w:val="24"/>
                <w:lang w:val="en-US" w:eastAsia="zh-CN"/>
              </w:rPr>
              <w:t>3</w:t>
            </w:r>
            <w:r>
              <w:rPr>
                <w:b/>
                <w:bCs/>
                <w:color w:val="auto"/>
                <w:sz w:val="24"/>
                <w:szCs w:val="24"/>
              </w:rPr>
              <w:t xml:space="preserve"> 污水处理工艺示意图</w:t>
            </w:r>
          </w:p>
          <w:p w14:paraId="37F61E9C">
            <w:pPr>
              <w:spacing w:line="360" w:lineRule="auto"/>
              <w:ind w:firstLine="480" w:firstLineChars="200"/>
              <w:rPr>
                <w:color w:val="auto"/>
                <w:sz w:val="24"/>
                <w:szCs w:val="24"/>
              </w:rPr>
            </w:pPr>
            <w:r>
              <w:rPr>
                <w:rFonts w:hint="eastAsia"/>
                <w:color w:val="auto"/>
                <w:sz w:val="24"/>
                <w:szCs w:val="24"/>
              </w:rPr>
              <w:t>②污水水量处理可行</w:t>
            </w:r>
          </w:p>
          <w:p w14:paraId="78012155">
            <w:pPr>
              <w:spacing w:line="360" w:lineRule="auto"/>
              <w:ind w:firstLine="480" w:firstLineChars="200"/>
              <w:rPr>
                <w:color w:val="auto"/>
                <w:sz w:val="24"/>
                <w:szCs w:val="24"/>
              </w:rPr>
            </w:pPr>
            <w:r>
              <w:rPr>
                <w:rFonts w:hint="eastAsia"/>
                <w:color w:val="auto"/>
                <w:sz w:val="24"/>
                <w:szCs w:val="24"/>
              </w:rPr>
              <w:t>目前鹰泰水务海安有限公司处理余量约0.08万t/d，本项目新增污水排放量较小（约</w:t>
            </w:r>
            <w:r>
              <w:rPr>
                <w:rFonts w:hint="eastAsia"/>
                <w:color w:val="auto"/>
                <w:sz w:val="24"/>
                <w:szCs w:val="24"/>
                <w:lang w:val="en-US" w:eastAsia="zh-CN"/>
              </w:rPr>
              <w:t>1.58</w:t>
            </w:r>
            <w:r>
              <w:rPr>
                <w:rFonts w:hint="eastAsia"/>
                <w:color w:val="auto"/>
                <w:sz w:val="24"/>
                <w:szCs w:val="24"/>
              </w:rPr>
              <w:t>t/d），仅为鹰泰水务海安有限公司剩余处理能力的0.</w:t>
            </w:r>
            <w:r>
              <w:rPr>
                <w:rFonts w:hint="eastAsia"/>
                <w:color w:val="auto"/>
                <w:sz w:val="24"/>
                <w:szCs w:val="24"/>
                <w:lang w:val="en-US" w:eastAsia="zh-CN"/>
              </w:rPr>
              <w:t>2</w:t>
            </w:r>
            <w:r>
              <w:rPr>
                <w:rFonts w:hint="eastAsia"/>
                <w:color w:val="auto"/>
                <w:sz w:val="24"/>
                <w:szCs w:val="24"/>
              </w:rPr>
              <w:t>%。从污水水量来说，污水接管是可行的。</w:t>
            </w:r>
          </w:p>
          <w:p w14:paraId="5E68B1D6">
            <w:pPr>
              <w:spacing w:line="360" w:lineRule="auto"/>
              <w:ind w:firstLine="480" w:firstLineChars="200"/>
              <w:rPr>
                <w:color w:val="auto"/>
                <w:sz w:val="24"/>
                <w:szCs w:val="24"/>
              </w:rPr>
            </w:pPr>
            <w:r>
              <w:rPr>
                <w:rFonts w:hint="eastAsia"/>
                <w:color w:val="auto"/>
                <w:sz w:val="24"/>
                <w:szCs w:val="24"/>
              </w:rPr>
              <w:t>③污水水质处理可行</w:t>
            </w:r>
          </w:p>
          <w:p w14:paraId="24D1A01D">
            <w:pPr>
              <w:spacing w:line="360" w:lineRule="auto"/>
              <w:ind w:firstLine="480" w:firstLineChars="200"/>
              <w:outlineLvl w:val="8"/>
              <w:rPr>
                <w:rFonts w:hint="eastAsia" w:cs="宋体"/>
                <w:color w:val="auto"/>
                <w:sz w:val="24"/>
                <w:szCs w:val="24"/>
              </w:rPr>
            </w:pPr>
            <w:r>
              <w:rPr>
                <w:rFonts w:hint="eastAsia"/>
                <w:color w:val="auto"/>
                <w:sz w:val="24"/>
                <w:szCs w:val="24"/>
              </w:rPr>
              <w:t>本项目生活污水排放浓度可以满足鹰泰水务海安有限公司接管要求，不会对污水处理厂的正常运行产生冲击负荷，不影响其水质稳定达标排放。因此，从水质上说，废水接管是可行的。</w:t>
            </w:r>
          </w:p>
          <w:p w14:paraId="5DF0A978">
            <w:pPr>
              <w:adjustRightInd w:val="0"/>
              <w:snapToGrid w:val="0"/>
              <w:spacing w:line="360" w:lineRule="auto"/>
              <w:ind w:firstLine="482" w:firstLineChars="200"/>
              <w:rPr>
                <w:b/>
                <w:color w:val="auto"/>
                <w:sz w:val="24"/>
                <w:szCs w:val="24"/>
              </w:rPr>
            </w:pPr>
            <w:r>
              <w:rPr>
                <w:b/>
                <w:color w:val="auto"/>
                <w:sz w:val="24"/>
                <w:szCs w:val="24"/>
              </w:rPr>
              <w:t>2.4</w:t>
            </w:r>
            <w:r>
              <w:rPr>
                <w:rFonts w:hint="eastAsia" w:cs="宋体"/>
                <w:b/>
                <w:color w:val="auto"/>
                <w:sz w:val="24"/>
                <w:szCs w:val="24"/>
              </w:rPr>
              <w:t>雨水排放环境管理要求</w:t>
            </w:r>
          </w:p>
          <w:p w14:paraId="25F1BDE0">
            <w:pPr>
              <w:keepNext w:val="0"/>
              <w:keepLines w:val="0"/>
              <w:widowControl w:val="0"/>
              <w:suppressLineNumbers w:val="0"/>
              <w:spacing w:before="0" w:beforeAutospacing="0" w:after="0" w:afterAutospacing="0" w:line="360" w:lineRule="auto"/>
              <w:ind w:left="0" w:right="0" w:firstLine="480" w:firstLineChars="200"/>
              <w:jc w:val="both"/>
              <w:rPr>
                <w:rFonts w:hint="eastAsia" w:ascii="Times New Roman" w:hAnsi="Times New Roman" w:eastAsia="宋体" w:cs="宋体"/>
                <w:color w:val="auto"/>
                <w:kern w:val="2"/>
                <w:sz w:val="24"/>
                <w:szCs w:val="24"/>
                <w:lang w:val="en-US" w:eastAsia="zh-CN" w:bidi="ar"/>
              </w:rPr>
            </w:pPr>
            <w:r>
              <w:rPr>
                <w:rFonts w:hint="default" w:ascii="Times New Roman" w:hAnsi="Times New Roman" w:eastAsia="宋体" w:cs="宋体"/>
                <w:color w:val="auto"/>
                <w:kern w:val="2"/>
                <w:sz w:val="24"/>
                <w:szCs w:val="24"/>
                <w:lang w:val="en-US" w:eastAsia="zh-CN" w:bidi="ar"/>
              </w:rPr>
              <w:t>本项目雨水经雨水管网收集后就近排入</w:t>
            </w:r>
            <w:r>
              <w:rPr>
                <w:rFonts w:hint="eastAsia"/>
                <w:color w:val="auto"/>
                <w:sz w:val="24"/>
                <w:szCs w:val="24"/>
                <w:highlight w:val="none"/>
                <w:lang w:val="en-US" w:eastAsia="zh-CN"/>
              </w:rPr>
              <w:t>界河</w:t>
            </w:r>
            <w:r>
              <w:rPr>
                <w:rFonts w:hint="default" w:ascii="Times New Roman" w:hAnsi="Times New Roman" w:eastAsia="宋体" w:cs="宋体"/>
                <w:color w:val="auto"/>
                <w:kern w:val="2"/>
                <w:sz w:val="24"/>
                <w:szCs w:val="24"/>
                <w:lang w:val="en-US" w:eastAsia="zh-CN" w:bidi="ar"/>
              </w:rPr>
              <w:t>，雨水排放标准参照执行《地表水环境质量标准》（GB3838-2002）中Ⅲ类标准。为保证雨水排放水质满足相应标准要求，企业运营期应注意以下方面：</w:t>
            </w:r>
          </w:p>
          <w:p w14:paraId="6F9582B0">
            <w:pPr>
              <w:pStyle w:val="22"/>
              <w:widowControl w:val="0"/>
              <w:adjustRightInd w:val="0"/>
              <w:snapToGrid w:val="0"/>
              <w:spacing w:before="0" w:beforeAutospacing="0" w:after="0" w:afterAutospacing="0" w:line="360" w:lineRule="auto"/>
              <w:ind w:firstLine="480" w:firstLineChars="200"/>
              <w:jc w:val="both"/>
              <w:rPr>
                <w:rFonts w:hint="eastAsia" w:ascii="Times New Roman" w:hAnsi="Times New Roman" w:eastAsia="宋体" w:cs="宋体"/>
                <w:color w:val="auto"/>
                <w:kern w:val="2"/>
                <w:sz w:val="24"/>
                <w:szCs w:val="24"/>
                <w:lang w:val="en-US" w:eastAsia="zh-CN" w:bidi="ar"/>
              </w:rPr>
            </w:pPr>
            <w:r>
              <w:rPr>
                <w:rFonts w:hint="eastAsia" w:ascii="Times New Roman" w:hAnsi="Times New Roman" w:eastAsia="宋体" w:cs="宋体"/>
                <w:color w:val="auto"/>
                <w:kern w:val="2"/>
                <w:sz w:val="24"/>
                <w:szCs w:val="24"/>
                <w:lang w:val="en-US" w:eastAsia="zh-CN" w:bidi="ar"/>
              </w:rPr>
              <w:t>（</w:t>
            </w:r>
            <w:r>
              <w:rPr>
                <w:rFonts w:hint="eastAsia" w:ascii="Times New Roman" w:hAnsi="Times New Roman" w:cs="宋体"/>
                <w:color w:val="auto"/>
                <w:kern w:val="2"/>
                <w:sz w:val="24"/>
                <w:szCs w:val="24"/>
                <w:lang w:val="en-US" w:eastAsia="zh-CN" w:bidi="ar"/>
              </w:rPr>
              <w:t>1</w:t>
            </w:r>
            <w:r>
              <w:rPr>
                <w:rFonts w:hint="eastAsia" w:ascii="Times New Roman" w:hAnsi="Times New Roman" w:eastAsia="宋体" w:cs="宋体"/>
                <w:color w:val="auto"/>
                <w:kern w:val="2"/>
                <w:sz w:val="24"/>
                <w:szCs w:val="24"/>
                <w:lang w:val="en-US" w:eastAsia="zh-CN" w:bidi="ar"/>
              </w:rPr>
              <w:t>）严格按照法律法规、环评批复、园区管理条例等要求收集和排放雨水。</w:t>
            </w:r>
          </w:p>
          <w:p w14:paraId="57826E32">
            <w:pPr>
              <w:pStyle w:val="22"/>
              <w:widowControl w:val="0"/>
              <w:adjustRightInd w:val="0"/>
              <w:snapToGrid w:val="0"/>
              <w:spacing w:before="0" w:beforeAutospacing="0" w:after="0" w:afterAutospacing="0" w:line="360" w:lineRule="auto"/>
              <w:ind w:firstLine="480" w:firstLineChars="200"/>
              <w:jc w:val="both"/>
              <w:rPr>
                <w:rFonts w:hint="eastAsia" w:ascii="Times New Roman" w:hAnsi="Times New Roman" w:eastAsia="宋体" w:cs="宋体"/>
                <w:color w:val="auto"/>
                <w:kern w:val="2"/>
                <w:sz w:val="24"/>
                <w:szCs w:val="24"/>
                <w:lang w:val="en-US" w:eastAsia="zh-CN" w:bidi="ar"/>
              </w:rPr>
            </w:pPr>
            <w:r>
              <w:rPr>
                <w:rFonts w:hint="eastAsia" w:ascii="Times New Roman" w:hAnsi="Times New Roman" w:eastAsia="宋体" w:cs="宋体"/>
                <w:color w:val="auto"/>
                <w:kern w:val="2"/>
                <w:sz w:val="24"/>
                <w:szCs w:val="24"/>
                <w:lang w:val="en-US" w:eastAsia="zh-CN" w:bidi="ar"/>
              </w:rPr>
              <w:t>（</w:t>
            </w:r>
            <w:r>
              <w:rPr>
                <w:rFonts w:hint="eastAsia" w:ascii="Times New Roman" w:hAnsi="Times New Roman" w:cs="宋体"/>
                <w:color w:val="auto"/>
                <w:kern w:val="2"/>
                <w:sz w:val="24"/>
                <w:szCs w:val="24"/>
                <w:lang w:val="en-US" w:eastAsia="zh-CN" w:bidi="ar"/>
              </w:rPr>
              <w:t>2</w:t>
            </w:r>
            <w:r>
              <w:rPr>
                <w:rFonts w:hint="eastAsia" w:ascii="Times New Roman" w:hAnsi="Times New Roman" w:eastAsia="宋体" w:cs="宋体"/>
                <w:color w:val="auto"/>
                <w:kern w:val="2"/>
                <w:sz w:val="24"/>
                <w:szCs w:val="24"/>
                <w:lang w:val="en-US" w:eastAsia="zh-CN" w:bidi="ar"/>
              </w:rPr>
              <w:t>）雨水明沟1米范围内不得放置任何东西，包括包装桶等。清扫厂内道路时不得把杂物清扫到雨水沟内。生产车间内清理出的杂物等不得倾倒在雨水沟内。</w:t>
            </w:r>
          </w:p>
          <w:p w14:paraId="5330C609">
            <w:pPr>
              <w:pStyle w:val="22"/>
              <w:widowControl w:val="0"/>
              <w:adjustRightInd w:val="0"/>
              <w:snapToGrid w:val="0"/>
              <w:spacing w:before="0" w:beforeAutospacing="0" w:after="0" w:afterAutospacing="0" w:line="360" w:lineRule="auto"/>
              <w:ind w:firstLine="480" w:firstLineChars="200"/>
              <w:jc w:val="both"/>
              <w:rPr>
                <w:rFonts w:hint="eastAsia" w:ascii="Times New Roman" w:hAnsi="Times New Roman" w:eastAsia="宋体" w:cs="宋体"/>
                <w:color w:val="auto"/>
                <w:kern w:val="2"/>
                <w:sz w:val="24"/>
                <w:szCs w:val="24"/>
                <w:lang w:val="en-US" w:eastAsia="zh-CN" w:bidi="ar"/>
              </w:rPr>
            </w:pPr>
            <w:r>
              <w:rPr>
                <w:rFonts w:hint="eastAsia" w:ascii="Times New Roman" w:hAnsi="Times New Roman" w:eastAsia="宋体" w:cs="宋体"/>
                <w:color w:val="auto"/>
                <w:kern w:val="2"/>
                <w:sz w:val="24"/>
                <w:szCs w:val="24"/>
                <w:lang w:val="en-US" w:eastAsia="zh-CN" w:bidi="ar"/>
              </w:rPr>
              <w:t>（</w:t>
            </w:r>
            <w:r>
              <w:rPr>
                <w:rFonts w:hint="eastAsia" w:ascii="Times New Roman" w:hAnsi="Times New Roman" w:cs="宋体"/>
                <w:color w:val="auto"/>
                <w:kern w:val="2"/>
                <w:sz w:val="24"/>
                <w:szCs w:val="24"/>
                <w:lang w:val="en-US" w:eastAsia="zh-CN" w:bidi="ar"/>
              </w:rPr>
              <w:t>3</w:t>
            </w:r>
            <w:r>
              <w:rPr>
                <w:rFonts w:hint="eastAsia" w:ascii="Times New Roman" w:hAnsi="Times New Roman" w:eastAsia="宋体" w:cs="宋体"/>
                <w:color w:val="auto"/>
                <w:kern w:val="2"/>
                <w:sz w:val="24"/>
                <w:szCs w:val="24"/>
                <w:lang w:val="en-US" w:eastAsia="zh-CN" w:bidi="ar"/>
              </w:rPr>
              <w:t>）定期巡检雨水沟，并留存巡检记录。定期清理雨水沟内杂物，并留存清理记录。</w:t>
            </w:r>
          </w:p>
          <w:p w14:paraId="24692BA1">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w:t>
            </w:r>
            <w:r>
              <w:rPr>
                <w:rFonts w:hint="eastAsia" w:cs="Times New Roman"/>
                <w:color w:val="auto"/>
                <w:sz w:val="24"/>
                <w:szCs w:val="24"/>
                <w:lang w:val="en-US" w:eastAsia="zh-CN"/>
              </w:rPr>
              <w:t>4</w:t>
            </w:r>
            <w:r>
              <w:rPr>
                <w:rFonts w:hint="default" w:ascii="Times New Roman" w:hAnsi="Times New Roman" w:eastAsia="宋体" w:cs="Times New Roman"/>
                <w:color w:val="auto"/>
                <w:sz w:val="24"/>
                <w:szCs w:val="24"/>
                <w:lang w:val="en-US" w:eastAsia="zh-CN"/>
              </w:rPr>
              <w:t>）本项目建成运营后，企业应做好厂区范围内的雨污分流，确保生活污水达标排放。</w:t>
            </w:r>
          </w:p>
          <w:p w14:paraId="67889C27">
            <w:pPr>
              <w:spacing w:line="360" w:lineRule="auto"/>
              <w:ind w:firstLine="482" w:firstLineChars="200"/>
              <w:rPr>
                <w:bCs/>
                <w:color w:val="auto"/>
                <w:sz w:val="24"/>
                <w:szCs w:val="24"/>
              </w:rPr>
            </w:pPr>
            <w:r>
              <w:rPr>
                <w:b/>
                <w:color w:val="auto"/>
                <w:sz w:val="24"/>
                <w:szCs w:val="24"/>
              </w:rPr>
              <w:t>2.</w:t>
            </w:r>
            <w:r>
              <w:rPr>
                <w:rFonts w:hint="eastAsia"/>
                <w:b/>
                <w:color w:val="auto"/>
                <w:sz w:val="24"/>
                <w:szCs w:val="24"/>
              </w:rPr>
              <w:t>5</w:t>
            </w:r>
            <w:r>
              <w:rPr>
                <w:b/>
                <w:color w:val="auto"/>
                <w:sz w:val="24"/>
                <w:szCs w:val="24"/>
              </w:rPr>
              <w:t>地表水</w:t>
            </w:r>
            <w:r>
              <w:rPr>
                <w:b/>
                <w:bCs/>
                <w:color w:val="auto"/>
                <w:sz w:val="24"/>
                <w:szCs w:val="24"/>
              </w:rPr>
              <w:t>污染物排放环境影响情况</w:t>
            </w:r>
          </w:p>
          <w:p w14:paraId="4E6FE83E">
            <w:pPr>
              <w:adjustRightInd w:val="0"/>
              <w:snapToGrid w:val="0"/>
              <w:spacing w:line="360" w:lineRule="auto"/>
              <w:ind w:firstLine="480" w:firstLineChars="200"/>
              <w:rPr>
                <w:rFonts w:cs="宋体"/>
                <w:color w:val="auto"/>
                <w:sz w:val="24"/>
                <w:szCs w:val="24"/>
              </w:rPr>
            </w:pPr>
            <w:r>
              <w:rPr>
                <w:rFonts w:hint="eastAsia" w:cs="宋体"/>
                <w:color w:val="auto"/>
                <w:sz w:val="24"/>
                <w:szCs w:val="24"/>
              </w:rPr>
              <w:t>本项目生活污水经化粪池处理后能够满足《污水综合排放标准》（GB8978-1996）表4中三级标准和《污水排入城镇下水道水质标准》（GB/T31962-2015）表1中B等级标准及鹰泰水务海安有限公司接管标准。项目污水接管鹰泰水务海安有限公司集中处理，尾水达</w:t>
            </w:r>
            <w:r>
              <w:rPr>
                <w:rFonts w:hint="eastAsia" w:cs="宋体"/>
                <w:color w:val="auto"/>
                <w:kern w:val="0"/>
                <w:sz w:val="24"/>
                <w:szCs w:val="24"/>
                <w:lang w:val="en-US" w:eastAsia="zh-CN"/>
              </w:rPr>
              <w:t>《城镇污水处理厂污染物排放标准》（DB32/4440-2022）表1中C标准</w:t>
            </w:r>
            <w:r>
              <w:rPr>
                <w:rFonts w:hint="eastAsia" w:cs="宋体"/>
                <w:color w:val="auto"/>
                <w:sz w:val="24"/>
                <w:szCs w:val="24"/>
              </w:rPr>
              <w:t>后排入栟茶运河。</w:t>
            </w:r>
          </w:p>
          <w:p w14:paraId="1A33C2DD">
            <w:pPr>
              <w:adjustRightInd w:val="0"/>
              <w:snapToGrid w:val="0"/>
              <w:spacing w:line="360" w:lineRule="auto"/>
              <w:ind w:firstLine="482" w:firstLineChars="200"/>
              <w:rPr>
                <w:b/>
                <w:color w:val="auto"/>
                <w:sz w:val="24"/>
                <w:szCs w:val="24"/>
              </w:rPr>
            </w:pPr>
            <w:r>
              <w:rPr>
                <w:b/>
                <w:color w:val="auto"/>
                <w:sz w:val="24"/>
                <w:szCs w:val="24"/>
              </w:rPr>
              <w:t>3</w:t>
            </w:r>
            <w:r>
              <w:rPr>
                <w:rFonts w:hint="eastAsia"/>
                <w:b/>
                <w:color w:val="auto"/>
                <w:sz w:val="24"/>
                <w:szCs w:val="24"/>
              </w:rPr>
              <w:t>、</w:t>
            </w:r>
            <w:r>
              <w:rPr>
                <w:b/>
                <w:color w:val="auto"/>
                <w:sz w:val="24"/>
                <w:szCs w:val="24"/>
              </w:rPr>
              <w:t>噪声</w:t>
            </w:r>
            <w:r>
              <w:rPr>
                <w:b/>
                <w:color w:val="auto"/>
                <w:spacing w:val="-10"/>
                <w:sz w:val="24"/>
                <w:szCs w:val="24"/>
              </w:rPr>
              <w:t>环境影响及保护措施</w:t>
            </w:r>
          </w:p>
          <w:p w14:paraId="2E758FA5">
            <w:pPr>
              <w:spacing w:line="360" w:lineRule="auto"/>
              <w:ind w:firstLine="482" w:firstLineChars="200"/>
              <w:rPr>
                <w:b/>
                <w:color w:val="auto"/>
                <w:sz w:val="24"/>
                <w:szCs w:val="24"/>
              </w:rPr>
            </w:pPr>
            <w:r>
              <w:rPr>
                <w:b/>
                <w:color w:val="auto"/>
                <w:sz w:val="24"/>
                <w:szCs w:val="24"/>
              </w:rPr>
              <w:t>3.1噪声产生及排放情况</w:t>
            </w:r>
          </w:p>
          <w:p w14:paraId="780E979E">
            <w:pPr>
              <w:spacing w:line="360" w:lineRule="auto"/>
              <w:ind w:firstLine="480" w:firstLineChars="200"/>
              <w:rPr>
                <w:bCs/>
                <w:color w:val="auto"/>
                <w:sz w:val="24"/>
                <w:szCs w:val="24"/>
              </w:rPr>
            </w:pPr>
            <w:r>
              <w:rPr>
                <w:rFonts w:hint="eastAsia"/>
                <w:color w:val="auto"/>
                <w:sz w:val="24"/>
                <w:szCs w:val="24"/>
                <w:lang w:val="en-US" w:eastAsia="zh-CN"/>
              </w:rPr>
              <w:t>本</w:t>
            </w:r>
            <w:r>
              <w:rPr>
                <w:color w:val="auto"/>
                <w:sz w:val="24"/>
                <w:szCs w:val="24"/>
              </w:rPr>
              <w:t>项目噪声源</w:t>
            </w:r>
            <w:r>
              <w:rPr>
                <w:rFonts w:hint="eastAsia"/>
                <w:color w:val="auto"/>
                <w:sz w:val="24"/>
                <w:szCs w:val="24"/>
                <w:lang w:val="en-US" w:eastAsia="zh-CN"/>
              </w:rPr>
              <w:t>主要</w:t>
            </w:r>
            <w:r>
              <w:rPr>
                <w:rFonts w:hint="eastAsia" w:ascii="Times New Roman" w:hAnsi="Times New Roman" w:eastAsia="宋体" w:cs="Times New Roman"/>
                <w:color w:val="auto"/>
                <w:sz w:val="24"/>
                <w:szCs w:val="24"/>
                <w:lang w:eastAsia="zh-CN"/>
              </w:rPr>
              <w:t>为8轴数控枪钻、减压钻、</w:t>
            </w:r>
            <w:r>
              <w:rPr>
                <w:rFonts w:hint="eastAsia" w:ascii="Times New Roman" w:hAnsi="Times New Roman" w:eastAsia="宋体" w:cs="Times New Roman"/>
                <w:color w:val="auto"/>
                <w:sz w:val="24"/>
                <w:szCs w:val="24"/>
                <w:lang w:val="en-US" w:eastAsia="zh-CN"/>
              </w:rPr>
              <w:t>风机</w:t>
            </w:r>
            <w:r>
              <w:rPr>
                <w:rFonts w:hint="eastAsia" w:ascii="Times New Roman" w:hAnsi="Times New Roman" w:eastAsia="宋体" w:cs="Times New Roman"/>
                <w:color w:val="auto"/>
                <w:sz w:val="24"/>
                <w:szCs w:val="24"/>
                <w:lang w:eastAsia="zh-CN"/>
              </w:rPr>
              <w:t>等设备，其噪声源强约</w:t>
            </w:r>
            <w:r>
              <w:rPr>
                <w:rFonts w:hint="eastAsia" w:ascii="Times New Roman" w:hAnsi="Times New Roman" w:eastAsia="宋体" w:cs="Times New Roman"/>
                <w:color w:val="auto"/>
                <w:sz w:val="24"/>
                <w:szCs w:val="24"/>
                <w:lang w:val="en-US" w:eastAsia="zh-CN"/>
              </w:rPr>
              <w:t>75</w:t>
            </w:r>
            <w:r>
              <w:rPr>
                <w:rFonts w:hint="eastAsia" w:ascii="Times New Roman" w:hAnsi="Times New Roman" w:eastAsia="宋体" w:cs="Times New Roman"/>
                <w:color w:val="auto"/>
                <w:sz w:val="24"/>
                <w:szCs w:val="24"/>
                <w:lang w:eastAsia="zh-CN"/>
              </w:rPr>
              <w:t>~</w:t>
            </w:r>
            <w:r>
              <w:rPr>
                <w:rFonts w:hint="eastAsia" w:ascii="Times New Roman" w:hAnsi="Times New Roman" w:eastAsia="宋体" w:cs="Times New Roman"/>
                <w:color w:val="auto"/>
                <w:sz w:val="24"/>
                <w:szCs w:val="24"/>
                <w:lang w:val="en-US" w:eastAsia="zh-CN"/>
              </w:rPr>
              <w:t>90</w:t>
            </w:r>
            <w:r>
              <w:rPr>
                <w:rFonts w:hint="eastAsia" w:ascii="Times New Roman" w:hAnsi="Times New Roman" w:eastAsia="宋体" w:cs="Times New Roman"/>
                <w:color w:val="auto"/>
                <w:sz w:val="24"/>
                <w:szCs w:val="24"/>
                <w:lang w:eastAsia="zh-CN"/>
              </w:rPr>
              <w:t>dB(A)。</w:t>
            </w:r>
          </w:p>
          <w:p w14:paraId="26528D8B">
            <w:pPr>
              <w:spacing w:line="360" w:lineRule="auto"/>
              <w:ind w:firstLine="480" w:firstLineChars="200"/>
              <w:rPr>
                <w:color w:val="auto"/>
                <w:sz w:val="24"/>
                <w:szCs w:val="24"/>
              </w:rPr>
            </w:pPr>
            <w:r>
              <w:rPr>
                <w:color w:val="auto"/>
                <w:sz w:val="24"/>
                <w:szCs w:val="24"/>
              </w:rPr>
              <w:t>建设单位主要噪声防治措施如下：</w:t>
            </w:r>
          </w:p>
          <w:p w14:paraId="5C82F97A">
            <w:pPr>
              <w:numPr>
                <w:ilvl w:val="0"/>
                <w:numId w:val="10"/>
              </w:numPr>
              <w:spacing w:line="360" w:lineRule="auto"/>
              <w:ind w:firstLine="480" w:firstLineChars="200"/>
              <w:rPr>
                <w:color w:val="auto"/>
                <w:sz w:val="24"/>
                <w:szCs w:val="24"/>
              </w:rPr>
            </w:pPr>
            <w:r>
              <w:rPr>
                <w:color w:val="auto"/>
                <w:sz w:val="24"/>
                <w:szCs w:val="24"/>
              </w:rPr>
              <w:t>设备选型时采用性能先进、高效节能、低噪设备，设备底部安装橡胶减振垫、金属减振器，并加强对设备的维护管理，从源头上控制噪声的产生。</w:t>
            </w:r>
          </w:p>
          <w:p w14:paraId="1CB6215B">
            <w:pPr>
              <w:spacing w:line="360" w:lineRule="auto"/>
              <w:ind w:firstLine="480" w:firstLineChars="200"/>
              <w:rPr>
                <w:color w:val="auto"/>
                <w:sz w:val="24"/>
                <w:szCs w:val="24"/>
              </w:rPr>
            </w:pPr>
            <w:r>
              <w:rPr>
                <w:color w:val="auto"/>
                <w:sz w:val="24"/>
                <w:szCs w:val="24"/>
              </w:rPr>
              <w:t>（2）对设备进行经常性维护，保持设备处于良好的运转状态，同时加强内部管理，合理作业，避免不必要的突发性噪声。</w:t>
            </w:r>
          </w:p>
          <w:p w14:paraId="32FBE81D">
            <w:pPr>
              <w:spacing w:line="360" w:lineRule="auto"/>
              <w:ind w:firstLine="480" w:firstLineChars="200"/>
              <w:rPr>
                <w:color w:val="auto"/>
                <w:sz w:val="24"/>
                <w:szCs w:val="24"/>
              </w:rPr>
            </w:pPr>
            <w:r>
              <w:rPr>
                <w:rFonts w:hint="eastAsia"/>
                <w:color w:val="auto"/>
                <w:sz w:val="24"/>
                <w:szCs w:val="24"/>
              </w:rPr>
              <w:t>（</w:t>
            </w:r>
            <w:r>
              <w:rPr>
                <w:rFonts w:hint="eastAsia"/>
                <w:color w:val="auto"/>
                <w:sz w:val="24"/>
                <w:szCs w:val="24"/>
                <w:lang w:val="en-US" w:eastAsia="zh-CN"/>
              </w:rPr>
              <w:t>3</w:t>
            </w:r>
            <w:r>
              <w:rPr>
                <w:rFonts w:hint="eastAsia"/>
                <w:color w:val="auto"/>
                <w:sz w:val="24"/>
                <w:szCs w:val="24"/>
              </w:rPr>
              <w:t>）</w:t>
            </w:r>
            <w:r>
              <w:rPr>
                <w:rFonts w:hint="eastAsia"/>
                <w:color w:val="auto"/>
                <w:sz w:val="24"/>
                <w:szCs w:val="24"/>
                <w:lang w:val="en-US" w:eastAsia="zh-CN"/>
              </w:rPr>
              <w:t>本</w:t>
            </w:r>
            <w:r>
              <w:rPr>
                <w:color w:val="auto"/>
                <w:sz w:val="24"/>
                <w:szCs w:val="24"/>
              </w:rPr>
              <w:t>项目</w:t>
            </w:r>
            <w:r>
              <w:rPr>
                <w:rFonts w:hint="eastAsia"/>
                <w:color w:val="auto"/>
                <w:sz w:val="24"/>
                <w:szCs w:val="24"/>
              </w:rPr>
              <w:t>主要</w:t>
            </w:r>
            <w:r>
              <w:rPr>
                <w:color w:val="auto"/>
                <w:sz w:val="24"/>
                <w:szCs w:val="24"/>
              </w:rPr>
              <w:t>生产设备均设置在车间内，合理布局，高噪声设备</w:t>
            </w:r>
            <w:r>
              <w:rPr>
                <w:rFonts w:hint="eastAsia"/>
                <w:color w:val="auto"/>
                <w:sz w:val="24"/>
                <w:szCs w:val="24"/>
              </w:rPr>
              <w:t>采用</w:t>
            </w:r>
            <w:r>
              <w:rPr>
                <w:color w:val="auto"/>
                <w:sz w:val="24"/>
                <w:szCs w:val="24"/>
              </w:rPr>
              <w:t>减振垫，可有效降噪</w:t>
            </w:r>
            <w:r>
              <w:rPr>
                <w:rFonts w:hint="eastAsia"/>
                <w:color w:val="auto"/>
                <w:sz w:val="24"/>
                <w:szCs w:val="24"/>
              </w:rPr>
              <w:t>5</w:t>
            </w:r>
            <w:r>
              <w:rPr>
                <w:color w:val="auto"/>
                <w:sz w:val="24"/>
                <w:szCs w:val="24"/>
              </w:rPr>
              <w:t>dB(A)左右。</w:t>
            </w:r>
          </w:p>
          <w:p w14:paraId="1FAFFF34">
            <w:pPr>
              <w:spacing w:line="360" w:lineRule="auto"/>
              <w:ind w:firstLine="480" w:firstLineChars="200"/>
              <w:rPr>
                <w:color w:val="auto"/>
                <w:sz w:val="24"/>
                <w:szCs w:val="24"/>
              </w:rPr>
            </w:pPr>
            <w:r>
              <w:rPr>
                <w:color w:val="auto"/>
                <w:sz w:val="24"/>
                <w:szCs w:val="24"/>
              </w:rPr>
              <w:t>（</w:t>
            </w:r>
            <w:r>
              <w:rPr>
                <w:rFonts w:hint="eastAsia"/>
                <w:color w:val="auto"/>
                <w:sz w:val="24"/>
                <w:szCs w:val="24"/>
                <w:lang w:val="en-US" w:eastAsia="zh-CN"/>
              </w:rPr>
              <w:t>4</w:t>
            </w:r>
            <w:r>
              <w:rPr>
                <w:color w:val="auto"/>
                <w:sz w:val="24"/>
                <w:szCs w:val="24"/>
              </w:rPr>
              <w:t>）合理布局，将高噪声设备设置在厂房内，并且布置在远离厂界的一侧。通过厂房隔声和距离衰减，减少对周围环境的影响。</w:t>
            </w:r>
          </w:p>
          <w:p w14:paraId="14B96A99">
            <w:pPr>
              <w:spacing w:line="360" w:lineRule="auto"/>
              <w:ind w:firstLine="480" w:firstLineChars="200"/>
              <w:rPr>
                <w:rFonts w:hint="eastAsia"/>
                <w:color w:val="auto"/>
                <w:sz w:val="24"/>
                <w:szCs w:val="24"/>
              </w:rPr>
            </w:pPr>
            <w:r>
              <w:rPr>
                <w:rFonts w:hint="eastAsia"/>
                <w:color w:val="auto"/>
                <w:sz w:val="24"/>
                <w:szCs w:val="24"/>
                <w:lang w:eastAsia="zh-CN"/>
              </w:rPr>
              <w:t>（</w:t>
            </w:r>
            <w:r>
              <w:rPr>
                <w:rFonts w:hint="eastAsia"/>
                <w:color w:val="auto"/>
                <w:sz w:val="24"/>
                <w:szCs w:val="24"/>
                <w:lang w:val="en-US" w:eastAsia="zh-CN"/>
              </w:rPr>
              <w:t>5</w:t>
            </w:r>
            <w:r>
              <w:rPr>
                <w:rFonts w:hint="eastAsia"/>
                <w:color w:val="auto"/>
                <w:sz w:val="24"/>
                <w:szCs w:val="24"/>
                <w:lang w:eastAsia="zh-CN"/>
              </w:rPr>
              <w:t>）</w:t>
            </w:r>
            <w:r>
              <w:rPr>
                <w:rFonts w:hint="eastAsia"/>
                <w:color w:val="auto"/>
                <w:sz w:val="24"/>
                <w:szCs w:val="24"/>
              </w:rPr>
              <w:t>本项目</w:t>
            </w:r>
            <w:r>
              <w:rPr>
                <w:rFonts w:hint="eastAsia"/>
                <w:color w:val="auto"/>
                <w:sz w:val="24"/>
                <w:szCs w:val="24"/>
                <w:lang w:val="en-US" w:eastAsia="zh-CN"/>
              </w:rPr>
              <w:t>新增</w:t>
            </w:r>
            <w:r>
              <w:rPr>
                <w:rFonts w:hint="eastAsia"/>
                <w:color w:val="auto"/>
                <w:sz w:val="24"/>
                <w:szCs w:val="24"/>
              </w:rPr>
              <w:t>1台空压机，置于室</w:t>
            </w:r>
            <w:r>
              <w:rPr>
                <w:rFonts w:hint="eastAsia"/>
                <w:color w:val="auto"/>
                <w:sz w:val="24"/>
                <w:szCs w:val="24"/>
                <w:lang w:val="en-US" w:eastAsia="zh-CN"/>
              </w:rPr>
              <w:t>内</w:t>
            </w:r>
            <w:r>
              <w:rPr>
                <w:rFonts w:hint="eastAsia"/>
                <w:color w:val="auto"/>
                <w:sz w:val="24"/>
                <w:szCs w:val="24"/>
              </w:rPr>
              <w:t>，外部设置消音器，在安装时应自带减振底座，能够大大降低噪声源噪声。</w:t>
            </w:r>
          </w:p>
          <w:p w14:paraId="4DD8C56A">
            <w:pPr>
              <w:spacing w:line="360" w:lineRule="auto"/>
              <w:ind w:firstLine="480" w:firstLineChars="200"/>
              <w:rPr>
                <w:rFonts w:hint="default"/>
                <w:color w:val="auto"/>
                <w:sz w:val="24"/>
                <w:szCs w:val="24"/>
                <w:lang w:val="en-US" w:eastAsia="zh-CN"/>
              </w:rPr>
            </w:pPr>
            <w:r>
              <w:rPr>
                <w:rFonts w:hint="eastAsia"/>
                <w:color w:val="auto"/>
                <w:sz w:val="24"/>
                <w:szCs w:val="24"/>
                <w:lang w:eastAsia="zh-CN"/>
              </w:rPr>
              <w:t>（</w:t>
            </w:r>
            <w:r>
              <w:rPr>
                <w:rFonts w:hint="eastAsia"/>
                <w:color w:val="auto"/>
                <w:sz w:val="24"/>
                <w:szCs w:val="24"/>
                <w:lang w:val="en-US" w:eastAsia="zh-CN"/>
              </w:rPr>
              <w:t>6</w:t>
            </w:r>
            <w:r>
              <w:rPr>
                <w:rFonts w:hint="eastAsia"/>
                <w:color w:val="auto"/>
                <w:sz w:val="24"/>
                <w:szCs w:val="24"/>
                <w:lang w:eastAsia="zh-CN"/>
              </w:rPr>
              <w:t>）</w:t>
            </w:r>
            <w:r>
              <w:rPr>
                <w:rFonts w:hint="eastAsia"/>
                <w:color w:val="auto"/>
                <w:sz w:val="24"/>
                <w:szCs w:val="24"/>
                <w:lang w:val="en-US" w:eastAsia="zh-CN"/>
              </w:rPr>
              <w:t>本项目新增1台冷却塔，置于厂房西侧，</w:t>
            </w:r>
            <w:r>
              <w:rPr>
                <w:rFonts w:hint="eastAsia"/>
                <w:color w:val="auto"/>
                <w:sz w:val="24"/>
                <w:szCs w:val="24"/>
              </w:rPr>
              <w:t>外部设置消音器</w:t>
            </w:r>
            <w:r>
              <w:rPr>
                <w:rFonts w:hint="eastAsia"/>
                <w:color w:val="auto"/>
                <w:sz w:val="24"/>
                <w:szCs w:val="24"/>
                <w:lang w:eastAsia="zh-CN"/>
              </w:rPr>
              <w:t>，</w:t>
            </w:r>
            <w:r>
              <w:rPr>
                <w:rFonts w:hint="eastAsia"/>
                <w:color w:val="auto"/>
                <w:sz w:val="24"/>
                <w:szCs w:val="24"/>
                <w:lang w:val="en-US" w:eastAsia="zh-CN"/>
              </w:rPr>
              <w:t>安装时采用</w:t>
            </w:r>
            <w:r>
              <w:rPr>
                <w:rFonts w:hint="eastAsia"/>
                <w:color w:val="auto"/>
                <w:sz w:val="24"/>
                <w:szCs w:val="24"/>
              </w:rPr>
              <w:t>减振垫，能够大大降低噪声源噪声。</w:t>
            </w:r>
          </w:p>
          <w:p w14:paraId="31E4DB66">
            <w:pPr>
              <w:spacing w:line="360" w:lineRule="auto"/>
              <w:ind w:firstLine="480" w:firstLineChars="200"/>
              <w:rPr>
                <w:color w:val="auto"/>
                <w:sz w:val="24"/>
                <w:szCs w:val="24"/>
              </w:rPr>
            </w:pPr>
            <w:r>
              <w:rPr>
                <w:rFonts w:hint="eastAsia"/>
                <w:color w:val="auto"/>
                <w:sz w:val="24"/>
                <w:szCs w:val="24"/>
              </w:rPr>
              <w:t>根据《环境影响评价技术导则 声环境》（HJ2.4-2021）</w:t>
            </w:r>
            <w:r>
              <w:rPr>
                <w:rFonts w:hint="eastAsia"/>
                <w:color w:val="auto"/>
                <w:sz w:val="24"/>
                <w:szCs w:val="24"/>
                <w:lang w:eastAsia="zh-CN"/>
              </w:rPr>
              <w:t>，</w:t>
            </w:r>
            <w:r>
              <w:rPr>
                <w:bCs/>
                <w:color w:val="auto"/>
                <w:sz w:val="24"/>
                <w:szCs w:val="24"/>
              </w:rPr>
              <w:t>本项目</w:t>
            </w:r>
            <w:r>
              <w:rPr>
                <w:rFonts w:hint="eastAsia"/>
                <w:bCs/>
                <w:color w:val="auto"/>
                <w:sz w:val="24"/>
                <w:szCs w:val="24"/>
              </w:rPr>
              <w:t>噪声产生及治理情况</w:t>
            </w:r>
            <w:r>
              <w:rPr>
                <w:bCs/>
                <w:color w:val="auto"/>
                <w:sz w:val="24"/>
                <w:szCs w:val="24"/>
              </w:rPr>
              <w:t>见下表</w:t>
            </w:r>
            <w:r>
              <w:rPr>
                <w:rFonts w:hint="eastAsia"/>
                <w:bCs/>
                <w:color w:val="auto"/>
                <w:sz w:val="24"/>
                <w:szCs w:val="24"/>
              </w:rPr>
              <w:t>。</w:t>
            </w:r>
          </w:p>
        </w:tc>
      </w:tr>
    </w:tbl>
    <w:p w14:paraId="5A8EC24B">
      <w:pPr>
        <w:adjustRightInd w:val="0"/>
        <w:snapToGrid w:val="0"/>
        <w:jc w:val="center"/>
        <w:rPr>
          <w:rFonts w:ascii="宋体" w:hAnsi="宋体" w:cs="宋体"/>
          <w:bCs/>
          <w:color w:val="auto"/>
        </w:rPr>
        <w:sectPr>
          <w:pgSz w:w="11906" w:h="16838"/>
          <w:pgMar w:top="1701" w:right="1531" w:bottom="1701" w:left="1531" w:header="851" w:footer="851" w:gutter="0"/>
          <w:pgBorders>
            <w:top w:val="none" w:sz="0" w:space="0"/>
            <w:left w:val="none" w:sz="0" w:space="0"/>
            <w:bottom w:val="none" w:sz="0" w:space="0"/>
            <w:right w:val="none" w:sz="0" w:space="0"/>
          </w:pgBorders>
          <w:cols w:space="720" w:num="1"/>
          <w:docGrid w:linePitch="312" w:charSpace="0"/>
        </w:sectPr>
      </w:pPr>
      <w:bookmarkStart w:id="32" w:name="PageNo100580057"/>
    </w:p>
    <w:bookmarkEnd w:id="32"/>
    <w:tbl>
      <w:tblPr>
        <w:tblStyle w:val="26"/>
        <w:tblpPr w:leftFromText="180" w:rightFromText="180" w:vertAnchor="text" w:tblpXSpec="center" w:tblpY="1"/>
        <w:tblOverlap w:val="never"/>
        <w:tblW w:w="4999"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657"/>
      </w:tblGrid>
      <w:tr w14:paraId="4E9FC4E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084" w:hRule="atLeast"/>
          <w:jc w:val="center"/>
        </w:trPr>
        <w:tc>
          <w:tcPr>
            <w:tcW w:w="336" w:type="pct"/>
            <w:tcMar>
              <w:left w:w="28" w:type="dxa"/>
              <w:right w:w="28" w:type="dxa"/>
            </w:tcMar>
            <w:vAlign w:val="center"/>
          </w:tcPr>
          <w:p w14:paraId="22EA1FB3">
            <w:pPr>
              <w:pStyle w:val="38"/>
              <w:rPr>
                <w:color w:val="auto"/>
                <w:sz w:val="24"/>
                <w:szCs w:val="24"/>
              </w:rPr>
            </w:pPr>
          </w:p>
        </w:tc>
        <w:tc>
          <w:tcPr>
            <w:tcW w:w="4663" w:type="pct"/>
            <w:vAlign w:val="center"/>
          </w:tcPr>
          <w:p w14:paraId="01BC366C">
            <w:pPr>
              <w:jc w:val="center"/>
              <w:rPr>
                <w:b/>
                <w:bCs/>
                <w:color w:val="auto"/>
                <w:sz w:val="24"/>
                <w:szCs w:val="24"/>
              </w:rPr>
            </w:pPr>
            <w:r>
              <w:rPr>
                <w:rFonts w:hint="eastAsia" w:cs="宋体"/>
                <w:b/>
                <w:bCs/>
                <w:color w:val="auto"/>
                <w:sz w:val="24"/>
                <w:szCs w:val="24"/>
              </w:rPr>
              <w:t>表</w:t>
            </w:r>
            <w:r>
              <w:rPr>
                <w:b/>
                <w:bCs/>
                <w:color w:val="auto"/>
                <w:sz w:val="24"/>
                <w:szCs w:val="24"/>
              </w:rPr>
              <w:t>4-</w:t>
            </w:r>
            <w:r>
              <w:rPr>
                <w:rFonts w:hint="eastAsia"/>
                <w:b/>
                <w:bCs/>
                <w:color w:val="auto"/>
                <w:sz w:val="24"/>
                <w:szCs w:val="24"/>
                <w:lang w:val="en-US" w:eastAsia="zh-CN"/>
              </w:rPr>
              <w:t>15</w:t>
            </w:r>
            <w:r>
              <w:rPr>
                <w:b/>
                <w:bCs/>
                <w:color w:val="auto"/>
                <w:sz w:val="24"/>
                <w:szCs w:val="24"/>
              </w:rPr>
              <w:t xml:space="preserve"> </w:t>
            </w:r>
            <w:r>
              <w:rPr>
                <w:rFonts w:hint="eastAsia" w:cs="宋体"/>
                <w:b/>
                <w:bCs/>
                <w:color w:val="auto"/>
                <w:sz w:val="24"/>
                <w:szCs w:val="24"/>
              </w:rPr>
              <w:t>噪声污染源源强核算结果及相关参数一览表</w:t>
            </w:r>
          </w:p>
          <w:tbl>
            <w:tblPr>
              <w:tblStyle w:val="26"/>
              <w:tblW w:w="12410" w:type="dxa"/>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
            <w:tblGrid>
              <w:gridCol w:w="612"/>
              <w:gridCol w:w="1535"/>
              <w:gridCol w:w="646"/>
              <w:gridCol w:w="842"/>
              <w:gridCol w:w="704"/>
              <w:gridCol w:w="658"/>
              <w:gridCol w:w="3080"/>
              <w:gridCol w:w="820"/>
              <w:gridCol w:w="592"/>
              <w:gridCol w:w="1376"/>
              <w:gridCol w:w="768"/>
              <w:gridCol w:w="777"/>
            </w:tblGrid>
            <w:tr w14:paraId="575A544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612" w:type="dxa"/>
                  <w:vMerge w:val="restart"/>
                  <w:tcBorders>
                    <w:tl2br w:val="nil"/>
                    <w:tr2bl w:val="nil"/>
                  </w:tcBorders>
                  <w:shd w:val="clear" w:color="auto" w:fill="auto"/>
                  <w:noWrap/>
                  <w:tcMar>
                    <w:top w:w="15" w:type="dxa"/>
                    <w:left w:w="15" w:type="dxa"/>
                    <w:right w:w="15" w:type="dxa"/>
                  </w:tcMar>
                  <w:vAlign w:val="center"/>
                </w:tcPr>
                <w:p w14:paraId="35C9B818">
                  <w:pPr>
                    <w:pStyle w:val="22"/>
                    <w:widowControl w:val="0"/>
                    <w:spacing w:before="0" w:beforeAutospacing="0" w:after="0" w:afterAutospacing="0"/>
                    <w:jc w:val="center"/>
                    <w:rPr>
                      <w:rFonts w:ascii="Times New Roman" w:hAnsi="Times New Roman"/>
                      <w:b/>
                      <w:color w:val="auto"/>
                      <w:sz w:val="21"/>
                      <w:szCs w:val="21"/>
                    </w:rPr>
                  </w:pPr>
                  <w:r>
                    <w:rPr>
                      <w:rFonts w:hint="eastAsia" w:ascii="Times New Roman" w:hAnsi="Times New Roman"/>
                      <w:b/>
                      <w:color w:val="auto"/>
                      <w:sz w:val="21"/>
                      <w:szCs w:val="21"/>
                    </w:rPr>
                    <w:t>工序</w:t>
                  </w:r>
                  <w:r>
                    <w:rPr>
                      <w:rFonts w:ascii="Times New Roman" w:hAnsi="Times New Roman"/>
                      <w:b/>
                      <w:color w:val="auto"/>
                      <w:sz w:val="21"/>
                      <w:szCs w:val="21"/>
                    </w:rPr>
                    <w:t>/</w:t>
                  </w:r>
                  <w:r>
                    <w:rPr>
                      <w:rFonts w:hint="eastAsia" w:ascii="Times New Roman" w:hAnsi="Times New Roman"/>
                      <w:b/>
                      <w:color w:val="auto"/>
                      <w:sz w:val="21"/>
                      <w:szCs w:val="21"/>
                    </w:rPr>
                    <w:t>生产线</w:t>
                  </w:r>
                </w:p>
              </w:tc>
              <w:tc>
                <w:tcPr>
                  <w:tcW w:w="1535" w:type="dxa"/>
                  <w:vMerge w:val="restart"/>
                  <w:tcBorders>
                    <w:tl2br w:val="nil"/>
                    <w:tr2bl w:val="nil"/>
                  </w:tcBorders>
                  <w:shd w:val="clear" w:color="auto" w:fill="auto"/>
                  <w:noWrap/>
                  <w:tcMar>
                    <w:top w:w="15" w:type="dxa"/>
                    <w:left w:w="15" w:type="dxa"/>
                    <w:right w:w="15" w:type="dxa"/>
                  </w:tcMar>
                  <w:vAlign w:val="center"/>
                </w:tcPr>
                <w:p w14:paraId="6EF27BB7">
                  <w:pPr>
                    <w:pStyle w:val="22"/>
                    <w:widowControl w:val="0"/>
                    <w:spacing w:before="0" w:beforeAutospacing="0" w:after="0" w:afterAutospacing="0"/>
                    <w:jc w:val="center"/>
                    <w:rPr>
                      <w:rFonts w:ascii="Times New Roman" w:hAnsi="Times New Roman"/>
                      <w:b/>
                      <w:color w:val="auto"/>
                      <w:sz w:val="21"/>
                      <w:szCs w:val="21"/>
                    </w:rPr>
                  </w:pPr>
                  <w:r>
                    <w:rPr>
                      <w:rFonts w:hint="eastAsia" w:ascii="Times New Roman" w:hAnsi="Times New Roman"/>
                      <w:b/>
                      <w:color w:val="auto"/>
                      <w:sz w:val="21"/>
                      <w:szCs w:val="21"/>
                    </w:rPr>
                    <w:t>噪声源</w:t>
                  </w:r>
                </w:p>
              </w:tc>
              <w:tc>
                <w:tcPr>
                  <w:tcW w:w="646" w:type="dxa"/>
                  <w:vMerge w:val="restart"/>
                  <w:tcBorders>
                    <w:tl2br w:val="nil"/>
                    <w:tr2bl w:val="nil"/>
                  </w:tcBorders>
                  <w:shd w:val="clear" w:color="auto" w:fill="auto"/>
                  <w:noWrap/>
                  <w:tcMar>
                    <w:top w:w="15" w:type="dxa"/>
                    <w:left w:w="15" w:type="dxa"/>
                    <w:right w:w="15" w:type="dxa"/>
                  </w:tcMar>
                  <w:vAlign w:val="center"/>
                </w:tcPr>
                <w:p w14:paraId="3B4D174E">
                  <w:pPr>
                    <w:snapToGrid w:val="0"/>
                    <w:jc w:val="center"/>
                    <w:rPr>
                      <w:b/>
                      <w:color w:val="auto"/>
                      <w:sz w:val="21"/>
                      <w:szCs w:val="21"/>
                    </w:rPr>
                  </w:pPr>
                  <w:r>
                    <w:rPr>
                      <w:b/>
                      <w:color w:val="auto"/>
                      <w:sz w:val="21"/>
                      <w:szCs w:val="21"/>
                    </w:rPr>
                    <w:t>数量（台/套）</w:t>
                  </w:r>
                </w:p>
              </w:tc>
              <w:tc>
                <w:tcPr>
                  <w:tcW w:w="842" w:type="dxa"/>
                  <w:vMerge w:val="restart"/>
                  <w:tcBorders>
                    <w:tl2br w:val="nil"/>
                    <w:tr2bl w:val="nil"/>
                  </w:tcBorders>
                  <w:shd w:val="clear" w:color="auto" w:fill="auto"/>
                  <w:noWrap/>
                  <w:tcMar>
                    <w:top w:w="15" w:type="dxa"/>
                    <w:left w:w="15" w:type="dxa"/>
                    <w:right w:w="15" w:type="dxa"/>
                  </w:tcMar>
                  <w:vAlign w:val="center"/>
                </w:tcPr>
                <w:p w14:paraId="526D2723">
                  <w:pPr>
                    <w:pStyle w:val="22"/>
                    <w:widowControl w:val="0"/>
                    <w:spacing w:before="0" w:beforeAutospacing="0" w:after="0" w:afterAutospacing="0"/>
                    <w:jc w:val="center"/>
                    <w:rPr>
                      <w:rFonts w:ascii="Times New Roman" w:hAnsi="Times New Roman"/>
                      <w:b/>
                      <w:color w:val="auto"/>
                      <w:sz w:val="21"/>
                      <w:szCs w:val="21"/>
                    </w:rPr>
                  </w:pPr>
                  <w:r>
                    <w:rPr>
                      <w:rFonts w:hint="eastAsia" w:ascii="Times New Roman" w:hAnsi="Times New Roman"/>
                      <w:b/>
                      <w:color w:val="auto"/>
                      <w:sz w:val="21"/>
                      <w:szCs w:val="21"/>
                    </w:rPr>
                    <w:t>声源类型</w:t>
                  </w:r>
                </w:p>
                <w:p w14:paraId="3EF9F239">
                  <w:pPr>
                    <w:pStyle w:val="22"/>
                    <w:widowControl w:val="0"/>
                    <w:spacing w:before="0" w:beforeAutospacing="0" w:after="0" w:afterAutospacing="0"/>
                    <w:jc w:val="center"/>
                    <w:rPr>
                      <w:rFonts w:ascii="Times New Roman" w:hAnsi="Times New Roman"/>
                      <w:b/>
                      <w:color w:val="auto"/>
                      <w:sz w:val="21"/>
                      <w:szCs w:val="21"/>
                    </w:rPr>
                  </w:pPr>
                  <w:r>
                    <w:rPr>
                      <w:rFonts w:hint="eastAsia" w:ascii="Times New Roman" w:hAnsi="Times New Roman"/>
                      <w:b/>
                      <w:color w:val="auto"/>
                      <w:sz w:val="21"/>
                      <w:szCs w:val="21"/>
                    </w:rPr>
                    <w:t>（频发、偶发）</w:t>
                  </w:r>
                </w:p>
              </w:tc>
              <w:tc>
                <w:tcPr>
                  <w:tcW w:w="1362" w:type="dxa"/>
                  <w:gridSpan w:val="2"/>
                  <w:tcBorders>
                    <w:tl2br w:val="nil"/>
                    <w:tr2bl w:val="nil"/>
                  </w:tcBorders>
                  <w:shd w:val="clear" w:color="auto" w:fill="auto"/>
                  <w:noWrap/>
                  <w:tcMar>
                    <w:top w:w="15" w:type="dxa"/>
                    <w:left w:w="15" w:type="dxa"/>
                    <w:right w:w="15" w:type="dxa"/>
                  </w:tcMar>
                  <w:vAlign w:val="center"/>
                </w:tcPr>
                <w:p w14:paraId="454280BE">
                  <w:pPr>
                    <w:pStyle w:val="22"/>
                    <w:widowControl w:val="0"/>
                    <w:spacing w:before="0" w:beforeAutospacing="0" w:after="0" w:afterAutospacing="0"/>
                    <w:jc w:val="center"/>
                    <w:rPr>
                      <w:rFonts w:ascii="Times New Roman" w:hAnsi="Times New Roman"/>
                      <w:b/>
                      <w:color w:val="auto"/>
                      <w:sz w:val="21"/>
                      <w:szCs w:val="21"/>
                    </w:rPr>
                  </w:pPr>
                  <w:r>
                    <w:rPr>
                      <w:rFonts w:hint="eastAsia" w:ascii="Times New Roman" w:hAnsi="Times New Roman"/>
                      <w:b/>
                      <w:color w:val="auto"/>
                      <w:sz w:val="21"/>
                      <w:szCs w:val="21"/>
                    </w:rPr>
                    <w:t>噪声源强</w:t>
                  </w:r>
                </w:p>
              </w:tc>
              <w:tc>
                <w:tcPr>
                  <w:tcW w:w="3900" w:type="dxa"/>
                  <w:gridSpan w:val="2"/>
                  <w:tcBorders>
                    <w:tl2br w:val="nil"/>
                    <w:tr2bl w:val="nil"/>
                  </w:tcBorders>
                  <w:shd w:val="clear" w:color="auto" w:fill="auto"/>
                  <w:noWrap/>
                  <w:tcMar>
                    <w:top w:w="15" w:type="dxa"/>
                    <w:left w:w="15" w:type="dxa"/>
                    <w:right w:w="15" w:type="dxa"/>
                  </w:tcMar>
                  <w:vAlign w:val="center"/>
                </w:tcPr>
                <w:p w14:paraId="233C1203">
                  <w:pPr>
                    <w:pStyle w:val="22"/>
                    <w:widowControl w:val="0"/>
                    <w:spacing w:before="0" w:beforeAutospacing="0" w:after="0" w:afterAutospacing="0"/>
                    <w:jc w:val="center"/>
                    <w:rPr>
                      <w:rFonts w:ascii="Times New Roman" w:hAnsi="Times New Roman"/>
                      <w:b/>
                      <w:color w:val="auto"/>
                      <w:sz w:val="21"/>
                      <w:szCs w:val="21"/>
                    </w:rPr>
                  </w:pPr>
                  <w:r>
                    <w:rPr>
                      <w:rFonts w:hint="eastAsia" w:ascii="Times New Roman" w:hAnsi="Times New Roman"/>
                      <w:b/>
                      <w:color w:val="auto"/>
                      <w:sz w:val="21"/>
                      <w:szCs w:val="21"/>
                    </w:rPr>
                    <w:t>降噪措施</w:t>
                  </w:r>
                </w:p>
              </w:tc>
              <w:tc>
                <w:tcPr>
                  <w:tcW w:w="2736" w:type="dxa"/>
                  <w:gridSpan w:val="3"/>
                  <w:tcBorders>
                    <w:tl2br w:val="nil"/>
                    <w:tr2bl w:val="nil"/>
                  </w:tcBorders>
                  <w:shd w:val="clear" w:color="auto" w:fill="auto"/>
                  <w:noWrap/>
                  <w:tcMar>
                    <w:top w:w="15" w:type="dxa"/>
                    <w:left w:w="15" w:type="dxa"/>
                    <w:right w:w="15" w:type="dxa"/>
                  </w:tcMar>
                  <w:vAlign w:val="center"/>
                </w:tcPr>
                <w:p w14:paraId="299E2358">
                  <w:pPr>
                    <w:pStyle w:val="22"/>
                    <w:widowControl w:val="0"/>
                    <w:spacing w:before="0" w:beforeAutospacing="0" w:after="0" w:afterAutospacing="0"/>
                    <w:jc w:val="center"/>
                    <w:rPr>
                      <w:rFonts w:ascii="Times New Roman" w:hAnsi="Times New Roman"/>
                      <w:b/>
                      <w:color w:val="auto"/>
                      <w:sz w:val="21"/>
                      <w:szCs w:val="21"/>
                    </w:rPr>
                  </w:pPr>
                  <w:r>
                    <w:rPr>
                      <w:rFonts w:hint="eastAsia" w:ascii="Times New Roman" w:hAnsi="Times New Roman"/>
                      <w:b/>
                      <w:color w:val="auto"/>
                      <w:sz w:val="21"/>
                      <w:szCs w:val="21"/>
                    </w:rPr>
                    <w:t>噪声排放值</w:t>
                  </w:r>
                </w:p>
              </w:tc>
              <w:tc>
                <w:tcPr>
                  <w:tcW w:w="777" w:type="dxa"/>
                  <w:vMerge w:val="restart"/>
                  <w:tcBorders>
                    <w:tl2br w:val="nil"/>
                    <w:tr2bl w:val="nil"/>
                  </w:tcBorders>
                  <w:shd w:val="clear" w:color="auto" w:fill="auto"/>
                  <w:noWrap/>
                  <w:tcMar>
                    <w:top w:w="15" w:type="dxa"/>
                    <w:left w:w="15" w:type="dxa"/>
                    <w:right w:w="15" w:type="dxa"/>
                  </w:tcMar>
                  <w:vAlign w:val="center"/>
                </w:tcPr>
                <w:p w14:paraId="4C9348F1">
                  <w:pPr>
                    <w:pStyle w:val="22"/>
                    <w:widowControl w:val="0"/>
                    <w:spacing w:before="0" w:beforeAutospacing="0" w:after="0" w:afterAutospacing="0"/>
                    <w:jc w:val="center"/>
                    <w:rPr>
                      <w:rFonts w:ascii="Times New Roman" w:hAnsi="Times New Roman"/>
                      <w:b/>
                      <w:color w:val="auto"/>
                      <w:sz w:val="21"/>
                      <w:szCs w:val="21"/>
                    </w:rPr>
                  </w:pPr>
                  <w:r>
                    <w:rPr>
                      <w:rFonts w:hint="eastAsia" w:ascii="Times New Roman" w:hAnsi="Times New Roman"/>
                      <w:b/>
                      <w:color w:val="auto"/>
                      <w:sz w:val="21"/>
                      <w:szCs w:val="21"/>
                    </w:rPr>
                    <w:t>年持续时间</w:t>
                  </w:r>
                  <w:r>
                    <w:rPr>
                      <w:rFonts w:ascii="Times New Roman" w:hAnsi="Times New Roman"/>
                      <w:b/>
                      <w:color w:val="auto"/>
                      <w:sz w:val="21"/>
                      <w:szCs w:val="21"/>
                    </w:rPr>
                    <w:t>/h</w:t>
                  </w:r>
                </w:p>
              </w:tc>
            </w:tr>
            <w:tr w14:paraId="64B40D3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612" w:type="dxa"/>
                  <w:vMerge w:val="continue"/>
                  <w:tcBorders>
                    <w:tl2br w:val="nil"/>
                    <w:tr2bl w:val="nil"/>
                  </w:tcBorders>
                  <w:shd w:val="clear" w:color="auto" w:fill="auto"/>
                  <w:noWrap/>
                  <w:tcMar>
                    <w:top w:w="15" w:type="dxa"/>
                    <w:left w:w="15" w:type="dxa"/>
                    <w:right w:w="15" w:type="dxa"/>
                  </w:tcMar>
                  <w:vAlign w:val="center"/>
                </w:tcPr>
                <w:p w14:paraId="619ED33C">
                  <w:pPr>
                    <w:jc w:val="center"/>
                    <w:rPr>
                      <w:color w:val="auto"/>
                      <w:sz w:val="21"/>
                      <w:szCs w:val="21"/>
                    </w:rPr>
                  </w:pPr>
                </w:p>
              </w:tc>
              <w:tc>
                <w:tcPr>
                  <w:tcW w:w="1535" w:type="dxa"/>
                  <w:vMerge w:val="continue"/>
                  <w:tcBorders>
                    <w:tl2br w:val="nil"/>
                    <w:tr2bl w:val="nil"/>
                  </w:tcBorders>
                  <w:shd w:val="clear" w:color="auto" w:fill="auto"/>
                  <w:noWrap/>
                  <w:tcMar>
                    <w:top w:w="15" w:type="dxa"/>
                    <w:left w:w="15" w:type="dxa"/>
                    <w:right w:w="15" w:type="dxa"/>
                  </w:tcMar>
                  <w:vAlign w:val="center"/>
                </w:tcPr>
                <w:p w14:paraId="25E9117E">
                  <w:pPr>
                    <w:jc w:val="center"/>
                    <w:rPr>
                      <w:color w:val="auto"/>
                      <w:sz w:val="21"/>
                      <w:szCs w:val="21"/>
                    </w:rPr>
                  </w:pPr>
                </w:p>
              </w:tc>
              <w:tc>
                <w:tcPr>
                  <w:tcW w:w="646" w:type="dxa"/>
                  <w:vMerge w:val="continue"/>
                  <w:tcBorders>
                    <w:tl2br w:val="nil"/>
                    <w:tr2bl w:val="nil"/>
                  </w:tcBorders>
                  <w:shd w:val="clear" w:color="auto" w:fill="auto"/>
                  <w:noWrap/>
                  <w:tcMar>
                    <w:top w:w="15" w:type="dxa"/>
                    <w:left w:w="15" w:type="dxa"/>
                    <w:right w:w="15" w:type="dxa"/>
                  </w:tcMar>
                  <w:vAlign w:val="center"/>
                </w:tcPr>
                <w:p w14:paraId="163055FD">
                  <w:pPr>
                    <w:jc w:val="center"/>
                    <w:rPr>
                      <w:color w:val="auto"/>
                      <w:sz w:val="21"/>
                      <w:szCs w:val="21"/>
                    </w:rPr>
                  </w:pPr>
                </w:p>
              </w:tc>
              <w:tc>
                <w:tcPr>
                  <w:tcW w:w="842" w:type="dxa"/>
                  <w:vMerge w:val="continue"/>
                  <w:tcBorders>
                    <w:tl2br w:val="nil"/>
                    <w:tr2bl w:val="nil"/>
                  </w:tcBorders>
                  <w:shd w:val="clear" w:color="auto" w:fill="auto"/>
                  <w:noWrap/>
                  <w:tcMar>
                    <w:top w:w="15" w:type="dxa"/>
                    <w:left w:w="15" w:type="dxa"/>
                    <w:right w:w="15" w:type="dxa"/>
                  </w:tcMar>
                  <w:vAlign w:val="center"/>
                </w:tcPr>
                <w:p w14:paraId="05744361">
                  <w:pPr>
                    <w:jc w:val="center"/>
                    <w:rPr>
                      <w:color w:val="auto"/>
                      <w:sz w:val="21"/>
                      <w:szCs w:val="21"/>
                    </w:rPr>
                  </w:pPr>
                </w:p>
              </w:tc>
              <w:tc>
                <w:tcPr>
                  <w:tcW w:w="704" w:type="dxa"/>
                  <w:tcBorders>
                    <w:tl2br w:val="nil"/>
                    <w:tr2bl w:val="nil"/>
                  </w:tcBorders>
                  <w:shd w:val="clear" w:color="auto" w:fill="auto"/>
                  <w:noWrap/>
                  <w:tcMar>
                    <w:top w:w="15" w:type="dxa"/>
                    <w:left w:w="15" w:type="dxa"/>
                    <w:right w:w="15" w:type="dxa"/>
                  </w:tcMar>
                  <w:vAlign w:val="center"/>
                </w:tcPr>
                <w:p w14:paraId="6EA1329E">
                  <w:pPr>
                    <w:pStyle w:val="22"/>
                    <w:widowControl w:val="0"/>
                    <w:spacing w:before="0" w:beforeAutospacing="0" w:after="0" w:afterAutospacing="0"/>
                    <w:jc w:val="center"/>
                    <w:rPr>
                      <w:rFonts w:ascii="Times New Roman" w:hAnsi="Times New Roman"/>
                      <w:b/>
                      <w:color w:val="auto"/>
                      <w:sz w:val="21"/>
                      <w:szCs w:val="21"/>
                    </w:rPr>
                  </w:pPr>
                  <w:r>
                    <w:rPr>
                      <w:rFonts w:hint="eastAsia" w:ascii="Times New Roman" w:hAnsi="Times New Roman"/>
                      <w:b/>
                      <w:color w:val="auto"/>
                      <w:sz w:val="21"/>
                      <w:szCs w:val="21"/>
                    </w:rPr>
                    <w:t>核算方法</w:t>
                  </w:r>
                </w:p>
              </w:tc>
              <w:tc>
                <w:tcPr>
                  <w:tcW w:w="658" w:type="dxa"/>
                  <w:tcBorders>
                    <w:tl2br w:val="nil"/>
                    <w:tr2bl w:val="nil"/>
                  </w:tcBorders>
                  <w:shd w:val="clear" w:color="auto" w:fill="auto"/>
                  <w:noWrap/>
                  <w:tcMar>
                    <w:top w:w="15" w:type="dxa"/>
                    <w:left w:w="15" w:type="dxa"/>
                    <w:right w:w="15" w:type="dxa"/>
                  </w:tcMar>
                  <w:vAlign w:val="center"/>
                </w:tcPr>
                <w:p w14:paraId="584C73F1">
                  <w:pPr>
                    <w:pStyle w:val="22"/>
                    <w:widowControl w:val="0"/>
                    <w:spacing w:before="0" w:beforeAutospacing="0" w:after="0" w:afterAutospacing="0"/>
                    <w:jc w:val="center"/>
                    <w:rPr>
                      <w:rFonts w:ascii="Times New Roman" w:hAnsi="Times New Roman"/>
                      <w:b/>
                      <w:color w:val="auto"/>
                      <w:sz w:val="21"/>
                      <w:szCs w:val="21"/>
                    </w:rPr>
                  </w:pPr>
                  <w:r>
                    <w:rPr>
                      <w:rFonts w:hint="eastAsia" w:ascii="Times New Roman" w:hAnsi="Times New Roman"/>
                      <w:b/>
                      <w:color w:val="auto"/>
                      <w:sz w:val="21"/>
                      <w:szCs w:val="21"/>
                    </w:rPr>
                    <w:t>噪声值</w:t>
                  </w:r>
                  <w:r>
                    <w:rPr>
                      <w:rFonts w:ascii="Times New Roman" w:hAnsi="Times New Roman"/>
                      <w:b/>
                      <w:color w:val="auto"/>
                      <w:sz w:val="21"/>
                      <w:szCs w:val="21"/>
                    </w:rPr>
                    <w:t>/dB(A)</w:t>
                  </w:r>
                </w:p>
              </w:tc>
              <w:tc>
                <w:tcPr>
                  <w:tcW w:w="3080" w:type="dxa"/>
                  <w:tcBorders>
                    <w:tl2br w:val="nil"/>
                    <w:tr2bl w:val="nil"/>
                  </w:tcBorders>
                  <w:shd w:val="clear" w:color="auto" w:fill="auto"/>
                  <w:noWrap/>
                  <w:tcMar>
                    <w:top w:w="15" w:type="dxa"/>
                    <w:left w:w="15" w:type="dxa"/>
                    <w:right w:w="15" w:type="dxa"/>
                  </w:tcMar>
                  <w:vAlign w:val="center"/>
                </w:tcPr>
                <w:p w14:paraId="7A4F7FC3">
                  <w:pPr>
                    <w:pStyle w:val="22"/>
                    <w:widowControl w:val="0"/>
                    <w:spacing w:before="0" w:beforeAutospacing="0" w:after="0" w:afterAutospacing="0"/>
                    <w:jc w:val="center"/>
                    <w:rPr>
                      <w:rFonts w:ascii="Times New Roman" w:hAnsi="Times New Roman"/>
                      <w:b/>
                      <w:color w:val="auto"/>
                      <w:sz w:val="21"/>
                      <w:szCs w:val="21"/>
                    </w:rPr>
                  </w:pPr>
                  <w:r>
                    <w:rPr>
                      <w:rFonts w:hint="eastAsia" w:ascii="Times New Roman" w:hAnsi="Times New Roman"/>
                      <w:b/>
                      <w:color w:val="auto"/>
                      <w:sz w:val="21"/>
                      <w:szCs w:val="21"/>
                    </w:rPr>
                    <w:t>工艺</w:t>
                  </w:r>
                </w:p>
              </w:tc>
              <w:tc>
                <w:tcPr>
                  <w:tcW w:w="820" w:type="dxa"/>
                  <w:tcBorders>
                    <w:tl2br w:val="nil"/>
                    <w:tr2bl w:val="nil"/>
                  </w:tcBorders>
                  <w:shd w:val="clear" w:color="auto" w:fill="auto"/>
                  <w:noWrap/>
                  <w:tcMar>
                    <w:top w:w="15" w:type="dxa"/>
                    <w:left w:w="15" w:type="dxa"/>
                    <w:right w:w="15" w:type="dxa"/>
                  </w:tcMar>
                  <w:vAlign w:val="center"/>
                </w:tcPr>
                <w:p w14:paraId="120D518F">
                  <w:pPr>
                    <w:pStyle w:val="22"/>
                    <w:widowControl w:val="0"/>
                    <w:spacing w:before="0" w:beforeAutospacing="0" w:after="0" w:afterAutospacing="0"/>
                    <w:jc w:val="center"/>
                    <w:rPr>
                      <w:rFonts w:ascii="Times New Roman" w:hAnsi="Times New Roman"/>
                      <w:b/>
                      <w:color w:val="auto"/>
                      <w:sz w:val="21"/>
                      <w:szCs w:val="21"/>
                    </w:rPr>
                  </w:pPr>
                  <w:r>
                    <w:rPr>
                      <w:rFonts w:hint="eastAsia" w:ascii="Times New Roman" w:hAnsi="Times New Roman"/>
                      <w:b/>
                      <w:color w:val="auto"/>
                      <w:sz w:val="21"/>
                      <w:szCs w:val="21"/>
                    </w:rPr>
                    <w:t>降噪效果</w:t>
                  </w:r>
                  <w:r>
                    <w:rPr>
                      <w:rFonts w:ascii="Times New Roman" w:hAnsi="Times New Roman"/>
                      <w:b/>
                      <w:color w:val="auto"/>
                      <w:sz w:val="21"/>
                      <w:szCs w:val="21"/>
                    </w:rPr>
                    <w:t>/dB(A)</w:t>
                  </w:r>
                </w:p>
              </w:tc>
              <w:tc>
                <w:tcPr>
                  <w:tcW w:w="592" w:type="dxa"/>
                  <w:tcBorders>
                    <w:tl2br w:val="nil"/>
                    <w:tr2bl w:val="nil"/>
                  </w:tcBorders>
                  <w:shd w:val="clear" w:color="auto" w:fill="auto"/>
                  <w:noWrap/>
                  <w:tcMar>
                    <w:top w:w="15" w:type="dxa"/>
                    <w:left w:w="15" w:type="dxa"/>
                    <w:right w:w="15" w:type="dxa"/>
                  </w:tcMar>
                  <w:vAlign w:val="center"/>
                </w:tcPr>
                <w:p w14:paraId="6887B10E">
                  <w:pPr>
                    <w:pStyle w:val="22"/>
                    <w:widowControl w:val="0"/>
                    <w:spacing w:before="0" w:beforeAutospacing="0" w:after="0" w:afterAutospacing="0"/>
                    <w:jc w:val="center"/>
                    <w:rPr>
                      <w:rFonts w:ascii="Times New Roman" w:hAnsi="Times New Roman"/>
                      <w:b/>
                      <w:color w:val="auto"/>
                      <w:sz w:val="21"/>
                      <w:szCs w:val="21"/>
                    </w:rPr>
                  </w:pPr>
                  <w:r>
                    <w:rPr>
                      <w:rFonts w:hint="eastAsia" w:ascii="Times New Roman" w:hAnsi="Times New Roman"/>
                      <w:b/>
                      <w:color w:val="auto"/>
                      <w:sz w:val="21"/>
                      <w:szCs w:val="21"/>
                    </w:rPr>
                    <w:t>核算方法</w:t>
                  </w:r>
                </w:p>
              </w:tc>
              <w:tc>
                <w:tcPr>
                  <w:tcW w:w="1376" w:type="dxa"/>
                  <w:tcBorders>
                    <w:tl2br w:val="nil"/>
                    <w:tr2bl w:val="nil"/>
                  </w:tcBorders>
                  <w:shd w:val="clear" w:color="auto" w:fill="auto"/>
                  <w:noWrap/>
                  <w:tcMar>
                    <w:top w:w="15" w:type="dxa"/>
                    <w:left w:w="15" w:type="dxa"/>
                    <w:right w:w="15" w:type="dxa"/>
                  </w:tcMar>
                  <w:vAlign w:val="center"/>
                </w:tcPr>
                <w:p w14:paraId="2153B214">
                  <w:pPr>
                    <w:pStyle w:val="22"/>
                    <w:widowControl w:val="0"/>
                    <w:spacing w:before="0" w:beforeAutospacing="0" w:after="0" w:afterAutospacing="0"/>
                    <w:jc w:val="center"/>
                    <w:rPr>
                      <w:rFonts w:ascii="Times New Roman" w:hAnsi="Times New Roman"/>
                      <w:b/>
                      <w:color w:val="auto"/>
                      <w:sz w:val="21"/>
                      <w:szCs w:val="21"/>
                    </w:rPr>
                  </w:pPr>
                  <w:r>
                    <w:rPr>
                      <w:rFonts w:hint="eastAsia" w:ascii="Times New Roman" w:hAnsi="Times New Roman"/>
                      <w:b/>
                      <w:color w:val="auto"/>
                      <w:sz w:val="21"/>
                      <w:szCs w:val="21"/>
                    </w:rPr>
                    <w:t>单台噪声值</w:t>
                  </w:r>
                  <w:r>
                    <w:rPr>
                      <w:rFonts w:ascii="Times New Roman" w:hAnsi="Times New Roman"/>
                      <w:b/>
                      <w:color w:val="auto"/>
                      <w:sz w:val="21"/>
                      <w:szCs w:val="21"/>
                    </w:rPr>
                    <w:t>/dB(A)</w:t>
                  </w:r>
                </w:p>
              </w:tc>
              <w:tc>
                <w:tcPr>
                  <w:tcW w:w="768" w:type="dxa"/>
                  <w:tcBorders>
                    <w:tl2br w:val="nil"/>
                    <w:tr2bl w:val="nil"/>
                  </w:tcBorders>
                  <w:shd w:val="clear" w:color="auto" w:fill="auto"/>
                  <w:noWrap/>
                  <w:tcMar>
                    <w:top w:w="15" w:type="dxa"/>
                    <w:left w:w="15" w:type="dxa"/>
                    <w:right w:w="15" w:type="dxa"/>
                  </w:tcMar>
                  <w:vAlign w:val="center"/>
                </w:tcPr>
                <w:p w14:paraId="1E650BEF">
                  <w:pPr>
                    <w:pStyle w:val="22"/>
                    <w:widowControl w:val="0"/>
                    <w:spacing w:before="0" w:beforeAutospacing="0" w:after="0" w:afterAutospacing="0"/>
                    <w:jc w:val="center"/>
                    <w:rPr>
                      <w:rFonts w:hint="default" w:ascii="Times New Roman" w:hAnsi="Times New Roman" w:cs="Times New Roman"/>
                      <w:b/>
                      <w:color w:val="auto"/>
                      <w:sz w:val="21"/>
                      <w:szCs w:val="21"/>
                    </w:rPr>
                  </w:pPr>
                  <w:r>
                    <w:rPr>
                      <w:rFonts w:hint="default" w:ascii="Times New Roman" w:hAnsi="Times New Roman" w:cs="Times New Roman"/>
                      <w:b/>
                      <w:color w:val="auto"/>
                      <w:sz w:val="21"/>
                      <w:szCs w:val="21"/>
                    </w:rPr>
                    <w:t>叠加噪声值/dB(A)</w:t>
                  </w:r>
                </w:p>
              </w:tc>
              <w:tc>
                <w:tcPr>
                  <w:tcW w:w="777" w:type="dxa"/>
                  <w:vMerge w:val="continue"/>
                  <w:tcBorders>
                    <w:tl2br w:val="nil"/>
                    <w:tr2bl w:val="nil"/>
                  </w:tcBorders>
                  <w:shd w:val="clear" w:color="auto" w:fill="auto"/>
                  <w:noWrap/>
                  <w:tcMar>
                    <w:top w:w="15" w:type="dxa"/>
                    <w:left w:w="15" w:type="dxa"/>
                    <w:right w:w="15" w:type="dxa"/>
                  </w:tcMar>
                  <w:vAlign w:val="center"/>
                </w:tcPr>
                <w:p w14:paraId="5FE6795B">
                  <w:pPr>
                    <w:jc w:val="center"/>
                    <w:rPr>
                      <w:color w:val="auto"/>
                      <w:sz w:val="21"/>
                      <w:szCs w:val="21"/>
                    </w:rPr>
                  </w:pPr>
                </w:p>
              </w:tc>
            </w:tr>
            <w:tr w14:paraId="0242E9F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21" w:hRule="atLeast"/>
                <w:jc w:val="center"/>
              </w:trPr>
              <w:tc>
                <w:tcPr>
                  <w:tcW w:w="612" w:type="dxa"/>
                  <w:vMerge w:val="restart"/>
                  <w:tcBorders>
                    <w:tl2br w:val="nil"/>
                    <w:tr2bl w:val="nil"/>
                  </w:tcBorders>
                  <w:shd w:val="clear" w:color="auto" w:fill="auto"/>
                  <w:noWrap/>
                  <w:tcMar>
                    <w:top w:w="15" w:type="dxa"/>
                    <w:left w:w="15" w:type="dxa"/>
                    <w:right w:w="15" w:type="dxa"/>
                  </w:tcMar>
                  <w:vAlign w:val="center"/>
                </w:tcPr>
                <w:p w14:paraId="4AD04090">
                  <w:pPr>
                    <w:jc w:val="center"/>
                    <w:rPr>
                      <w:rFonts w:hint="default" w:eastAsia="宋体"/>
                      <w:bCs/>
                      <w:color w:val="auto"/>
                      <w:sz w:val="21"/>
                      <w:szCs w:val="21"/>
                      <w:lang w:val="en-US" w:eastAsia="zh-CN"/>
                    </w:rPr>
                  </w:pPr>
                  <w:r>
                    <w:rPr>
                      <w:rFonts w:hint="default" w:eastAsia="宋体"/>
                      <w:bCs/>
                      <w:color w:val="auto"/>
                      <w:sz w:val="21"/>
                      <w:szCs w:val="21"/>
                      <w:lang w:val="en-US" w:eastAsia="zh-CN"/>
                    </w:rPr>
                    <w:t>饲料加工系统关键部件生产线</w:t>
                  </w:r>
                </w:p>
              </w:tc>
              <w:tc>
                <w:tcPr>
                  <w:tcW w:w="1535" w:type="dxa"/>
                  <w:tcBorders>
                    <w:tl2br w:val="nil"/>
                    <w:tr2bl w:val="nil"/>
                  </w:tcBorders>
                  <w:shd w:val="clear" w:color="auto" w:fill="auto"/>
                  <w:noWrap/>
                  <w:tcMar>
                    <w:top w:w="15" w:type="dxa"/>
                    <w:left w:w="15" w:type="dxa"/>
                    <w:right w:w="15" w:type="dxa"/>
                  </w:tcMar>
                  <w:vAlign w:val="center"/>
                </w:tcPr>
                <w:p w14:paraId="27A013AB">
                  <w:pPr>
                    <w:widowControl/>
                    <w:spacing w:line="240" w:lineRule="auto"/>
                    <w:jc w:val="center"/>
                    <w:textAlignment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kern w:val="0"/>
                      <w:sz w:val="21"/>
                      <w:szCs w:val="21"/>
                      <w:lang w:val="en-US" w:eastAsia="zh-CN" w:bidi="ar"/>
                    </w:rPr>
                    <w:t>8轴数控枪钻</w:t>
                  </w:r>
                </w:p>
              </w:tc>
              <w:tc>
                <w:tcPr>
                  <w:tcW w:w="646" w:type="dxa"/>
                  <w:tcBorders>
                    <w:tl2br w:val="nil"/>
                    <w:tr2bl w:val="nil"/>
                  </w:tcBorders>
                  <w:shd w:val="clear" w:color="auto" w:fill="auto"/>
                  <w:noWrap/>
                  <w:tcMar>
                    <w:top w:w="15" w:type="dxa"/>
                    <w:left w:w="15" w:type="dxa"/>
                    <w:right w:w="15" w:type="dxa"/>
                  </w:tcMar>
                  <w:vAlign w:val="center"/>
                </w:tcPr>
                <w:p w14:paraId="5FE5A396">
                  <w:pPr>
                    <w:widowControl/>
                    <w:spacing w:line="240" w:lineRule="auto"/>
                    <w:jc w:val="center"/>
                    <w:textAlignment w:val="center"/>
                    <w:rPr>
                      <w:rFonts w:hint="default" w:ascii="Times New Roman" w:hAnsi="Times New Roman" w:eastAsia="宋体" w:cs="Times New Roman"/>
                      <w:color w:val="auto"/>
                      <w:kern w:val="0"/>
                      <w:sz w:val="21"/>
                      <w:szCs w:val="21"/>
                      <w:lang w:val="en-US" w:eastAsia="zh-CN" w:bidi="ar"/>
                    </w:rPr>
                  </w:pPr>
                  <w:r>
                    <w:rPr>
                      <w:rFonts w:hint="eastAsia" w:cs="Times New Roman"/>
                      <w:color w:val="auto"/>
                      <w:kern w:val="0"/>
                      <w:sz w:val="21"/>
                      <w:szCs w:val="21"/>
                      <w:lang w:val="en-US" w:eastAsia="zh-CN" w:bidi="ar"/>
                    </w:rPr>
                    <w:t>2</w:t>
                  </w:r>
                </w:p>
              </w:tc>
              <w:tc>
                <w:tcPr>
                  <w:tcW w:w="842" w:type="dxa"/>
                  <w:vMerge w:val="restart"/>
                  <w:tcBorders>
                    <w:tl2br w:val="nil"/>
                    <w:tr2bl w:val="nil"/>
                  </w:tcBorders>
                  <w:shd w:val="clear" w:color="auto" w:fill="auto"/>
                  <w:noWrap/>
                  <w:tcMar>
                    <w:top w:w="15" w:type="dxa"/>
                    <w:left w:w="15" w:type="dxa"/>
                    <w:right w:w="15" w:type="dxa"/>
                  </w:tcMar>
                  <w:vAlign w:val="center"/>
                </w:tcPr>
                <w:p w14:paraId="782B6E7C">
                  <w:pPr>
                    <w:pStyle w:val="22"/>
                    <w:widowControl w:val="0"/>
                    <w:spacing w:before="0" w:beforeAutospacing="0" w:after="0" w:afterAutospacing="0"/>
                    <w:jc w:val="center"/>
                    <w:rPr>
                      <w:rFonts w:ascii="Times New Roman" w:hAnsi="Times New Roman"/>
                      <w:bCs/>
                      <w:color w:val="auto"/>
                      <w:sz w:val="21"/>
                      <w:szCs w:val="21"/>
                    </w:rPr>
                  </w:pPr>
                  <w:r>
                    <w:rPr>
                      <w:rFonts w:hint="eastAsia" w:ascii="Times New Roman" w:hAnsi="Times New Roman"/>
                      <w:bCs/>
                      <w:color w:val="auto"/>
                      <w:sz w:val="21"/>
                      <w:szCs w:val="21"/>
                    </w:rPr>
                    <w:t>频发</w:t>
                  </w:r>
                </w:p>
              </w:tc>
              <w:tc>
                <w:tcPr>
                  <w:tcW w:w="704" w:type="dxa"/>
                  <w:vMerge w:val="restart"/>
                  <w:tcBorders>
                    <w:tl2br w:val="nil"/>
                    <w:tr2bl w:val="nil"/>
                  </w:tcBorders>
                  <w:shd w:val="clear" w:color="auto" w:fill="auto"/>
                  <w:noWrap/>
                  <w:tcMar>
                    <w:top w:w="15" w:type="dxa"/>
                    <w:left w:w="15" w:type="dxa"/>
                    <w:right w:w="15" w:type="dxa"/>
                  </w:tcMar>
                  <w:vAlign w:val="center"/>
                </w:tcPr>
                <w:p w14:paraId="3B473883">
                  <w:pPr>
                    <w:pStyle w:val="22"/>
                    <w:widowControl w:val="0"/>
                    <w:spacing w:before="0" w:beforeAutospacing="0" w:after="0" w:afterAutospacing="0"/>
                    <w:jc w:val="center"/>
                    <w:rPr>
                      <w:rFonts w:ascii="Times New Roman" w:hAnsi="Times New Roman"/>
                      <w:bCs/>
                      <w:color w:val="auto"/>
                      <w:sz w:val="21"/>
                      <w:szCs w:val="21"/>
                    </w:rPr>
                  </w:pPr>
                  <w:r>
                    <w:rPr>
                      <w:rFonts w:hint="eastAsia" w:ascii="Times New Roman" w:hAnsi="Times New Roman"/>
                      <w:bCs/>
                      <w:color w:val="auto"/>
                      <w:sz w:val="21"/>
                      <w:szCs w:val="21"/>
                    </w:rPr>
                    <w:t>类比法</w:t>
                  </w:r>
                </w:p>
              </w:tc>
              <w:tc>
                <w:tcPr>
                  <w:tcW w:w="658" w:type="dxa"/>
                  <w:tcBorders>
                    <w:tl2br w:val="nil"/>
                    <w:tr2bl w:val="nil"/>
                  </w:tcBorders>
                  <w:shd w:val="clear" w:color="auto" w:fill="auto"/>
                  <w:noWrap/>
                  <w:tcMar>
                    <w:top w:w="15" w:type="dxa"/>
                    <w:left w:w="15" w:type="dxa"/>
                    <w:right w:w="15" w:type="dxa"/>
                  </w:tcMar>
                  <w:vAlign w:val="center"/>
                </w:tcPr>
                <w:p w14:paraId="49DCEEA2">
                  <w:pPr>
                    <w:jc w:val="center"/>
                    <w:rPr>
                      <w:rFonts w:hint="default" w:eastAsia="宋体"/>
                      <w:color w:val="auto"/>
                      <w:sz w:val="21"/>
                      <w:szCs w:val="21"/>
                      <w:lang w:val="en-US" w:eastAsia="zh-CN"/>
                    </w:rPr>
                  </w:pPr>
                  <w:r>
                    <w:rPr>
                      <w:rFonts w:hint="eastAsia"/>
                      <w:color w:val="auto"/>
                      <w:sz w:val="21"/>
                      <w:szCs w:val="21"/>
                      <w:lang w:val="en-US" w:eastAsia="zh-CN"/>
                    </w:rPr>
                    <w:t>85</w:t>
                  </w:r>
                </w:p>
              </w:tc>
              <w:tc>
                <w:tcPr>
                  <w:tcW w:w="3080" w:type="dxa"/>
                  <w:tcBorders>
                    <w:tl2br w:val="nil"/>
                    <w:tr2bl w:val="nil"/>
                  </w:tcBorders>
                  <w:shd w:val="clear" w:color="auto" w:fill="auto"/>
                  <w:noWrap/>
                  <w:tcMar>
                    <w:top w:w="15" w:type="dxa"/>
                    <w:left w:w="15" w:type="dxa"/>
                    <w:right w:w="15" w:type="dxa"/>
                  </w:tcMar>
                  <w:vAlign w:val="center"/>
                </w:tcPr>
                <w:p w14:paraId="19F4C7E8">
                  <w:pPr>
                    <w:pStyle w:val="22"/>
                    <w:widowControl w:val="0"/>
                    <w:spacing w:before="0" w:beforeAutospacing="0" w:after="0" w:afterAutospacing="0"/>
                    <w:jc w:val="center"/>
                    <w:rPr>
                      <w:rFonts w:hint="eastAsia" w:ascii="Times New Roman" w:hAnsi="Times New Roman" w:eastAsia="宋体"/>
                      <w:bCs/>
                      <w:color w:val="auto"/>
                      <w:sz w:val="21"/>
                      <w:szCs w:val="21"/>
                      <w:lang w:val="en-US" w:eastAsia="zh-CN"/>
                    </w:rPr>
                  </w:pPr>
                  <w:r>
                    <w:rPr>
                      <w:rFonts w:ascii="Times New Roman" w:hAnsi="Times New Roman"/>
                      <w:bCs/>
                      <w:color w:val="auto"/>
                      <w:sz w:val="21"/>
                      <w:szCs w:val="21"/>
                    </w:rPr>
                    <w:t>减振垫</w:t>
                  </w:r>
                </w:p>
              </w:tc>
              <w:tc>
                <w:tcPr>
                  <w:tcW w:w="820" w:type="dxa"/>
                  <w:tcBorders>
                    <w:tl2br w:val="nil"/>
                    <w:tr2bl w:val="nil"/>
                  </w:tcBorders>
                  <w:shd w:val="clear" w:color="auto" w:fill="auto"/>
                  <w:noWrap/>
                  <w:tcMar>
                    <w:top w:w="15" w:type="dxa"/>
                    <w:left w:w="15" w:type="dxa"/>
                    <w:right w:w="15" w:type="dxa"/>
                  </w:tcMar>
                  <w:vAlign w:val="center"/>
                </w:tcPr>
                <w:p w14:paraId="083A9125">
                  <w:pPr>
                    <w:widowControl/>
                    <w:jc w:val="center"/>
                    <w:textAlignment w:val="bottom"/>
                    <w:rPr>
                      <w:rFonts w:hint="default" w:eastAsia="宋体"/>
                      <w:bCs/>
                      <w:color w:val="auto"/>
                      <w:sz w:val="21"/>
                      <w:szCs w:val="21"/>
                      <w:lang w:val="en-US" w:eastAsia="zh-CN"/>
                    </w:rPr>
                  </w:pPr>
                  <w:r>
                    <w:rPr>
                      <w:rFonts w:hint="eastAsia"/>
                      <w:bCs/>
                      <w:color w:val="auto"/>
                      <w:sz w:val="21"/>
                      <w:szCs w:val="21"/>
                      <w:lang w:val="en-US" w:eastAsia="zh-CN"/>
                    </w:rPr>
                    <w:t>-5</w:t>
                  </w:r>
                </w:p>
              </w:tc>
              <w:tc>
                <w:tcPr>
                  <w:tcW w:w="592" w:type="dxa"/>
                  <w:vMerge w:val="restart"/>
                  <w:tcBorders>
                    <w:tl2br w:val="nil"/>
                    <w:tr2bl w:val="nil"/>
                  </w:tcBorders>
                  <w:shd w:val="clear" w:color="auto" w:fill="auto"/>
                  <w:noWrap/>
                  <w:tcMar>
                    <w:top w:w="15" w:type="dxa"/>
                    <w:left w:w="15" w:type="dxa"/>
                    <w:right w:w="15" w:type="dxa"/>
                  </w:tcMar>
                  <w:vAlign w:val="center"/>
                </w:tcPr>
                <w:p w14:paraId="20CE8C18">
                  <w:pPr>
                    <w:jc w:val="center"/>
                    <w:rPr>
                      <w:bCs/>
                      <w:color w:val="auto"/>
                      <w:sz w:val="21"/>
                      <w:szCs w:val="21"/>
                    </w:rPr>
                  </w:pPr>
                  <w:r>
                    <w:rPr>
                      <w:rFonts w:hint="eastAsia"/>
                      <w:bCs/>
                      <w:color w:val="auto"/>
                      <w:sz w:val="21"/>
                      <w:szCs w:val="21"/>
                    </w:rPr>
                    <w:t>公式法</w:t>
                  </w:r>
                </w:p>
              </w:tc>
              <w:tc>
                <w:tcPr>
                  <w:tcW w:w="1376" w:type="dxa"/>
                  <w:tcBorders>
                    <w:tl2br w:val="nil"/>
                    <w:tr2bl w:val="nil"/>
                  </w:tcBorders>
                  <w:shd w:val="clear" w:color="auto" w:fill="auto"/>
                  <w:noWrap/>
                  <w:tcMar>
                    <w:top w:w="15" w:type="dxa"/>
                    <w:left w:w="15" w:type="dxa"/>
                    <w:right w:w="15" w:type="dxa"/>
                  </w:tcMar>
                  <w:vAlign w:val="bottom"/>
                </w:tcPr>
                <w:p w14:paraId="7D4DEB86">
                  <w:pPr>
                    <w:keepNext w:val="0"/>
                    <w:keepLines w:val="0"/>
                    <w:widowControl/>
                    <w:suppressLineNumbers w:val="0"/>
                    <w:jc w:val="center"/>
                    <w:textAlignment w:val="bottom"/>
                    <w:rPr>
                      <w:rFonts w:hint="default" w:eastAsia="宋体"/>
                      <w:color w:val="auto"/>
                      <w:kern w:val="0"/>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80</w:t>
                  </w:r>
                </w:p>
              </w:tc>
              <w:tc>
                <w:tcPr>
                  <w:tcW w:w="768" w:type="dxa"/>
                  <w:tcBorders>
                    <w:tl2br w:val="nil"/>
                    <w:tr2bl w:val="nil"/>
                  </w:tcBorders>
                  <w:shd w:val="clear" w:color="auto" w:fill="auto"/>
                  <w:noWrap/>
                  <w:tcMar>
                    <w:top w:w="15" w:type="dxa"/>
                    <w:left w:w="15" w:type="dxa"/>
                    <w:right w:w="15" w:type="dxa"/>
                  </w:tcMar>
                  <w:vAlign w:val="center"/>
                </w:tcPr>
                <w:p w14:paraId="277EE10F">
                  <w:pPr>
                    <w:keepNext w:val="0"/>
                    <w:keepLines w:val="0"/>
                    <w:widowControl/>
                    <w:suppressLineNumbers w:val="0"/>
                    <w:jc w:val="center"/>
                    <w:textAlignment w:val="center"/>
                    <w:rPr>
                      <w:rFonts w:hint="default" w:ascii="Times New Roman" w:hAnsi="Times New Roman" w:cs="Times New Roman"/>
                      <w:color w:val="auto"/>
                      <w:kern w:val="0"/>
                      <w:sz w:val="21"/>
                      <w:szCs w:val="21"/>
                    </w:rPr>
                  </w:pPr>
                  <w:r>
                    <w:rPr>
                      <w:rFonts w:hint="default" w:ascii="Times New Roman" w:hAnsi="Times New Roman" w:eastAsia="等线" w:cs="Times New Roman"/>
                      <w:i w:val="0"/>
                      <w:iCs w:val="0"/>
                      <w:color w:val="auto"/>
                      <w:kern w:val="0"/>
                      <w:sz w:val="21"/>
                      <w:szCs w:val="21"/>
                      <w:u w:val="none"/>
                      <w:lang w:val="en-US" w:eastAsia="zh-CN" w:bidi="ar"/>
                    </w:rPr>
                    <w:t>83</w:t>
                  </w:r>
                </w:p>
              </w:tc>
              <w:tc>
                <w:tcPr>
                  <w:tcW w:w="777" w:type="dxa"/>
                  <w:tcBorders>
                    <w:tl2br w:val="nil"/>
                    <w:tr2bl w:val="nil"/>
                  </w:tcBorders>
                  <w:shd w:val="clear" w:color="auto" w:fill="auto"/>
                  <w:noWrap/>
                  <w:tcMar>
                    <w:top w:w="15" w:type="dxa"/>
                    <w:left w:w="15" w:type="dxa"/>
                    <w:right w:w="15" w:type="dxa"/>
                  </w:tcMar>
                  <w:vAlign w:val="center"/>
                </w:tcPr>
                <w:p w14:paraId="5D046CF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bCs/>
                      <w:color w:val="auto"/>
                      <w:kern w:val="2"/>
                      <w:sz w:val="21"/>
                      <w:szCs w:val="21"/>
                      <w:lang w:val="en-US" w:eastAsia="zh-CN" w:bidi="ar"/>
                    </w:rPr>
                    <w:t>8496</w:t>
                  </w:r>
                </w:p>
              </w:tc>
            </w:tr>
            <w:tr w14:paraId="33C24A7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21" w:hRule="atLeast"/>
                <w:jc w:val="center"/>
              </w:trPr>
              <w:tc>
                <w:tcPr>
                  <w:tcW w:w="612" w:type="dxa"/>
                  <w:vMerge w:val="continue"/>
                  <w:tcBorders>
                    <w:tl2br w:val="nil"/>
                    <w:tr2bl w:val="nil"/>
                  </w:tcBorders>
                  <w:shd w:val="clear" w:color="auto" w:fill="auto"/>
                  <w:noWrap/>
                  <w:tcMar>
                    <w:top w:w="15" w:type="dxa"/>
                    <w:left w:w="15" w:type="dxa"/>
                    <w:right w:w="15" w:type="dxa"/>
                  </w:tcMar>
                  <w:vAlign w:val="center"/>
                </w:tcPr>
                <w:p w14:paraId="71F4F0CB">
                  <w:pPr>
                    <w:jc w:val="center"/>
                    <w:rPr>
                      <w:rFonts w:hint="default" w:eastAsia="宋体"/>
                      <w:bCs/>
                      <w:color w:val="auto"/>
                      <w:sz w:val="21"/>
                      <w:szCs w:val="21"/>
                      <w:lang w:val="en-US" w:eastAsia="zh-CN"/>
                    </w:rPr>
                  </w:pPr>
                </w:p>
              </w:tc>
              <w:tc>
                <w:tcPr>
                  <w:tcW w:w="1535" w:type="dxa"/>
                  <w:tcBorders>
                    <w:tl2br w:val="nil"/>
                    <w:tr2bl w:val="nil"/>
                  </w:tcBorders>
                  <w:shd w:val="clear" w:color="auto" w:fill="auto"/>
                  <w:noWrap/>
                  <w:tcMar>
                    <w:top w:w="15" w:type="dxa"/>
                    <w:left w:w="15" w:type="dxa"/>
                    <w:right w:w="15" w:type="dxa"/>
                  </w:tcMar>
                  <w:vAlign w:val="center"/>
                </w:tcPr>
                <w:p w14:paraId="75F13144">
                  <w:pPr>
                    <w:widowControl/>
                    <w:spacing w:line="240" w:lineRule="auto"/>
                    <w:jc w:val="center"/>
                    <w:textAlignment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sz w:val="21"/>
                      <w:szCs w:val="21"/>
                    </w:rPr>
                    <w:t>4轴数控枪钻</w:t>
                  </w:r>
                </w:p>
              </w:tc>
              <w:tc>
                <w:tcPr>
                  <w:tcW w:w="646" w:type="dxa"/>
                  <w:tcBorders>
                    <w:tl2br w:val="nil"/>
                    <w:tr2bl w:val="nil"/>
                  </w:tcBorders>
                  <w:shd w:val="clear" w:color="auto" w:fill="auto"/>
                  <w:noWrap/>
                  <w:tcMar>
                    <w:top w:w="15" w:type="dxa"/>
                    <w:left w:w="15" w:type="dxa"/>
                    <w:right w:w="15" w:type="dxa"/>
                  </w:tcMar>
                  <w:vAlign w:val="center"/>
                </w:tcPr>
                <w:p w14:paraId="11F7C564">
                  <w:pPr>
                    <w:widowControl/>
                    <w:spacing w:line="240" w:lineRule="auto"/>
                    <w:jc w:val="center"/>
                    <w:textAlignment w:val="center"/>
                    <w:rPr>
                      <w:rFonts w:hint="default" w:ascii="Times New Roman" w:hAnsi="Times New Roman" w:eastAsia="宋体" w:cs="Times New Roman"/>
                      <w:color w:val="auto"/>
                      <w:kern w:val="0"/>
                      <w:sz w:val="21"/>
                      <w:szCs w:val="21"/>
                      <w:lang w:val="en-US" w:eastAsia="zh-CN" w:bidi="ar"/>
                    </w:rPr>
                  </w:pPr>
                  <w:r>
                    <w:rPr>
                      <w:rFonts w:hint="eastAsia" w:cs="Times New Roman"/>
                      <w:color w:val="auto"/>
                      <w:kern w:val="0"/>
                      <w:sz w:val="21"/>
                      <w:szCs w:val="21"/>
                      <w:lang w:val="en-US" w:eastAsia="zh-CN" w:bidi="ar"/>
                    </w:rPr>
                    <w:t>11</w:t>
                  </w:r>
                </w:p>
              </w:tc>
              <w:tc>
                <w:tcPr>
                  <w:tcW w:w="842" w:type="dxa"/>
                  <w:vMerge w:val="continue"/>
                  <w:tcBorders>
                    <w:tl2br w:val="nil"/>
                    <w:tr2bl w:val="nil"/>
                  </w:tcBorders>
                  <w:shd w:val="clear" w:color="auto" w:fill="auto"/>
                  <w:noWrap/>
                  <w:tcMar>
                    <w:top w:w="15" w:type="dxa"/>
                    <w:left w:w="15" w:type="dxa"/>
                    <w:right w:w="15" w:type="dxa"/>
                  </w:tcMar>
                  <w:vAlign w:val="center"/>
                </w:tcPr>
                <w:p w14:paraId="4088614E">
                  <w:pPr>
                    <w:pStyle w:val="22"/>
                    <w:widowControl w:val="0"/>
                    <w:spacing w:before="0" w:beforeAutospacing="0" w:after="0" w:afterAutospacing="0"/>
                    <w:jc w:val="center"/>
                    <w:rPr>
                      <w:rFonts w:hint="eastAsia" w:ascii="Times New Roman" w:hAnsi="Times New Roman"/>
                      <w:bCs/>
                      <w:color w:val="auto"/>
                      <w:sz w:val="21"/>
                      <w:szCs w:val="21"/>
                    </w:rPr>
                  </w:pPr>
                </w:p>
              </w:tc>
              <w:tc>
                <w:tcPr>
                  <w:tcW w:w="704" w:type="dxa"/>
                  <w:vMerge w:val="continue"/>
                  <w:tcBorders>
                    <w:tl2br w:val="nil"/>
                    <w:tr2bl w:val="nil"/>
                  </w:tcBorders>
                  <w:shd w:val="clear" w:color="auto" w:fill="auto"/>
                  <w:noWrap/>
                  <w:tcMar>
                    <w:top w:w="15" w:type="dxa"/>
                    <w:left w:w="15" w:type="dxa"/>
                    <w:right w:w="15" w:type="dxa"/>
                  </w:tcMar>
                  <w:vAlign w:val="center"/>
                </w:tcPr>
                <w:p w14:paraId="5875393A">
                  <w:pPr>
                    <w:pStyle w:val="22"/>
                    <w:widowControl w:val="0"/>
                    <w:spacing w:before="0" w:beforeAutospacing="0" w:after="0" w:afterAutospacing="0"/>
                    <w:jc w:val="center"/>
                    <w:rPr>
                      <w:rFonts w:hint="eastAsia" w:ascii="Times New Roman" w:hAnsi="Times New Roman"/>
                      <w:bCs/>
                      <w:color w:val="auto"/>
                      <w:sz w:val="21"/>
                      <w:szCs w:val="21"/>
                    </w:rPr>
                  </w:pPr>
                </w:p>
              </w:tc>
              <w:tc>
                <w:tcPr>
                  <w:tcW w:w="658" w:type="dxa"/>
                  <w:tcBorders>
                    <w:tl2br w:val="nil"/>
                    <w:tr2bl w:val="nil"/>
                  </w:tcBorders>
                  <w:shd w:val="clear" w:color="auto" w:fill="auto"/>
                  <w:noWrap/>
                  <w:tcMar>
                    <w:top w:w="15" w:type="dxa"/>
                    <w:left w:w="15" w:type="dxa"/>
                    <w:right w:w="15" w:type="dxa"/>
                  </w:tcMar>
                  <w:vAlign w:val="center"/>
                </w:tcPr>
                <w:p w14:paraId="27468DAD">
                  <w:pPr>
                    <w:jc w:val="center"/>
                    <w:rPr>
                      <w:rFonts w:hint="default" w:eastAsia="宋体"/>
                      <w:color w:val="auto"/>
                      <w:sz w:val="21"/>
                      <w:szCs w:val="21"/>
                      <w:lang w:val="en-US" w:eastAsia="zh-CN"/>
                    </w:rPr>
                  </w:pPr>
                  <w:r>
                    <w:rPr>
                      <w:rFonts w:hint="eastAsia"/>
                      <w:color w:val="auto"/>
                      <w:sz w:val="21"/>
                      <w:szCs w:val="21"/>
                      <w:lang w:val="en-US" w:eastAsia="zh-CN"/>
                    </w:rPr>
                    <w:t>85</w:t>
                  </w:r>
                </w:p>
              </w:tc>
              <w:tc>
                <w:tcPr>
                  <w:tcW w:w="3080" w:type="dxa"/>
                  <w:tcBorders>
                    <w:tl2br w:val="nil"/>
                    <w:tr2bl w:val="nil"/>
                  </w:tcBorders>
                  <w:shd w:val="clear" w:color="auto" w:fill="auto"/>
                  <w:noWrap/>
                  <w:tcMar>
                    <w:top w:w="15" w:type="dxa"/>
                    <w:left w:w="15" w:type="dxa"/>
                    <w:right w:w="15" w:type="dxa"/>
                  </w:tcMar>
                  <w:vAlign w:val="center"/>
                </w:tcPr>
                <w:p w14:paraId="645C9D83">
                  <w:pPr>
                    <w:widowControl w:val="0"/>
                    <w:spacing w:before="0" w:beforeAutospacing="0" w:after="0" w:afterAutospacing="0"/>
                    <w:jc w:val="center"/>
                    <w:rPr>
                      <w:rFonts w:ascii="Times New Roman" w:hAnsi="Times New Roman"/>
                      <w:bCs/>
                      <w:color w:val="auto"/>
                      <w:sz w:val="21"/>
                      <w:szCs w:val="21"/>
                    </w:rPr>
                  </w:pPr>
                  <w:r>
                    <w:rPr>
                      <w:rFonts w:ascii="Times New Roman" w:hAnsi="Times New Roman"/>
                      <w:bCs/>
                      <w:color w:val="auto"/>
                      <w:sz w:val="21"/>
                      <w:szCs w:val="21"/>
                    </w:rPr>
                    <w:t>减振垫</w:t>
                  </w:r>
                </w:p>
              </w:tc>
              <w:tc>
                <w:tcPr>
                  <w:tcW w:w="820" w:type="dxa"/>
                  <w:tcBorders>
                    <w:tl2br w:val="nil"/>
                    <w:tr2bl w:val="nil"/>
                  </w:tcBorders>
                  <w:shd w:val="clear" w:color="auto" w:fill="auto"/>
                  <w:noWrap/>
                  <w:tcMar>
                    <w:top w:w="15" w:type="dxa"/>
                    <w:left w:w="15" w:type="dxa"/>
                    <w:right w:w="15" w:type="dxa"/>
                  </w:tcMar>
                  <w:vAlign w:val="center"/>
                </w:tcPr>
                <w:p w14:paraId="31B78A61">
                  <w:pPr>
                    <w:widowControl/>
                    <w:jc w:val="center"/>
                    <w:textAlignment w:val="bottom"/>
                    <w:rPr>
                      <w:rFonts w:hint="eastAsia"/>
                      <w:bCs/>
                      <w:color w:val="auto"/>
                      <w:sz w:val="21"/>
                      <w:szCs w:val="21"/>
                      <w:lang w:val="en-US" w:eastAsia="zh-CN"/>
                    </w:rPr>
                  </w:pPr>
                  <w:r>
                    <w:rPr>
                      <w:rFonts w:hint="eastAsia"/>
                      <w:bCs/>
                      <w:color w:val="auto"/>
                      <w:sz w:val="21"/>
                      <w:szCs w:val="21"/>
                      <w:lang w:val="en-US" w:eastAsia="zh-CN"/>
                    </w:rPr>
                    <w:t>-5</w:t>
                  </w:r>
                </w:p>
              </w:tc>
              <w:tc>
                <w:tcPr>
                  <w:tcW w:w="592" w:type="dxa"/>
                  <w:vMerge w:val="continue"/>
                  <w:tcBorders>
                    <w:tl2br w:val="nil"/>
                    <w:tr2bl w:val="nil"/>
                  </w:tcBorders>
                  <w:shd w:val="clear" w:color="auto" w:fill="auto"/>
                  <w:noWrap/>
                  <w:tcMar>
                    <w:top w:w="15" w:type="dxa"/>
                    <w:left w:w="15" w:type="dxa"/>
                    <w:right w:w="15" w:type="dxa"/>
                  </w:tcMar>
                  <w:vAlign w:val="center"/>
                </w:tcPr>
                <w:p w14:paraId="51BAF5A7">
                  <w:pPr>
                    <w:jc w:val="center"/>
                    <w:rPr>
                      <w:rFonts w:hint="eastAsia"/>
                      <w:bCs/>
                      <w:color w:val="auto"/>
                      <w:sz w:val="21"/>
                      <w:szCs w:val="21"/>
                    </w:rPr>
                  </w:pPr>
                </w:p>
              </w:tc>
              <w:tc>
                <w:tcPr>
                  <w:tcW w:w="1376" w:type="dxa"/>
                  <w:tcBorders>
                    <w:tl2br w:val="nil"/>
                    <w:tr2bl w:val="nil"/>
                  </w:tcBorders>
                  <w:shd w:val="clear" w:color="auto" w:fill="auto"/>
                  <w:noWrap/>
                  <w:tcMar>
                    <w:top w:w="15" w:type="dxa"/>
                    <w:left w:w="15" w:type="dxa"/>
                    <w:right w:w="15" w:type="dxa"/>
                  </w:tcMar>
                  <w:vAlign w:val="bottom"/>
                </w:tcPr>
                <w:p w14:paraId="6C707B5A">
                  <w:pPr>
                    <w:keepNext w:val="0"/>
                    <w:keepLines w:val="0"/>
                    <w:widowControl/>
                    <w:suppressLineNumbers w:val="0"/>
                    <w:jc w:val="center"/>
                    <w:textAlignment w:val="bottom"/>
                    <w:rPr>
                      <w:rFonts w:hint="default" w:eastAsia="宋体"/>
                      <w:color w:val="auto"/>
                      <w:kern w:val="0"/>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80</w:t>
                  </w:r>
                </w:p>
              </w:tc>
              <w:tc>
                <w:tcPr>
                  <w:tcW w:w="768" w:type="dxa"/>
                  <w:tcBorders>
                    <w:tl2br w:val="nil"/>
                    <w:tr2bl w:val="nil"/>
                  </w:tcBorders>
                  <w:shd w:val="clear" w:color="auto" w:fill="auto"/>
                  <w:noWrap/>
                  <w:tcMar>
                    <w:top w:w="15" w:type="dxa"/>
                    <w:left w:w="15" w:type="dxa"/>
                    <w:right w:w="15" w:type="dxa"/>
                  </w:tcMar>
                  <w:vAlign w:val="center"/>
                </w:tcPr>
                <w:p w14:paraId="52BCAFCD">
                  <w:pPr>
                    <w:keepNext w:val="0"/>
                    <w:keepLines w:val="0"/>
                    <w:widowControl/>
                    <w:suppressLineNumbers w:val="0"/>
                    <w:jc w:val="center"/>
                    <w:textAlignment w:val="center"/>
                    <w:rPr>
                      <w:rFonts w:hint="default" w:ascii="Times New Roman" w:hAnsi="Times New Roman" w:cs="Times New Roman"/>
                      <w:color w:val="auto"/>
                      <w:kern w:val="0"/>
                      <w:sz w:val="21"/>
                      <w:szCs w:val="21"/>
                    </w:rPr>
                  </w:pPr>
                  <w:r>
                    <w:rPr>
                      <w:rFonts w:hint="default" w:ascii="Times New Roman" w:hAnsi="Times New Roman" w:eastAsia="等线" w:cs="Times New Roman"/>
                      <w:i w:val="0"/>
                      <w:iCs w:val="0"/>
                      <w:color w:val="auto"/>
                      <w:kern w:val="0"/>
                      <w:sz w:val="21"/>
                      <w:szCs w:val="21"/>
                      <w:u w:val="none"/>
                      <w:lang w:val="en-US" w:eastAsia="zh-CN" w:bidi="ar"/>
                    </w:rPr>
                    <w:t>90</w:t>
                  </w:r>
                </w:p>
              </w:tc>
              <w:tc>
                <w:tcPr>
                  <w:tcW w:w="777" w:type="dxa"/>
                  <w:tcBorders>
                    <w:tl2br w:val="nil"/>
                    <w:tr2bl w:val="nil"/>
                  </w:tcBorders>
                  <w:shd w:val="clear" w:color="auto" w:fill="auto"/>
                  <w:noWrap/>
                  <w:tcMar>
                    <w:top w:w="15" w:type="dxa"/>
                    <w:left w:w="15" w:type="dxa"/>
                    <w:right w:w="15" w:type="dxa"/>
                  </w:tcMar>
                  <w:vAlign w:val="center"/>
                </w:tcPr>
                <w:p w14:paraId="54C37E2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bCs/>
                      <w:color w:val="auto"/>
                      <w:kern w:val="2"/>
                      <w:sz w:val="21"/>
                      <w:szCs w:val="21"/>
                      <w:lang w:val="en-US" w:eastAsia="zh-CN" w:bidi="ar"/>
                    </w:rPr>
                    <w:t>8496</w:t>
                  </w:r>
                </w:p>
              </w:tc>
            </w:tr>
            <w:tr w14:paraId="672255A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21" w:hRule="atLeast"/>
                <w:jc w:val="center"/>
              </w:trPr>
              <w:tc>
                <w:tcPr>
                  <w:tcW w:w="612" w:type="dxa"/>
                  <w:vMerge w:val="continue"/>
                  <w:tcBorders>
                    <w:tl2br w:val="nil"/>
                    <w:tr2bl w:val="nil"/>
                  </w:tcBorders>
                  <w:shd w:val="clear" w:color="auto" w:fill="auto"/>
                  <w:noWrap/>
                  <w:tcMar>
                    <w:top w:w="15" w:type="dxa"/>
                    <w:left w:w="15" w:type="dxa"/>
                    <w:right w:w="15" w:type="dxa"/>
                  </w:tcMar>
                  <w:vAlign w:val="center"/>
                </w:tcPr>
                <w:p w14:paraId="687D14A9">
                  <w:pPr>
                    <w:jc w:val="center"/>
                    <w:rPr>
                      <w:rFonts w:hint="default" w:eastAsia="宋体"/>
                      <w:bCs/>
                      <w:color w:val="auto"/>
                      <w:sz w:val="21"/>
                      <w:szCs w:val="21"/>
                      <w:lang w:val="en-US" w:eastAsia="zh-CN"/>
                    </w:rPr>
                  </w:pPr>
                </w:p>
              </w:tc>
              <w:tc>
                <w:tcPr>
                  <w:tcW w:w="1535" w:type="dxa"/>
                  <w:tcBorders>
                    <w:tl2br w:val="nil"/>
                    <w:tr2bl w:val="nil"/>
                  </w:tcBorders>
                  <w:shd w:val="clear" w:color="auto" w:fill="auto"/>
                  <w:noWrap/>
                  <w:tcMar>
                    <w:top w:w="15" w:type="dxa"/>
                    <w:left w:w="15" w:type="dxa"/>
                    <w:right w:w="15" w:type="dxa"/>
                  </w:tcMar>
                  <w:vAlign w:val="center"/>
                </w:tcPr>
                <w:p w14:paraId="10EA1790">
                  <w:pPr>
                    <w:widowControl/>
                    <w:spacing w:line="240" w:lineRule="auto"/>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CNC加工中心</w:t>
                  </w:r>
                </w:p>
              </w:tc>
              <w:tc>
                <w:tcPr>
                  <w:tcW w:w="646" w:type="dxa"/>
                  <w:tcBorders>
                    <w:tl2br w:val="nil"/>
                    <w:tr2bl w:val="nil"/>
                  </w:tcBorders>
                  <w:shd w:val="clear" w:color="auto" w:fill="auto"/>
                  <w:noWrap/>
                  <w:tcMar>
                    <w:top w:w="15" w:type="dxa"/>
                    <w:left w:w="15" w:type="dxa"/>
                    <w:right w:w="15" w:type="dxa"/>
                  </w:tcMar>
                  <w:vAlign w:val="center"/>
                </w:tcPr>
                <w:p w14:paraId="2CC49AC7">
                  <w:pPr>
                    <w:widowControl/>
                    <w:spacing w:line="240" w:lineRule="auto"/>
                    <w:jc w:val="center"/>
                    <w:textAlignment w:val="center"/>
                    <w:rPr>
                      <w:rFonts w:hint="default" w:cs="Times New Roman"/>
                      <w:color w:val="auto"/>
                      <w:kern w:val="0"/>
                      <w:sz w:val="21"/>
                      <w:szCs w:val="21"/>
                      <w:lang w:val="en-US" w:eastAsia="zh-CN" w:bidi="ar"/>
                    </w:rPr>
                  </w:pPr>
                  <w:r>
                    <w:rPr>
                      <w:rFonts w:hint="eastAsia" w:cs="Times New Roman"/>
                      <w:color w:val="auto"/>
                      <w:kern w:val="0"/>
                      <w:sz w:val="21"/>
                      <w:szCs w:val="21"/>
                      <w:lang w:val="en-US" w:eastAsia="zh-CN" w:bidi="ar"/>
                    </w:rPr>
                    <w:t>3</w:t>
                  </w:r>
                </w:p>
              </w:tc>
              <w:tc>
                <w:tcPr>
                  <w:tcW w:w="842" w:type="dxa"/>
                  <w:vMerge w:val="continue"/>
                  <w:tcBorders>
                    <w:tl2br w:val="nil"/>
                    <w:tr2bl w:val="nil"/>
                  </w:tcBorders>
                  <w:shd w:val="clear" w:color="auto" w:fill="auto"/>
                  <w:noWrap/>
                  <w:tcMar>
                    <w:top w:w="15" w:type="dxa"/>
                    <w:left w:w="15" w:type="dxa"/>
                    <w:right w:w="15" w:type="dxa"/>
                  </w:tcMar>
                  <w:vAlign w:val="center"/>
                </w:tcPr>
                <w:p w14:paraId="575548E5">
                  <w:pPr>
                    <w:pStyle w:val="22"/>
                    <w:widowControl w:val="0"/>
                    <w:spacing w:before="0" w:beforeAutospacing="0" w:after="0" w:afterAutospacing="0"/>
                    <w:jc w:val="center"/>
                    <w:rPr>
                      <w:rFonts w:hint="eastAsia" w:ascii="Times New Roman" w:hAnsi="Times New Roman"/>
                      <w:bCs/>
                      <w:color w:val="auto"/>
                      <w:sz w:val="21"/>
                      <w:szCs w:val="21"/>
                    </w:rPr>
                  </w:pPr>
                </w:p>
              </w:tc>
              <w:tc>
                <w:tcPr>
                  <w:tcW w:w="704" w:type="dxa"/>
                  <w:vMerge w:val="continue"/>
                  <w:tcBorders>
                    <w:tl2br w:val="nil"/>
                    <w:tr2bl w:val="nil"/>
                  </w:tcBorders>
                  <w:shd w:val="clear" w:color="auto" w:fill="auto"/>
                  <w:noWrap/>
                  <w:tcMar>
                    <w:top w:w="15" w:type="dxa"/>
                    <w:left w:w="15" w:type="dxa"/>
                    <w:right w:w="15" w:type="dxa"/>
                  </w:tcMar>
                  <w:vAlign w:val="center"/>
                </w:tcPr>
                <w:p w14:paraId="7DFF8F7F">
                  <w:pPr>
                    <w:pStyle w:val="22"/>
                    <w:widowControl w:val="0"/>
                    <w:spacing w:before="0" w:beforeAutospacing="0" w:after="0" w:afterAutospacing="0"/>
                    <w:jc w:val="center"/>
                    <w:rPr>
                      <w:rFonts w:hint="eastAsia" w:ascii="Times New Roman" w:hAnsi="Times New Roman"/>
                      <w:bCs/>
                      <w:color w:val="auto"/>
                      <w:sz w:val="21"/>
                      <w:szCs w:val="21"/>
                    </w:rPr>
                  </w:pPr>
                </w:p>
              </w:tc>
              <w:tc>
                <w:tcPr>
                  <w:tcW w:w="658" w:type="dxa"/>
                  <w:tcBorders>
                    <w:tl2br w:val="nil"/>
                    <w:tr2bl w:val="nil"/>
                  </w:tcBorders>
                  <w:shd w:val="clear" w:color="auto" w:fill="auto"/>
                  <w:noWrap/>
                  <w:tcMar>
                    <w:top w:w="15" w:type="dxa"/>
                    <w:left w:w="15" w:type="dxa"/>
                    <w:right w:w="15" w:type="dxa"/>
                  </w:tcMar>
                  <w:vAlign w:val="center"/>
                </w:tcPr>
                <w:p w14:paraId="1F952050">
                  <w:pPr>
                    <w:jc w:val="center"/>
                    <w:rPr>
                      <w:rFonts w:hint="default"/>
                      <w:color w:val="auto"/>
                      <w:sz w:val="21"/>
                      <w:szCs w:val="21"/>
                      <w:lang w:val="en-US" w:eastAsia="zh-CN"/>
                    </w:rPr>
                  </w:pPr>
                  <w:r>
                    <w:rPr>
                      <w:rFonts w:hint="eastAsia"/>
                      <w:color w:val="auto"/>
                      <w:sz w:val="21"/>
                      <w:szCs w:val="21"/>
                      <w:lang w:val="en-US" w:eastAsia="zh-CN"/>
                    </w:rPr>
                    <w:t>85</w:t>
                  </w:r>
                </w:p>
              </w:tc>
              <w:tc>
                <w:tcPr>
                  <w:tcW w:w="3080" w:type="dxa"/>
                  <w:tcBorders>
                    <w:tl2br w:val="nil"/>
                    <w:tr2bl w:val="nil"/>
                  </w:tcBorders>
                  <w:shd w:val="clear" w:color="auto" w:fill="auto"/>
                  <w:noWrap/>
                  <w:tcMar>
                    <w:top w:w="15" w:type="dxa"/>
                    <w:left w:w="15" w:type="dxa"/>
                    <w:right w:w="15" w:type="dxa"/>
                  </w:tcMar>
                  <w:vAlign w:val="center"/>
                </w:tcPr>
                <w:p w14:paraId="2CECFDA3">
                  <w:pPr>
                    <w:widowControl w:val="0"/>
                    <w:spacing w:before="0" w:beforeAutospacing="0" w:after="0" w:afterAutospacing="0"/>
                    <w:jc w:val="center"/>
                    <w:rPr>
                      <w:rFonts w:ascii="Times New Roman" w:hAnsi="Times New Roman"/>
                      <w:bCs/>
                      <w:color w:val="auto"/>
                      <w:sz w:val="21"/>
                      <w:szCs w:val="21"/>
                    </w:rPr>
                  </w:pPr>
                  <w:r>
                    <w:rPr>
                      <w:rFonts w:ascii="Times New Roman" w:hAnsi="Times New Roman"/>
                      <w:bCs/>
                      <w:color w:val="auto"/>
                      <w:sz w:val="21"/>
                      <w:szCs w:val="21"/>
                    </w:rPr>
                    <w:t>减振垫</w:t>
                  </w:r>
                </w:p>
              </w:tc>
              <w:tc>
                <w:tcPr>
                  <w:tcW w:w="820" w:type="dxa"/>
                  <w:tcBorders>
                    <w:tl2br w:val="nil"/>
                    <w:tr2bl w:val="nil"/>
                  </w:tcBorders>
                  <w:shd w:val="clear" w:color="auto" w:fill="auto"/>
                  <w:noWrap/>
                  <w:tcMar>
                    <w:top w:w="15" w:type="dxa"/>
                    <w:left w:w="15" w:type="dxa"/>
                    <w:right w:w="15" w:type="dxa"/>
                  </w:tcMar>
                  <w:vAlign w:val="center"/>
                </w:tcPr>
                <w:p w14:paraId="44E29999">
                  <w:pPr>
                    <w:widowControl/>
                    <w:jc w:val="center"/>
                    <w:textAlignment w:val="bottom"/>
                    <w:rPr>
                      <w:rFonts w:hint="eastAsia"/>
                      <w:bCs/>
                      <w:color w:val="auto"/>
                      <w:sz w:val="21"/>
                      <w:szCs w:val="21"/>
                      <w:lang w:val="en-US" w:eastAsia="zh-CN"/>
                    </w:rPr>
                  </w:pPr>
                  <w:r>
                    <w:rPr>
                      <w:rFonts w:hint="eastAsia"/>
                      <w:bCs/>
                      <w:color w:val="auto"/>
                      <w:sz w:val="21"/>
                      <w:szCs w:val="21"/>
                      <w:lang w:val="en-US" w:eastAsia="zh-CN"/>
                    </w:rPr>
                    <w:t>-5</w:t>
                  </w:r>
                </w:p>
              </w:tc>
              <w:tc>
                <w:tcPr>
                  <w:tcW w:w="592" w:type="dxa"/>
                  <w:vMerge w:val="continue"/>
                  <w:tcBorders>
                    <w:tl2br w:val="nil"/>
                    <w:tr2bl w:val="nil"/>
                  </w:tcBorders>
                  <w:shd w:val="clear" w:color="auto" w:fill="auto"/>
                  <w:noWrap/>
                  <w:tcMar>
                    <w:top w:w="15" w:type="dxa"/>
                    <w:left w:w="15" w:type="dxa"/>
                    <w:right w:w="15" w:type="dxa"/>
                  </w:tcMar>
                  <w:vAlign w:val="center"/>
                </w:tcPr>
                <w:p w14:paraId="67ADB4D3">
                  <w:pPr>
                    <w:jc w:val="center"/>
                    <w:rPr>
                      <w:rFonts w:hint="eastAsia"/>
                      <w:bCs/>
                      <w:color w:val="auto"/>
                      <w:sz w:val="21"/>
                      <w:szCs w:val="21"/>
                    </w:rPr>
                  </w:pPr>
                </w:p>
              </w:tc>
              <w:tc>
                <w:tcPr>
                  <w:tcW w:w="1376" w:type="dxa"/>
                  <w:tcBorders>
                    <w:tl2br w:val="nil"/>
                    <w:tr2bl w:val="nil"/>
                  </w:tcBorders>
                  <w:shd w:val="clear" w:color="auto" w:fill="auto"/>
                  <w:noWrap/>
                  <w:tcMar>
                    <w:top w:w="15" w:type="dxa"/>
                    <w:left w:w="15" w:type="dxa"/>
                    <w:right w:w="15" w:type="dxa"/>
                  </w:tcMar>
                  <w:vAlign w:val="bottom"/>
                </w:tcPr>
                <w:p w14:paraId="3FD6DAD6">
                  <w:pPr>
                    <w:keepNext w:val="0"/>
                    <w:keepLines w:val="0"/>
                    <w:widowControl/>
                    <w:suppressLineNumbers w:val="0"/>
                    <w:jc w:val="center"/>
                    <w:textAlignment w:val="bottom"/>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80</w:t>
                  </w:r>
                </w:p>
              </w:tc>
              <w:tc>
                <w:tcPr>
                  <w:tcW w:w="768" w:type="dxa"/>
                  <w:tcBorders>
                    <w:tl2br w:val="nil"/>
                    <w:tr2bl w:val="nil"/>
                  </w:tcBorders>
                  <w:shd w:val="clear" w:color="auto" w:fill="auto"/>
                  <w:noWrap/>
                  <w:tcMar>
                    <w:top w:w="15" w:type="dxa"/>
                    <w:left w:w="15" w:type="dxa"/>
                    <w:right w:w="15" w:type="dxa"/>
                  </w:tcMar>
                  <w:vAlign w:val="center"/>
                </w:tcPr>
                <w:p w14:paraId="42D153C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olor w:val="auto"/>
                      <w:lang w:val="en-US" w:eastAsia="zh-CN"/>
                    </w:rPr>
                    <w:t>85</w:t>
                  </w:r>
                </w:p>
              </w:tc>
              <w:tc>
                <w:tcPr>
                  <w:tcW w:w="777" w:type="dxa"/>
                  <w:tcBorders>
                    <w:tl2br w:val="nil"/>
                    <w:tr2bl w:val="nil"/>
                  </w:tcBorders>
                  <w:shd w:val="clear" w:color="auto" w:fill="auto"/>
                  <w:noWrap/>
                  <w:tcMar>
                    <w:top w:w="15" w:type="dxa"/>
                    <w:left w:w="15" w:type="dxa"/>
                    <w:right w:w="15" w:type="dxa"/>
                  </w:tcMar>
                  <w:vAlign w:val="center"/>
                </w:tcPr>
                <w:p w14:paraId="579E7304">
                  <w:pPr>
                    <w:keepNext w:val="0"/>
                    <w:keepLines w:val="0"/>
                    <w:widowControl/>
                    <w:suppressLineNumbers w:val="0"/>
                    <w:jc w:val="center"/>
                    <w:textAlignment w:val="center"/>
                    <w:rPr>
                      <w:rFonts w:hint="eastAsia" w:cs="Times New Roman"/>
                      <w:bCs/>
                      <w:color w:val="auto"/>
                      <w:kern w:val="2"/>
                      <w:sz w:val="21"/>
                      <w:szCs w:val="21"/>
                      <w:lang w:val="en-US" w:eastAsia="zh-CN" w:bidi="ar"/>
                    </w:rPr>
                  </w:pPr>
                  <w:r>
                    <w:rPr>
                      <w:rFonts w:hint="eastAsia" w:cs="Times New Roman"/>
                      <w:bCs/>
                      <w:color w:val="auto"/>
                      <w:kern w:val="2"/>
                      <w:sz w:val="21"/>
                      <w:szCs w:val="21"/>
                      <w:lang w:val="en-US" w:eastAsia="zh-CN" w:bidi="ar"/>
                    </w:rPr>
                    <w:t>3540</w:t>
                  </w:r>
                </w:p>
              </w:tc>
            </w:tr>
            <w:tr w14:paraId="4C15D52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21" w:hRule="atLeast"/>
                <w:jc w:val="center"/>
              </w:trPr>
              <w:tc>
                <w:tcPr>
                  <w:tcW w:w="612" w:type="dxa"/>
                  <w:vMerge w:val="continue"/>
                  <w:tcBorders>
                    <w:tl2br w:val="nil"/>
                    <w:tr2bl w:val="nil"/>
                  </w:tcBorders>
                  <w:shd w:val="clear" w:color="auto" w:fill="auto"/>
                  <w:noWrap/>
                  <w:tcMar>
                    <w:top w:w="15" w:type="dxa"/>
                    <w:left w:w="15" w:type="dxa"/>
                    <w:right w:w="15" w:type="dxa"/>
                  </w:tcMar>
                  <w:vAlign w:val="center"/>
                </w:tcPr>
                <w:p w14:paraId="6520DFC2">
                  <w:pPr>
                    <w:jc w:val="center"/>
                    <w:rPr>
                      <w:rFonts w:hint="default" w:eastAsia="宋体"/>
                      <w:bCs/>
                      <w:color w:val="auto"/>
                      <w:sz w:val="21"/>
                      <w:szCs w:val="21"/>
                      <w:lang w:val="en-US" w:eastAsia="zh-CN"/>
                    </w:rPr>
                  </w:pPr>
                </w:p>
              </w:tc>
              <w:tc>
                <w:tcPr>
                  <w:tcW w:w="1535" w:type="dxa"/>
                  <w:tcBorders>
                    <w:tl2br w:val="nil"/>
                    <w:tr2bl w:val="nil"/>
                  </w:tcBorders>
                  <w:shd w:val="clear" w:color="auto" w:fill="auto"/>
                  <w:noWrap/>
                  <w:tcMar>
                    <w:top w:w="15" w:type="dxa"/>
                    <w:left w:w="15" w:type="dxa"/>
                    <w:right w:w="15" w:type="dxa"/>
                  </w:tcMar>
                  <w:vAlign w:val="center"/>
                </w:tcPr>
                <w:p w14:paraId="351CD7C8">
                  <w:pPr>
                    <w:widowControl/>
                    <w:spacing w:line="240" w:lineRule="auto"/>
                    <w:jc w:val="center"/>
                    <w:textAlignment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kern w:val="0"/>
                      <w:sz w:val="21"/>
                      <w:szCs w:val="21"/>
                      <w:lang w:val="en-US" w:eastAsia="zh-CN" w:bidi="ar"/>
                    </w:rPr>
                    <w:t>减压钻</w:t>
                  </w:r>
                </w:p>
              </w:tc>
              <w:tc>
                <w:tcPr>
                  <w:tcW w:w="646" w:type="dxa"/>
                  <w:tcBorders>
                    <w:tl2br w:val="nil"/>
                    <w:tr2bl w:val="nil"/>
                  </w:tcBorders>
                  <w:shd w:val="clear" w:color="auto" w:fill="auto"/>
                  <w:noWrap/>
                  <w:tcMar>
                    <w:top w:w="15" w:type="dxa"/>
                    <w:left w:w="15" w:type="dxa"/>
                    <w:right w:w="15" w:type="dxa"/>
                  </w:tcMar>
                  <w:vAlign w:val="center"/>
                </w:tcPr>
                <w:p w14:paraId="512D3061">
                  <w:pPr>
                    <w:widowControl/>
                    <w:spacing w:line="240" w:lineRule="auto"/>
                    <w:jc w:val="center"/>
                    <w:textAlignment w:val="center"/>
                    <w:rPr>
                      <w:rFonts w:hint="default" w:ascii="Times New Roman" w:hAnsi="Times New Roman" w:eastAsia="宋体" w:cs="Times New Roman"/>
                      <w:color w:val="auto"/>
                      <w:kern w:val="0"/>
                      <w:sz w:val="21"/>
                      <w:szCs w:val="21"/>
                      <w:lang w:val="en-US" w:eastAsia="zh-CN" w:bidi="ar"/>
                    </w:rPr>
                  </w:pPr>
                  <w:r>
                    <w:rPr>
                      <w:rFonts w:hint="eastAsia" w:cs="Times New Roman"/>
                      <w:color w:val="auto"/>
                      <w:kern w:val="0"/>
                      <w:sz w:val="21"/>
                      <w:szCs w:val="21"/>
                      <w:lang w:val="en-US" w:eastAsia="zh-CN" w:bidi="ar"/>
                    </w:rPr>
                    <w:t>4</w:t>
                  </w:r>
                </w:p>
              </w:tc>
              <w:tc>
                <w:tcPr>
                  <w:tcW w:w="842" w:type="dxa"/>
                  <w:vMerge w:val="continue"/>
                  <w:tcBorders>
                    <w:tl2br w:val="nil"/>
                    <w:tr2bl w:val="nil"/>
                  </w:tcBorders>
                  <w:shd w:val="clear" w:color="auto" w:fill="auto"/>
                  <w:noWrap/>
                  <w:tcMar>
                    <w:top w:w="15" w:type="dxa"/>
                    <w:left w:w="15" w:type="dxa"/>
                    <w:right w:w="15" w:type="dxa"/>
                  </w:tcMar>
                  <w:vAlign w:val="center"/>
                </w:tcPr>
                <w:p w14:paraId="6D9F7CAB">
                  <w:pPr>
                    <w:pStyle w:val="22"/>
                    <w:widowControl w:val="0"/>
                    <w:spacing w:before="0" w:beforeAutospacing="0" w:after="0" w:afterAutospacing="0"/>
                    <w:jc w:val="center"/>
                    <w:rPr>
                      <w:rFonts w:hint="eastAsia" w:ascii="Times New Roman" w:hAnsi="Times New Roman"/>
                      <w:bCs/>
                      <w:color w:val="auto"/>
                      <w:sz w:val="21"/>
                      <w:szCs w:val="21"/>
                    </w:rPr>
                  </w:pPr>
                </w:p>
              </w:tc>
              <w:tc>
                <w:tcPr>
                  <w:tcW w:w="704" w:type="dxa"/>
                  <w:vMerge w:val="continue"/>
                  <w:tcBorders>
                    <w:tl2br w:val="nil"/>
                    <w:tr2bl w:val="nil"/>
                  </w:tcBorders>
                  <w:shd w:val="clear" w:color="auto" w:fill="auto"/>
                  <w:noWrap/>
                  <w:tcMar>
                    <w:top w:w="15" w:type="dxa"/>
                    <w:left w:w="15" w:type="dxa"/>
                    <w:right w:w="15" w:type="dxa"/>
                  </w:tcMar>
                  <w:vAlign w:val="center"/>
                </w:tcPr>
                <w:p w14:paraId="2F3F38F5">
                  <w:pPr>
                    <w:pStyle w:val="22"/>
                    <w:widowControl w:val="0"/>
                    <w:spacing w:before="0" w:beforeAutospacing="0" w:after="0" w:afterAutospacing="0"/>
                    <w:jc w:val="center"/>
                    <w:rPr>
                      <w:rFonts w:hint="eastAsia" w:ascii="Times New Roman" w:hAnsi="Times New Roman"/>
                      <w:bCs/>
                      <w:color w:val="auto"/>
                      <w:sz w:val="21"/>
                      <w:szCs w:val="21"/>
                    </w:rPr>
                  </w:pPr>
                </w:p>
              </w:tc>
              <w:tc>
                <w:tcPr>
                  <w:tcW w:w="658" w:type="dxa"/>
                  <w:tcBorders>
                    <w:tl2br w:val="nil"/>
                    <w:tr2bl w:val="nil"/>
                  </w:tcBorders>
                  <w:shd w:val="clear" w:color="auto" w:fill="auto"/>
                  <w:noWrap/>
                  <w:tcMar>
                    <w:top w:w="15" w:type="dxa"/>
                    <w:left w:w="15" w:type="dxa"/>
                    <w:right w:w="15" w:type="dxa"/>
                  </w:tcMar>
                  <w:vAlign w:val="center"/>
                </w:tcPr>
                <w:p w14:paraId="55B0A16F">
                  <w:pPr>
                    <w:jc w:val="center"/>
                    <w:rPr>
                      <w:rFonts w:hint="default" w:eastAsia="宋体"/>
                      <w:color w:val="auto"/>
                      <w:sz w:val="21"/>
                      <w:szCs w:val="21"/>
                      <w:lang w:val="en-US" w:eastAsia="zh-CN"/>
                    </w:rPr>
                  </w:pPr>
                  <w:r>
                    <w:rPr>
                      <w:rFonts w:hint="eastAsia"/>
                      <w:color w:val="auto"/>
                      <w:sz w:val="21"/>
                      <w:szCs w:val="21"/>
                      <w:lang w:val="en-US" w:eastAsia="zh-CN"/>
                    </w:rPr>
                    <w:t>85</w:t>
                  </w:r>
                </w:p>
              </w:tc>
              <w:tc>
                <w:tcPr>
                  <w:tcW w:w="3080" w:type="dxa"/>
                  <w:tcBorders>
                    <w:tl2br w:val="nil"/>
                    <w:tr2bl w:val="nil"/>
                  </w:tcBorders>
                  <w:shd w:val="clear" w:color="auto" w:fill="auto"/>
                  <w:noWrap/>
                  <w:tcMar>
                    <w:top w:w="15" w:type="dxa"/>
                    <w:left w:w="15" w:type="dxa"/>
                    <w:right w:w="15" w:type="dxa"/>
                  </w:tcMar>
                  <w:vAlign w:val="center"/>
                </w:tcPr>
                <w:p w14:paraId="79E47841">
                  <w:pPr>
                    <w:widowControl w:val="0"/>
                    <w:spacing w:before="0" w:beforeAutospacing="0" w:after="0" w:afterAutospacing="0"/>
                    <w:jc w:val="center"/>
                    <w:rPr>
                      <w:rFonts w:ascii="Times New Roman" w:hAnsi="Times New Roman"/>
                      <w:bCs/>
                      <w:color w:val="auto"/>
                      <w:sz w:val="21"/>
                      <w:szCs w:val="21"/>
                    </w:rPr>
                  </w:pPr>
                  <w:r>
                    <w:rPr>
                      <w:rFonts w:ascii="Times New Roman" w:hAnsi="Times New Roman"/>
                      <w:bCs/>
                      <w:color w:val="auto"/>
                      <w:sz w:val="21"/>
                      <w:szCs w:val="21"/>
                    </w:rPr>
                    <w:t>减振垫</w:t>
                  </w:r>
                </w:p>
              </w:tc>
              <w:tc>
                <w:tcPr>
                  <w:tcW w:w="820" w:type="dxa"/>
                  <w:tcBorders>
                    <w:tl2br w:val="nil"/>
                    <w:tr2bl w:val="nil"/>
                  </w:tcBorders>
                  <w:shd w:val="clear" w:color="auto" w:fill="auto"/>
                  <w:noWrap/>
                  <w:tcMar>
                    <w:top w:w="15" w:type="dxa"/>
                    <w:left w:w="15" w:type="dxa"/>
                    <w:right w:w="15" w:type="dxa"/>
                  </w:tcMar>
                  <w:vAlign w:val="center"/>
                </w:tcPr>
                <w:p w14:paraId="5060E617">
                  <w:pPr>
                    <w:widowControl/>
                    <w:jc w:val="center"/>
                    <w:textAlignment w:val="bottom"/>
                    <w:rPr>
                      <w:rFonts w:hint="eastAsia"/>
                      <w:bCs/>
                      <w:color w:val="auto"/>
                      <w:sz w:val="21"/>
                      <w:szCs w:val="21"/>
                      <w:lang w:val="en-US" w:eastAsia="zh-CN"/>
                    </w:rPr>
                  </w:pPr>
                  <w:r>
                    <w:rPr>
                      <w:rFonts w:hint="eastAsia"/>
                      <w:bCs/>
                      <w:color w:val="auto"/>
                      <w:sz w:val="21"/>
                      <w:szCs w:val="21"/>
                      <w:lang w:val="en-US" w:eastAsia="zh-CN"/>
                    </w:rPr>
                    <w:t>-5</w:t>
                  </w:r>
                </w:p>
              </w:tc>
              <w:tc>
                <w:tcPr>
                  <w:tcW w:w="592" w:type="dxa"/>
                  <w:vMerge w:val="continue"/>
                  <w:tcBorders>
                    <w:tl2br w:val="nil"/>
                    <w:tr2bl w:val="nil"/>
                  </w:tcBorders>
                  <w:shd w:val="clear" w:color="auto" w:fill="auto"/>
                  <w:noWrap/>
                  <w:tcMar>
                    <w:top w:w="15" w:type="dxa"/>
                    <w:left w:w="15" w:type="dxa"/>
                    <w:right w:w="15" w:type="dxa"/>
                  </w:tcMar>
                  <w:vAlign w:val="center"/>
                </w:tcPr>
                <w:p w14:paraId="446006CA">
                  <w:pPr>
                    <w:jc w:val="center"/>
                    <w:rPr>
                      <w:rFonts w:hint="eastAsia"/>
                      <w:bCs/>
                      <w:color w:val="auto"/>
                      <w:sz w:val="21"/>
                      <w:szCs w:val="21"/>
                    </w:rPr>
                  </w:pPr>
                </w:p>
              </w:tc>
              <w:tc>
                <w:tcPr>
                  <w:tcW w:w="1376" w:type="dxa"/>
                  <w:tcBorders>
                    <w:tl2br w:val="nil"/>
                    <w:tr2bl w:val="nil"/>
                  </w:tcBorders>
                  <w:shd w:val="clear" w:color="auto" w:fill="auto"/>
                  <w:noWrap/>
                  <w:tcMar>
                    <w:top w:w="15" w:type="dxa"/>
                    <w:left w:w="15" w:type="dxa"/>
                    <w:right w:w="15" w:type="dxa"/>
                  </w:tcMar>
                  <w:vAlign w:val="bottom"/>
                </w:tcPr>
                <w:p w14:paraId="2BC7C959">
                  <w:pPr>
                    <w:keepNext w:val="0"/>
                    <w:keepLines w:val="0"/>
                    <w:widowControl/>
                    <w:suppressLineNumbers w:val="0"/>
                    <w:jc w:val="center"/>
                    <w:textAlignment w:val="bottom"/>
                    <w:rPr>
                      <w:rFonts w:hint="default" w:eastAsia="宋体"/>
                      <w:color w:val="auto"/>
                      <w:kern w:val="0"/>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80</w:t>
                  </w:r>
                </w:p>
              </w:tc>
              <w:tc>
                <w:tcPr>
                  <w:tcW w:w="768" w:type="dxa"/>
                  <w:tcBorders>
                    <w:tl2br w:val="nil"/>
                    <w:tr2bl w:val="nil"/>
                  </w:tcBorders>
                  <w:shd w:val="clear" w:color="auto" w:fill="auto"/>
                  <w:noWrap/>
                  <w:tcMar>
                    <w:top w:w="15" w:type="dxa"/>
                    <w:left w:w="15" w:type="dxa"/>
                    <w:right w:w="15" w:type="dxa"/>
                  </w:tcMar>
                  <w:vAlign w:val="center"/>
                </w:tcPr>
                <w:p w14:paraId="594B251D">
                  <w:pPr>
                    <w:keepNext w:val="0"/>
                    <w:keepLines w:val="0"/>
                    <w:widowControl/>
                    <w:suppressLineNumbers w:val="0"/>
                    <w:jc w:val="center"/>
                    <w:textAlignment w:val="center"/>
                    <w:rPr>
                      <w:rFonts w:hint="default" w:ascii="Times New Roman" w:hAnsi="Times New Roman" w:cs="Times New Roman"/>
                      <w:color w:val="auto"/>
                      <w:kern w:val="0"/>
                      <w:sz w:val="21"/>
                      <w:szCs w:val="21"/>
                    </w:rPr>
                  </w:pPr>
                  <w:r>
                    <w:rPr>
                      <w:rFonts w:hint="default" w:ascii="Times New Roman" w:hAnsi="Times New Roman" w:eastAsia="等线" w:cs="Times New Roman"/>
                      <w:i w:val="0"/>
                      <w:iCs w:val="0"/>
                      <w:color w:val="auto"/>
                      <w:kern w:val="0"/>
                      <w:sz w:val="21"/>
                      <w:szCs w:val="21"/>
                      <w:u w:val="none"/>
                      <w:lang w:val="en-US" w:eastAsia="zh-CN" w:bidi="ar"/>
                    </w:rPr>
                    <w:t>86</w:t>
                  </w:r>
                </w:p>
              </w:tc>
              <w:tc>
                <w:tcPr>
                  <w:tcW w:w="777" w:type="dxa"/>
                  <w:tcBorders>
                    <w:tl2br w:val="nil"/>
                    <w:tr2bl w:val="nil"/>
                  </w:tcBorders>
                  <w:shd w:val="clear" w:color="auto" w:fill="auto"/>
                  <w:noWrap/>
                  <w:tcMar>
                    <w:top w:w="15" w:type="dxa"/>
                    <w:left w:w="15" w:type="dxa"/>
                    <w:right w:w="15" w:type="dxa"/>
                  </w:tcMar>
                  <w:vAlign w:val="center"/>
                </w:tcPr>
                <w:p w14:paraId="2F57503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bCs/>
                      <w:color w:val="auto"/>
                      <w:kern w:val="2"/>
                      <w:sz w:val="21"/>
                      <w:szCs w:val="21"/>
                      <w:lang w:val="en-US" w:eastAsia="zh-CN" w:bidi="ar"/>
                    </w:rPr>
                    <w:t>8496</w:t>
                  </w:r>
                </w:p>
              </w:tc>
            </w:tr>
            <w:tr w14:paraId="08FBC74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21" w:hRule="atLeast"/>
                <w:jc w:val="center"/>
              </w:trPr>
              <w:tc>
                <w:tcPr>
                  <w:tcW w:w="612" w:type="dxa"/>
                  <w:vMerge w:val="continue"/>
                  <w:tcBorders>
                    <w:tl2br w:val="nil"/>
                    <w:tr2bl w:val="nil"/>
                  </w:tcBorders>
                  <w:shd w:val="clear" w:color="auto" w:fill="auto"/>
                  <w:noWrap/>
                  <w:tcMar>
                    <w:top w:w="15" w:type="dxa"/>
                    <w:left w:w="15" w:type="dxa"/>
                    <w:right w:w="15" w:type="dxa"/>
                  </w:tcMar>
                  <w:vAlign w:val="center"/>
                </w:tcPr>
                <w:p w14:paraId="5D9D2F31">
                  <w:pPr>
                    <w:jc w:val="center"/>
                    <w:rPr>
                      <w:rFonts w:hint="default" w:eastAsia="宋体"/>
                      <w:bCs/>
                      <w:color w:val="auto"/>
                      <w:sz w:val="21"/>
                      <w:szCs w:val="21"/>
                      <w:lang w:val="en-US" w:eastAsia="zh-CN"/>
                    </w:rPr>
                  </w:pPr>
                </w:p>
              </w:tc>
              <w:tc>
                <w:tcPr>
                  <w:tcW w:w="1535" w:type="dxa"/>
                  <w:tcBorders>
                    <w:tl2br w:val="nil"/>
                    <w:tr2bl w:val="nil"/>
                  </w:tcBorders>
                  <w:shd w:val="clear" w:color="auto" w:fill="auto"/>
                  <w:noWrap/>
                  <w:tcMar>
                    <w:top w:w="15" w:type="dxa"/>
                    <w:left w:w="15" w:type="dxa"/>
                    <w:right w:w="15" w:type="dxa"/>
                  </w:tcMar>
                  <w:vAlign w:val="center"/>
                </w:tcPr>
                <w:p w14:paraId="28FEB649">
                  <w:pPr>
                    <w:keepNext w:val="0"/>
                    <w:keepLines w:val="0"/>
                    <w:pageBreakBefore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倒角钻</w:t>
                  </w:r>
                </w:p>
              </w:tc>
              <w:tc>
                <w:tcPr>
                  <w:tcW w:w="646" w:type="dxa"/>
                  <w:tcBorders>
                    <w:tl2br w:val="nil"/>
                    <w:tr2bl w:val="nil"/>
                  </w:tcBorders>
                  <w:shd w:val="clear" w:color="auto" w:fill="auto"/>
                  <w:noWrap/>
                  <w:tcMar>
                    <w:top w:w="15" w:type="dxa"/>
                    <w:left w:w="15" w:type="dxa"/>
                    <w:right w:w="15" w:type="dxa"/>
                  </w:tcMar>
                  <w:vAlign w:val="center"/>
                </w:tcPr>
                <w:p w14:paraId="54AD38B7">
                  <w:pPr>
                    <w:keepNext w:val="0"/>
                    <w:keepLines w:val="0"/>
                    <w:pageBreakBefore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6</w:t>
                  </w:r>
                </w:p>
              </w:tc>
              <w:tc>
                <w:tcPr>
                  <w:tcW w:w="842" w:type="dxa"/>
                  <w:vMerge w:val="continue"/>
                  <w:tcBorders>
                    <w:tl2br w:val="nil"/>
                    <w:tr2bl w:val="nil"/>
                  </w:tcBorders>
                  <w:shd w:val="clear" w:color="auto" w:fill="auto"/>
                  <w:noWrap/>
                  <w:tcMar>
                    <w:top w:w="15" w:type="dxa"/>
                    <w:left w:w="15" w:type="dxa"/>
                    <w:right w:w="15" w:type="dxa"/>
                  </w:tcMar>
                  <w:vAlign w:val="center"/>
                </w:tcPr>
                <w:p w14:paraId="3EEFC978">
                  <w:pPr>
                    <w:pStyle w:val="22"/>
                    <w:widowControl w:val="0"/>
                    <w:spacing w:before="0" w:beforeAutospacing="0" w:after="0" w:afterAutospacing="0"/>
                    <w:jc w:val="center"/>
                    <w:rPr>
                      <w:rFonts w:hint="eastAsia" w:ascii="Times New Roman" w:hAnsi="Times New Roman"/>
                      <w:bCs/>
                      <w:color w:val="auto"/>
                      <w:sz w:val="21"/>
                      <w:szCs w:val="21"/>
                    </w:rPr>
                  </w:pPr>
                </w:p>
              </w:tc>
              <w:tc>
                <w:tcPr>
                  <w:tcW w:w="704" w:type="dxa"/>
                  <w:vMerge w:val="continue"/>
                  <w:tcBorders>
                    <w:tl2br w:val="nil"/>
                    <w:tr2bl w:val="nil"/>
                  </w:tcBorders>
                  <w:shd w:val="clear" w:color="auto" w:fill="auto"/>
                  <w:noWrap/>
                  <w:tcMar>
                    <w:top w:w="15" w:type="dxa"/>
                    <w:left w:w="15" w:type="dxa"/>
                    <w:right w:w="15" w:type="dxa"/>
                  </w:tcMar>
                  <w:vAlign w:val="center"/>
                </w:tcPr>
                <w:p w14:paraId="0DE44128">
                  <w:pPr>
                    <w:pStyle w:val="22"/>
                    <w:widowControl w:val="0"/>
                    <w:spacing w:before="0" w:beforeAutospacing="0" w:after="0" w:afterAutospacing="0"/>
                    <w:jc w:val="center"/>
                    <w:rPr>
                      <w:rFonts w:hint="eastAsia" w:ascii="Times New Roman" w:hAnsi="Times New Roman"/>
                      <w:bCs/>
                      <w:color w:val="auto"/>
                      <w:sz w:val="21"/>
                      <w:szCs w:val="21"/>
                    </w:rPr>
                  </w:pPr>
                </w:p>
              </w:tc>
              <w:tc>
                <w:tcPr>
                  <w:tcW w:w="658" w:type="dxa"/>
                  <w:tcBorders>
                    <w:tl2br w:val="nil"/>
                    <w:tr2bl w:val="nil"/>
                  </w:tcBorders>
                  <w:shd w:val="clear" w:color="auto" w:fill="auto"/>
                  <w:noWrap/>
                  <w:tcMar>
                    <w:top w:w="15" w:type="dxa"/>
                    <w:left w:w="15" w:type="dxa"/>
                    <w:right w:w="15" w:type="dxa"/>
                  </w:tcMar>
                  <w:vAlign w:val="center"/>
                </w:tcPr>
                <w:p w14:paraId="79D9EEC9">
                  <w:pPr>
                    <w:jc w:val="center"/>
                    <w:rPr>
                      <w:rFonts w:hint="default" w:eastAsia="宋体"/>
                      <w:color w:val="auto"/>
                      <w:sz w:val="21"/>
                      <w:szCs w:val="21"/>
                      <w:lang w:val="en-US" w:eastAsia="zh-CN"/>
                    </w:rPr>
                  </w:pPr>
                  <w:r>
                    <w:rPr>
                      <w:rFonts w:hint="eastAsia"/>
                      <w:color w:val="auto"/>
                      <w:sz w:val="21"/>
                      <w:szCs w:val="21"/>
                      <w:lang w:val="en-US" w:eastAsia="zh-CN"/>
                    </w:rPr>
                    <w:t>85</w:t>
                  </w:r>
                </w:p>
              </w:tc>
              <w:tc>
                <w:tcPr>
                  <w:tcW w:w="3080" w:type="dxa"/>
                  <w:tcBorders>
                    <w:tl2br w:val="nil"/>
                    <w:tr2bl w:val="nil"/>
                  </w:tcBorders>
                  <w:shd w:val="clear" w:color="auto" w:fill="auto"/>
                  <w:noWrap/>
                  <w:tcMar>
                    <w:top w:w="15" w:type="dxa"/>
                    <w:left w:w="15" w:type="dxa"/>
                    <w:right w:w="15" w:type="dxa"/>
                  </w:tcMar>
                  <w:vAlign w:val="center"/>
                </w:tcPr>
                <w:p w14:paraId="5A7EF707">
                  <w:pPr>
                    <w:widowControl w:val="0"/>
                    <w:spacing w:before="0" w:beforeAutospacing="0" w:after="0" w:afterAutospacing="0"/>
                    <w:jc w:val="center"/>
                    <w:rPr>
                      <w:rFonts w:ascii="Times New Roman" w:hAnsi="Times New Roman"/>
                      <w:bCs/>
                      <w:color w:val="auto"/>
                      <w:sz w:val="21"/>
                      <w:szCs w:val="21"/>
                    </w:rPr>
                  </w:pPr>
                  <w:r>
                    <w:rPr>
                      <w:rFonts w:ascii="Times New Roman" w:hAnsi="Times New Roman"/>
                      <w:bCs/>
                      <w:color w:val="auto"/>
                      <w:sz w:val="21"/>
                      <w:szCs w:val="21"/>
                    </w:rPr>
                    <w:t>减振垫</w:t>
                  </w:r>
                </w:p>
              </w:tc>
              <w:tc>
                <w:tcPr>
                  <w:tcW w:w="820" w:type="dxa"/>
                  <w:tcBorders>
                    <w:tl2br w:val="nil"/>
                    <w:tr2bl w:val="nil"/>
                  </w:tcBorders>
                  <w:shd w:val="clear" w:color="auto" w:fill="auto"/>
                  <w:noWrap/>
                  <w:tcMar>
                    <w:top w:w="15" w:type="dxa"/>
                    <w:left w:w="15" w:type="dxa"/>
                    <w:right w:w="15" w:type="dxa"/>
                  </w:tcMar>
                  <w:vAlign w:val="center"/>
                </w:tcPr>
                <w:p w14:paraId="078FB5AE">
                  <w:pPr>
                    <w:widowControl/>
                    <w:jc w:val="center"/>
                    <w:textAlignment w:val="bottom"/>
                    <w:rPr>
                      <w:rFonts w:hint="eastAsia"/>
                      <w:bCs/>
                      <w:color w:val="auto"/>
                      <w:sz w:val="21"/>
                      <w:szCs w:val="21"/>
                      <w:lang w:val="en-US" w:eastAsia="zh-CN"/>
                    </w:rPr>
                  </w:pPr>
                  <w:r>
                    <w:rPr>
                      <w:rFonts w:hint="eastAsia"/>
                      <w:bCs/>
                      <w:color w:val="auto"/>
                      <w:sz w:val="21"/>
                      <w:szCs w:val="21"/>
                      <w:lang w:val="en-US" w:eastAsia="zh-CN"/>
                    </w:rPr>
                    <w:t>-5</w:t>
                  </w:r>
                </w:p>
              </w:tc>
              <w:tc>
                <w:tcPr>
                  <w:tcW w:w="592" w:type="dxa"/>
                  <w:vMerge w:val="continue"/>
                  <w:tcBorders>
                    <w:tl2br w:val="nil"/>
                    <w:tr2bl w:val="nil"/>
                  </w:tcBorders>
                  <w:shd w:val="clear" w:color="auto" w:fill="auto"/>
                  <w:noWrap/>
                  <w:tcMar>
                    <w:top w:w="15" w:type="dxa"/>
                    <w:left w:w="15" w:type="dxa"/>
                    <w:right w:w="15" w:type="dxa"/>
                  </w:tcMar>
                  <w:vAlign w:val="center"/>
                </w:tcPr>
                <w:p w14:paraId="7DEDFC80">
                  <w:pPr>
                    <w:jc w:val="center"/>
                    <w:rPr>
                      <w:rFonts w:hint="eastAsia"/>
                      <w:bCs/>
                      <w:color w:val="auto"/>
                      <w:sz w:val="21"/>
                      <w:szCs w:val="21"/>
                    </w:rPr>
                  </w:pPr>
                </w:p>
              </w:tc>
              <w:tc>
                <w:tcPr>
                  <w:tcW w:w="1376" w:type="dxa"/>
                  <w:tcBorders>
                    <w:tl2br w:val="nil"/>
                    <w:tr2bl w:val="nil"/>
                  </w:tcBorders>
                  <w:shd w:val="clear" w:color="auto" w:fill="auto"/>
                  <w:noWrap/>
                  <w:tcMar>
                    <w:top w:w="15" w:type="dxa"/>
                    <w:left w:w="15" w:type="dxa"/>
                    <w:right w:w="15" w:type="dxa"/>
                  </w:tcMar>
                  <w:vAlign w:val="bottom"/>
                </w:tcPr>
                <w:p w14:paraId="320494D4">
                  <w:pPr>
                    <w:keepNext w:val="0"/>
                    <w:keepLines w:val="0"/>
                    <w:widowControl/>
                    <w:suppressLineNumbers w:val="0"/>
                    <w:jc w:val="center"/>
                    <w:textAlignment w:val="bottom"/>
                    <w:rPr>
                      <w:rFonts w:hint="default" w:eastAsia="宋体"/>
                      <w:color w:val="auto"/>
                      <w:kern w:val="0"/>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80</w:t>
                  </w:r>
                </w:p>
              </w:tc>
              <w:tc>
                <w:tcPr>
                  <w:tcW w:w="768" w:type="dxa"/>
                  <w:tcBorders>
                    <w:tl2br w:val="nil"/>
                    <w:tr2bl w:val="nil"/>
                  </w:tcBorders>
                  <w:shd w:val="clear" w:color="auto" w:fill="auto"/>
                  <w:noWrap/>
                  <w:tcMar>
                    <w:top w:w="15" w:type="dxa"/>
                    <w:left w:w="15" w:type="dxa"/>
                    <w:right w:w="15" w:type="dxa"/>
                  </w:tcMar>
                  <w:vAlign w:val="center"/>
                </w:tcPr>
                <w:p w14:paraId="13A8E20A">
                  <w:pPr>
                    <w:keepNext w:val="0"/>
                    <w:keepLines w:val="0"/>
                    <w:widowControl/>
                    <w:suppressLineNumbers w:val="0"/>
                    <w:jc w:val="center"/>
                    <w:textAlignment w:val="center"/>
                    <w:rPr>
                      <w:rFonts w:hint="default" w:ascii="Times New Roman" w:hAnsi="Times New Roman" w:cs="Times New Roman"/>
                      <w:color w:val="auto"/>
                      <w:kern w:val="0"/>
                      <w:sz w:val="21"/>
                      <w:szCs w:val="21"/>
                    </w:rPr>
                  </w:pPr>
                  <w:r>
                    <w:rPr>
                      <w:rFonts w:hint="default" w:ascii="Times New Roman" w:hAnsi="Times New Roman" w:eastAsia="等线" w:cs="Times New Roman"/>
                      <w:i w:val="0"/>
                      <w:iCs w:val="0"/>
                      <w:color w:val="auto"/>
                      <w:kern w:val="0"/>
                      <w:sz w:val="21"/>
                      <w:szCs w:val="21"/>
                      <w:u w:val="none"/>
                      <w:lang w:val="en-US" w:eastAsia="zh-CN" w:bidi="ar"/>
                    </w:rPr>
                    <w:t>88</w:t>
                  </w:r>
                </w:p>
              </w:tc>
              <w:tc>
                <w:tcPr>
                  <w:tcW w:w="777" w:type="dxa"/>
                  <w:tcBorders>
                    <w:tl2br w:val="nil"/>
                    <w:tr2bl w:val="nil"/>
                  </w:tcBorders>
                  <w:shd w:val="clear" w:color="auto" w:fill="auto"/>
                  <w:noWrap/>
                  <w:tcMar>
                    <w:top w:w="15" w:type="dxa"/>
                    <w:left w:w="15" w:type="dxa"/>
                    <w:right w:w="15" w:type="dxa"/>
                  </w:tcMar>
                  <w:vAlign w:val="center"/>
                </w:tcPr>
                <w:p w14:paraId="4EB95FF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bCs/>
                      <w:color w:val="auto"/>
                      <w:kern w:val="2"/>
                      <w:sz w:val="21"/>
                      <w:szCs w:val="21"/>
                      <w:lang w:val="en-US" w:eastAsia="zh-CN" w:bidi="ar"/>
                    </w:rPr>
                    <w:t>8496</w:t>
                  </w:r>
                </w:p>
              </w:tc>
            </w:tr>
            <w:tr w14:paraId="6038E90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21" w:hRule="atLeast"/>
                <w:jc w:val="center"/>
              </w:trPr>
              <w:tc>
                <w:tcPr>
                  <w:tcW w:w="612" w:type="dxa"/>
                  <w:vMerge w:val="continue"/>
                  <w:tcBorders>
                    <w:tl2br w:val="nil"/>
                    <w:tr2bl w:val="nil"/>
                  </w:tcBorders>
                  <w:shd w:val="clear" w:color="auto" w:fill="auto"/>
                  <w:noWrap/>
                  <w:tcMar>
                    <w:top w:w="15" w:type="dxa"/>
                    <w:left w:w="15" w:type="dxa"/>
                    <w:right w:w="15" w:type="dxa"/>
                  </w:tcMar>
                  <w:vAlign w:val="center"/>
                </w:tcPr>
                <w:p w14:paraId="5D3603F2">
                  <w:pPr>
                    <w:jc w:val="center"/>
                    <w:rPr>
                      <w:rFonts w:hint="default" w:eastAsia="宋体"/>
                      <w:bCs/>
                      <w:color w:val="auto"/>
                      <w:sz w:val="21"/>
                      <w:szCs w:val="21"/>
                      <w:lang w:val="en-US" w:eastAsia="zh-CN"/>
                    </w:rPr>
                  </w:pPr>
                </w:p>
              </w:tc>
              <w:tc>
                <w:tcPr>
                  <w:tcW w:w="1535" w:type="dxa"/>
                  <w:tcBorders>
                    <w:tl2br w:val="nil"/>
                    <w:tr2bl w:val="nil"/>
                  </w:tcBorders>
                  <w:shd w:val="clear" w:color="auto" w:fill="auto"/>
                  <w:noWrap/>
                  <w:tcMar>
                    <w:top w:w="15" w:type="dxa"/>
                    <w:left w:w="15" w:type="dxa"/>
                    <w:right w:w="15" w:type="dxa"/>
                  </w:tcMar>
                  <w:vAlign w:val="center"/>
                </w:tcPr>
                <w:p w14:paraId="24437B41">
                  <w:pPr>
                    <w:keepNext w:val="0"/>
                    <w:keepLines w:val="0"/>
                    <w:pageBreakBefore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auto"/>
                      <w:kern w:val="0"/>
                      <w:sz w:val="21"/>
                      <w:szCs w:val="18"/>
                      <w:lang w:bidi="ar"/>
                    </w:rPr>
                  </w:pPr>
                  <w:r>
                    <w:rPr>
                      <w:rFonts w:hint="default" w:ascii="Times New Roman" w:hAnsi="Times New Roman" w:eastAsia="宋体" w:cs="Times New Roman"/>
                      <w:color w:val="auto"/>
                      <w:kern w:val="0"/>
                      <w:sz w:val="21"/>
                      <w:szCs w:val="18"/>
                      <w:lang w:bidi="ar"/>
                    </w:rPr>
                    <w:t>真空炉</w:t>
                  </w:r>
                </w:p>
              </w:tc>
              <w:tc>
                <w:tcPr>
                  <w:tcW w:w="646" w:type="dxa"/>
                  <w:tcBorders>
                    <w:tl2br w:val="nil"/>
                    <w:tr2bl w:val="nil"/>
                  </w:tcBorders>
                  <w:shd w:val="clear" w:color="auto" w:fill="auto"/>
                  <w:noWrap/>
                  <w:tcMar>
                    <w:top w:w="15" w:type="dxa"/>
                    <w:left w:w="15" w:type="dxa"/>
                    <w:right w:w="15" w:type="dxa"/>
                  </w:tcMar>
                  <w:vAlign w:val="center"/>
                </w:tcPr>
                <w:p w14:paraId="0AC61502">
                  <w:pPr>
                    <w:keepNext w:val="0"/>
                    <w:keepLines w:val="0"/>
                    <w:pageBreakBefore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sz w:val="21"/>
                      <w:szCs w:val="21"/>
                      <w:lang w:val="en-US" w:eastAsia="zh-CN"/>
                    </w:rPr>
                    <w:t>1</w:t>
                  </w:r>
                </w:p>
              </w:tc>
              <w:tc>
                <w:tcPr>
                  <w:tcW w:w="842" w:type="dxa"/>
                  <w:vMerge w:val="continue"/>
                  <w:tcBorders>
                    <w:tl2br w:val="nil"/>
                    <w:tr2bl w:val="nil"/>
                  </w:tcBorders>
                  <w:shd w:val="clear" w:color="auto" w:fill="auto"/>
                  <w:noWrap/>
                  <w:tcMar>
                    <w:top w:w="15" w:type="dxa"/>
                    <w:left w:w="15" w:type="dxa"/>
                    <w:right w:w="15" w:type="dxa"/>
                  </w:tcMar>
                  <w:vAlign w:val="center"/>
                </w:tcPr>
                <w:p w14:paraId="2A4FEB18">
                  <w:pPr>
                    <w:pStyle w:val="22"/>
                    <w:widowControl w:val="0"/>
                    <w:spacing w:before="0" w:beforeAutospacing="0" w:after="0" w:afterAutospacing="0"/>
                    <w:jc w:val="center"/>
                    <w:rPr>
                      <w:rFonts w:hint="eastAsia" w:ascii="Times New Roman" w:hAnsi="Times New Roman"/>
                      <w:bCs/>
                      <w:color w:val="auto"/>
                      <w:sz w:val="21"/>
                      <w:szCs w:val="21"/>
                    </w:rPr>
                  </w:pPr>
                </w:p>
              </w:tc>
              <w:tc>
                <w:tcPr>
                  <w:tcW w:w="704" w:type="dxa"/>
                  <w:vMerge w:val="continue"/>
                  <w:tcBorders>
                    <w:tl2br w:val="nil"/>
                    <w:tr2bl w:val="nil"/>
                  </w:tcBorders>
                  <w:shd w:val="clear" w:color="auto" w:fill="auto"/>
                  <w:noWrap/>
                  <w:tcMar>
                    <w:top w:w="15" w:type="dxa"/>
                    <w:left w:w="15" w:type="dxa"/>
                    <w:right w:w="15" w:type="dxa"/>
                  </w:tcMar>
                  <w:vAlign w:val="center"/>
                </w:tcPr>
                <w:p w14:paraId="3A4FD0F2">
                  <w:pPr>
                    <w:pStyle w:val="22"/>
                    <w:widowControl w:val="0"/>
                    <w:spacing w:before="0" w:beforeAutospacing="0" w:after="0" w:afterAutospacing="0"/>
                    <w:jc w:val="center"/>
                    <w:rPr>
                      <w:rFonts w:hint="eastAsia" w:ascii="Times New Roman" w:hAnsi="Times New Roman"/>
                      <w:bCs/>
                      <w:color w:val="auto"/>
                      <w:sz w:val="21"/>
                      <w:szCs w:val="21"/>
                    </w:rPr>
                  </w:pPr>
                </w:p>
              </w:tc>
              <w:tc>
                <w:tcPr>
                  <w:tcW w:w="658" w:type="dxa"/>
                  <w:tcBorders>
                    <w:tl2br w:val="nil"/>
                    <w:tr2bl w:val="nil"/>
                  </w:tcBorders>
                  <w:shd w:val="clear" w:color="auto" w:fill="auto"/>
                  <w:noWrap/>
                  <w:tcMar>
                    <w:top w:w="15" w:type="dxa"/>
                    <w:left w:w="15" w:type="dxa"/>
                    <w:right w:w="15" w:type="dxa"/>
                  </w:tcMar>
                  <w:vAlign w:val="center"/>
                </w:tcPr>
                <w:p w14:paraId="3B55E962">
                  <w:pPr>
                    <w:jc w:val="center"/>
                    <w:rPr>
                      <w:rFonts w:hint="default"/>
                      <w:color w:val="auto"/>
                      <w:sz w:val="21"/>
                      <w:szCs w:val="21"/>
                      <w:lang w:val="en-US" w:eastAsia="zh-CN"/>
                    </w:rPr>
                  </w:pPr>
                  <w:r>
                    <w:rPr>
                      <w:rFonts w:hint="eastAsia"/>
                      <w:color w:val="auto"/>
                      <w:sz w:val="21"/>
                      <w:szCs w:val="21"/>
                      <w:lang w:val="en-US" w:eastAsia="zh-CN"/>
                    </w:rPr>
                    <w:t>80</w:t>
                  </w:r>
                </w:p>
              </w:tc>
              <w:tc>
                <w:tcPr>
                  <w:tcW w:w="3080" w:type="dxa"/>
                  <w:tcBorders>
                    <w:tl2br w:val="nil"/>
                    <w:tr2bl w:val="nil"/>
                  </w:tcBorders>
                  <w:shd w:val="clear" w:color="auto" w:fill="auto"/>
                  <w:noWrap/>
                  <w:tcMar>
                    <w:top w:w="15" w:type="dxa"/>
                    <w:left w:w="15" w:type="dxa"/>
                    <w:right w:w="15" w:type="dxa"/>
                  </w:tcMar>
                  <w:vAlign w:val="center"/>
                </w:tcPr>
                <w:p w14:paraId="45E27BF4">
                  <w:pPr>
                    <w:widowControl w:val="0"/>
                    <w:spacing w:before="0" w:beforeAutospacing="0" w:after="0" w:afterAutospacing="0"/>
                    <w:jc w:val="center"/>
                    <w:rPr>
                      <w:rFonts w:ascii="Times New Roman" w:hAnsi="Times New Roman"/>
                      <w:bCs/>
                      <w:color w:val="auto"/>
                      <w:sz w:val="21"/>
                      <w:szCs w:val="21"/>
                    </w:rPr>
                  </w:pPr>
                  <w:r>
                    <w:rPr>
                      <w:rFonts w:ascii="Times New Roman" w:hAnsi="Times New Roman"/>
                      <w:bCs/>
                      <w:color w:val="auto"/>
                      <w:sz w:val="21"/>
                      <w:szCs w:val="21"/>
                    </w:rPr>
                    <w:t>减振垫</w:t>
                  </w:r>
                </w:p>
              </w:tc>
              <w:tc>
                <w:tcPr>
                  <w:tcW w:w="820" w:type="dxa"/>
                  <w:tcBorders>
                    <w:tl2br w:val="nil"/>
                    <w:tr2bl w:val="nil"/>
                  </w:tcBorders>
                  <w:shd w:val="clear" w:color="auto" w:fill="auto"/>
                  <w:noWrap/>
                  <w:tcMar>
                    <w:top w:w="15" w:type="dxa"/>
                    <w:left w:w="15" w:type="dxa"/>
                    <w:right w:w="15" w:type="dxa"/>
                  </w:tcMar>
                  <w:vAlign w:val="center"/>
                </w:tcPr>
                <w:p w14:paraId="195B4D83">
                  <w:pPr>
                    <w:widowControl/>
                    <w:jc w:val="center"/>
                    <w:textAlignment w:val="bottom"/>
                    <w:rPr>
                      <w:rFonts w:hint="eastAsia"/>
                      <w:bCs/>
                      <w:color w:val="auto"/>
                      <w:sz w:val="21"/>
                      <w:szCs w:val="21"/>
                      <w:lang w:val="en-US" w:eastAsia="zh-CN"/>
                    </w:rPr>
                  </w:pPr>
                  <w:r>
                    <w:rPr>
                      <w:rFonts w:hint="eastAsia"/>
                      <w:bCs/>
                      <w:color w:val="auto"/>
                      <w:sz w:val="21"/>
                      <w:szCs w:val="21"/>
                      <w:lang w:val="en-US" w:eastAsia="zh-CN"/>
                    </w:rPr>
                    <w:t>-5</w:t>
                  </w:r>
                </w:p>
              </w:tc>
              <w:tc>
                <w:tcPr>
                  <w:tcW w:w="592" w:type="dxa"/>
                  <w:vMerge w:val="continue"/>
                  <w:tcBorders>
                    <w:tl2br w:val="nil"/>
                    <w:tr2bl w:val="nil"/>
                  </w:tcBorders>
                  <w:shd w:val="clear" w:color="auto" w:fill="auto"/>
                  <w:noWrap/>
                  <w:tcMar>
                    <w:top w:w="15" w:type="dxa"/>
                    <w:left w:w="15" w:type="dxa"/>
                    <w:right w:w="15" w:type="dxa"/>
                  </w:tcMar>
                  <w:vAlign w:val="center"/>
                </w:tcPr>
                <w:p w14:paraId="40C7F036">
                  <w:pPr>
                    <w:jc w:val="center"/>
                    <w:rPr>
                      <w:rFonts w:hint="eastAsia"/>
                      <w:bCs/>
                      <w:color w:val="auto"/>
                      <w:sz w:val="21"/>
                      <w:szCs w:val="21"/>
                    </w:rPr>
                  </w:pPr>
                </w:p>
              </w:tc>
              <w:tc>
                <w:tcPr>
                  <w:tcW w:w="1376" w:type="dxa"/>
                  <w:tcBorders>
                    <w:tl2br w:val="nil"/>
                    <w:tr2bl w:val="nil"/>
                  </w:tcBorders>
                  <w:shd w:val="clear" w:color="auto" w:fill="auto"/>
                  <w:noWrap/>
                  <w:tcMar>
                    <w:top w:w="15" w:type="dxa"/>
                    <w:left w:w="15" w:type="dxa"/>
                    <w:right w:w="15" w:type="dxa"/>
                  </w:tcMar>
                  <w:vAlign w:val="bottom"/>
                </w:tcPr>
                <w:p w14:paraId="468E7A81">
                  <w:pPr>
                    <w:keepNext w:val="0"/>
                    <w:keepLines w:val="0"/>
                    <w:widowControl/>
                    <w:suppressLineNumbers w:val="0"/>
                    <w:jc w:val="center"/>
                    <w:textAlignment w:val="bottom"/>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75</w:t>
                  </w:r>
                </w:p>
              </w:tc>
              <w:tc>
                <w:tcPr>
                  <w:tcW w:w="768" w:type="dxa"/>
                  <w:tcBorders>
                    <w:tl2br w:val="nil"/>
                    <w:tr2bl w:val="nil"/>
                  </w:tcBorders>
                  <w:shd w:val="clear" w:color="auto" w:fill="auto"/>
                  <w:noWrap/>
                  <w:tcMar>
                    <w:top w:w="15" w:type="dxa"/>
                    <w:left w:w="15" w:type="dxa"/>
                    <w:right w:w="15" w:type="dxa"/>
                  </w:tcMar>
                  <w:vAlign w:val="center"/>
                </w:tcPr>
                <w:p w14:paraId="36F3283D">
                  <w:pPr>
                    <w:keepNext w:val="0"/>
                    <w:keepLines w:val="0"/>
                    <w:widowControl/>
                    <w:suppressLineNumbers w:val="0"/>
                    <w:jc w:val="center"/>
                    <w:textAlignment w:val="center"/>
                    <w:rPr>
                      <w:rFonts w:hint="default" w:ascii="Times New Roman" w:hAnsi="Times New Roman" w:eastAsia="等线" w:cs="Times New Roman"/>
                      <w:i w:val="0"/>
                      <w:iCs w:val="0"/>
                      <w:color w:val="auto"/>
                      <w:kern w:val="0"/>
                      <w:sz w:val="21"/>
                      <w:szCs w:val="21"/>
                      <w:u w:val="none"/>
                      <w:lang w:val="en-US" w:eastAsia="zh-CN" w:bidi="ar"/>
                    </w:rPr>
                  </w:pPr>
                  <w:r>
                    <w:rPr>
                      <w:rFonts w:hint="default" w:ascii="Times New Roman" w:hAnsi="Times New Roman" w:eastAsia="等线" w:cs="Times New Roman"/>
                      <w:i w:val="0"/>
                      <w:iCs w:val="0"/>
                      <w:color w:val="auto"/>
                      <w:kern w:val="0"/>
                      <w:sz w:val="21"/>
                      <w:szCs w:val="21"/>
                      <w:u w:val="none"/>
                      <w:lang w:val="en-US" w:eastAsia="zh-CN" w:bidi="ar"/>
                    </w:rPr>
                    <w:t>75</w:t>
                  </w:r>
                </w:p>
              </w:tc>
              <w:tc>
                <w:tcPr>
                  <w:tcW w:w="777" w:type="dxa"/>
                  <w:tcBorders>
                    <w:tl2br w:val="nil"/>
                    <w:tr2bl w:val="nil"/>
                  </w:tcBorders>
                  <w:shd w:val="clear" w:color="auto" w:fill="auto"/>
                  <w:noWrap/>
                  <w:tcMar>
                    <w:top w:w="15" w:type="dxa"/>
                    <w:left w:w="15" w:type="dxa"/>
                    <w:right w:w="15" w:type="dxa"/>
                  </w:tcMar>
                  <w:vAlign w:val="center"/>
                </w:tcPr>
                <w:p w14:paraId="27A4218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bCs/>
                      <w:color w:val="auto"/>
                      <w:kern w:val="2"/>
                      <w:sz w:val="21"/>
                      <w:szCs w:val="21"/>
                      <w:lang w:val="en-US" w:eastAsia="zh-CN" w:bidi="ar"/>
                    </w:rPr>
                    <w:t>8496</w:t>
                  </w:r>
                </w:p>
              </w:tc>
            </w:tr>
            <w:tr w14:paraId="1EB20A6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21" w:hRule="atLeast"/>
                <w:jc w:val="center"/>
              </w:trPr>
              <w:tc>
                <w:tcPr>
                  <w:tcW w:w="612" w:type="dxa"/>
                  <w:vMerge w:val="continue"/>
                  <w:tcBorders>
                    <w:tl2br w:val="nil"/>
                    <w:tr2bl w:val="nil"/>
                  </w:tcBorders>
                  <w:shd w:val="clear" w:color="auto" w:fill="auto"/>
                  <w:noWrap/>
                  <w:tcMar>
                    <w:top w:w="15" w:type="dxa"/>
                    <w:left w:w="15" w:type="dxa"/>
                    <w:right w:w="15" w:type="dxa"/>
                  </w:tcMar>
                  <w:vAlign w:val="center"/>
                </w:tcPr>
                <w:p w14:paraId="255A6574">
                  <w:pPr>
                    <w:jc w:val="center"/>
                    <w:rPr>
                      <w:rFonts w:hint="default" w:eastAsia="宋体"/>
                      <w:bCs/>
                      <w:color w:val="auto"/>
                      <w:sz w:val="21"/>
                      <w:szCs w:val="21"/>
                      <w:lang w:val="en-US" w:eastAsia="zh-CN"/>
                    </w:rPr>
                  </w:pPr>
                </w:p>
              </w:tc>
              <w:tc>
                <w:tcPr>
                  <w:tcW w:w="1535" w:type="dxa"/>
                  <w:tcBorders>
                    <w:tl2br w:val="nil"/>
                    <w:tr2bl w:val="nil"/>
                  </w:tcBorders>
                  <w:shd w:val="clear" w:color="auto" w:fill="auto"/>
                  <w:noWrap/>
                  <w:tcMar>
                    <w:top w:w="15" w:type="dxa"/>
                    <w:left w:w="15" w:type="dxa"/>
                    <w:right w:w="15" w:type="dxa"/>
                  </w:tcMar>
                  <w:vAlign w:val="center"/>
                </w:tcPr>
                <w:p w14:paraId="72CE3B0E">
                  <w:pPr>
                    <w:keepNext w:val="0"/>
                    <w:keepLines w:val="0"/>
                    <w:pageBreakBefore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auto"/>
                      <w:kern w:val="0"/>
                      <w:sz w:val="21"/>
                      <w:szCs w:val="18"/>
                      <w:lang w:bidi="ar"/>
                    </w:rPr>
                  </w:pPr>
                  <w:r>
                    <w:rPr>
                      <w:rFonts w:hint="default" w:ascii="Times New Roman" w:hAnsi="Times New Roman" w:eastAsia="宋体" w:cs="Times New Roman"/>
                      <w:color w:val="auto"/>
                      <w:sz w:val="21"/>
                      <w:szCs w:val="21"/>
                    </w:rPr>
                    <w:t>立式车铣复合中心</w:t>
                  </w:r>
                </w:p>
              </w:tc>
              <w:tc>
                <w:tcPr>
                  <w:tcW w:w="646" w:type="dxa"/>
                  <w:tcBorders>
                    <w:tl2br w:val="nil"/>
                    <w:tr2bl w:val="nil"/>
                  </w:tcBorders>
                  <w:shd w:val="clear" w:color="auto" w:fill="auto"/>
                  <w:noWrap/>
                  <w:tcMar>
                    <w:top w:w="15" w:type="dxa"/>
                    <w:left w:w="15" w:type="dxa"/>
                    <w:right w:w="15" w:type="dxa"/>
                  </w:tcMar>
                  <w:vAlign w:val="center"/>
                </w:tcPr>
                <w:p w14:paraId="1D642DF9">
                  <w:pPr>
                    <w:keepNext w:val="0"/>
                    <w:keepLines w:val="0"/>
                    <w:pageBreakBefore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3</w:t>
                  </w:r>
                </w:p>
              </w:tc>
              <w:tc>
                <w:tcPr>
                  <w:tcW w:w="842" w:type="dxa"/>
                  <w:vMerge w:val="continue"/>
                  <w:tcBorders>
                    <w:tl2br w:val="nil"/>
                    <w:tr2bl w:val="nil"/>
                  </w:tcBorders>
                  <w:shd w:val="clear" w:color="auto" w:fill="auto"/>
                  <w:noWrap/>
                  <w:tcMar>
                    <w:top w:w="15" w:type="dxa"/>
                    <w:left w:w="15" w:type="dxa"/>
                    <w:right w:w="15" w:type="dxa"/>
                  </w:tcMar>
                  <w:vAlign w:val="center"/>
                </w:tcPr>
                <w:p w14:paraId="21EB80BC">
                  <w:pPr>
                    <w:pStyle w:val="22"/>
                    <w:widowControl w:val="0"/>
                    <w:spacing w:before="0" w:beforeAutospacing="0" w:after="0" w:afterAutospacing="0"/>
                    <w:jc w:val="center"/>
                    <w:rPr>
                      <w:rFonts w:hint="eastAsia" w:ascii="Times New Roman" w:hAnsi="Times New Roman"/>
                      <w:bCs/>
                      <w:color w:val="auto"/>
                      <w:sz w:val="21"/>
                      <w:szCs w:val="21"/>
                    </w:rPr>
                  </w:pPr>
                </w:p>
              </w:tc>
              <w:tc>
                <w:tcPr>
                  <w:tcW w:w="704" w:type="dxa"/>
                  <w:vMerge w:val="continue"/>
                  <w:tcBorders>
                    <w:tl2br w:val="nil"/>
                    <w:tr2bl w:val="nil"/>
                  </w:tcBorders>
                  <w:shd w:val="clear" w:color="auto" w:fill="auto"/>
                  <w:noWrap/>
                  <w:tcMar>
                    <w:top w:w="15" w:type="dxa"/>
                    <w:left w:w="15" w:type="dxa"/>
                    <w:right w:w="15" w:type="dxa"/>
                  </w:tcMar>
                  <w:vAlign w:val="center"/>
                </w:tcPr>
                <w:p w14:paraId="0A0C1CC0">
                  <w:pPr>
                    <w:pStyle w:val="22"/>
                    <w:widowControl w:val="0"/>
                    <w:spacing w:before="0" w:beforeAutospacing="0" w:after="0" w:afterAutospacing="0"/>
                    <w:jc w:val="center"/>
                    <w:rPr>
                      <w:rFonts w:hint="eastAsia" w:ascii="Times New Roman" w:hAnsi="Times New Roman"/>
                      <w:bCs/>
                      <w:color w:val="auto"/>
                      <w:sz w:val="21"/>
                      <w:szCs w:val="21"/>
                    </w:rPr>
                  </w:pPr>
                </w:p>
              </w:tc>
              <w:tc>
                <w:tcPr>
                  <w:tcW w:w="658" w:type="dxa"/>
                  <w:tcBorders>
                    <w:tl2br w:val="nil"/>
                    <w:tr2bl w:val="nil"/>
                  </w:tcBorders>
                  <w:shd w:val="clear" w:color="auto" w:fill="auto"/>
                  <w:noWrap/>
                  <w:tcMar>
                    <w:top w:w="15" w:type="dxa"/>
                    <w:left w:w="15" w:type="dxa"/>
                    <w:right w:w="15" w:type="dxa"/>
                  </w:tcMar>
                  <w:vAlign w:val="center"/>
                </w:tcPr>
                <w:p w14:paraId="3C76BE84">
                  <w:pPr>
                    <w:jc w:val="center"/>
                    <w:rPr>
                      <w:rFonts w:hint="default"/>
                      <w:color w:val="auto"/>
                      <w:sz w:val="21"/>
                      <w:szCs w:val="21"/>
                      <w:lang w:val="en-US" w:eastAsia="zh-CN"/>
                    </w:rPr>
                  </w:pPr>
                  <w:r>
                    <w:rPr>
                      <w:rFonts w:hint="eastAsia"/>
                      <w:color w:val="auto"/>
                      <w:sz w:val="21"/>
                      <w:szCs w:val="21"/>
                      <w:lang w:val="en-US" w:eastAsia="zh-CN"/>
                    </w:rPr>
                    <w:t>85</w:t>
                  </w:r>
                </w:p>
              </w:tc>
              <w:tc>
                <w:tcPr>
                  <w:tcW w:w="3080" w:type="dxa"/>
                  <w:tcBorders>
                    <w:tl2br w:val="nil"/>
                    <w:tr2bl w:val="nil"/>
                  </w:tcBorders>
                  <w:shd w:val="clear" w:color="auto" w:fill="auto"/>
                  <w:noWrap/>
                  <w:tcMar>
                    <w:top w:w="15" w:type="dxa"/>
                    <w:left w:w="15" w:type="dxa"/>
                    <w:right w:w="15" w:type="dxa"/>
                  </w:tcMar>
                  <w:vAlign w:val="center"/>
                </w:tcPr>
                <w:p w14:paraId="4BF1B8DF">
                  <w:pPr>
                    <w:widowControl w:val="0"/>
                    <w:spacing w:before="0" w:beforeAutospacing="0" w:after="0" w:afterAutospacing="0"/>
                    <w:jc w:val="center"/>
                    <w:rPr>
                      <w:rFonts w:ascii="Times New Roman" w:hAnsi="Times New Roman"/>
                      <w:bCs/>
                      <w:color w:val="auto"/>
                      <w:sz w:val="21"/>
                      <w:szCs w:val="21"/>
                    </w:rPr>
                  </w:pPr>
                  <w:r>
                    <w:rPr>
                      <w:rFonts w:ascii="Times New Roman" w:hAnsi="Times New Roman"/>
                      <w:bCs/>
                      <w:color w:val="auto"/>
                      <w:sz w:val="21"/>
                      <w:szCs w:val="21"/>
                    </w:rPr>
                    <w:t>减振垫</w:t>
                  </w:r>
                </w:p>
              </w:tc>
              <w:tc>
                <w:tcPr>
                  <w:tcW w:w="820" w:type="dxa"/>
                  <w:tcBorders>
                    <w:tl2br w:val="nil"/>
                    <w:tr2bl w:val="nil"/>
                  </w:tcBorders>
                  <w:shd w:val="clear" w:color="auto" w:fill="auto"/>
                  <w:noWrap/>
                  <w:tcMar>
                    <w:top w:w="15" w:type="dxa"/>
                    <w:left w:w="15" w:type="dxa"/>
                    <w:right w:w="15" w:type="dxa"/>
                  </w:tcMar>
                  <w:vAlign w:val="center"/>
                </w:tcPr>
                <w:p w14:paraId="69C0E5F8">
                  <w:pPr>
                    <w:widowControl/>
                    <w:jc w:val="center"/>
                    <w:textAlignment w:val="bottom"/>
                    <w:rPr>
                      <w:rFonts w:hint="default"/>
                      <w:bCs/>
                      <w:color w:val="auto"/>
                      <w:sz w:val="21"/>
                      <w:szCs w:val="21"/>
                      <w:lang w:val="en-US" w:eastAsia="zh-CN"/>
                    </w:rPr>
                  </w:pPr>
                  <w:r>
                    <w:rPr>
                      <w:rFonts w:hint="eastAsia"/>
                      <w:bCs/>
                      <w:color w:val="auto"/>
                      <w:sz w:val="21"/>
                      <w:szCs w:val="21"/>
                      <w:lang w:val="en-US" w:eastAsia="zh-CN"/>
                    </w:rPr>
                    <w:t>-5</w:t>
                  </w:r>
                </w:p>
              </w:tc>
              <w:tc>
                <w:tcPr>
                  <w:tcW w:w="592" w:type="dxa"/>
                  <w:vMerge w:val="continue"/>
                  <w:tcBorders>
                    <w:tl2br w:val="nil"/>
                    <w:tr2bl w:val="nil"/>
                  </w:tcBorders>
                  <w:shd w:val="clear" w:color="auto" w:fill="auto"/>
                  <w:noWrap/>
                  <w:tcMar>
                    <w:top w:w="15" w:type="dxa"/>
                    <w:left w:w="15" w:type="dxa"/>
                    <w:right w:w="15" w:type="dxa"/>
                  </w:tcMar>
                  <w:vAlign w:val="center"/>
                </w:tcPr>
                <w:p w14:paraId="27CCC84C">
                  <w:pPr>
                    <w:jc w:val="center"/>
                    <w:rPr>
                      <w:rFonts w:hint="eastAsia"/>
                      <w:bCs/>
                      <w:color w:val="auto"/>
                      <w:sz w:val="21"/>
                      <w:szCs w:val="21"/>
                    </w:rPr>
                  </w:pPr>
                </w:p>
              </w:tc>
              <w:tc>
                <w:tcPr>
                  <w:tcW w:w="1376" w:type="dxa"/>
                  <w:tcBorders>
                    <w:tl2br w:val="nil"/>
                    <w:tr2bl w:val="nil"/>
                  </w:tcBorders>
                  <w:shd w:val="clear" w:color="auto" w:fill="auto"/>
                  <w:noWrap/>
                  <w:tcMar>
                    <w:top w:w="15" w:type="dxa"/>
                    <w:left w:w="15" w:type="dxa"/>
                    <w:right w:w="15" w:type="dxa"/>
                  </w:tcMar>
                  <w:vAlign w:val="center"/>
                </w:tcPr>
                <w:p w14:paraId="566A2A9D">
                  <w:pPr>
                    <w:keepNext w:val="0"/>
                    <w:keepLines w:val="0"/>
                    <w:widowControl/>
                    <w:suppressLineNumbers w:val="0"/>
                    <w:jc w:val="center"/>
                    <w:textAlignment w:val="bottom"/>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80</w:t>
                  </w:r>
                </w:p>
              </w:tc>
              <w:tc>
                <w:tcPr>
                  <w:tcW w:w="768" w:type="dxa"/>
                  <w:tcBorders>
                    <w:tl2br w:val="nil"/>
                    <w:tr2bl w:val="nil"/>
                  </w:tcBorders>
                  <w:shd w:val="clear" w:color="auto" w:fill="auto"/>
                  <w:noWrap/>
                  <w:tcMar>
                    <w:top w:w="15" w:type="dxa"/>
                    <w:left w:w="15" w:type="dxa"/>
                    <w:right w:w="15" w:type="dxa"/>
                  </w:tcMar>
                  <w:vAlign w:val="center"/>
                </w:tcPr>
                <w:p w14:paraId="686FA92B">
                  <w:pPr>
                    <w:keepNext w:val="0"/>
                    <w:keepLines w:val="0"/>
                    <w:widowControl/>
                    <w:suppressLineNumbers w:val="0"/>
                    <w:jc w:val="center"/>
                    <w:textAlignment w:val="center"/>
                    <w:rPr>
                      <w:rFonts w:hint="default" w:ascii="Times New Roman" w:hAnsi="Times New Roman" w:eastAsia="等线" w:cs="Times New Roman"/>
                      <w:i w:val="0"/>
                      <w:iCs w:val="0"/>
                      <w:color w:val="auto"/>
                      <w:kern w:val="0"/>
                      <w:sz w:val="21"/>
                      <w:szCs w:val="21"/>
                      <w:u w:val="none"/>
                      <w:lang w:val="en-US" w:eastAsia="zh-CN" w:bidi="ar"/>
                    </w:rPr>
                  </w:pPr>
                  <w:r>
                    <w:rPr>
                      <w:rFonts w:hint="default" w:ascii="Times New Roman" w:hAnsi="Times New Roman" w:eastAsia="等线" w:cs="Times New Roman"/>
                      <w:i w:val="0"/>
                      <w:iCs w:val="0"/>
                      <w:color w:val="auto"/>
                      <w:kern w:val="0"/>
                      <w:sz w:val="21"/>
                      <w:szCs w:val="21"/>
                      <w:u w:val="none"/>
                      <w:lang w:val="en-US" w:eastAsia="zh-CN" w:bidi="ar"/>
                    </w:rPr>
                    <w:t>85</w:t>
                  </w:r>
                </w:p>
              </w:tc>
              <w:tc>
                <w:tcPr>
                  <w:tcW w:w="777" w:type="dxa"/>
                  <w:tcBorders>
                    <w:tl2br w:val="nil"/>
                    <w:tr2bl w:val="nil"/>
                  </w:tcBorders>
                  <w:shd w:val="clear" w:color="auto" w:fill="auto"/>
                  <w:noWrap/>
                  <w:tcMar>
                    <w:top w:w="15" w:type="dxa"/>
                    <w:left w:w="15" w:type="dxa"/>
                    <w:right w:w="15" w:type="dxa"/>
                  </w:tcMar>
                  <w:vAlign w:val="center"/>
                </w:tcPr>
                <w:p w14:paraId="10598BD4">
                  <w:pPr>
                    <w:keepNext w:val="0"/>
                    <w:keepLines w:val="0"/>
                    <w:widowControl/>
                    <w:suppressLineNumbers w:val="0"/>
                    <w:jc w:val="center"/>
                    <w:textAlignment w:val="center"/>
                    <w:rPr>
                      <w:rFonts w:hint="default"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3540</w:t>
                  </w:r>
                </w:p>
              </w:tc>
            </w:tr>
            <w:tr w14:paraId="49682F1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21" w:hRule="atLeast"/>
                <w:jc w:val="center"/>
              </w:trPr>
              <w:tc>
                <w:tcPr>
                  <w:tcW w:w="612" w:type="dxa"/>
                  <w:vMerge w:val="continue"/>
                  <w:tcBorders>
                    <w:tl2br w:val="nil"/>
                    <w:tr2bl w:val="nil"/>
                  </w:tcBorders>
                  <w:shd w:val="clear" w:color="auto" w:fill="auto"/>
                  <w:noWrap/>
                  <w:tcMar>
                    <w:top w:w="15" w:type="dxa"/>
                    <w:left w:w="15" w:type="dxa"/>
                    <w:right w:w="15" w:type="dxa"/>
                  </w:tcMar>
                  <w:vAlign w:val="center"/>
                </w:tcPr>
                <w:p w14:paraId="24396EF2">
                  <w:pPr>
                    <w:jc w:val="center"/>
                    <w:rPr>
                      <w:rFonts w:hint="default" w:eastAsia="宋体"/>
                      <w:bCs/>
                      <w:color w:val="auto"/>
                      <w:sz w:val="21"/>
                      <w:szCs w:val="21"/>
                      <w:lang w:val="en-US" w:eastAsia="zh-CN"/>
                    </w:rPr>
                  </w:pPr>
                </w:p>
              </w:tc>
              <w:tc>
                <w:tcPr>
                  <w:tcW w:w="1535" w:type="dxa"/>
                  <w:tcBorders>
                    <w:tl2br w:val="nil"/>
                    <w:tr2bl w:val="nil"/>
                  </w:tcBorders>
                  <w:shd w:val="clear" w:color="auto" w:fill="auto"/>
                  <w:noWrap/>
                  <w:tcMar>
                    <w:top w:w="15" w:type="dxa"/>
                    <w:left w:w="15" w:type="dxa"/>
                    <w:right w:w="15" w:type="dxa"/>
                  </w:tcMar>
                  <w:vAlign w:val="center"/>
                </w:tcPr>
                <w:p w14:paraId="0EE5B5A9">
                  <w:pPr>
                    <w:keepNext w:val="0"/>
                    <w:keepLines w:val="0"/>
                    <w:pageBreakBefore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磨床</w:t>
                  </w:r>
                </w:p>
              </w:tc>
              <w:tc>
                <w:tcPr>
                  <w:tcW w:w="646" w:type="dxa"/>
                  <w:tcBorders>
                    <w:tl2br w:val="nil"/>
                    <w:tr2bl w:val="nil"/>
                  </w:tcBorders>
                  <w:shd w:val="clear" w:color="auto" w:fill="auto"/>
                  <w:noWrap/>
                  <w:tcMar>
                    <w:top w:w="15" w:type="dxa"/>
                    <w:left w:w="15" w:type="dxa"/>
                    <w:right w:w="15" w:type="dxa"/>
                  </w:tcMar>
                  <w:vAlign w:val="center"/>
                </w:tcPr>
                <w:p w14:paraId="54317B31">
                  <w:pPr>
                    <w:widowControl/>
                    <w:spacing w:line="240" w:lineRule="auto"/>
                    <w:jc w:val="center"/>
                    <w:textAlignment w:val="center"/>
                    <w:rPr>
                      <w:rFonts w:hint="default" w:ascii="Times New Roman" w:hAnsi="Times New Roman" w:eastAsia="宋体" w:cs="Times New Roman"/>
                      <w:color w:val="auto"/>
                      <w:kern w:val="0"/>
                      <w:sz w:val="21"/>
                      <w:szCs w:val="21"/>
                      <w:lang w:val="en-US" w:eastAsia="zh-CN" w:bidi="ar"/>
                    </w:rPr>
                  </w:pPr>
                  <w:r>
                    <w:rPr>
                      <w:rFonts w:hint="eastAsia" w:cs="Times New Roman"/>
                      <w:color w:val="auto"/>
                      <w:kern w:val="0"/>
                      <w:sz w:val="21"/>
                      <w:szCs w:val="21"/>
                      <w:lang w:val="en-US" w:eastAsia="zh-CN" w:bidi="ar"/>
                    </w:rPr>
                    <w:t>3</w:t>
                  </w:r>
                </w:p>
              </w:tc>
              <w:tc>
                <w:tcPr>
                  <w:tcW w:w="842" w:type="dxa"/>
                  <w:vMerge w:val="continue"/>
                  <w:tcBorders>
                    <w:tl2br w:val="nil"/>
                    <w:tr2bl w:val="nil"/>
                  </w:tcBorders>
                  <w:shd w:val="clear" w:color="auto" w:fill="auto"/>
                  <w:noWrap/>
                  <w:tcMar>
                    <w:top w:w="15" w:type="dxa"/>
                    <w:left w:w="15" w:type="dxa"/>
                    <w:right w:w="15" w:type="dxa"/>
                  </w:tcMar>
                  <w:vAlign w:val="center"/>
                </w:tcPr>
                <w:p w14:paraId="2B6F0299">
                  <w:pPr>
                    <w:pStyle w:val="22"/>
                    <w:widowControl w:val="0"/>
                    <w:spacing w:before="0" w:beforeAutospacing="0" w:after="0" w:afterAutospacing="0"/>
                    <w:jc w:val="center"/>
                    <w:rPr>
                      <w:rFonts w:hint="eastAsia" w:ascii="Times New Roman" w:hAnsi="Times New Roman"/>
                      <w:bCs/>
                      <w:color w:val="auto"/>
                      <w:sz w:val="21"/>
                      <w:szCs w:val="21"/>
                    </w:rPr>
                  </w:pPr>
                </w:p>
              </w:tc>
              <w:tc>
                <w:tcPr>
                  <w:tcW w:w="704" w:type="dxa"/>
                  <w:vMerge w:val="continue"/>
                  <w:tcBorders>
                    <w:tl2br w:val="nil"/>
                    <w:tr2bl w:val="nil"/>
                  </w:tcBorders>
                  <w:shd w:val="clear" w:color="auto" w:fill="auto"/>
                  <w:noWrap/>
                  <w:tcMar>
                    <w:top w:w="15" w:type="dxa"/>
                    <w:left w:w="15" w:type="dxa"/>
                    <w:right w:w="15" w:type="dxa"/>
                  </w:tcMar>
                  <w:vAlign w:val="center"/>
                </w:tcPr>
                <w:p w14:paraId="51E8C184">
                  <w:pPr>
                    <w:pStyle w:val="22"/>
                    <w:widowControl w:val="0"/>
                    <w:spacing w:before="0" w:beforeAutospacing="0" w:after="0" w:afterAutospacing="0"/>
                    <w:jc w:val="center"/>
                    <w:rPr>
                      <w:rFonts w:hint="eastAsia" w:ascii="Times New Roman" w:hAnsi="Times New Roman"/>
                      <w:bCs/>
                      <w:color w:val="auto"/>
                      <w:sz w:val="21"/>
                      <w:szCs w:val="21"/>
                    </w:rPr>
                  </w:pPr>
                </w:p>
              </w:tc>
              <w:tc>
                <w:tcPr>
                  <w:tcW w:w="658" w:type="dxa"/>
                  <w:tcBorders>
                    <w:tl2br w:val="nil"/>
                    <w:tr2bl w:val="nil"/>
                  </w:tcBorders>
                  <w:shd w:val="clear" w:color="auto" w:fill="auto"/>
                  <w:noWrap/>
                  <w:tcMar>
                    <w:top w:w="15" w:type="dxa"/>
                    <w:left w:w="15" w:type="dxa"/>
                    <w:right w:w="15" w:type="dxa"/>
                  </w:tcMar>
                  <w:vAlign w:val="center"/>
                </w:tcPr>
                <w:p w14:paraId="61691481">
                  <w:pPr>
                    <w:jc w:val="center"/>
                    <w:rPr>
                      <w:rFonts w:hint="default" w:eastAsia="宋体"/>
                      <w:color w:val="auto"/>
                      <w:sz w:val="21"/>
                      <w:szCs w:val="21"/>
                      <w:lang w:val="en-US" w:eastAsia="zh-CN"/>
                    </w:rPr>
                  </w:pPr>
                  <w:r>
                    <w:rPr>
                      <w:rFonts w:hint="eastAsia"/>
                      <w:color w:val="auto"/>
                      <w:sz w:val="21"/>
                      <w:szCs w:val="21"/>
                      <w:lang w:val="en-US" w:eastAsia="zh-CN"/>
                    </w:rPr>
                    <w:t>80</w:t>
                  </w:r>
                </w:p>
              </w:tc>
              <w:tc>
                <w:tcPr>
                  <w:tcW w:w="3080" w:type="dxa"/>
                  <w:tcBorders>
                    <w:tl2br w:val="nil"/>
                    <w:tr2bl w:val="nil"/>
                  </w:tcBorders>
                  <w:shd w:val="clear" w:color="auto" w:fill="auto"/>
                  <w:noWrap/>
                  <w:tcMar>
                    <w:top w:w="15" w:type="dxa"/>
                    <w:left w:w="15" w:type="dxa"/>
                    <w:right w:w="15" w:type="dxa"/>
                  </w:tcMar>
                  <w:vAlign w:val="center"/>
                </w:tcPr>
                <w:p w14:paraId="416745D2">
                  <w:pPr>
                    <w:widowControl w:val="0"/>
                    <w:spacing w:before="0" w:beforeAutospacing="0" w:after="0" w:afterAutospacing="0"/>
                    <w:jc w:val="center"/>
                    <w:rPr>
                      <w:rFonts w:ascii="Times New Roman" w:hAnsi="Times New Roman"/>
                      <w:bCs/>
                      <w:color w:val="auto"/>
                      <w:sz w:val="21"/>
                      <w:szCs w:val="21"/>
                    </w:rPr>
                  </w:pPr>
                  <w:r>
                    <w:rPr>
                      <w:rFonts w:ascii="Times New Roman" w:hAnsi="Times New Roman"/>
                      <w:bCs/>
                      <w:color w:val="auto"/>
                      <w:sz w:val="21"/>
                      <w:szCs w:val="21"/>
                    </w:rPr>
                    <w:t>减振垫</w:t>
                  </w:r>
                </w:p>
              </w:tc>
              <w:tc>
                <w:tcPr>
                  <w:tcW w:w="820" w:type="dxa"/>
                  <w:tcBorders>
                    <w:tl2br w:val="nil"/>
                    <w:tr2bl w:val="nil"/>
                  </w:tcBorders>
                  <w:shd w:val="clear" w:color="auto" w:fill="auto"/>
                  <w:noWrap/>
                  <w:tcMar>
                    <w:top w:w="15" w:type="dxa"/>
                    <w:left w:w="15" w:type="dxa"/>
                    <w:right w:w="15" w:type="dxa"/>
                  </w:tcMar>
                  <w:vAlign w:val="center"/>
                </w:tcPr>
                <w:p w14:paraId="3E2BF455">
                  <w:pPr>
                    <w:widowControl/>
                    <w:jc w:val="center"/>
                    <w:textAlignment w:val="bottom"/>
                    <w:rPr>
                      <w:rFonts w:hint="eastAsia"/>
                      <w:bCs/>
                      <w:color w:val="auto"/>
                      <w:sz w:val="21"/>
                      <w:szCs w:val="21"/>
                      <w:lang w:val="en-US" w:eastAsia="zh-CN"/>
                    </w:rPr>
                  </w:pPr>
                  <w:r>
                    <w:rPr>
                      <w:rFonts w:hint="eastAsia"/>
                      <w:bCs/>
                      <w:color w:val="auto"/>
                      <w:sz w:val="21"/>
                      <w:szCs w:val="21"/>
                      <w:lang w:val="en-US" w:eastAsia="zh-CN"/>
                    </w:rPr>
                    <w:t>-5</w:t>
                  </w:r>
                </w:p>
              </w:tc>
              <w:tc>
                <w:tcPr>
                  <w:tcW w:w="592" w:type="dxa"/>
                  <w:vMerge w:val="continue"/>
                  <w:tcBorders>
                    <w:tl2br w:val="nil"/>
                    <w:tr2bl w:val="nil"/>
                  </w:tcBorders>
                  <w:shd w:val="clear" w:color="auto" w:fill="auto"/>
                  <w:noWrap/>
                  <w:tcMar>
                    <w:top w:w="15" w:type="dxa"/>
                    <w:left w:w="15" w:type="dxa"/>
                    <w:right w:w="15" w:type="dxa"/>
                  </w:tcMar>
                  <w:vAlign w:val="center"/>
                </w:tcPr>
                <w:p w14:paraId="491B507E">
                  <w:pPr>
                    <w:jc w:val="center"/>
                    <w:rPr>
                      <w:rFonts w:hint="eastAsia"/>
                      <w:bCs/>
                      <w:color w:val="auto"/>
                      <w:sz w:val="21"/>
                      <w:szCs w:val="21"/>
                    </w:rPr>
                  </w:pPr>
                </w:p>
              </w:tc>
              <w:tc>
                <w:tcPr>
                  <w:tcW w:w="1376" w:type="dxa"/>
                  <w:tcBorders>
                    <w:tl2br w:val="nil"/>
                    <w:tr2bl w:val="nil"/>
                  </w:tcBorders>
                  <w:shd w:val="clear" w:color="auto" w:fill="auto"/>
                  <w:noWrap/>
                  <w:tcMar>
                    <w:top w:w="15" w:type="dxa"/>
                    <w:left w:w="15" w:type="dxa"/>
                    <w:right w:w="15" w:type="dxa"/>
                  </w:tcMar>
                  <w:vAlign w:val="bottom"/>
                </w:tcPr>
                <w:p w14:paraId="2C32FDC7">
                  <w:pPr>
                    <w:keepNext w:val="0"/>
                    <w:keepLines w:val="0"/>
                    <w:widowControl/>
                    <w:suppressLineNumbers w:val="0"/>
                    <w:jc w:val="center"/>
                    <w:textAlignment w:val="bottom"/>
                    <w:rPr>
                      <w:rFonts w:hint="default" w:eastAsia="宋体"/>
                      <w:color w:val="auto"/>
                      <w:kern w:val="0"/>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75</w:t>
                  </w:r>
                </w:p>
              </w:tc>
              <w:tc>
                <w:tcPr>
                  <w:tcW w:w="768" w:type="dxa"/>
                  <w:tcBorders>
                    <w:tl2br w:val="nil"/>
                    <w:tr2bl w:val="nil"/>
                  </w:tcBorders>
                  <w:shd w:val="clear" w:color="auto" w:fill="auto"/>
                  <w:noWrap/>
                  <w:tcMar>
                    <w:top w:w="15" w:type="dxa"/>
                    <w:left w:w="15" w:type="dxa"/>
                    <w:right w:w="15" w:type="dxa"/>
                  </w:tcMar>
                  <w:vAlign w:val="center"/>
                </w:tcPr>
                <w:p w14:paraId="6DD5397D">
                  <w:pPr>
                    <w:keepNext w:val="0"/>
                    <w:keepLines w:val="0"/>
                    <w:widowControl/>
                    <w:suppressLineNumbers w:val="0"/>
                    <w:jc w:val="center"/>
                    <w:textAlignment w:val="center"/>
                    <w:rPr>
                      <w:rFonts w:hint="default" w:ascii="Times New Roman" w:hAnsi="Times New Roman" w:cs="Times New Roman"/>
                      <w:color w:val="auto"/>
                      <w:kern w:val="0"/>
                      <w:sz w:val="21"/>
                      <w:szCs w:val="21"/>
                    </w:rPr>
                  </w:pPr>
                  <w:r>
                    <w:rPr>
                      <w:rFonts w:hint="default" w:ascii="Times New Roman" w:hAnsi="Times New Roman" w:eastAsia="等线" w:cs="Times New Roman"/>
                      <w:i w:val="0"/>
                      <w:iCs w:val="0"/>
                      <w:color w:val="auto"/>
                      <w:kern w:val="0"/>
                      <w:sz w:val="21"/>
                      <w:szCs w:val="21"/>
                      <w:u w:val="none"/>
                      <w:lang w:val="en-US" w:eastAsia="zh-CN" w:bidi="ar"/>
                    </w:rPr>
                    <w:t>80</w:t>
                  </w:r>
                </w:p>
              </w:tc>
              <w:tc>
                <w:tcPr>
                  <w:tcW w:w="777" w:type="dxa"/>
                  <w:tcBorders>
                    <w:tl2br w:val="nil"/>
                    <w:tr2bl w:val="nil"/>
                  </w:tcBorders>
                  <w:shd w:val="clear" w:color="auto" w:fill="auto"/>
                  <w:noWrap/>
                  <w:tcMar>
                    <w:top w:w="15" w:type="dxa"/>
                    <w:left w:w="15" w:type="dxa"/>
                    <w:right w:w="15" w:type="dxa"/>
                  </w:tcMar>
                  <w:vAlign w:val="center"/>
                </w:tcPr>
                <w:p w14:paraId="5E93042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3540</w:t>
                  </w:r>
                </w:p>
              </w:tc>
            </w:tr>
            <w:tr w14:paraId="5D62EBA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21" w:hRule="atLeast"/>
                <w:jc w:val="center"/>
              </w:trPr>
              <w:tc>
                <w:tcPr>
                  <w:tcW w:w="612" w:type="dxa"/>
                  <w:vMerge w:val="continue"/>
                  <w:tcBorders>
                    <w:tl2br w:val="nil"/>
                    <w:tr2bl w:val="nil"/>
                  </w:tcBorders>
                  <w:shd w:val="clear" w:color="auto" w:fill="auto"/>
                  <w:noWrap/>
                  <w:tcMar>
                    <w:top w:w="15" w:type="dxa"/>
                    <w:left w:w="15" w:type="dxa"/>
                    <w:right w:w="15" w:type="dxa"/>
                  </w:tcMar>
                  <w:vAlign w:val="center"/>
                </w:tcPr>
                <w:p w14:paraId="078B6670">
                  <w:pPr>
                    <w:jc w:val="center"/>
                    <w:rPr>
                      <w:rFonts w:hint="default" w:eastAsia="宋体"/>
                      <w:bCs/>
                      <w:color w:val="auto"/>
                      <w:sz w:val="21"/>
                      <w:szCs w:val="21"/>
                      <w:lang w:val="en-US" w:eastAsia="zh-CN"/>
                    </w:rPr>
                  </w:pPr>
                </w:p>
              </w:tc>
              <w:tc>
                <w:tcPr>
                  <w:tcW w:w="1535" w:type="dxa"/>
                  <w:tcBorders>
                    <w:tl2br w:val="nil"/>
                    <w:tr2bl w:val="nil"/>
                  </w:tcBorders>
                  <w:shd w:val="clear" w:color="auto" w:fill="auto"/>
                  <w:noWrap/>
                  <w:tcMar>
                    <w:top w:w="15" w:type="dxa"/>
                    <w:left w:w="15" w:type="dxa"/>
                    <w:right w:w="15" w:type="dxa"/>
                  </w:tcMar>
                  <w:vAlign w:val="center"/>
                </w:tcPr>
                <w:p w14:paraId="230F78FF">
                  <w:pPr>
                    <w:keepNext w:val="0"/>
                    <w:keepLines w:val="0"/>
                    <w:pageBreakBefore w:val="0"/>
                    <w:kinsoku/>
                    <w:wordWrap/>
                    <w:overflowPunct/>
                    <w:topLinePunct w:val="0"/>
                    <w:autoSpaceDE/>
                    <w:autoSpaceDN/>
                    <w:bidi w:val="0"/>
                    <w:spacing w:line="240" w:lineRule="auto"/>
                    <w:jc w:val="center"/>
                    <w:rPr>
                      <w:rFonts w:hint="default" w:ascii="Times New Roman" w:hAnsi="Times New Roman" w:eastAsia="宋体" w:cs="Times New Roman"/>
                      <w:color w:val="auto"/>
                      <w:kern w:val="2"/>
                      <w:sz w:val="21"/>
                      <w:szCs w:val="21"/>
                      <w:lang w:val="en-US" w:eastAsia="zh-CN" w:bidi="ar"/>
                    </w:rPr>
                  </w:pPr>
                  <w:r>
                    <w:rPr>
                      <w:rFonts w:hint="default" w:ascii="Times New Roman" w:hAnsi="Times New Roman" w:eastAsia="宋体" w:cs="Times New Roman"/>
                      <w:color w:val="auto"/>
                      <w:sz w:val="21"/>
                      <w:szCs w:val="21"/>
                    </w:rPr>
                    <w:t>抛光机</w:t>
                  </w:r>
                </w:p>
              </w:tc>
              <w:tc>
                <w:tcPr>
                  <w:tcW w:w="646" w:type="dxa"/>
                  <w:tcBorders>
                    <w:tl2br w:val="nil"/>
                    <w:tr2bl w:val="nil"/>
                  </w:tcBorders>
                  <w:shd w:val="clear" w:color="auto" w:fill="auto"/>
                  <w:noWrap/>
                  <w:tcMar>
                    <w:top w:w="15" w:type="dxa"/>
                    <w:left w:w="15" w:type="dxa"/>
                    <w:right w:w="15" w:type="dxa"/>
                  </w:tcMar>
                  <w:vAlign w:val="center"/>
                </w:tcPr>
                <w:p w14:paraId="26235F46">
                  <w:pPr>
                    <w:keepNext w:val="0"/>
                    <w:keepLines w:val="0"/>
                    <w:pageBreakBefore w:val="0"/>
                    <w:kinsoku/>
                    <w:wordWrap/>
                    <w:overflowPunct/>
                    <w:topLinePunct w:val="0"/>
                    <w:autoSpaceDE/>
                    <w:autoSpaceDN/>
                    <w:bidi w:val="0"/>
                    <w:spacing w:line="240" w:lineRule="auto"/>
                    <w:jc w:val="center"/>
                    <w:rPr>
                      <w:rFonts w:hint="default" w:ascii="Times New Roman" w:hAnsi="Times New Roman" w:eastAsia="宋体" w:cs="Times New Roman"/>
                      <w:color w:val="auto"/>
                      <w:kern w:val="2"/>
                      <w:sz w:val="21"/>
                      <w:szCs w:val="21"/>
                      <w:lang w:val="en-US" w:eastAsia="zh-CN" w:bidi="ar"/>
                    </w:rPr>
                  </w:pPr>
                  <w:r>
                    <w:rPr>
                      <w:rFonts w:hint="eastAsia" w:ascii="Times New Roman" w:hAnsi="Times New Roman" w:eastAsia="宋体" w:cs="Times New Roman"/>
                      <w:color w:val="auto"/>
                      <w:sz w:val="21"/>
                      <w:szCs w:val="21"/>
                      <w:lang w:val="en-US" w:eastAsia="zh-CN"/>
                    </w:rPr>
                    <w:t>2</w:t>
                  </w:r>
                </w:p>
              </w:tc>
              <w:tc>
                <w:tcPr>
                  <w:tcW w:w="842" w:type="dxa"/>
                  <w:vMerge w:val="continue"/>
                  <w:tcBorders>
                    <w:tl2br w:val="nil"/>
                    <w:tr2bl w:val="nil"/>
                  </w:tcBorders>
                  <w:shd w:val="clear" w:color="auto" w:fill="auto"/>
                  <w:noWrap/>
                  <w:tcMar>
                    <w:top w:w="15" w:type="dxa"/>
                    <w:left w:w="15" w:type="dxa"/>
                    <w:right w:w="15" w:type="dxa"/>
                  </w:tcMar>
                  <w:vAlign w:val="center"/>
                </w:tcPr>
                <w:p w14:paraId="64BFB66A">
                  <w:pPr>
                    <w:pStyle w:val="22"/>
                    <w:widowControl w:val="0"/>
                    <w:spacing w:before="0" w:beforeAutospacing="0" w:after="0" w:afterAutospacing="0"/>
                    <w:jc w:val="center"/>
                    <w:rPr>
                      <w:rFonts w:hint="eastAsia" w:ascii="Times New Roman" w:hAnsi="Times New Roman"/>
                      <w:bCs/>
                      <w:color w:val="auto"/>
                      <w:sz w:val="21"/>
                      <w:szCs w:val="21"/>
                    </w:rPr>
                  </w:pPr>
                </w:p>
              </w:tc>
              <w:tc>
                <w:tcPr>
                  <w:tcW w:w="704" w:type="dxa"/>
                  <w:vMerge w:val="continue"/>
                  <w:tcBorders>
                    <w:tl2br w:val="nil"/>
                    <w:tr2bl w:val="nil"/>
                  </w:tcBorders>
                  <w:shd w:val="clear" w:color="auto" w:fill="auto"/>
                  <w:noWrap/>
                  <w:tcMar>
                    <w:top w:w="15" w:type="dxa"/>
                    <w:left w:w="15" w:type="dxa"/>
                    <w:right w:w="15" w:type="dxa"/>
                  </w:tcMar>
                  <w:vAlign w:val="center"/>
                </w:tcPr>
                <w:p w14:paraId="1D1A667C">
                  <w:pPr>
                    <w:pStyle w:val="22"/>
                    <w:widowControl w:val="0"/>
                    <w:spacing w:before="0" w:beforeAutospacing="0" w:after="0" w:afterAutospacing="0"/>
                    <w:jc w:val="center"/>
                    <w:rPr>
                      <w:rFonts w:hint="eastAsia" w:ascii="Times New Roman" w:hAnsi="Times New Roman"/>
                      <w:bCs/>
                      <w:color w:val="auto"/>
                      <w:sz w:val="21"/>
                      <w:szCs w:val="21"/>
                    </w:rPr>
                  </w:pPr>
                </w:p>
              </w:tc>
              <w:tc>
                <w:tcPr>
                  <w:tcW w:w="658" w:type="dxa"/>
                  <w:tcBorders>
                    <w:tl2br w:val="nil"/>
                    <w:tr2bl w:val="nil"/>
                  </w:tcBorders>
                  <w:shd w:val="clear" w:color="auto" w:fill="auto"/>
                  <w:noWrap/>
                  <w:tcMar>
                    <w:top w:w="15" w:type="dxa"/>
                    <w:left w:w="15" w:type="dxa"/>
                    <w:right w:w="15" w:type="dxa"/>
                  </w:tcMar>
                  <w:vAlign w:val="center"/>
                </w:tcPr>
                <w:p w14:paraId="1C254BE8">
                  <w:pPr>
                    <w:jc w:val="center"/>
                    <w:rPr>
                      <w:rFonts w:hint="default" w:eastAsia="宋体"/>
                      <w:color w:val="auto"/>
                      <w:sz w:val="21"/>
                      <w:szCs w:val="21"/>
                      <w:lang w:val="en-US" w:eastAsia="zh-CN"/>
                    </w:rPr>
                  </w:pPr>
                  <w:r>
                    <w:rPr>
                      <w:rFonts w:hint="eastAsia"/>
                      <w:color w:val="auto"/>
                      <w:sz w:val="21"/>
                      <w:szCs w:val="21"/>
                      <w:lang w:val="en-US" w:eastAsia="zh-CN"/>
                    </w:rPr>
                    <w:t>80</w:t>
                  </w:r>
                </w:p>
              </w:tc>
              <w:tc>
                <w:tcPr>
                  <w:tcW w:w="3080" w:type="dxa"/>
                  <w:tcBorders>
                    <w:tl2br w:val="nil"/>
                    <w:tr2bl w:val="nil"/>
                  </w:tcBorders>
                  <w:shd w:val="clear" w:color="auto" w:fill="auto"/>
                  <w:noWrap/>
                  <w:tcMar>
                    <w:top w:w="15" w:type="dxa"/>
                    <w:left w:w="15" w:type="dxa"/>
                    <w:right w:w="15" w:type="dxa"/>
                  </w:tcMar>
                  <w:vAlign w:val="center"/>
                </w:tcPr>
                <w:p w14:paraId="1E85A4DE">
                  <w:pPr>
                    <w:widowControl w:val="0"/>
                    <w:spacing w:before="0" w:beforeAutospacing="0" w:after="0" w:afterAutospacing="0"/>
                    <w:jc w:val="center"/>
                    <w:rPr>
                      <w:rFonts w:ascii="Times New Roman" w:hAnsi="Times New Roman"/>
                      <w:bCs/>
                      <w:color w:val="auto"/>
                      <w:sz w:val="21"/>
                      <w:szCs w:val="21"/>
                    </w:rPr>
                  </w:pPr>
                  <w:r>
                    <w:rPr>
                      <w:rFonts w:ascii="Times New Roman" w:hAnsi="Times New Roman"/>
                      <w:bCs/>
                      <w:color w:val="auto"/>
                      <w:sz w:val="21"/>
                      <w:szCs w:val="21"/>
                    </w:rPr>
                    <w:t>减振垫</w:t>
                  </w:r>
                </w:p>
              </w:tc>
              <w:tc>
                <w:tcPr>
                  <w:tcW w:w="820" w:type="dxa"/>
                  <w:tcBorders>
                    <w:tl2br w:val="nil"/>
                    <w:tr2bl w:val="nil"/>
                  </w:tcBorders>
                  <w:shd w:val="clear" w:color="auto" w:fill="auto"/>
                  <w:noWrap/>
                  <w:tcMar>
                    <w:top w:w="15" w:type="dxa"/>
                    <w:left w:w="15" w:type="dxa"/>
                    <w:right w:w="15" w:type="dxa"/>
                  </w:tcMar>
                  <w:vAlign w:val="center"/>
                </w:tcPr>
                <w:p w14:paraId="248C40C9">
                  <w:pPr>
                    <w:widowControl/>
                    <w:jc w:val="center"/>
                    <w:textAlignment w:val="bottom"/>
                    <w:rPr>
                      <w:rFonts w:hint="eastAsia"/>
                      <w:bCs/>
                      <w:color w:val="auto"/>
                      <w:sz w:val="21"/>
                      <w:szCs w:val="21"/>
                      <w:lang w:val="en-US" w:eastAsia="zh-CN"/>
                    </w:rPr>
                  </w:pPr>
                  <w:r>
                    <w:rPr>
                      <w:rFonts w:hint="eastAsia"/>
                      <w:bCs/>
                      <w:color w:val="auto"/>
                      <w:sz w:val="21"/>
                      <w:szCs w:val="21"/>
                      <w:lang w:val="en-US" w:eastAsia="zh-CN"/>
                    </w:rPr>
                    <w:t>-5</w:t>
                  </w:r>
                </w:p>
              </w:tc>
              <w:tc>
                <w:tcPr>
                  <w:tcW w:w="592" w:type="dxa"/>
                  <w:vMerge w:val="continue"/>
                  <w:tcBorders>
                    <w:tl2br w:val="nil"/>
                    <w:tr2bl w:val="nil"/>
                  </w:tcBorders>
                  <w:shd w:val="clear" w:color="auto" w:fill="auto"/>
                  <w:noWrap/>
                  <w:tcMar>
                    <w:top w:w="15" w:type="dxa"/>
                    <w:left w:w="15" w:type="dxa"/>
                    <w:right w:w="15" w:type="dxa"/>
                  </w:tcMar>
                  <w:vAlign w:val="center"/>
                </w:tcPr>
                <w:p w14:paraId="79C1308C">
                  <w:pPr>
                    <w:jc w:val="center"/>
                    <w:rPr>
                      <w:rFonts w:hint="eastAsia"/>
                      <w:bCs/>
                      <w:color w:val="auto"/>
                      <w:sz w:val="21"/>
                      <w:szCs w:val="21"/>
                    </w:rPr>
                  </w:pPr>
                </w:p>
              </w:tc>
              <w:tc>
                <w:tcPr>
                  <w:tcW w:w="1376" w:type="dxa"/>
                  <w:tcBorders>
                    <w:tl2br w:val="nil"/>
                    <w:tr2bl w:val="nil"/>
                  </w:tcBorders>
                  <w:shd w:val="clear" w:color="auto" w:fill="auto"/>
                  <w:noWrap/>
                  <w:tcMar>
                    <w:top w:w="15" w:type="dxa"/>
                    <w:left w:w="15" w:type="dxa"/>
                    <w:right w:w="15" w:type="dxa"/>
                  </w:tcMar>
                  <w:vAlign w:val="bottom"/>
                </w:tcPr>
                <w:p w14:paraId="6D1C1832">
                  <w:pPr>
                    <w:keepNext w:val="0"/>
                    <w:keepLines w:val="0"/>
                    <w:widowControl/>
                    <w:suppressLineNumbers w:val="0"/>
                    <w:jc w:val="center"/>
                    <w:textAlignment w:val="bottom"/>
                    <w:rPr>
                      <w:rFonts w:hint="default" w:eastAsia="宋体"/>
                      <w:color w:val="auto"/>
                      <w:kern w:val="0"/>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75</w:t>
                  </w:r>
                </w:p>
              </w:tc>
              <w:tc>
                <w:tcPr>
                  <w:tcW w:w="768" w:type="dxa"/>
                  <w:tcBorders>
                    <w:tl2br w:val="nil"/>
                    <w:tr2bl w:val="nil"/>
                  </w:tcBorders>
                  <w:shd w:val="clear" w:color="auto" w:fill="auto"/>
                  <w:noWrap/>
                  <w:tcMar>
                    <w:top w:w="15" w:type="dxa"/>
                    <w:left w:w="15" w:type="dxa"/>
                    <w:right w:w="15" w:type="dxa"/>
                  </w:tcMar>
                  <w:vAlign w:val="center"/>
                </w:tcPr>
                <w:p w14:paraId="5BC64D79">
                  <w:pPr>
                    <w:keepNext w:val="0"/>
                    <w:keepLines w:val="0"/>
                    <w:widowControl/>
                    <w:suppressLineNumbers w:val="0"/>
                    <w:jc w:val="center"/>
                    <w:textAlignment w:val="center"/>
                    <w:rPr>
                      <w:rFonts w:hint="default" w:ascii="Times New Roman" w:hAnsi="Times New Roman" w:cs="Times New Roman"/>
                      <w:color w:val="auto"/>
                      <w:kern w:val="0"/>
                      <w:sz w:val="21"/>
                      <w:szCs w:val="21"/>
                    </w:rPr>
                  </w:pPr>
                  <w:r>
                    <w:rPr>
                      <w:rFonts w:hint="default" w:ascii="Times New Roman" w:hAnsi="Times New Roman" w:eastAsia="等线" w:cs="Times New Roman"/>
                      <w:i w:val="0"/>
                      <w:iCs w:val="0"/>
                      <w:color w:val="auto"/>
                      <w:kern w:val="0"/>
                      <w:sz w:val="21"/>
                      <w:szCs w:val="21"/>
                      <w:u w:val="none"/>
                      <w:lang w:val="en-US" w:eastAsia="zh-CN" w:bidi="ar"/>
                    </w:rPr>
                    <w:t>78</w:t>
                  </w:r>
                </w:p>
              </w:tc>
              <w:tc>
                <w:tcPr>
                  <w:tcW w:w="777" w:type="dxa"/>
                  <w:tcBorders>
                    <w:tl2br w:val="nil"/>
                    <w:tr2bl w:val="nil"/>
                  </w:tcBorders>
                  <w:shd w:val="clear" w:color="auto" w:fill="auto"/>
                  <w:noWrap/>
                  <w:tcMar>
                    <w:top w:w="15" w:type="dxa"/>
                    <w:left w:w="15" w:type="dxa"/>
                    <w:right w:w="15" w:type="dxa"/>
                  </w:tcMar>
                  <w:vAlign w:val="center"/>
                </w:tcPr>
                <w:p w14:paraId="2C8954D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2832</w:t>
                  </w:r>
                </w:p>
              </w:tc>
            </w:tr>
            <w:tr w14:paraId="60CF43C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62" w:hRule="atLeast"/>
                <w:jc w:val="center"/>
              </w:trPr>
              <w:tc>
                <w:tcPr>
                  <w:tcW w:w="612" w:type="dxa"/>
                  <w:vMerge w:val="continue"/>
                  <w:tcBorders>
                    <w:tl2br w:val="nil"/>
                    <w:tr2bl w:val="nil"/>
                  </w:tcBorders>
                  <w:shd w:val="clear" w:color="auto" w:fill="auto"/>
                  <w:noWrap/>
                  <w:tcMar>
                    <w:top w:w="15" w:type="dxa"/>
                    <w:left w:w="15" w:type="dxa"/>
                    <w:right w:w="15" w:type="dxa"/>
                  </w:tcMar>
                  <w:vAlign w:val="center"/>
                </w:tcPr>
                <w:p w14:paraId="7EB66187">
                  <w:pPr>
                    <w:jc w:val="center"/>
                    <w:rPr>
                      <w:rFonts w:hint="default" w:eastAsia="宋体"/>
                      <w:bCs/>
                      <w:color w:val="auto"/>
                      <w:sz w:val="21"/>
                      <w:szCs w:val="21"/>
                      <w:lang w:val="en-US" w:eastAsia="zh-CN"/>
                    </w:rPr>
                  </w:pPr>
                </w:p>
              </w:tc>
              <w:tc>
                <w:tcPr>
                  <w:tcW w:w="1535" w:type="dxa"/>
                  <w:tcBorders>
                    <w:tl2br w:val="nil"/>
                    <w:tr2bl w:val="nil"/>
                  </w:tcBorders>
                  <w:shd w:val="clear" w:color="auto" w:fill="auto"/>
                  <w:noWrap/>
                  <w:tcMar>
                    <w:top w:w="15" w:type="dxa"/>
                    <w:left w:w="15" w:type="dxa"/>
                    <w:right w:w="15" w:type="dxa"/>
                  </w:tcMar>
                  <w:vAlign w:val="center"/>
                </w:tcPr>
                <w:p w14:paraId="351C92C3">
                  <w:pPr>
                    <w:keepNext w:val="0"/>
                    <w:keepLines w:val="0"/>
                    <w:pageBreakBefore w:val="0"/>
                    <w:kinsoku/>
                    <w:wordWrap/>
                    <w:overflowPunct/>
                    <w:topLinePunct w:val="0"/>
                    <w:autoSpaceDE/>
                    <w:autoSpaceDN/>
                    <w:bidi w:val="0"/>
                    <w:spacing w:line="240" w:lineRule="auto"/>
                    <w:jc w:val="center"/>
                    <w:rPr>
                      <w:rFonts w:hint="default" w:ascii="Times New Roman" w:hAnsi="Times New Roman" w:eastAsia="宋体" w:cs="Times New Roman"/>
                      <w:color w:val="auto"/>
                      <w:kern w:val="2"/>
                      <w:sz w:val="21"/>
                      <w:szCs w:val="21"/>
                      <w:lang w:val="en-US" w:eastAsia="zh-CN" w:bidi="ar"/>
                    </w:rPr>
                  </w:pPr>
                  <w:r>
                    <w:rPr>
                      <w:rFonts w:hint="default" w:ascii="Times New Roman" w:hAnsi="Times New Roman" w:eastAsia="宋体" w:cs="Times New Roman"/>
                      <w:color w:val="auto"/>
                      <w:sz w:val="21"/>
                      <w:szCs w:val="21"/>
                    </w:rPr>
                    <w:t>压块机</w:t>
                  </w:r>
                </w:p>
              </w:tc>
              <w:tc>
                <w:tcPr>
                  <w:tcW w:w="646" w:type="dxa"/>
                  <w:tcBorders>
                    <w:tl2br w:val="nil"/>
                    <w:tr2bl w:val="nil"/>
                  </w:tcBorders>
                  <w:shd w:val="clear" w:color="auto" w:fill="auto"/>
                  <w:noWrap/>
                  <w:tcMar>
                    <w:top w:w="15" w:type="dxa"/>
                    <w:left w:w="15" w:type="dxa"/>
                    <w:right w:w="15" w:type="dxa"/>
                  </w:tcMar>
                  <w:vAlign w:val="center"/>
                </w:tcPr>
                <w:p w14:paraId="752D2202">
                  <w:pPr>
                    <w:keepNext w:val="0"/>
                    <w:keepLines w:val="0"/>
                    <w:pageBreakBefore w:val="0"/>
                    <w:kinsoku/>
                    <w:wordWrap/>
                    <w:overflowPunct/>
                    <w:topLinePunct w:val="0"/>
                    <w:autoSpaceDE/>
                    <w:autoSpaceDN/>
                    <w:bidi w:val="0"/>
                    <w:spacing w:line="240" w:lineRule="auto"/>
                    <w:jc w:val="center"/>
                    <w:rPr>
                      <w:rFonts w:hint="default" w:ascii="Times New Roman" w:hAnsi="Times New Roman" w:eastAsia="宋体" w:cs="Times New Roman"/>
                      <w:color w:val="auto"/>
                      <w:kern w:val="2"/>
                      <w:sz w:val="21"/>
                      <w:szCs w:val="21"/>
                      <w:lang w:val="en-US" w:eastAsia="zh-CN" w:bidi="ar"/>
                    </w:rPr>
                  </w:pPr>
                  <w:r>
                    <w:rPr>
                      <w:rFonts w:hint="default" w:ascii="Times New Roman" w:hAnsi="Times New Roman" w:eastAsia="宋体" w:cs="Times New Roman"/>
                      <w:color w:val="auto"/>
                      <w:sz w:val="21"/>
                      <w:szCs w:val="21"/>
                    </w:rPr>
                    <w:t>1</w:t>
                  </w:r>
                </w:p>
              </w:tc>
              <w:tc>
                <w:tcPr>
                  <w:tcW w:w="842" w:type="dxa"/>
                  <w:vMerge w:val="continue"/>
                  <w:tcBorders>
                    <w:tl2br w:val="nil"/>
                    <w:tr2bl w:val="nil"/>
                  </w:tcBorders>
                  <w:shd w:val="clear" w:color="auto" w:fill="auto"/>
                  <w:noWrap/>
                  <w:tcMar>
                    <w:top w:w="15" w:type="dxa"/>
                    <w:left w:w="15" w:type="dxa"/>
                    <w:right w:w="15" w:type="dxa"/>
                  </w:tcMar>
                  <w:vAlign w:val="center"/>
                </w:tcPr>
                <w:p w14:paraId="0BEA1E7A">
                  <w:pPr>
                    <w:pStyle w:val="22"/>
                    <w:widowControl w:val="0"/>
                    <w:spacing w:before="0" w:beforeAutospacing="0" w:after="0" w:afterAutospacing="0"/>
                    <w:jc w:val="center"/>
                    <w:rPr>
                      <w:rFonts w:hint="eastAsia" w:ascii="Times New Roman" w:hAnsi="Times New Roman"/>
                      <w:bCs/>
                      <w:color w:val="auto"/>
                      <w:sz w:val="21"/>
                      <w:szCs w:val="21"/>
                    </w:rPr>
                  </w:pPr>
                </w:p>
              </w:tc>
              <w:tc>
                <w:tcPr>
                  <w:tcW w:w="704" w:type="dxa"/>
                  <w:vMerge w:val="continue"/>
                  <w:tcBorders>
                    <w:tl2br w:val="nil"/>
                    <w:tr2bl w:val="nil"/>
                  </w:tcBorders>
                  <w:shd w:val="clear" w:color="auto" w:fill="auto"/>
                  <w:noWrap/>
                  <w:tcMar>
                    <w:top w:w="15" w:type="dxa"/>
                    <w:left w:w="15" w:type="dxa"/>
                    <w:right w:w="15" w:type="dxa"/>
                  </w:tcMar>
                  <w:vAlign w:val="center"/>
                </w:tcPr>
                <w:p w14:paraId="7ADF056C">
                  <w:pPr>
                    <w:pStyle w:val="22"/>
                    <w:widowControl w:val="0"/>
                    <w:spacing w:before="0" w:beforeAutospacing="0" w:after="0" w:afterAutospacing="0"/>
                    <w:jc w:val="center"/>
                    <w:rPr>
                      <w:rFonts w:hint="eastAsia" w:ascii="Times New Roman" w:hAnsi="Times New Roman"/>
                      <w:bCs/>
                      <w:color w:val="auto"/>
                      <w:sz w:val="21"/>
                      <w:szCs w:val="21"/>
                    </w:rPr>
                  </w:pPr>
                </w:p>
              </w:tc>
              <w:tc>
                <w:tcPr>
                  <w:tcW w:w="658" w:type="dxa"/>
                  <w:tcBorders>
                    <w:tl2br w:val="nil"/>
                    <w:tr2bl w:val="nil"/>
                  </w:tcBorders>
                  <w:shd w:val="clear" w:color="auto" w:fill="auto"/>
                  <w:noWrap/>
                  <w:tcMar>
                    <w:top w:w="15" w:type="dxa"/>
                    <w:left w:w="15" w:type="dxa"/>
                    <w:right w:w="15" w:type="dxa"/>
                  </w:tcMar>
                  <w:vAlign w:val="center"/>
                </w:tcPr>
                <w:p w14:paraId="7EB6802C">
                  <w:pPr>
                    <w:jc w:val="center"/>
                    <w:rPr>
                      <w:rFonts w:hint="default" w:eastAsia="宋体"/>
                      <w:color w:val="auto"/>
                      <w:sz w:val="21"/>
                      <w:szCs w:val="21"/>
                      <w:lang w:val="en-US" w:eastAsia="zh-CN"/>
                    </w:rPr>
                  </w:pPr>
                  <w:r>
                    <w:rPr>
                      <w:rFonts w:hint="eastAsia"/>
                      <w:color w:val="auto"/>
                      <w:sz w:val="21"/>
                      <w:szCs w:val="21"/>
                      <w:lang w:val="en-US" w:eastAsia="zh-CN"/>
                    </w:rPr>
                    <w:t>80</w:t>
                  </w:r>
                </w:p>
              </w:tc>
              <w:tc>
                <w:tcPr>
                  <w:tcW w:w="3080" w:type="dxa"/>
                  <w:tcBorders>
                    <w:tl2br w:val="nil"/>
                    <w:tr2bl w:val="nil"/>
                  </w:tcBorders>
                  <w:shd w:val="clear" w:color="auto" w:fill="auto"/>
                  <w:noWrap/>
                  <w:tcMar>
                    <w:top w:w="15" w:type="dxa"/>
                    <w:left w:w="15" w:type="dxa"/>
                    <w:right w:w="15" w:type="dxa"/>
                  </w:tcMar>
                  <w:vAlign w:val="center"/>
                </w:tcPr>
                <w:p w14:paraId="4D0BB264">
                  <w:pPr>
                    <w:widowControl w:val="0"/>
                    <w:spacing w:before="0" w:beforeAutospacing="0" w:after="0" w:afterAutospacing="0"/>
                    <w:jc w:val="center"/>
                    <w:rPr>
                      <w:rFonts w:ascii="Times New Roman" w:hAnsi="Times New Roman"/>
                      <w:bCs/>
                      <w:color w:val="auto"/>
                      <w:sz w:val="21"/>
                      <w:szCs w:val="21"/>
                    </w:rPr>
                  </w:pPr>
                  <w:r>
                    <w:rPr>
                      <w:rFonts w:ascii="Times New Roman" w:hAnsi="Times New Roman"/>
                      <w:bCs/>
                      <w:color w:val="auto"/>
                      <w:sz w:val="21"/>
                      <w:szCs w:val="21"/>
                    </w:rPr>
                    <w:t>减振垫</w:t>
                  </w:r>
                </w:p>
              </w:tc>
              <w:tc>
                <w:tcPr>
                  <w:tcW w:w="820" w:type="dxa"/>
                  <w:tcBorders>
                    <w:tl2br w:val="nil"/>
                    <w:tr2bl w:val="nil"/>
                  </w:tcBorders>
                  <w:shd w:val="clear" w:color="auto" w:fill="auto"/>
                  <w:noWrap/>
                  <w:tcMar>
                    <w:top w:w="15" w:type="dxa"/>
                    <w:left w:w="15" w:type="dxa"/>
                    <w:right w:w="15" w:type="dxa"/>
                  </w:tcMar>
                  <w:vAlign w:val="center"/>
                </w:tcPr>
                <w:p w14:paraId="61D8D1A7">
                  <w:pPr>
                    <w:widowControl/>
                    <w:jc w:val="center"/>
                    <w:textAlignment w:val="bottom"/>
                    <w:rPr>
                      <w:rFonts w:hint="eastAsia"/>
                      <w:bCs/>
                      <w:color w:val="auto"/>
                      <w:sz w:val="21"/>
                      <w:szCs w:val="21"/>
                      <w:lang w:val="en-US" w:eastAsia="zh-CN"/>
                    </w:rPr>
                  </w:pPr>
                  <w:r>
                    <w:rPr>
                      <w:rFonts w:hint="eastAsia"/>
                      <w:bCs/>
                      <w:color w:val="auto"/>
                      <w:sz w:val="21"/>
                      <w:szCs w:val="21"/>
                      <w:lang w:val="en-US" w:eastAsia="zh-CN"/>
                    </w:rPr>
                    <w:t>-5</w:t>
                  </w:r>
                </w:p>
              </w:tc>
              <w:tc>
                <w:tcPr>
                  <w:tcW w:w="592" w:type="dxa"/>
                  <w:vMerge w:val="continue"/>
                  <w:tcBorders>
                    <w:tl2br w:val="nil"/>
                    <w:tr2bl w:val="nil"/>
                  </w:tcBorders>
                  <w:shd w:val="clear" w:color="auto" w:fill="auto"/>
                  <w:noWrap/>
                  <w:tcMar>
                    <w:top w:w="15" w:type="dxa"/>
                    <w:left w:w="15" w:type="dxa"/>
                    <w:right w:w="15" w:type="dxa"/>
                  </w:tcMar>
                  <w:vAlign w:val="center"/>
                </w:tcPr>
                <w:p w14:paraId="529D1EBD">
                  <w:pPr>
                    <w:jc w:val="center"/>
                    <w:rPr>
                      <w:rFonts w:hint="eastAsia"/>
                      <w:bCs/>
                      <w:color w:val="auto"/>
                      <w:sz w:val="21"/>
                      <w:szCs w:val="21"/>
                    </w:rPr>
                  </w:pPr>
                </w:p>
              </w:tc>
              <w:tc>
                <w:tcPr>
                  <w:tcW w:w="1376" w:type="dxa"/>
                  <w:tcBorders>
                    <w:tl2br w:val="nil"/>
                    <w:tr2bl w:val="nil"/>
                  </w:tcBorders>
                  <w:shd w:val="clear" w:color="auto" w:fill="auto"/>
                  <w:noWrap/>
                  <w:tcMar>
                    <w:top w:w="15" w:type="dxa"/>
                    <w:left w:w="15" w:type="dxa"/>
                    <w:right w:w="15" w:type="dxa"/>
                  </w:tcMar>
                  <w:vAlign w:val="bottom"/>
                </w:tcPr>
                <w:p w14:paraId="26C66E7E">
                  <w:pPr>
                    <w:keepNext w:val="0"/>
                    <w:keepLines w:val="0"/>
                    <w:widowControl/>
                    <w:suppressLineNumbers w:val="0"/>
                    <w:jc w:val="center"/>
                    <w:textAlignment w:val="bottom"/>
                    <w:rPr>
                      <w:rFonts w:hint="default" w:eastAsia="宋体"/>
                      <w:color w:val="auto"/>
                      <w:kern w:val="0"/>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75</w:t>
                  </w:r>
                </w:p>
              </w:tc>
              <w:tc>
                <w:tcPr>
                  <w:tcW w:w="768" w:type="dxa"/>
                  <w:tcBorders>
                    <w:tl2br w:val="nil"/>
                    <w:tr2bl w:val="nil"/>
                  </w:tcBorders>
                  <w:shd w:val="clear" w:color="auto" w:fill="auto"/>
                  <w:noWrap/>
                  <w:tcMar>
                    <w:top w:w="15" w:type="dxa"/>
                    <w:left w:w="15" w:type="dxa"/>
                    <w:right w:w="15" w:type="dxa"/>
                  </w:tcMar>
                  <w:vAlign w:val="center"/>
                </w:tcPr>
                <w:p w14:paraId="329F5762">
                  <w:pPr>
                    <w:keepNext w:val="0"/>
                    <w:keepLines w:val="0"/>
                    <w:widowControl/>
                    <w:suppressLineNumbers w:val="0"/>
                    <w:jc w:val="center"/>
                    <w:textAlignment w:val="center"/>
                    <w:rPr>
                      <w:rFonts w:hint="default" w:ascii="Times New Roman" w:hAnsi="Times New Roman" w:cs="Times New Roman"/>
                      <w:color w:val="auto"/>
                      <w:kern w:val="0"/>
                      <w:sz w:val="21"/>
                      <w:szCs w:val="21"/>
                    </w:rPr>
                  </w:pPr>
                  <w:r>
                    <w:rPr>
                      <w:rFonts w:hint="default" w:ascii="Times New Roman" w:hAnsi="Times New Roman" w:eastAsia="等线" w:cs="Times New Roman"/>
                      <w:i w:val="0"/>
                      <w:iCs w:val="0"/>
                      <w:color w:val="auto"/>
                      <w:kern w:val="0"/>
                      <w:sz w:val="21"/>
                      <w:szCs w:val="21"/>
                      <w:u w:val="none"/>
                      <w:lang w:val="en-US" w:eastAsia="zh-CN" w:bidi="ar"/>
                    </w:rPr>
                    <w:t>75</w:t>
                  </w:r>
                </w:p>
              </w:tc>
              <w:tc>
                <w:tcPr>
                  <w:tcW w:w="777" w:type="dxa"/>
                  <w:tcBorders>
                    <w:tl2br w:val="nil"/>
                    <w:tr2bl w:val="nil"/>
                  </w:tcBorders>
                  <w:shd w:val="clear" w:color="auto" w:fill="auto"/>
                  <w:noWrap/>
                  <w:tcMar>
                    <w:top w:w="15" w:type="dxa"/>
                    <w:left w:w="15" w:type="dxa"/>
                    <w:right w:w="15" w:type="dxa"/>
                  </w:tcMar>
                  <w:vAlign w:val="center"/>
                </w:tcPr>
                <w:p w14:paraId="6AE5AEA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354</w:t>
                  </w:r>
                </w:p>
              </w:tc>
            </w:tr>
            <w:tr w14:paraId="2F5F1A5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612" w:type="dxa"/>
                  <w:vMerge w:val="restart"/>
                  <w:tcBorders>
                    <w:tl2br w:val="nil"/>
                    <w:tr2bl w:val="nil"/>
                  </w:tcBorders>
                  <w:shd w:val="clear" w:color="auto" w:fill="auto"/>
                  <w:noWrap/>
                  <w:tcMar>
                    <w:top w:w="15" w:type="dxa"/>
                    <w:left w:w="15" w:type="dxa"/>
                    <w:right w:w="15" w:type="dxa"/>
                  </w:tcMar>
                  <w:vAlign w:val="center"/>
                </w:tcPr>
                <w:p w14:paraId="5A33CC1A">
                  <w:pPr>
                    <w:jc w:val="center"/>
                    <w:rPr>
                      <w:color w:val="auto"/>
                      <w:sz w:val="21"/>
                      <w:szCs w:val="21"/>
                    </w:rPr>
                  </w:pPr>
                  <w:r>
                    <w:rPr>
                      <w:rFonts w:hint="eastAsia"/>
                      <w:color w:val="auto"/>
                      <w:sz w:val="21"/>
                      <w:szCs w:val="21"/>
                    </w:rPr>
                    <w:t>辅助设备</w:t>
                  </w:r>
                </w:p>
              </w:tc>
              <w:tc>
                <w:tcPr>
                  <w:tcW w:w="1535" w:type="dxa"/>
                  <w:tcBorders>
                    <w:tl2br w:val="nil"/>
                    <w:tr2bl w:val="nil"/>
                  </w:tcBorders>
                  <w:shd w:val="clear" w:color="auto" w:fill="auto"/>
                  <w:noWrap/>
                  <w:tcMar>
                    <w:top w:w="15" w:type="dxa"/>
                    <w:left w:w="15" w:type="dxa"/>
                    <w:right w:w="15" w:type="dxa"/>
                  </w:tcMar>
                  <w:vAlign w:val="center"/>
                </w:tcPr>
                <w:p w14:paraId="63F18906">
                  <w:pPr>
                    <w:keepNext w:val="0"/>
                    <w:keepLines w:val="0"/>
                    <w:pageBreakBefore w:val="0"/>
                    <w:widowControl/>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color w:val="auto"/>
                      <w:spacing w:val="4"/>
                      <w:kern w:val="0"/>
                      <w:sz w:val="21"/>
                      <w:szCs w:val="21"/>
                      <w:lang w:val="en-US" w:eastAsia="zh-CN" w:bidi="ar"/>
                    </w:rPr>
                  </w:pPr>
                  <w:r>
                    <w:rPr>
                      <w:rFonts w:hint="default" w:ascii="Times New Roman" w:hAnsi="Times New Roman" w:eastAsia="宋体" w:cs="Times New Roman"/>
                      <w:color w:val="auto"/>
                      <w:spacing w:val="4"/>
                      <w:kern w:val="0"/>
                      <w:sz w:val="21"/>
                      <w:szCs w:val="21"/>
                      <w:lang w:bidi="ar"/>
                    </w:rPr>
                    <w:t>空压机</w:t>
                  </w:r>
                </w:p>
              </w:tc>
              <w:tc>
                <w:tcPr>
                  <w:tcW w:w="646" w:type="dxa"/>
                  <w:tcBorders>
                    <w:tl2br w:val="nil"/>
                    <w:tr2bl w:val="nil"/>
                  </w:tcBorders>
                  <w:shd w:val="clear" w:color="auto" w:fill="auto"/>
                  <w:noWrap/>
                  <w:tcMar>
                    <w:top w:w="15" w:type="dxa"/>
                    <w:left w:w="15" w:type="dxa"/>
                    <w:right w:w="15" w:type="dxa"/>
                  </w:tcMar>
                  <w:vAlign w:val="center"/>
                </w:tcPr>
                <w:p w14:paraId="34F9485B">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1</w:t>
                  </w:r>
                </w:p>
              </w:tc>
              <w:tc>
                <w:tcPr>
                  <w:tcW w:w="842" w:type="dxa"/>
                  <w:vMerge w:val="continue"/>
                  <w:tcBorders>
                    <w:tl2br w:val="nil"/>
                    <w:tr2bl w:val="nil"/>
                  </w:tcBorders>
                  <w:shd w:val="clear" w:color="auto" w:fill="auto"/>
                  <w:noWrap/>
                  <w:tcMar>
                    <w:top w:w="15" w:type="dxa"/>
                    <w:left w:w="15" w:type="dxa"/>
                    <w:right w:w="15" w:type="dxa"/>
                  </w:tcMar>
                  <w:vAlign w:val="center"/>
                </w:tcPr>
                <w:p w14:paraId="3AE7BE5D">
                  <w:pPr>
                    <w:jc w:val="center"/>
                    <w:rPr>
                      <w:rFonts w:hint="default" w:ascii="Times New Roman" w:hAnsi="Times New Roman" w:eastAsia="宋体" w:cs="Times New Roman"/>
                      <w:color w:val="auto"/>
                      <w:kern w:val="2"/>
                      <w:sz w:val="21"/>
                      <w:szCs w:val="21"/>
                      <w:lang w:val="en-US" w:eastAsia="zh-CN" w:bidi="ar"/>
                    </w:rPr>
                  </w:pPr>
                </w:p>
              </w:tc>
              <w:tc>
                <w:tcPr>
                  <w:tcW w:w="704" w:type="dxa"/>
                  <w:vMerge w:val="continue"/>
                  <w:tcBorders>
                    <w:tl2br w:val="nil"/>
                    <w:tr2bl w:val="nil"/>
                  </w:tcBorders>
                  <w:shd w:val="clear" w:color="auto" w:fill="auto"/>
                  <w:noWrap/>
                  <w:tcMar>
                    <w:top w:w="15" w:type="dxa"/>
                    <w:left w:w="15" w:type="dxa"/>
                    <w:right w:w="15" w:type="dxa"/>
                  </w:tcMar>
                  <w:vAlign w:val="center"/>
                </w:tcPr>
                <w:p w14:paraId="65C9D3A6">
                  <w:pPr>
                    <w:jc w:val="center"/>
                    <w:rPr>
                      <w:rFonts w:hint="default" w:ascii="Times New Roman" w:hAnsi="Times New Roman" w:eastAsia="宋体" w:cs="Times New Roman"/>
                      <w:color w:val="auto"/>
                      <w:kern w:val="2"/>
                      <w:sz w:val="21"/>
                      <w:szCs w:val="21"/>
                      <w:lang w:val="en-US" w:eastAsia="zh-CN" w:bidi="ar"/>
                    </w:rPr>
                  </w:pPr>
                </w:p>
              </w:tc>
              <w:tc>
                <w:tcPr>
                  <w:tcW w:w="658" w:type="dxa"/>
                  <w:tcBorders>
                    <w:tl2br w:val="nil"/>
                    <w:tr2bl w:val="nil"/>
                  </w:tcBorders>
                  <w:shd w:val="clear" w:color="auto" w:fill="auto"/>
                  <w:noWrap/>
                  <w:tcMar>
                    <w:top w:w="15" w:type="dxa"/>
                    <w:left w:w="15" w:type="dxa"/>
                    <w:right w:w="15" w:type="dxa"/>
                  </w:tcMar>
                  <w:vAlign w:val="center"/>
                </w:tcPr>
                <w:p w14:paraId="45E9A2A7">
                  <w:pPr>
                    <w:jc w:val="center"/>
                    <w:rPr>
                      <w:rFonts w:hint="default" w:ascii="Times New Roman" w:hAnsi="Times New Roman" w:eastAsia="宋体" w:cs="Times New Roman"/>
                      <w:color w:val="auto"/>
                      <w:kern w:val="2"/>
                      <w:sz w:val="21"/>
                      <w:szCs w:val="21"/>
                      <w:lang w:val="en-US" w:eastAsia="zh-CN" w:bidi="ar"/>
                    </w:rPr>
                  </w:pPr>
                  <w:r>
                    <w:rPr>
                      <w:rFonts w:hint="eastAsia" w:cs="Times New Roman"/>
                      <w:color w:val="auto"/>
                      <w:kern w:val="2"/>
                      <w:sz w:val="21"/>
                      <w:szCs w:val="21"/>
                      <w:lang w:val="en-US" w:eastAsia="zh-CN" w:bidi="ar"/>
                    </w:rPr>
                    <w:t>90</w:t>
                  </w:r>
                </w:p>
              </w:tc>
              <w:tc>
                <w:tcPr>
                  <w:tcW w:w="3080" w:type="dxa"/>
                  <w:tcBorders>
                    <w:tl2br w:val="nil"/>
                    <w:tr2bl w:val="nil"/>
                  </w:tcBorders>
                  <w:shd w:val="clear" w:color="auto" w:fill="auto"/>
                  <w:noWrap/>
                  <w:tcMar>
                    <w:top w:w="15" w:type="dxa"/>
                    <w:left w:w="15" w:type="dxa"/>
                    <w:right w:w="15" w:type="dxa"/>
                  </w:tcMar>
                  <w:vAlign w:val="center"/>
                </w:tcPr>
                <w:p w14:paraId="68A00901">
                  <w:pPr>
                    <w:pStyle w:val="22"/>
                    <w:widowControl w:val="0"/>
                    <w:spacing w:before="0" w:beforeAutospacing="0" w:after="0" w:afterAutospacing="0"/>
                    <w:jc w:val="center"/>
                    <w:rPr>
                      <w:rFonts w:hint="eastAsia" w:ascii="Times New Roman" w:hAnsi="Times New Roman" w:eastAsia="宋体" w:cs="Times New Roman"/>
                      <w:bCs/>
                      <w:color w:val="auto"/>
                      <w:kern w:val="2"/>
                      <w:sz w:val="21"/>
                      <w:szCs w:val="21"/>
                      <w:lang w:val="en-US" w:eastAsia="zh-CN" w:bidi="ar-SA"/>
                    </w:rPr>
                  </w:pPr>
                  <w:r>
                    <w:rPr>
                      <w:rFonts w:hint="eastAsia" w:ascii="Times New Roman" w:hAnsi="Times New Roman"/>
                      <w:bCs/>
                      <w:color w:val="auto"/>
                      <w:kern w:val="2"/>
                      <w:sz w:val="21"/>
                      <w:szCs w:val="21"/>
                    </w:rPr>
                    <w:t>电机隔声，</w:t>
                  </w:r>
                  <w:r>
                    <w:rPr>
                      <w:rFonts w:ascii="Times New Roman" w:hAnsi="Times New Roman"/>
                      <w:bCs/>
                      <w:color w:val="auto"/>
                      <w:kern w:val="2"/>
                      <w:sz w:val="21"/>
                      <w:szCs w:val="21"/>
                    </w:rPr>
                    <w:t>减振底座、消音器</w:t>
                  </w:r>
                  <w:r>
                    <w:rPr>
                      <w:rFonts w:hint="eastAsia" w:ascii="Times New Roman" w:hAnsi="Times New Roman"/>
                      <w:bCs/>
                      <w:color w:val="auto"/>
                      <w:kern w:val="2"/>
                      <w:sz w:val="21"/>
                      <w:szCs w:val="21"/>
                      <w:lang w:eastAsia="zh-CN"/>
                    </w:rPr>
                    <w:t>、软接头、隔声罩</w:t>
                  </w:r>
                </w:p>
              </w:tc>
              <w:tc>
                <w:tcPr>
                  <w:tcW w:w="820" w:type="dxa"/>
                  <w:tcBorders>
                    <w:tl2br w:val="nil"/>
                    <w:tr2bl w:val="nil"/>
                  </w:tcBorders>
                  <w:shd w:val="clear" w:color="auto" w:fill="auto"/>
                  <w:noWrap/>
                  <w:tcMar>
                    <w:top w:w="15" w:type="dxa"/>
                    <w:left w:w="15" w:type="dxa"/>
                    <w:right w:w="15" w:type="dxa"/>
                  </w:tcMar>
                  <w:vAlign w:val="center"/>
                </w:tcPr>
                <w:p w14:paraId="3B5F02C2">
                  <w:pPr>
                    <w:widowControl/>
                    <w:jc w:val="center"/>
                    <w:textAlignment w:val="bottom"/>
                    <w:rPr>
                      <w:rFonts w:hint="default" w:ascii="Times New Roman" w:hAnsi="Times New Roman" w:eastAsia="宋体" w:cs="Times New Roman"/>
                      <w:bCs/>
                      <w:color w:val="auto"/>
                      <w:kern w:val="2"/>
                      <w:sz w:val="21"/>
                      <w:szCs w:val="21"/>
                      <w:lang w:val="en-US" w:eastAsia="zh-CN" w:bidi="ar-SA"/>
                    </w:rPr>
                  </w:pPr>
                  <w:r>
                    <w:rPr>
                      <w:rFonts w:hint="eastAsia"/>
                      <w:color w:val="auto"/>
                      <w:kern w:val="0"/>
                      <w:sz w:val="21"/>
                      <w:szCs w:val="21"/>
                    </w:rPr>
                    <w:t>-</w:t>
                  </w:r>
                  <w:r>
                    <w:rPr>
                      <w:rFonts w:hint="eastAsia"/>
                      <w:color w:val="auto"/>
                      <w:kern w:val="0"/>
                      <w:sz w:val="21"/>
                      <w:szCs w:val="21"/>
                      <w:lang w:val="en-US" w:eastAsia="zh-CN"/>
                    </w:rPr>
                    <w:t>20</w:t>
                  </w:r>
                </w:p>
              </w:tc>
              <w:tc>
                <w:tcPr>
                  <w:tcW w:w="592" w:type="dxa"/>
                  <w:vMerge w:val="continue"/>
                  <w:tcBorders>
                    <w:tl2br w:val="nil"/>
                    <w:tr2bl w:val="nil"/>
                  </w:tcBorders>
                  <w:shd w:val="clear" w:color="auto" w:fill="auto"/>
                  <w:noWrap/>
                  <w:tcMar>
                    <w:top w:w="15" w:type="dxa"/>
                    <w:left w:w="15" w:type="dxa"/>
                    <w:right w:w="15" w:type="dxa"/>
                  </w:tcMar>
                  <w:vAlign w:val="center"/>
                </w:tcPr>
                <w:p w14:paraId="57EF3A8C">
                  <w:pPr>
                    <w:jc w:val="center"/>
                    <w:rPr>
                      <w:rFonts w:hint="default" w:ascii="Times New Roman" w:hAnsi="Times New Roman" w:eastAsia="宋体" w:cs="Times New Roman"/>
                      <w:color w:val="auto"/>
                      <w:kern w:val="2"/>
                      <w:sz w:val="21"/>
                      <w:szCs w:val="21"/>
                      <w:lang w:val="en-US" w:eastAsia="zh-CN" w:bidi="ar"/>
                    </w:rPr>
                  </w:pPr>
                </w:p>
              </w:tc>
              <w:tc>
                <w:tcPr>
                  <w:tcW w:w="1376" w:type="dxa"/>
                  <w:tcBorders>
                    <w:tl2br w:val="nil"/>
                    <w:tr2bl w:val="nil"/>
                  </w:tcBorders>
                  <w:shd w:val="clear" w:color="auto" w:fill="auto"/>
                  <w:noWrap/>
                  <w:tcMar>
                    <w:top w:w="15" w:type="dxa"/>
                    <w:left w:w="15" w:type="dxa"/>
                    <w:right w:w="15" w:type="dxa"/>
                  </w:tcMar>
                  <w:vAlign w:val="center"/>
                </w:tcPr>
                <w:p w14:paraId="476EA7A8">
                  <w:pPr>
                    <w:keepNext w:val="0"/>
                    <w:keepLines w:val="0"/>
                    <w:widowControl/>
                    <w:suppressLineNumbers w:val="0"/>
                    <w:jc w:val="center"/>
                    <w:textAlignment w:val="bottom"/>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70</w:t>
                  </w:r>
                </w:p>
              </w:tc>
              <w:tc>
                <w:tcPr>
                  <w:tcW w:w="768" w:type="dxa"/>
                  <w:tcBorders>
                    <w:tl2br w:val="nil"/>
                    <w:tr2bl w:val="nil"/>
                  </w:tcBorders>
                  <w:shd w:val="clear" w:color="auto" w:fill="auto"/>
                  <w:noWrap/>
                  <w:tcMar>
                    <w:top w:w="15" w:type="dxa"/>
                    <w:left w:w="15" w:type="dxa"/>
                    <w:right w:w="15" w:type="dxa"/>
                  </w:tcMar>
                  <w:vAlign w:val="center"/>
                </w:tcPr>
                <w:p w14:paraId="080F6223">
                  <w:pPr>
                    <w:keepNext w:val="0"/>
                    <w:keepLines w:val="0"/>
                    <w:widowControl/>
                    <w:suppressLineNumbers w:val="0"/>
                    <w:jc w:val="center"/>
                    <w:textAlignment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等线" w:cs="Times New Roman"/>
                      <w:i w:val="0"/>
                      <w:iCs w:val="0"/>
                      <w:color w:val="auto"/>
                      <w:kern w:val="0"/>
                      <w:sz w:val="21"/>
                      <w:szCs w:val="21"/>
                      <w:u w:val="none"/>
                      <w:lang w:val="en-US" w:eastAsia="zh-CN" w:bidi="ar"/>
                    </w:rPr>
                    <w:t>70</w:t>
                  </w:r>
                </w:p>
              </w:tc>
              <w:tc>
                <w:tcPr>
                  <w:tcW w:w="777" w:type="dxa"/>
                  <w:tcBorders>
                    <w:tl2br w:val="nil"/>
                    <w:tr2bl w:val="nil"/>
                  </w:tcBorders>
                  <w:shd w:val="clear" w:color="auto" w:fill="auto"/>
                  <w:noWrap/>
                  <w:tcMar>
                    <w:top w:w="15" w:type="dxa"/>
                    <w:left w:w="15" w:type="dxa"/>
                    <w:right w:w="15" w:type="dxa"/>
                  </w:tcMar>
                  <w:vAlign w:val="center"/>
                </w:tcPr>
                <w:p w14:paraId="1C0B73BE">
                  <w:pPr>
                    <w:jc w:val="center"/>
                    <w:rPr>
                      <w:rFonts w:hint="default" w:ascii="Times New Roman" w:hAnsi="Times New Roman" w:eastAsia="宋体" w:cs="Times New Roman"/>
                      <w:bCs/>
                      <w:color w:val="auto"/>
                      <w:kern w:val="2"/>
                      <w:sz w:val="21"/>
                      <w:szCs w:val="21"/>
                      <w:lang w:val="en-US" w:eastAsia="zh-CN" w:bidi="ar"/>
                    </w:rPr>
                  </w:pPr>
                  <w:r>
                    <w:rPr>
                      <w:rFonts w:hint="eastAsia" w:cs="Times New Roman"/>
                      <w:bCs/>
                      <w:color w:val="auto"/>
                      <w:kern w:val="2"/>
                      <w:sz w:val="21"/>
                      <w:szCs w:val="21"/>
                      <w:lang w:val="en-US" w:eastAsia="zh-CN" w:bidi="ar"/>
                    </w:rPr>
                    <w:t>8496</w:t>
                  </w:r>
                </w:p>
              </w:tc>
            </w:tr>
            <w:tr w14:paraId="5992C23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612" w:type="dxa"/>
                  <w:vMerge w:val="continue"/>
                  <w:tcBorders>
                    <w:tl2br w:val="nil"/>
                    <w:tr2bl w:val="nil"/>
                  </w:tcBorders>
                  <w:shd w:val="clear" w:color="auto" w:fill="auto"/>
                  <w:noWrap/>
                  <w:tcMar>
                    <w:top w:w="15" w:type="dxa"/>
                    <w:left w:w="15" w:type="dxa"/>
                    <w:right w:w="15" w:type="dxa"/>
                  </w:tcMar>
                  <w:vAlign w:val="center"/>
                </w:tcPr>
                <w:p w14:paraId="6C4A3082">
                  <w:pPr>
                    <w:jc w:val="center"/>
                    <w:rPr>
                      <w:color w:val="auto"/>
                      <w:sz w:val="21"/>
                      <w:szCs w:val="21"/>
                    </w:rPr>
                  </w:pPr>
                </w:p>
              </w:tc>
              <w:tc>
                <w:tcPr>
                  <w:tcW w:w="1535" w:type="dxa"/>
                  <w:tcBorders>
                    <w:tl2br w:val="nil"/>
                    <w:tr2bl w:val="nil"/>
                  </w:tcBorders>
                  <w:shd w:val="clear" w:color="auto" w:fill="auto"/>
                  <w:noWrap/>
                  <w:tcMar>
                    <w:top w:w="15" w:type="dxa"/>
                    <w:left w:w="15" w:type="dxa"/>
                    <w:right w:w="15" w:type="dxa"/>
                  </w:tcMar>
                  <w:vAlign w:val="center"/>
                </w:tcPr>
                <w:p w14:paraId="55FE77DE">
                  <w:pPr>
                    <w:keepNext w:val="0"/>
                    <w:keepLines w:val="0"/>
                    <w:pageBreakBefore w:val="0"/>
                    <w:widowControl/>
                    <w:kinsoku/>
                    <w:wordWrap/>
                    <w:overflowPunct/>
                    <w:topLinePunct w:val="0"/>
                    <w:autoSpaceDE/>
                    <w:autoSpaceDN/>
                    <w:bidi w:val="0"/>
                    <w:adjustRightInd w:val="0"/>
                    <w:snapToGrid w:val="0"/>
                    <w:spacing w:line="240" w:lineRule="auto"/>
                    <w:jc w:val="center"/>
                    <w:rPr>
                      <w:rFonts w:hint="eastAsia" w:ascii="Times New Roman" w:hAnsi="Times New Roman" w:eastAsia="宋体" w:cs="Times New Roman"/>
                      <w:color w:val="auto"/>
                      <w:spacing w:val="4"/>
                      <w:kern w:val="0"/>
                      <w:sz w:val="21"/>
                      <w:szCs w:val="21"/>
                      <w:lang w:val="en-US" w:eastAsia="zh-CN" w:bidi="ar"/>
                    </w:rPr>
                  </w:pPr>
                  <w:r>
                    <w:rPr>
                      <w:rFonts w:hint="default" w:ascii="Times New Roman" w:hAnsi="Times New Roman" w:eastAsia="宋体" w:cs="Times New Roman"/>
                      <w:color w:val="auto"/>
                      <w:spacing w:val="4"/>
                      <w:kern w:val="0"/>
                      <w:sz w:val="21"/>
                      <w:szCs w:val="21"/>
                      <w:lang w:bidi="ar"/>
                    </w:rPr>
                    <w:t>冷却塔</w:t>
                  </w:r>
                </w:p>
              </w:tc>
              <w:tc>
                <w:tcPr>
                  <w:tcW w:w="646" w:type="dxa"/>
                  <w:tcBorders>
                    <w:tl2br w:val="nil"/>
                    <w:tr2bl w:val="nil"/>
                  </w:tcBorders>
                  <w:shd w:val="clear" w:color="auto" w:fill="auto"/>
                  <w:noWrap/>
                  <w:tcMar>
                    <w:top w:w="15" w:type="dxa"/>
                    <w:left w:w="15" w:type="dxa"/>
                    <w:right w:w="15" w:type="dxa"/>
                  </w:tcMar>
                  <w:vAlign w:val="center"/>
                </w:tcPr>
                <w:p w14:paraId="75A7FA45">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1</w:t>
                  </w:r>
                </w:p>
              </w:tc>
              <w:tc>
                <w:tcPr>
                  <w:tcW w:w="842" w:type="dxa"/>
                  <w:vMerge w:val="continue"/>
                  <w:tcBorders>
                    <w:tl2br w:val="nil"/>
                    <w:tr2bl w:val="nil"/>
                  </w:tcBorders>
                  <w:shd w:val="clear" w:color="auto" w:fill="auto"/>
                  <w:noWrap/>
                  <w:tcMar>
                    <w:top w:w="15" w:type="dxa"/>
                    <w:left w:w="15" w:type="dxa"/>
                    <w:right w:w="15" w:type="dxa"/>
                  </w:tcMar>
                  <w:vAlign w:val="center"/>
                </w:tcPr>
                <w:p w14:paraId="67C549CB">
                  <w:pPr>
                    <w:jc w:val="center"/>
                    <w:rPr>
                      <w:color w:val="auto"/>
                      <w:sz w:val="21"/>
                      <w:szCs w:val="21"/>
                    </w:rPr>
                  </w:pPr>
                </w:p>
              </w:tc>
              <w:tc>
                <w:tcPr>
                  <w:tcW w:w="704" w:type="dxa"/>
                  <w:vMerge w:val="continue"/>
                  <w:tcBorders>
                    <w:tl2br w:val="nil"/>
                    <w:tr2bl w:val="nil"/>
                  </w:tcBorders>
                  <w:shd w:val="clear" w:color="auto" w:fill="auto"/>
                  <w:noWrap/>
                  <w:tcMar>
                    <w:top w:w="15" w:type="dxa"/>
                    <w:left w:w="15" w:type="dxa"/>
                    <w:right w:w="15" w:type="dxa"/>
                  </w:tcMar>
                  <w:vAlign w:val="center"/>
                </w:tcPr>
                <w:p w14:paraId="2863B1FE">
                  <w:pPr>
                    <w:jc w:val="center"/>
                    <w:rPr>
                      <w:color w:val="auto"/>
                      <w:sz w:val="21"/>
                      <w:szCs w:val="21"/>
                    </w:rPr>
                  </w:pPr>
                </w:p>
              </w:tc>
              <w:tc>
                <w:tcPr>
                  <w:tcW w:w="658" w:type="dxa"/>
                  <w:tcBorders>
                    <w:tl2br w:val="nil"/>
                    <w:tr2bl w:val="nil"/>
                  </w:tcBorders>
                  <w:shd w:val="clear" w:color="auto" w:fill="auto"/>
                  <w:noWrap/>
                  <w:tcMar>
                    <w:top w:w="15" w:type="dxa"/>
                    <w:left w:w="15" w:type="dxa"/>
                    <w:right w:w="15" w:type="dxa"/>
                  </w:tcMar>
                  <w:vAlign w:val="center"/>
                </w:tcPr>
                <w:p w14:paraId="7DB84A61">
                  <w:pPr>
                    <w:jc w:val="center"/>
                    <w:rPr>
                      <w:rFonts w:hint="default" w:ascii="Times New Roman" w:hAnsi="Times New Roman" w:eastAsia="宋体" w:cs="Times New Roman"/>
                      <w:color w:val="auto"/>
                      <w:kern w:val="2"/>
                      <w:sz w:val="21"/>
                      <w:szCs w:val="21"/>
                      <w:lang w:val="en-US" w:eastAsia="zh-CN" w:bidi="ar"/>
                    </w:rPr>
                  </w:pPr>
                  <w:r>
                    <w:rPr>
                      <w:rFonts w:hint="eastAsia" w:cs="Times New Roman"/>
                      <w:color w:val="auto"/>
                      <w:kern w:val="2"/>
                      <w:sz w:val="21"/>
                      <w:szCs w:val="21"/>
                      <w:lang w:val="en-US" w:eastAsia="zh-CN" w:bidi="ar"/>
                    </w:rPr>
                    <w:t>85</w:t>
                  </w:r>
                </w:p>
              </w:tc>
              <w:tc>
                <w:tcPr>
                  <w:tcW w:w="3080" w:type="dxa"/>
                  <w:tcBorders>
                    <w:tl2br w:val="nil"/>
                    <w:tr2bl w:val="nil"/>
                  </w:tcBorders>
                  <w:shd w:val="clear" w:color="auto" w:fill="auto"/>
                  <w:noWrap/>
                  <w:tcMar>
                    <w:top w:w="15" w:type="dxa"/>
                    <w:left w:w="15" w:type="dxa"/>
                    <w:right w:w="15" w:type="dxa"/>
                  </w:tcMar>
                  <w:vAlign w:val="center"/>
                </w:tcPr>
                <w:p w14:paraId="24E1738F">
                  <w:pPr>
                    <w:pStyle w:val="22"/>
                    <w:widowControl w:val="0"/>
                    <w:spacing w:before="0" w:beforeAutospacing="0" w:after="0" w:afterAutospacing="0"/>
                    <w:jc w:val="center"/>
                    <w:rPr>
                      <w:rFonts w:hint="default" w:ascii="Times New Roman" w:hAnsi="Times New Roman" w:eastAsia="宋体" w:cs="Times New Roman"/>
                      <w:bCs/>
                      <w:color w:val="auto"/>
                      <w:kern w:val="2"/>
                      <w:sz w:val="21"/>
                      <w:szCs w:val="21"/>
                      <w:lang w:val="en-US" w:eastAsia="zh-CN" w:bidi="ar"/>
                    </w:rPr>
                  </w:pPr>
                  <w:r>
                    <w:rPr>
                      <w:rFonts w:hint="eastAsia" w:ascii="Times New Roman" w:hAnsi="Times New Roman" w:cs="Times New Roman"/>
                      <w:bCs/>
                      <w:color w:val="auto"/>
                      <w:kern w:val="2"/>
                      <w:sz w:val="21"/>
                      <w:szCs w:val="21"/>
                      <w:lang w:val="en-US" w:eastAsia="zh-CN" w:bidi="ar"/>
                    </w:rPr>
                    <w:t>电机隔声，减振垫、消音器</w:t>
                  </w:r>
                </w:p>
              </w:tc>
              <w:tc>
                <w:tcPr>
                  <w:tcW w:w="820" w:type="dxa"/>
                  <w:tcBorders>
                    <w:tl2br w:val="nil"/>
                    <w:tr2bl w:val="nil"/>
                  </w:tcBorders>
                  <w:shd w:val="clear" w:color="auto" w:fill="auto"/>
                  <w:noWrap/>
                  <w:tcMar>
                    <w:top w:w="15" w:type="dxa"/>
                    <w:left w:w="15" w:type="dxa"/>
                    <w:right w:w="15" w:type="dxa"/>
                  </w:tcMar>
                  <w:vAlign w:val="center"/>
                </w:tcPr>
                <w:p w14:paraId="0F2D54F0">
                  <w:pPr>
                    <w:widowControl/>
                    <w:jc w:val="center"/>
                    <w:textAlignment w:val="bottom"/>
                    <w:rPr>
                      <w:rFonts w:hint="default" w:ascii="Times New Roman" w:hAnsi="Times New Roman" w:eastAsia="宋体" w:cs="Times New Roman"/>
                      <w:color w:val="auto"/>
                      <w:kern w:val="0"/>
                      <w:sz w:val="21"/>
                      <w:szCs w:val="21"/>
                      <w:lang w:val="en-US" w:eastAsia="zh-CN" w:bidi="ar"/>
                    </w:rPr>
                  </w:pPr>
                  <w:r>
                    <w:rPr>
                      <w:rFonts w:hint="eastAsia"/>
                      <w:color w:val="auto"/>
                      <w:kern w:val="0"/>
                      <w:sz w:val="21"/>
                      <w:szCs w:val="21"/>
                      <w:lang w:val="en-US" w:eastAsia="zh-CN"/>
                    </w:rPr>
                    <w:t>-15</w:t>
                  </w:r>
                </w:p>
              </w:tc>
              <w:tc>
                <w:tcPr>
                  <w:tcW w:w="592" w:type="dxa"/>
                  <w:vMerge w:val="continue"/>
                  <w:tcBorders>
                    <w:tl2br w:val="nil"/>
                    <w:tr2bl w:val="nil"/>
                  </w:tcBorders>
                  <w:shd w:val="clear" w:color="auto" w:fill="auto"/>
                  <w:noWrap/>
                  <w:tcMar>
                    <w:top w:w="15" w:type="dxa"/>
                    <w:left w:w="15" w:type="dxa"/>
                    <w:right w:w="15" w:type="dxa"/>
                  </w:tcMar>
                  <w:vAlign w:val="center"/>
                </w:tcPr>
                <w:p w14:paraId="225DEC77">
                  <w:pPr>
                    <w:jc w:val="center"/>
                    <w:rPr>
                      <w:color w:val="auto"/>
                      <w:sz w:val="21"/>
                      <w:szCs w:val="21"/>
                    </w:rPr>
                  </w:pPr>
                </w:p>
              </w:tc>
              <w:tc>
                <w:tcPr>
                  <w:tcW w:w="1376" w:type="dxa"/>
                  <w:tcBorders>
                    <w:tl2br w:val="nil"/>
                    <w:tr2bl w:val="nil"/>
                  </w:tcBorders>
                  <w:shd w:val="clear" w:color="auto" w:fill="auto"/>
                  <w:noWrap/>
                  <w:tcMar>
                    <w:top w:w="15" w:type="dxa"/>
                    <w:left w:w="15" w:type="dxa"/>
                    <w:right w:w="15" w:type="dxa"/>
                  </w:tcMar>
                  <w:vAlign w:val="bottom"/>
                </w:tcPr>
                <w:p w14:paraId="6B327112">
                  <w:pPr>
                    <w:keepNext w:val="0"/>
                    <w:keepLines w:val="0"/>
                    <w:widowControl/>
                    <w:suppressLineNumbers w:val="0"/>
                    <w:jc w:val="center"/>
                    <w:textAlignment w:val="bottom"/>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70</w:t>
                  </w:r>
                </w:p>
              </w:tc>
              <w:tc>
                <w:tcPr>
                  <w:tcW w:w="768" w:type="dxa"/>
                  <w:tcBorders>
                    <w:tl2br w:val="nil"/>
                    <w:tr2bl w:val="nil"/>
                  </w:tcBorders>
                  <w:shd w:val="clear" w:color="auto" w:fill="auto"/>
                  <w:noWrap/>
                  <w:tcMar>
                    <w:top w:w="15" w:type="dxa"/>
                    <w:left w:w="15" w:type="dxa"/>
                    <w:right w:w="15" w:type="dxa"/>
                  </w:tcMar>
                  <w:vAlign w:val="center"/>
                </w:tcPr>
                <w:p w14:paraId="11E4F4E3">
                  <w:pPr>
                    <w:keepNext w:val="0"/>
                    <w:keepLines w:val="0"/>
                    <w:widowControl/>
                    <w:suppressLineNumbers w:val="0"/>
                    <w:jc w:val="center"/>
                    <w:textAlignment w:val="center"/>
                    <w:rPr>
                      <w:rFonts w:hint="default" w:ascii="Times New Roman" w:hAnsi="Times New Roman" w:eastAsia="等线" w:cs="Times New Roman"/>
                      <w:i w:val="0"/>
                      <w:iCs w:val="0"/>
                      <w:color w:val="auto"/>
                      <w:kern w:val="0"/>
                      <w:sz w:val="21"/>
                      <w:szCs w:val="21"/>
                      <w:u w:val="none"/>
                      <w:lang w:val="en-US" w:eastAsia="zh-CN" w:bidi="ar"/>
                    </w:rPr>
                  </w:pPr>
                  <w:r>
                    <w:rPr>
                      <w:rFonts w:hint="eastAsia" w:eastAsia="等线" w:cs="Times New Roman"/>
                      <w:i w:val="0"/>
                      <w:iCs w:val="0"/>
                      <w:color w:val="auto"/>
                      <w:kern w:val="0"/>
                      <w:sz w:val="21"/>
                      <w:szCs w:val="21"/>
                      <w:u w:val="none"/>
                      <w:lang w:val="en-US" w:eastAsia="zh-CN" w:bidi="ar"/>
                    </w:rPr>
                    <w:t>70</w:t>
                  </w:r>
                </w:p>
              </w:tc>
              <w:tc>
                <w:tcPr>
                  <w:tcW w:w="777" w:type="dxa"/>
                  <w:tcBorders>
                    <w:tl2br w:val="nil"/>
                    <w:tr2bl w:val="nil"/>
                  </w:tcBorders>
                  <w:shd w:val="clear" w:color="auto" w:fill="auto"/>
                  <w:noWrap/>
                  <w:tcMar>
                    <w:top w:w="15" w:type="dxa"/>
                    <w:left w:w="15" w:type="dxa"/>
                    <w:right w:w="15" w:type="dxa"/>
                  </w:tcMar>
                  <w:vAlign w:val="center"/>
                </w:tcPr>
                <w:p w14:paraId="47137ECB">
                  <w:pPr>
                    <w:jc w:val="center"/>
                    <w:rPr>
                      <w:rFonts w:hint="default" w:cs="Times New Roman"/>
                      <w:bCs/>
                      <w:color w:val="auto"/>
                      <w:kern w:val="2"/>
                      <w:sz w:val="21"/>
                      <w:szCs w:val="21"/>
                      <w:lang w:val="en-US" w:eastAsia="zh-CN" w:bidi="ar"/>
                    </w:rPr>
                  </w:pPr>
                  <w:r>
                    <w:rPr>
                      <w:rFonts w:hint="eastAsia" w:cs="Times New Roman"/>
                      <w:bCs/>
                      <w:color w:val="auto"/>
                      <w:kern w:val="2"/>
                      <w:sz w:val="21"/>
                      <w:szCs w:val="21"/>
                      <w:lang w:val="en-US" w:eastAsia="zh-CN" w:bidi="ar"/>
                    </w:rPr>
                    <w:t>8496</w:t>
                  </w:r>
                </w:p>
              </w:tc>
            </w:tr>
            <w:tr w14:paraId="575D2F7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612" w:type="dxa"/>
                  <w:vMerge w:val="continue"/>
                  <w:tcBorders>
                    <w:tl2br w:val="nil"/>
                    <w:tr2bl w:val="nil"/>
                  </w:tcBorders>
                  <w:shd w:val="clear" w:color="auto" w:fill="auto"/>
                  <w:noWrap/>
                  <w:tcMar>
                    <w:top w:w="15" w:type="dxa"/>
                    <w:left w:w="15" w:type="dxa"/>
                    <w:right w:w="15" w:type="dxa"/>
                  </w:tcMar>
                  <w:vAlign w:val="center"/>
                </w:tcPr>
                <w:p w14:paraId="76A1E0D4">
                  <w:pPr>
                    <w:jc w:val="center"/>
                    <w:rPr>
                      <w:color w:val="auto"/>
                      <w:sz w:val="21"/>
                      <w:szCs w:val="21"/>
                    </w:rPr>
                  </w:pPr>
                </w:p>
              </w:tc>
              <w:tc>
                <w:tcPr>
                  <w:tcW w:w="1535" w:type="dxa"/>
                  <w:tcBorders>
                    <w:tl2br w:val="nil"/>
                    <w:tr2bl w:val="nil"/>
                  </w:tcBorders>
                  <w:shd w:val="clear" w:color="auto" w:fill="auto"/>
                  <w:noWrap/>
                  <w:tcMar>
                    <w:top w:w="15" w:type="dxa"/>
                    <w:left w:w="15" w:type="dxa"/>
                    <w:right w:w="15" w:type="dxa"/>
                  </w:tcMar>
                  <w:vAlign w:val="center"/>
                </w:tcPr>
                <w:p w14:paraId="336E788D">
                  <w:pPr>
                    <w:keepNext w:val="0"/>
                    <w:keepLines w:val="0"/>
                    <w:pageBreakBefore w:val="0"/>
                    <w:widowControl/>
                    <w:kinsoku/>
                    <w:wordWrap/>
                    <w:overflowPunct/>
                    <w:topLinePunct w:val="0"/>
                    <w:autoSpaceDE/>
                    <w:autoSpaceDN/>
                    <w:bidi w:val="0"/>
                    <w:adjustRightInd w:val="0"/>
                    <w:snapToGrid w:val="0"/>
                    <w:spacing w:line="240" w:lineRule="auto"/>
                    <w:jc w:val="center"/>
                    <w:rPr>
                      <w:rFonts w:hint="eastAsia" w:ascii="Times New Roman" w:hAnsi="Times New Roman" w:eastAsia="宋体" w:cs="Times New Roman"/>
                      <w:color w:val="auto"/>
                      <w:spacing w:val="4"/>
                      <w:kern w:val="0"/>
                      <w:sz w:val="21"/>
                      <w:szCs w:val="21"/>
                      <w:lang w:val="en-US" w:eastAsia="zh-CN" w:bidi="ar"/>
                    </w:rPr>
                  </w:pPr>
                  <w:r>
                    <w:rPr>
                      <w:rFonts w:hint="eastAsia" w:ascii="Times New Roman" w:hAnsi="Times New Roman" w:eastAsia="宋体" w:cs="Times New Roman"/>
                      <w:color w:val="auto"/>
                      <w:spacing w:val="4"/>
                      <w:kern w:val="0"/>
                      <w:sz w:val="21"/>
                      <w:szCs w:val="21"/>
                      <w:lang w:val="en-US" w:eastAsia="zh-CN" w:bidi="ar"/>
                    </w:rPr>
                    <w:t>废水处理设施</w:t>
                  </w:r>
                </w:p>
              </w:tc>
              <w:tc>
                <w:tcPr>
                  <w:tcW w:w="646" w:type="dxa"/>
                  <w:tcBorders>
                    <w:tl2br w:val="nil"/>
                    <w:tr2bl w:val="nil"/>
                  </w:tcBorders>
                  <w:shd w:val="clear" w:color="auto" w:fill="auto"/>
                  <w:noWrap/>
                  <w:tcMar>
                    <w:top w:w="15" w:type="dxa"/>
                    <w:left w:w="15" w:type="dxa"/>
                    <w:right w:w="15" w:type="dxa"/>
                  </w:tcMar>
                  <w:vAlign w:val="center"/>
                </w:tcPr>
                <w:p w14:paraId="1B7934D4">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jc w:val="center"/>
                    <w:textAlignment w:val="auto"/>
                    <w:rPr>
                      <w:rFonts w:hint="default" w:cs="Times New Roman"/>
                      <w:color w:val="auto"/>
                      <w:kern w:val="2"/>
                      <w:sz w:val="21"/>
                      <w:szCs w:val="21"/>
                      <w:lang w:val="en-US" w:eastAsia="zh-CN" w:bidi="ar-SA"/>
                    </w:rPr>
                  </w:pPr>
                  <w:r>
                    <w:rPr>
                      <w:rFonts w:hint="eastAsia" w:cs="Times New Roman"/>
                      <w:color w:val="auto"/>
                      <w:kern w:val="2"/>
                      <w:sz w:val="21"/>
                      <w:szCs w:val="21"/>
                      <w:lang w:val="en-US" w:eastAsia="zh-CN" w:bidi="ar-SA"/>
                    </w:rPr>
                    <w:t>1</w:t>
                  </w:r>
                </w:p>
              </w:tc>
              <w:tc>
                <w:tcPr>
                  <w:tcW w:w="842" w:type="dxa"/>
                  <w:vMerge w:val="continue"/>
                  <w:tcBorders>
                    <w:tl2br w:val="nil"/>
                    <w:tr2bl w:val="nil"/>
                  </w:tcBorders>
                  <w:shd w:val="clear" w:color="auto" w:fill="auto"/>
                  <w:noWrap/>
                  <w:tcMar>
                    <w:top w:w="15" w:type="dxa"/>
                    <w:left w:w="15" w:type="dxa"/>
                    <w:right w:w="15" w:type="dxa"/>
                  </w:tcMar>
                  <w:vAlign w:val="center"/>
                </w:tcPr>
                <w:p w14:paraId="6A3B73CA">
                  <w:pPr>
                    <w:jc w:val="center"/>
                    <w:rPr>
                      <w:color w:val="auto"/>
                      <w:sz w:val="21"/>
                      <w:szCs w:val="21"/>
                    </w:rPr>
                  </w:pPr>
                </w:p>
              </w:tc>
              <w:tc>
                <w:tcPr>
                  <w:tcW w:w="704" w:type="dxa"/>
                  <w:vMerge w:val="continue"/>
                  <w:tcBorders>
                    <w:tl2br w:val="nil"/>
                    <w:tr2bl w:val="nil"/>
                  </w:tcBorders>
                  <w:shd w:val="clear" w:color="auto" w:fill="auto"/>
                  <w:noWrap/>
                  <w:tcMar>
                    <w:top w:w="15" w:type="dxa"/>
                    <w:left w:w="15" w:type="dxa"/>
                    <w:right w:w="15" w:type="dxa"/>
                  </w:tcMar>
                  <w:vAlign w:val="center"/>
                </w:tcPr>
                <w:p w14:paraId="68D0B9FD">
                  <w:pPr>
                    <w:jc w:val="center"/>
                    <w:rPr>
                      <w:color w:val="auto"/>
                      <w:sz w:val="21"/>
                      <w:szCs w:val="21"/>
                    </w:rPr>
                  </w:pPr>
                </w:p>
              </w:tc>
              <w:tc>
                <w:tcPr>
                  <w:tcW w:w="658" w:type="dxa"/>
                  <w:tcBorders>
                    <w:tl2br w:val="nil"/>
                    <w:tr2bl w:val="nil"/>
                  </w:tcBorders>
                  <w:shd w:val="clear" w:color="auto" w:fill="auto"/>
                  <w:noWrap/>
                  <w:tcMar>
                    <w:top w:w="15" w:type="dxa"/>
                    <w:left w:w="15" w:type="dxa"/>
                    <w:right w:w="15" w:type="dxa"/>
                  </w:tcMar>
                  <w:vAlign w:val="center"/>
                </w:tcPr>
                <w:p w14:paraId="54A7BFDC">
                  <w:pPr>
                    <w:keepNext w:val="0"/>
                    <w:keepLines w:val="0"/>
                    <w:widowControl/>
                    <w:suppressLineNumbers w:val="0"/>
                    <w:spacing w:before="0" w:beforeAutospacing="0" w:after="0" w:afterAutospacing="0"/>
                    <w:ind w:left="0" w:leftChars="0" w:right="0" w:rightChars="0"/>
                    <w:jc w:val="center"/>
                    <w:textAlignment w:val="bottom"/>
                    <w:rPr>
                      <w:rFonts w:hint="default" w:cs="Times New Roman"/>
                      <w:color w:val="auto"/>
                      <w:kern w:val="2"/>
                      <w:sz w:val="21"/>
                      <w:szCs w:val="21"/>
                      <w:lang w:val="en-US" w:eastAsia="zh-CN" w:bidi="ar"/>
                    </w:rPr>
                  </w:pPr>
                  <w:r>
                    <w:rPr>
                      <w:rFonts w:hint="eastAsia"/>
                      <w:color w:val="auto"/>
                      <w:kern w:val="0"/>
                      <w:sz w:val="21"/>
                      <w:szCs w:val="21"/>
                    </w:rPr>
                    <w:t>90</w:t>
                  </w:r>
                </w:p>
              </w:tc>
              <w:tc>
                <w:tcPr>
                  <w:tcW w:w="3080" w:type="dxa"/>
                  <w:tcBorders>
                    <w:tl2br w:val="nil"/>
                    <w:tr2bl w:val="nil"/>
                  </w:tcBorders>
                  <w:shd w:val="clear" w:color="auto" w:fill="auto"/>
                  <w:noWrap/>
                  <w:tcMar>
                    <w:top w:w="15" w:type="dxa"/>
                    <w:left w:w="15" w:type="dxa"/>
                    <w:right w:w="15" w:type="dxa"/>
                  </w:tcMar>
                  <w:vAlign w:val="center"/>
                </w:tcPr>
                <w:p w14:paraId="3D6796E5">
                  <w:pPr>
                    <w:pStyle w:val="22"/>
                    <w:keepNext w:val="0"/>
                    <w:keepLines w:val="0"/>
                    <w:widowControl w:val="0"/>
                    <w:suppressLineNumbers w:val="0"/>
                    <w:spacing w:before="0" w:beforeAutospacing="0" w:after="0" w:afterAutospacing="0"/>
                    <w:ind w:left="0" w:leftChars="0" w:right="0" w:rightChars="0"/>
                    <w:jc w:val="center"/>
                    <w:rPr>
                      <w:rFonts w:hint="eastAsia" w:ascii="Times New Roman" w:hAnsi="Times New Roman" w:cs="Times New Roman"/>
                      <w:bCs/>
                      <w:color w:val="auto"/>
                      <w:kern w:val="2"/>
                      <w:sz w:val="21"/>
                      <w:szCs w:val="21"/>
                      <w:lang w:val="en-US" w:eastAsia="zh-CN" w:bidi="ar"/>
                    </w:rPr>
                  </w:pPr>
                  <w:r>
                    <w:rPr>
                      <w:rFonts w:hint="default" w:ascii="Times New Roman" w:hAnsi="Times New Roman"/>
                      <w:bCs/>
                      <w:color w:val="auto"/>
                      <w:kern w:val="2"/>
                      <w:sz w:val="21"/>
                      <w:szCs w:val="21"/>
                    </w:rPr>
                    <w:t>电机隔声，减振底座、消音器</w:t>
                  </w:r>
                  <w:r>
                    <w:rPr>
                      <w:rFonts w:hint="eastAsia" w:ascii="Times New Roman" w:hAnsi="Times New Roman"/>
                      <w:bCs/>
                      <w:color w:val="auto"/>
                      <w:kern w:val="2"/>
                      <w:sz w:val="21"/>
                      <w:szCs w:val="21"/>
                    </w:rPr>
                    <w:t>、隔声罩</w:t>
                  </w:r>
                </w:p>
              </w:tc>
              <w:tc>
                <w:tcPr>
                  <w:tcW w:w="820" w:type="dxa"/>
                  <w:tcBorders>
                    <w:tl2br w:val="nil"/>
                    <w:tr2bl w:val="nil"/>
                  </w:tcBorders>
                  <w:shd w:val="clear" w:color="auto" w:fill="auto"/>
                  <w:noWrap/>
                  <w:tcMar>
                    <w:top w:w="15" w:type="dxa"/>
                    <w:left w:w="15" w:type="dxa"/>
                    <w:right w:w="15" w:type="dxa"/>
                  </w:tcMar>
                  <w:vAlign w:val="center"/>
                </w:tcPr>
                <w:p w14:paraId="7E10925B">
                  <w:pPr>
                    <w:keepNext w:val="0"/>
                    <w:keepLines w:val="0"/>
                    <w:widowControl/>
                    <w:suppressLineNumbers w:val="0"/>
                    <w:spacing w:before="0" w:beforeAutospacing="0" w:after="0" w:afterAutospacing="0"/>
                    <w:ind w:left="0" w:leftChars="0" w:right="0" w:rightChars="0"/>
                    <w:jc w:val="center"/>
                    <w:textAlignment w:val="bottom"/>
                    <w:rPr>
                      <w:rFonts w:hint="eastAsia"/>
                      <w:color w:val="auto"/>
                      <w:kern w:val="0"/>
                      <w:sz w:val="21"/>
                      <w:szCs w:val="21"/>
                      <w:lang w:val="en-US" w:eastAsia="zh-CN"/>
                    </w:rPr>
                  </w:pPr>
                  <w:r>
                    <w:rPr>
                      <w:rFonts w:hint="eastAsia"/>
                      <w:color w:val="auto"/>
                      <w:kern w:val="0"/>
                      <w:sz w:val="21"/>
                      <w:szCs w:val="21"/>
                    </w:rPr>
                    <w:t>-</w:t>
                  </w:r>
                  <w:r>
                    <w:rPr>
                      <w:rFonts w:hint="eastAsia"/>
                      <w:color w:val="auto"/>
                      <w:kern w:val="0"/>
                      <w:sz w:val="21"/>
                      <w:szCs w:val="21"/>
                      <w:lang w:val="en-US" w:eastAsia="zh-CN"/>
                    </w:rPr>
                    <w:t>20</w:t>
                  </w:r>
                </w:p>
              </w:tc>
              <w:tc>
                <w:tcPr>
                  <w:tcW w:w="592" w:type="dxa"/>
                  <w:vMerge w:val="continue"/>
                  <w:tcBorders>
                    <w:tl2br w:val="nil"/>
                    <w:tr2bl w:val="nil"/>
                  </w:tcBorders>
                  <w:shd w:val="clear" w:color="auto" w:fill="auto"/>
                  <w:noWrap/>
                  <w:tcMar>
                    <w:top w:w="15" w:type="dxa"/>
                    <w:left w:w="15" w:type="dxa"/>
                    <w:right w:w="15" w:type="dxa"/>
                  </w:tcMar>
                  <w:vAlign w:val="center"/>
                </w:tcPr>
                <w:p w14:paraId="4D55C296">
                  <w:pPr>
                    <w:jc w:val="center"/>
                    <w:rPr>
                      <w:color w:val="auto"/>
                      <w:sz w:val="21"/>
                      <w:szCs w:val="21"/>
                    </w:rPr>
                  </w:pPr>
                </w:p>
              </w:tc>
              <w:tc>
                <w:tcPr>
                  <w:tcW w:w="1376" w:type="dxa"/>
                  <w:tcBorders>
                    <w:tl2br w:val="nil"/>
                    <w:tr2bl w:val="nil"/>
                  </w:tcBorders>
                  <w:shd w:val="clear" w:color="auto" w:fill="auto"/>
                  <w:noWrap/>
                  <w:tcMar>
                    <w:top w:w="15" w:type="dxa"/>
                    <w:left w:w="15" w:type="dxa"/>
                    <w:right w:w="15" w:type="dxa"/>
                  </w:tcMar>
                  <w:vAlign w:val="center"/>
                </w:tcPr>
                <w:p w14:paraId="09C1FAAC">
                  <w:pPr>
                    <w:keepNext w:val="0"/>
                    <w:keepLines w:val="0"/>
                    <w:widowControl/>
                    <w:suppressLineNumbers w:val="0"/>
                    <w:jc w:val="center"/>
                    <w:textAlignment w:val="bottom"/>
                    <w:rPr>
                      <w:rFonts w:hint="eastAsia"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70</w:t>
                  </w:r>
                </w:p>
              </w:tc>
              <w:tc>
                <w:tcPr>
                  <w:tcW w:w="768" w:type="dxa"/>
                  <w:tcBorders>
                    <w:tl2br w:val="nil"/>
                    <w:tr2bl w:val="nil"/>
                  </w:tcBorders>
                  <w:shd w:val="clear" w:color="auto" w:fill="auto"/>
                  <w:noWrap/>
                  <w:tcMar>
                    <w:top w:w="15" w:type="dxa"/>
                    <w:left w:w="15" w:type="dxa"/>
                    <w:right w:w="15" w:type="dxa"/>
                  </w:tcMar>
                  <w:vAlign w:val="center"/>
                </w:tcPr>
                <w:p w14:paraId="62C707B4">
                  <w:pPr>
                    <w:keepNext w:val="0"/>
                    <w:keepLines w:val="0"/>
                    <w:widowControl/>
                    <w:suppressLineNumbers w:val="0"/>
                    <w:jc w:val="center"/>
                    <w:textAlignment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等线" w:cs="Times New Roman"/>
                      <w:i w:val="0"/>
                      <w:iCs w:val="0"/>
                      <w:color w:val="auto"/>
                      <w:kern w:val="0"/>
                      <w:sz w:val="21"/>
                      <w:szCs w:val="21"/>
                      <w:u w:val="none"/>
                      <w:lang w:val="en-US" w:eastAsia="zh-CN" w:bidi="ar"/>
                    </w:rPr>
                    <w:t>70</w:t>
                  </w:r>
                </w:p>
              </w:tc>
              <w:tc>
                <w:tcPr>
                  <w:tcW w:w="777" w:type="dxa"/>
                  <w:tcBorders>
                    <w:tl2br w:val="nil"/>
                    <w:tr2bl w:val="nil"/>
                  </w:tcBorders>
                  <w:shd w:val="clear" w:color="auto" w:fill="auto"/>
                  <w:noWrap/>
                  <w:tcMar>
                    <w:top w:w="15" w:type="dxa"/>
                    <w:left w:w="15" w:type="dxa"/>
                    <w:right w:w="15" w:type="dxa"/>
                  </w:tcMar>
                  <w:vAlign w:val="center"/>
                </w:tcPr>
                <w:p w14:paraId="7F41D0CB">
                  <w:pPr>
                    <w:jc w:val="center"/>
                    <w:rPr>
                      <w:rFonts w:hint="default" w:cs="Times New Roman"/>
                      <w:bCs/>
                      <w:color w:val="auto"/>
                      <w:kern w:val="2"/>
                      <w:sz w:val="21"/>
                      <w:szCs w:val="21"/>
                      <w:lang w:val="en-US" w:eastAsia="zh-CN" w:bidi="ar"/>
                    </w:rPr>
                  </w:pPr>
                  <w:r>
                    <w:rPr>
                      <w:rFonts w:hint="eastAsia" w:cs="Times New Roman"/>
                      <w:bCs/>
                      <w:color w:val="auto"/>
                      <w:kern w:val="2"/>
                      <w:sz w:val="21"/>
                      <w:szCs w:val="21"/>
                      <w:lang w:val="en-US" w:eastAsia="zh-CN" w:bidi="ar"/>
                    </w:rPr>
                    <w:t>8496</w:t>
                  </w:r>
                </w:p>
              </w:tc>
            </w:tr>
            <w:tr w14:paraId="5F217D7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612" w:type="dxa"/>
                  <w:vMerge w:val="continue"/>
                  <w:tcBorders>
                    <w:tl2br w:val="nil"/>
                    <w:tr2bl w:val="nil"/>
                  </w:tcBorders>
                  <w:shd w:val="clear" w:color="auto" w:fill="auto"/>
                  <w:noWrap/>
                  <w:tcMar>
                    <w:top w:w="15" w:type="dxa"/>
                    <w:left w:w="15" w:type="dxa"/>
                    <w:right w:w="15" w:type="dxa"/>
                  </w:tcMar>
                  <w:vAlign w:val="center"/>
                </w:tcPr>
                <w:p w14:paraId="4D1DCE82">
                  <w:pPr>
                    <w:jc w:val="center"/>
                    <w:rPr>
                      <w:color w:val="auto"/>
                      <w:sz w:val="21"/>
                      <w:szCs w:val="21"/>
                    </w:rPr>
                  </w:pPr>
                </w:p>
              </w:tc>
              <w:tc>
                <w:tcPr>
                  <w:tcW w:w="1535" w:type="dxa"/>
                  <w:tcBorders>
                    <w:tl2br w:val="nil"/>
                    <w:tr2bl w:val="nil"/>
                  </w:tcBorders>
                  <w:shd w:val="clear" w:color="auto" w:fill="auto"/>
                  <w:noWrap/>
                  <w:tcMar>
                    <w:top w:w="15" w:type="dxa"/>
                    <w:left w:w="15" w:type="dxa"/>
                    <w:right w:w="15" w:type="dxa"/>
                  </w:tcMar>
                  <w:vAlign w:val="center"/>
                </w:tcPr>
                <w:p w14:paraId="59600289">
                  <w:pPr>
                    <w:keepNext w:val="0"/>
                    <w:keepLines w:val="0"/>
                    <w:pageBreakBefore w:val="0"/>
                    <w:widowControl/>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color w:val="auto"/>
                      <w:spacing w:val="4"/>
                      <w:kern w:val="0"/>
                      <w:sz w:val="21"/>
                      <w:szCs w:val="21"/>
                      <w:lang w:val="en-US" w:eastAsia="zh-CN" w:bidi="ar"/>
                    </w:rPr>
                  </w:pPr>
                  <w:r>
                    <w:rPr>
                      <w:rFonts w:hint="eastAsia" w:cs="Times New Roman"/>
                      <w:color w:val="auto"/>
                      <w:spacing w:val="4"/>
                      <w:kern w:val="0"/>
                      <w:sz w:val="21"/>
                      <w:szCs w:val="21"/>
                      <w:lang w:val="en-US" w:eastAsia="zh-CN" w:bidi="ar"/>
                    </w:rPr>
                    <w:t>风机</w:t>
                  </w:r>
                </w:p>
              </w:tc>
              <w:tc>
                <w:tcPr>
                  <w:tcW w:w="646" w:type="dxa"/>
                  <w:tcBorders>
                    <w:tl2br w:val="nil"/>
                    <w:tr2bl w:val="nil"/>
                  </w:tcBorders>
                  <w:shd w:val="clear" w:color="auto" w:fill="auto"/>
                  <w:noWrap/>
                  <w:tcMar>
                    <w:top w:w="15" w:type="dxa"/>
                    <w:left w:w="15" w:type="dxa"/>
                    <w:right w:w="15" w:type="dxa"/>
                  </w:tcMar>
                  <w:vAlign w:val="center"/>
                </w:tcPr>
                <w:p w14:paraId="15D6D333">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jc w:val="center"/>
                    <w:textAlignment w:val="auto"/>
                    <w:rPr>
                      <w:rFonts w:hint="default" w:cs="Times New Roman"/>
                      <w:color w:val="auto"/>
                      <w:kern w:val="2"/>
                      <w:sz w:val="21"/>
                      <w:szCs w:val="21"/>
                      <w:lang w:val="en-US" w:eastAsia="zh-CN" w:bidi="ar-SA"/>
                    </w:rPr>
                  </w:pPr>
                  <w:r>
                    <w:rPr>
                      <w:rFonts w:hint="eastAsia" w:cs="Times New Roman"/>
                      <w:color w:val="auto"/>
                      <w:kern w:val="2"/>
                      <w:sz w:val="21"/>
                      <w:szCs w:val="21"/>
                      <w:lang w:val="en-US" w:eastAsia="zh-CN" w:bidi="ar-SA"/>
                    </w:rPr>
                    <w:t>1</w:t>
                  </w:r>
                </w:p>
              </w:tc>
              <w:tc>
                <w:tcPr>
                  <w:tcW w:w="842" w:type="dxa"/>
                  <w:vMerge w:val="continue"/>
                  <w:tcBorders>
                    <w:tl2br w:val="nil"/>
                    <w:tr2bl w:val="nil"/>
                  </w:tcBorders>
                  <w:shd w:val="clear" w:color="auto" w:fill="auto"/>
                  <w:noWrap/>
                  <w:tcMar>
                    <w:top w:w="15" w:type="dxa"/>
                    <w:left w:w="15" w:type="dxa"/>
                    <w:right w:w="15" w:type="dxa"/>
                  </w:tcMar>
                  <w:vAlign w:val="center"/>
                </w:tcPr>
                <w:p w14:paraId="1A0DFB95">
                  <w:pPr>
                    <w:jc w:val="center"/>
                    <w:rPr>
                      <w:color w:val="auto"/>
                      <w:sz w:val="21"/>
                      <w:szCs w:val="21"/>
                    </w:rPr>
                  </w:pPr>
                </w:p>
              </w:tc>
              <w:tc>
                <w:tcPr>
                  <w:tcW w:w="704" w:type="dxa"/>
                  <w:vMerge w:val="continue"/>
                  <w:tcBorders>
                    <w:tl2br w:val="nil"/>
                    <w:tr2bl w:val="nil"/>
                  </w:tcBorders>
                  <w:shd w:val="clear" w:color="auto" w:fill="auto"/>
                  <w:noWrap/>
                  <w:tcMar>
                    <w:top w:w="15" w:type="dxa"/>
                    <w:left w:w="15" w:type="dxa"/>
                    <w:right w:w="15" w:type="dxa"/>
                  </w:tcMar>
                  <w:vAlign w:val="center"/>
                </w:tcPr>
                <w:p w14:paraId="094904E7">
                  <w:pPr>
                    <w:jc w:val="center"/>
                    <w:rPr>
                      <w:color w:val="auto"/>
                      <w:sz w:val="21"/>
                      <w:szCs w:val="21"/>
                    </w:rPr>
                  </w:pPr>
                </w:p>
              </w:tc>
              <w:tc>
                <w:tcPr>
                  <w:tcW w:w="658" w:type="dxa"/>
                  <w:tcBorders>
                    <w:tl2br w:val="nil"/>
                    <w:tr2bl w:val="nil"/>
                  </w:tcBorders>
                  <w:shd w:val="clear" w:color="auto" w:fill="auto"/>
                  <w:noWrap/>
                  <w:tcMar>
                    <w:top w:w="15" w:type="dxa"/>
                    <w:left w:w="15" w:type="dxa"/>
                    <w:right w:w="15" w:type="dxa"/>
                  </w:tcMar>
                  <w:vAlign w:val="center"/>
                </w:tcPr>
                <w:p w14:paraId="265BDC54">
                  <w:pPr>
                    <w:keepNext w:val="0"/>
                    <w:keepLines w:val="0"/>
                    <w:widowControl/>
                    <w:suppressLineNumbers w:val="0"/>
                    <w:spacing w:before="0" w:beforeAutospacing="0" w:after="0" w:afterAutospacing="0"/>
                    <w:ind w:left="0" w:leftChars="0" w:right="0" w:rightChars="0"/>
                    <w:jc w:val="center"/>
                    <w:textAlignment w:val="bottom"/>
                    <w:rPr>
                      <w:rFonts w:hint="default" w:eastAsia="宋体"/>
                      <w:color w:val="auto"/>
                      <w:kern w:val="0"/>
                      <w:sz w:val="21"/>
                      <w:szCs w:val="21"/>
                      <w:lang w:val="en-US" w:eastAsia="zh-CN"/>
                    </w:rPr>
                  </w:pPr>
                  <w:r>
                    <w:rPr>
                      <w:rFonts w:hint="eastAsia"/>
                      <w:color w:val="auto"/>
                      <w:kern w:val="0"/>
                      <w:sz w:val="21"/>
                      <w:szCs w:val="21"/>
                      <w:lang w:val="en-US" w:eastAsia="zh-CN"/>
                    </w:rPr>
                    <w:t>85</w:t>
                  </w:r>
                </w:p>
              </w:tc>
              <w:tc>
                <w:tcPr>
                  <w:tcW w:w="3080" w:type="dxa"/>
                  <w:tcBorders>
                    <w:tl2br w:val="nil"/>
                    <w:tr2bl w:val="nil"/>
                  </w:tcBorders>
                  <w:shd w:val="clear" w:color="auto" w:fill="auto"/>
                  <w:noWrap/>
                  <w:tcMar>
                    <w:top w:w="15" w:type="dxa"/>
                    <w:left w:w="15" w:type="dxa"/>
                    <w:right w:w="15" w:type="dxa"/>
                  </w:tcMar>
                  <w:vAlign w:val="center"/>
                </w:tcPr>
                <w:p w14:paraId="364B02CD">
                  <w:pPr>
                    <w:pStyle w:val="22"/>
                    <w:keepNext w:val="0"/>
                    <w:keepLines w:val="0"/>
                    <w:widowControl w:val="0"/>
                    <w:suppressLineNumbers w:val="0"/>
                    <w:spacing w:before="0" w:beforeAutospacing="0" w:after="0" w:afterAutospacing="0"/>
                    <w:ind w:left="0" w:leftChars="0" w:right="0" w:rightChars="0"/>
                    <w:jc w:val="center"/>
                    <w:rPr>
                      <w:rFonts w:hint="default" w:ascii="Times New Roman" w:hAnsi="Times New Roman"/>
                      <w:bCs/>
                      <w:color w:val="auto"/>
                      <w:kern w:val="2"/>
                      <w:sz w:val="21"/>
                      <w:szCs w:val="21"/>
                    </w:rPr>
                  </w:pPr>
                  <w:r>
                    <w:rPr>
                      <w:rFonts w:hint="default" w:ascii="Times New Roman" w:hAnsi="Times New Roman"/>
                      <w:bCs/>
                      <w:color w:val="auto"/>
                      <w:kern w:val="2"/>
                      <w:sz w:val="21"/>
                      <w:szCs w:val="21"/>
                    </w:rPr>
                    <w:t>电机隔声，减振底座、消音器、软接头、隔声罩</w:t>
                  </w:r>
                </w:p>
              </w:tc>
              <w:tc>
                <w:tcPr>
                  <w:tcW w:w="820" w:type="dxa"/>
                  <w:tcBorders>
                    <w:tl2br w:val="nil"/>
                    <w:tr2bl w:val="nil"/>
                  </w:tcBorders>
                  <w:shd w:val="clear" w:color="auto" w:fill="auto"/>
                  <w:noWrap/>
                  <w:tcMar>
                    <w:top w:w="15" w:type="dxa"/>
                    <w:left w:w="15" w:type="dxa"/>
                    <w:right w:w="15" w:type="dxa"/>
                  </w:tcMar>
                  <w:vAlign w:val="center"/>
                </w:tcPr>
                <w:p w14:paraId="128BBEEA">
                  <w:pPr>
                    <w:keepNext w:val="0"/>
                    <w:keepLines w:val="0"/>
                    <w:widowControl/>
                    <w:suppressLineNumbers w:val="0"/>
                    <w:spacing w:before="0" w:beforeAutospacing="0" w:after="0" w:afterAutospacing="0"/>
                    <w:ind w:left="0" w:leftChars="0" w:right="0" w:rightChars="0"/>
                    <w:jc w:val="center"/>
                    <w:textAlignment w:val="bottom"/>
                    <w:rPr>
                      <w:rFonts w:hint="eastAsia"/>
                      <w:color w:val="auto"/>
                      <w:kern w:val="0"/>
                      <w:sz w:val="21"/>
                      <w:szCs w:val="21"/>
                    </w:rPr>
                  </w:pPr>
                  <w:r>
                    <w:rPr>
                      <w:rFonts w:hint="eastAsia"/>
                      <w:color w:val="auto"/>
                      <w:kern w:val="0"/>
                      <w:sz w:val="21"/>
                      <w:szCs w:val="21"/>
                    </w:rPr>
                    <w:t>-</w:t>
                  </w:r>
                  <w:r>
                    <w:rPr>
                      <w:rFonts w:hint="eastAsia"/>
                      <w:color w:val="auto"/>
                      <w:kern w:val="0"/>
                      <w:sz w:val="21"/>
                      <w:szCs w:val="21"/>
                      <w:lang w:val="en-US" w:eastAsia="zh-CN"/>
                    </w:rPr>
                    <w:t>20</w:t>
                  </w:r>
                </w:p>
              </w:tc>
              <w:tc>
                <w:tcPr>
                  <w:tcW w:w="592" w:type="dxa"/>
                  <w:vMerge w:val="continue"/>
                  <w:tcBorders>
                    <w:tl2br w:val="nil"/>
                    <w:tr2bl w:val="nil"/>
                  </w:tcBorders>
                  <w:shd w:val="clear" w:color="auto" w:fill="auto"/>
                  <w:noWrap/>
                  <w:tcMar>
                    <w:top w:w="15" w:type="dxa"/>
                    <w:left w:w="15" w:type="dxa"/>
                    <w:right w:w="15" w:type="dxa"/>
                  </w:tcMar>
                  <w:vAlign w:val="center"/>
                </w:tcPr>
                <w:p w14:paraId="21E10CE2">
                  <w:pPr>
                    <w:jc w:val="center"/>
                    <w:rPr>
                      <w:color w:val="auto"/>
                      <w:sz w:val="21"/>
                      <w:szCs w:val="21"/>
                    </w:rPr>
                  </w:pPr>
                </w:p>
              </w:tc>
              <w:tc>
                <w:tcPr>
                  <w:tcW w:w="1376" w:type="dxa"/>
                  <w:tcBorders>
                    <w:tl2br w:val="nil"/>
                    <w:tr2bl w:val="nil"/>
                  </w:tcBorders>
                  <w:shd w:val="clear" w:color="auto" w:fill="auto"/>
                  <w:noWrap/>
                  <w:tcMar>
                    <w:top w:w="15" w:type="dxa"/>
                    <w:left w:w="15" w:type="dxa"/>
                    <w:right w:w="15" w:type="dxa"/>
                  </w:tcMar>
                  <w:vAlign w:val="center"/>
                </w:tcPr>
                <w:p w14:paraId="5A73AB23">
                  <w:pPr>
                    <w:keepNext w:val="0"/>
                    <w:keepLines w:val="0"/>
                    <w:widowControl/>
                    <w:suppressLineNumbers w:val="0"/>
                    <w:jc w:val="center"/>
                    <w:textAlignment w:val="bottom"/>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65</w:t>
                  </w:r>
                </w:p>
              </w:tc>
              <w:tc>
                <w:tcPr>
                  <w:tcW w:w="768" w:type="dxa"/>
                  <w:tcBorders>
                    <w:tl2br w:val="nil"/>
                    <w:tr2bl w:val="nil"/>
                  </w:tcBorders>
                  <w:shd w:val="clear" w:color="auto" w:fill="auto"/>
                  <w:noWrap/>
                  <w:tcMar>
                    <w:top w:w="15" w:type="dxa"/>
                    <w:left w:w="15" w:type="dxa"/>
                    <w:right w:w="15" w:type="dxa"/>
                  </w:tcMar>
                  <w:vAlign w:val="center"/>
                </w:tcPr>
                <w:p w14:paraId="5E6BC9A9">
                  <w:pPr>
                    <w:keepNext w:val="0"/>
                    <w:keepLines w:val="0"/>
                    <w:widowControl/>
                    <w:suppressLineNumbers w:val="0"/>
                    <w:jc w:val="center"/>
                    <w:textAlignment w:val="center"/>
                    <w:rPr>
                      <w:rFonts w:hint="default" w:ascii="Times New Roman" w:hAnsi="Times New Roman" w:eastAsia="等线" w:cs="Times New Roman"/>
                      <w:i w:val="0"/>
                      <w:iCs w:val="0"/>
                      <w:color w:val="auto"/>
                      <w:kern w:val="0"/>
                      <w:sz w:val="21"/>
                      <w:szCs w:val="21"/>
                      <w:u w:val="none"/>
                      <w:lang w:val="en-US" w:eastAsia="zh-CN" w:bidi="ar"/>
                    </w:rPr>
                  </w:pPr>
                  <w:r>
                    <w:rPr>
                      <w:rFonts w:hint="eastAsia" w:eastAsia="等线" w:cs="Times New Roman"/>
                      <w:i w:val="0"/>
                      <w:iCs w:val="0"/>
                      <w:color w:val="auto"/>
                      <w:kern w:val="0"/>
                      <w:sz w:val="21"/>
                      <w:szCs w:val="21"/>
                      <w:u w:val="none"/>
                      <w:lang w:val="en-US" w:eastAsia="zh-CN" w:bidi="ar"/>
                    </w:rPr>
                    <w:t>65</w:t>
                  </w:r>
                </w:p>
              </w:tc>
              <w:tc>
                <w:tcPr>
                  <w:tcW w:w="777" w:type="dxa"/>
                  <w:tcBorders>
                    <w:tl2br w:val="nil"/>
                    <w:tr2bl w:val="nil"/>
                  </w:tcBorders>
                  <w:shd w:val="clear" w:color="auto" w:fill="auto"/>
                  <w:noWrap/>
                  <w:tcMar>
                    <w:top w:w="15" w:type="dxa"/>
                    <w:left w:w="15" w:type="dxa"/>
                    <w:right w:w="15" w:type="dxa"/>
                  </w:tcMar>
                  <w:vAlign w:val="center"/>
                </w:tcPr>
                <w:p w14:paraId="55965545">
                  <w:pPr>
                    <w:jc w:val="center"/>
                    <w:rPr>
                      <w:rFonts w:hint="eastAsia" w:cs="Times New Roman"/>
                      <w:bCs/>
                      <w:color w:val="auto"/>
                      <w:kern w:val="2"/>
                      <w:sz w:val="21"/>
                      <w:szCs w:val="21"/>
                      <w:lang w:val="en-US" w:eastAsia="zh-CN" w:bidi="ar"/>
                    </w:rPr>
                  </w:pPr>
                  <w:r>
                    <w:rPr>
                      <w:rFonts w:hint="eastAsia" w:cs="Times New Roman"/>
                      <w:bCs/>
                      <w:color w:val="auto"/>
                      <w:kern w:val="2"/>
                      <w:sz w:val="21"/>
                      <w:szCs w:val="21"/>
                      <w:lang w:val="en-US" w:eastAsia="zh-CN" w:bidi="ar"/>
                    </w:rPr>
                    <w:t>2832</w:t>
                  </w:r>
                </w:p>
              </w:tc>
            </w:tr>
          </w:tbl>
          <w:p w14:paraId="09929BEB">
            <w:pPr>
              <w:jc w:val="center"/>
              <w:rPr>
                <w:rFonts w:hint="eastAsia"/>
                <w:b/>
                <w:bCs/>
                <w:color w:val="auto"/>
                <w:sz w:val="24"/>
                <w:szCs w:val="24"/>
              </w:rPr>
            </w:pPr>
          </w:p>
          <w:p w14:paraId="1AB0E413">
            <w:pPr>
              <w:jc w:val="center"/>
              <w:rPr>
                <w:rFonts w:hint="eastAsia"/>
                <w:b/>
                <w:bCs/>
                <w:color w:val="auto"/>
                <w:sz w:val="24"/>
                <w:szCs w:val="24"/>
              </w:rPr>
            </w:pPr>
          </w:p>
          <w:p w14:paraId="1E955722">
            <w:pPr>
              <w:jc w:val="center"/>
              <w:rPr>
                <w:rFonts w:hint="eastAsia"/>
                <w:b/>
                <w:bCs/>
                <w:color w:val="auto"/>
                <w:sz w:val="24"/>
                <w:szCs w:val="24"/>
              </w:rPr>
            </w:pPr>
          </w:p>
          <w:p w14:paraId="4D0EEFD5">
            <w:pPr>
              <w:jc w:val="center"/>
              <w:rPr>
                <w:rFonts w:hint="eastAsia"/>
                <w:b/>
                <w:bCs/>
                <w:color w:val="auto"/>
                <w:sz w:val="24"/>
                <w:szCs w:val="24"/>
              </w:rPr>
            </w:pPr>
          </w:p>
          <w:p w14:paraId="3092F01A">
            <w:pPr>
              <w:jc w:val="center"/>
              <w:rPr>
                <w:rFonts w:hint="eastAsia"/>
                <w:b/>
                <w:bCs/>
                <w:color w:val="auto"/>
                <w:sz w:val="24"/>
                <w:szCs w:val="24"/>
              </w:rPr>
            </w:pPr>
          </w:p>
          <w:p w14:paraId="4733B08E">
            <w:pPr>
              <w:jc w:val="center"/>
              <w:rPr>
                <w:rFonts w:hint="eastAsia"/>
                <w:b/>
                <w:bCs/>
                <w:color w:val="auto"/>
                <w:sz w:val="24"/>
                <w:szCs w:val="24"/>
              </w:rPr>
            </w:pPr>
          </w:p>
          <w:p w14:paraId="78AE0E8C">
            <w:pPr>
              <w:jc w:val="center"/>
              <w:rPr>
                <w:rFonts w:hint="eastAsia"/>
                <w:b/>
                <w:bCs/>
                <w:color w:val="auto"/>
                <w:sz w:val="24"/>
                <w:szCs w:val="24"/>
              </w:rPr>
            </w:pPr>
          </w:p>
          <w:p w14:paraId="2D811655">
            <w:pPr>
              <w:jc w:val="center"/>
              <w:rPr>
                <w:b/>
                <w:bCs/>
                <w:color w:val="auto"/>
                <w:sz w:val="24"/>
                <w:szCs w:val="24"/>
              </w:rPr>
            </w:pPr>
            <w:r>
              <w:rPr>
                <w:rFonts w:hint="eastAsia"/>
                <w:b/>
                <w:bCs/>
                <w:color w:val="auto"/>
                <w:sz w:val="24"/>
                <w:szCs w:val="24"/>
              </w:rPr>
              <w:t>表4-</w:t>
            </w:r>
            <w:r>
              <w:rPr>
                <w:rFonts w:hint="eastAsia"/>
                <w:b/>
                <w:bCs/>
                <w:color w:val="auto"/>
                <w:sz w:val="24"/>
                <w:szCs w:val="24"/>
                <w:lang w:val="en-US" w:eastAsia="zh-CN"/>
              </w:rPr>
              <w:t xml:space="preserve">16 </w:t>
            </w:r>
            <w:r>
              <w:rPr>
                <w:b/>
                <w:bCs/>
                <w:color w:val="auto"/>
                <w:sz w:val="24"/>
                <w:szCs w:val="24"/>
              </w:rPr>
              <w:t>工业企业噪声源强调查清单（室内声源）</w:t>
            </w:r>
          </w:p>
          <w:tbl>
            <w:tblPr>
              <w:tblStyle w:val="26"/>
              <w:tblW w:w="499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352"/>
              <w:gridCol w:w="403"/>
              <w:gridCol w:w="877"/>
              <w:gridCol w:w="473"/>
              <w:gridCol w:w="752"/>
              <w:gridCol w:w="420"/>
              <w:gridCol w:w="440"/>
              <w:gridCol w:w="500"/>
              <w:gridCol w:w="290"/>
              <w:gridCol w:w="490"/>
              <w:gridCol w:w="590"/>
              <w:gridCol w:w="450"/>
              <w:gridCol w:w="590"/>
              <w:gridCol w:w="600"/>
              <w:gridCol w:w="600"/>
              <w:gridCol w:w="512"/>
              <w:gridCol w:w="515"/>
              <w:gridCol w:w="377"/>
              <w:gridCol w:w="369"/>
              <w:gridCol w:w="313"/>
              <w:gridCol w:w="300"/>
              <w:gridCol w:w="335"/>
              <w:gridCol w:w="287"/>
              <w:gridCol w:w="293"/>
              <w:gridCol w:w="293"/>
              <w:gridCol w:w="295"/>
              <w:gridCol w:w="701"/>
            </w:tblGrid>
            <w:tr w14:paraId="19A59DC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41" w:type="pct"/>
                  <w:vMerge w:val="restart"/>
                  <w:tcBorders>
                    <w:tl2br w:val="nil"/>
                    <w:tr2bl w:val="nil"/>
                  </w:tcBorders>
                  <w:vAlign w:val="center"/>
                </w:tcPr>
                <w:p w14:paraId="04481825">
                  <w:pPr>
                    <w:pStyle w:val="22"/>
                    <w:widowControl w:val="0"/>
                    <w:adjustRightInd w:val="0"/>
                    <w:snapToGrid w:val="0"/>
                    <w:spacing w:before="0" w:beforeAutospacing="0" w:after="0" w:afterAutospacing="0"/>
                    <w:jc w:val="center"/>
                    <w:textAlignment w:val="baseline"/>
                    <w:rPr>
                      <w:rFonts w:ascii="Times New Roman" w:hAnsi="Times New Roman"/>
                      <w:b/>
                      <w:color w:val="auto"/>
                      <w:spacing w:val="-10"/>
                      <w:sz w:val="21"/>
                      <w:szCs w:val="21"/>
                    </w:rPr>
                  </w:pPr>
                  <w:r>
                    <w:rPr>
                      <w:rFonts w:hint="eastAsia" w:cs="宋体"/>
                      <w:b/>
                      <w:color w:val="auto"/>
                      <w:spacing w:val="-10"/>
                      <w:sz w:val="21"/>
                      <w:szCs w:val="21"/>
                    </w:rPr>
                    <w:t>序号</w:t>
                  </w:r>
                </w:p>
              </w:tc>
              <w:tc>
                <w:tcPr>
                  <w:tcW w:w="162" w:type="pct"/>
                  <w:vMerge w:val="restart"/>
                  <w:tcBorders>
                    <w:tl2br w:val="nil"/>
                    <w:tr2bl w:val="nil"/>
                  </w:tcBorders>
                  <w:vAlign w:val="center"/>
                </w:tcPr>
                <w:p w14:paraId="64BA4358">
                  <w:pPr>
                    <w:pStyle w:val="22"/>
                    <w:widowControl w:val="0"/>
                    <w:adjustRightInd w:val="0"/>
                    <w:snapToGrid w:val="0"/>
                    <w:spacing w:before="0" w:beforeAutospacing="0" w:after="0" w:afterAutospacing="0"/>
                    <w:jc w:val="center"/>
                    <w:textAlignment w:val="baseline"/>
                    <w:rPr>
                      <w:rFonts w:ascii="Times New Roman" w:hAnsi="Times New Roman"/>
                      <w:b/>
                      <w:color w:val="auto"/>
                      <w:spacing w:val="-10"/>
                      <w:sz w:val="21"/>
                      <w:szCs w:val="21"/>
                    </w:rPr>
                  </w:pPr>
                  <w:r>
                    <w:rPr>
                      <w:rFonts w:hint="eastAsia" w:cs="宋体"/>
                      <w:b/>
                      <w:color w:val="auto"/>
                      <w:spacing w:val="-10"/>
                      <w:sz w:val="21"/>
                      <w:szCs w:val="21"/>
                    </w:rPr>
                    <w:t>建筑物名称</w:t>
                  </w:r>
                </w:p>
              </w:tc>
              <w:tc>
                <w:tcPr>
                  <w:tcW w:w="353" w:type="pct"/>
                  <w:vMerge w:val="restart"/>
                  <w:tcBorders>
                    <w:tl2br w:val="nil"/>
                    <w:tr2bl w:val="nil"/>
                  </w:tcBorders>
                  <w:vAlign w:val="center"/>
                </w:tcPr>
                <w:p w14:paraId="085A1790">
                  <w:pPr>
                    <w:pStyle w:val="22"/>
                    <w:widowControl w:val="0"/>
                    <w:adjustRightInd w:val="0"/>
                    <w:snapToGrid w:val="0"/>
                    <w:spacing w:before="0" w:beforeAutospacing="0" w:after="0" w:afterAutospacing="0"/>
                    <w:jc w:val="center"/>
                    <w:textAlignment w:val="baseline"/>
                    <w:rPr>
                      <w:rFonts w:ascii="Times New Roman" w:hAnsi="Times New Roman"/>
                      <w:b/>
                      <w:color w:val="auto"/>
                      <w:spacing w:val="-10"/>
                      <w:sz w:val="21"/>
                      <w:szCs w:val="21"/>
                    </w:rPr>
                  </w:pPr>
                  <w:r>
                    <w:rPr>
                      <w:rFonts w:hint="eastAsia" w:cs="宋体"/>
                      <w:b/>
                      <w:color w:val="auto"/>
                      <w:spacing w:val="-10"/>
                      <w:sz w:val="21"/>
                      <w:szCs w:val="21"/>
                    </w:rPr>
                    <w:t>声源名称</w:t>
                  </w:r>
                </w:p>
              </w:tc>
              <w:tc>
                <w:tcPr>
                  <w:tcW w:w="190" w:type="pct"/>
                  <w:vMerge w:val="restart"/>
                  <w:tcBorders>
                    <w:tl2br w:val="nil"/>
                    <w:tr2bl w:val="nil"/>
                  </w:tcBorders>
                  <w:vAlign w:val="center"/>
                </w:tcPr>
                <w:p w14:paraId="43F620B6">
                  <w:pPr>
                    <w:pStyle w:val="22"/>
                    <w:widowControl w:val="0"/>
                    <w:adjustRightInd w:val="0"/>
                    <w:snapToGrid w:val="0"/>
                    <w:spacing w:before="0" w:beforeAutospacing="0" w:after="0" w:afterAutospacing="0"/>
                    <w:jc w:val="center"/>
                    <w:textAlignment w:val="baseline"/>
                    <w:rPr>
                      <w:rFonts w:ascii="Times New Roman" w:hAnsi="Times New Roman"/>
                      <w:b/>
                      <w:color w:val="auto"/>
                      <w:spacing w:val="-10"/>
                      <w:sz w:val="21"/>
                      <w:szCs w:val="21"/>
                    </w:rPr>
                  </w:pPr>
                  <w:r>
                    <w:rPr>
                      <w:rFonts w:hint="eastAsia" w:cs="宋体"/>
                      <w:b/>
                      <w:color w:val="auto"/>
                      <w:spacing w:val="-10"/>
                      <w:sz w:val="21"/>
                      <w:szCs w:val="21"/>
                    </w:rPr>
                    <w:t>型号</w:t>
                  </w:r>
                </w:p>
              </w:tc>
              <w:tc>
                <w:tcPr>
                  <w:tcW w:w="302" w:type="pct"/>
                  <w:tcBorders>
                    <w:tl2br w:val="nil"/>
                    <w:tr2bl w:val="nil"/>
                  </w:tcBorders>
                  <w:vAlign w:val="center"/>
                </w:tcPr>
                <w:p w14:paraId="42B00F35">
                  <w:pPr>
                    <w:pStyle w:val="22"/>
                    <w:keepNext w:val="0"/>
                    <w:keepLines w:val="0"/>
                    <w:pageBreakBefore w:val="0"/>
                    <w:widowControl w:val="0"/>
                    <w:kinsoku/>
                    <w:wordWrap/>
                    <w:overflowPunct/>
                    <w:topLinePunct w:val="0"/>
                    <w:autoSpaceDE/>
                    <w:autoSpaceDN/>
                    <w:bidi w:val="0"/>
                    <w:adjustRightInd w:val="0"/>
                    <w:snapToGrid w:val="0"/>
                    <w:spacing w:before="0" w:beforeAutospacing="0" w:after="0" w:afterAutospacing="0"/>
                    <w:ind w:left="-42" w:leftChars="-20" w:right="-42" w:rightChars="-20"/>
                    <w:jc w:val="center"/>
                    <w:textAlignment w:val="baseline"/>
                    <w:rPr>
                      <w:rFonts w:ascii="Times New Roman" w:hAnsi="Times New Roman"/>
                      <w:b/>
                      <w:color w:val="auto"/>
                      <w:spacing w:val="-10"/>
                      <w:sz w:val="21"/>
                      <w:szCs w:val="21"/>
                    </w:rPr>
                  </w:pPr>
                  <w:r>
                    <w:rPr>
                      <w:rFonts w:hint="eastAsia" w:cs="宋体"/>
                      <w:b/>
                      <w:color w:val="auto"/>
                      <w:spacing w:val="-10"/>
                      <w:sz w:val="21"/>
                      <w:szCs w:val="21"/>
                    </w:rPr>
                    <w:t>声源源强</w:t>
                  </w:r>
                </w:p>
              </w:tc>
              <w:tc>
                <w:tcPr>
                  <w:tcW w:w="169" w:type="pct"/>
                  <w:vMerge w:val="restart"/>
                  <w:tcBorders>
                    <w:tl2br w:val="nil"/>
                    <w:tr2bl w:val="nil"/>
                  </w:tcBorders>
                  <w:vAlign w:val="center"/>
                </w:tcPr>
                <w:p w14:paraId="6A7CABB7">
                  <w:pPr>
                    <w:pStyle w:val="22"/>
                    <w:keepNext w:val="0"/>
                    <w:keepLines w:val="0"/>
                    <w:pageBreakBefore w:val="0"/>
                    <w:widowControl w:val="0"/>
                    <w:kinsoku/>
                    <w:wordWrap/>
                    <w:overflowPunct/>
                    <w:topLinePunct w:val="0"/>
                    <w:autoSpaceDE/>
                    <w:autoSpaceDN/>
                    <w:bidi w:val="0"/>
                    <w:adjustRightInd w:val="0"/>
                    <w:snapToGrid w:val="0"/>
                    <w:spacing w:before="0" w:beforeAutospacing="0" w:after="0" w:afterAutospacing="0"/>
                    <w:ind w:left="-42" w:leftChars="-20" w:right="-42" w:rightChars="-20"/>
                    <w:jc w:val="center"/>
                    <w:textAlignment w:val="baseline"/>
                    <w:rPr>
                      <w:rFonts w:ascii="Times New Roman" w:hAnsi="Times New Roman"/>
                      <w:b/>
                      <w:color w:val="auto"/>
                      <w:spacing w:val="-10"/>
                      <w:sz w:val="21"/>
                      <w:szCs w:val="21"/>
                    </w:rPr>
                  </w:pPr>
                  <w:r>
                    <w:rPr>
                      <w:rFonts w:hint="eastAsia" w:cs="宋体"/>
                      <w:b/>
                      <w:color w:val="auto"/>
                      <w:spacing w:val="-10"/>
                      <w:sz w:val="21"/>
                      <w:szCs w:val="21"/>
                    </w:rPr>
                    <w:t>声源控制措施</w:t>
                  </w:r>
                </w:p>
              </w:tc>
              <w:tc>
                <w:tcPr>
                  <w:tcW w:w="495" w:type="pct"/>
                  <w:gridSpan w:val="3"/>
                  <w:tcBorders>
                    <w:tl2br w:val="nil"/>
                    <w:tr2bl w:val="nil"/>
                  </w:tcBorders>
                  <w:vAlign w:val="center"/>
                </w:tcPr>
                <w:p w14:paraId="485C83DC">
                  <w:pPr>
                    <w:pStyle w:val="22"/>
                    <w:widowControl w:val="0"/>
                    <w:adjustRightInd w:val="0"/>
                    <w:snapToGrid w:val="0"/>
                    <w:spacing w:before="0" w:beforeAutospacing="0" w:after="0" w:afterAutospacing="0"/>
                    <w:jc w:val="center"/>
                    <w:textAlignment w:val="baseline"/>
                    <w:rPr>
                      <w:rFonts w:ascii="Times New Roman" w:hAnsi="Times New Roman"/>
                      <w:b/>
                      <w:color w:val="auto"/>
                      <w:spacing w:val="-10"/>
                      <w:sz w:val="21"/>
                      <w:szCs w:val="21"/>
                    </w:rPr>
                  </w:pPr>
                  <w:r>
                    <w:rPr>
                      <w:rFonts w:hint="eastAsia" w:cs="宋体"/>
                      <w:b/>
                      <w:color w:val="auto"/>
                      <w:spacing w:val="-10"/>
                      <w:sz w:val="21"/>
                      <w:szCs w:val="21"/>
                    </w:rPr>
                    <w:t>空间相对位置</w:t>
                  </w:r>
                  <w:r>
                    <w:rPr>
                      <w:rFonts w:ascii="Times New Roman" w:hAnsi="Times New Roman"/>
                      <w:b/>
                      <w:color w:val="auto"/>
                      <w:spacing w:val="-10"/>
                      <w:sz w:val="21"/>
                      <w:szCs w:val="21"/>
                    </w:rPr>
                    <w:t>/m</w:t>
                  </w:r>
                </w:p>
              </w:tc>
              <w:tc>
                <w:tcPr>
                  <w:tcW w:w="853" w:type="pct"/>
                  <w:gridSpan w:val="4"/>
                  <w:tcBorders>
                    <w:tl2br w:val="nil"/>
                    <w:tr2bl w:val="nil"/>
                  </w:tcBorders>
                  <w:vAlign w:val="center"/>
                </w:tcPr>
                <w:p w14:paraId="57A8EBBD">
                  <w:pPr>
                    <w:pStyle w:val="22"/>
                    <w:widowControl w:val="0"/>
                    <w:adjustRightInd w:val="0"/>
                    <w:snapToGrid w:val="0"/>
                    <w:spacing w:before="0" w:beforeAutospacing="0" w:after="0" w:afterAutospacing="0"/>
                    <w:jc w:val="center"/>
                    <w:textAlignment w:val="baseline"/>
                    <w:rPr>
                      <w:rFonts w:ascii="Times New Roman" w:hAnsi="Times New Roman"/>
                      <w:b/>
                      <w:color w:val="auto"/>
                      <w:spacing w:val="-10"/>
                      <w:sz w:val="21"/>
                      <w:szCs w:val="21"/>
                    </w:rPr>
                  </w:pPr>
                  <w:r>
                    <w:rPr>
                      <w:rFonts w:hint="eastAsia" w:cs="宋体"/>
                      <w:b/>
                      <w:color w:val="auto"/>
                      <w:spacing w:val="-10"/>
                      <w:sz w:val="21"/>
                      <w:szCs w:val="21"/>
                    </w:rPr>
                    <w:t>距室内边界距离</w:t>
                  </w:r>
                  <w:r>
                    <w:rPr>
                      <w:rFonts w:ascii="Times New Roman" w:hAnsi="Times New Roman"/>
                      <w:b/>
                      <w:color w:val="auto"/>
                      <w:spacing w:val="-10"/>
                      <w:sz w:val="21"/>
                      <w:szCs w:val="21"/>
                    </w:rPr>
                    <w:t>/m</w:t>
                  </w:r>
                </w:p>
              </w:tc>
              <w:tc>
                <w:tcPr>
                  <w:tcW w:w="896" w:type="pct"/>
                  <w:gridSpan w:val="4"/>
                  <w:tcBorders>
                    <w:tl2br w:val="nil"/>
                    <w:tr2bl w:val="nil"/>
                  </w:tcBorders>
                  <w:vAlign w:val="center"/>
                </w:tcPr>
                <w:p w14:paraId="396E5712">
                  <w:pPr>
                    <w:pStyle w:val="22"/>
                    <w:widowControl w:val="0"/>
                    <w:adjustRightInd w:val="0"/>
                    <w:snapToGrid w:val="0"/>
                    <w:spacing w:before="0" w:beforeAutospacing="0" w:after="0" w:afterAutospacing="0"/>
                    <w:jc w:val="center"/>
                    <w:textAlignment w:val="baseline"/>
                    <w:rPr>
                      <w:rFonts w:ascii="Times New Roman" w:hAnsi="Times New Roman"/>
                      <w:b/>
                      <w:color w:val="auto"/>
                      <w:spacing w:val="-10"/>
                      <w:sz w:val="21"/>
                      <w:szCs w:val="21"/>
                    </w:rPr>
                  </w:pPr>
                  <w:r>
                    <w:rPr>
                      <w:rFonts w:hint="eastAsia" w:cs="宋体"/>
                      <w:b/>
                      <w:color w:val="auto"/>
                      <w:spacing w:val="-10"/>
                      <w:sz w:val="21"/>
                      <w:szCs w:val="21"/>
                    </w:rPr>
                    <w:t>室内边界声级</w:t>
                  </w:r>
                  <w:r>
                    <w:rPr>
                      <w:rFonts w:ascii="Times New Roman" w:hAnsi="Times New Roman"/>
                      <w:b/>
                      <w:color w:val="auto"/>
                      <w:spacing w:val="-10"/>
                      <w:sz w:val="21"/>
                      <w:szCs w:val="21"/>
                    </w:rPr>
                    <w:t>/dB</w:t>
                  </w:r>
                  <w:r>
                    <w:rPr>
                      <w:rFonts w:hint="eastAsia" w:cs="宋体"/>
                      <w:b/>
                      <w:color w:val="auto"/>
                      <w:spacing w:val="-10"/>
                      <w:sz w:val="21"/>
                      <w:szCs w:val="21"/>
                    </w:rPr>
                    <w:t>（</w:t>
                  </w:r>
                  <w:r>
                    <w:rPr>
                      <w:rFonts w:ascii="Times New Roman" w:hAnsi="Times New Roman"/>
                      <w:b/>
                      <w:color w:val="auto"/>
                      <w:spacing w:val="-10"/>
                      <w:sz w:val="21"/>
                      <w:szCs w:val="21"/>
                    </w:rPr>
                    <w:t>A</w:t>
                  </w:r>
                  <w:r>
                    <w:rPr>
                      <w:rFonts w:hint="eastAsia" w:cs="宋体"/>
                      <w:b/>
                      <w:color w:val="auto"/>
                      <w:spacing w:val="-10"/>
                      <w:sz w:val="21"/>
                      <w:szCs w:val="21"/>
                    </w:rPr>
                    <w:t>）</w:t>
                  </w:r>
                </w:p>
              </w:tc>
              <w:tc>
                <w:tcPr>
                  <w:tcW w:w="151" w:type="pct"/>
                  <w:vMerge w:val="restart"/>
                  <w:tcBorders>
                    <w:tl2br w:val="nil"/>
                    <w:tr2bl w:val="nil"/>
                  </w:tcBorders>
                  <w:vAlign w:val="center"/>
                </w:tcPr>
                <w:p w14:paraId="75EA9EB8">
                  <w:pPr>
                    <w:pStyle w:val="22"/>
                    <w:widowControl w:val="0"/>
                    <w:adjustRightInd w:val="0"/>
                    <w:snapToGrid w:val="0"/>
                    <w:spacing w:before="0" w:beforeAutospacing="0" w:after="0" w:afterAutospacing="0"/>
                    <w:jc w:val="center"/>
                    <w:textAlignment w:val="baseline"/>
                    <w:rPr>
                      <w:rFonts w:ascii="Times New Roman" w:hAnsi="Times New Roman"/>
                      <w:b/>
                      <w:color w:val="auto"/>
                      <w:spacing w:val="-10"/>
                      <w:sz w:val="21"/>
                      <w:szCs w:val="21"/>
                    </w:rPr>
                  </w:pPr>
                  <w:r>
                    <w:rPr>
                      <w:rFonts w:hint="eastAsia" w:cs="宋体"/>
                      <w:b/>
                      <w:color w:val="auto"/>
                      <w:spacing w:val="-10"/>
                      <w:sz w:val="21"/>
                      <w:szCs w:val="21"/>
                    </w:rPr>
                    <w:t>运行时段</w:t>
                  </w:r>
                </w:p>
              </w:tc>
              <w:tc>
                <w:tcPr>
                  <w:tcW w:w="530" w:type="pct"/>
                  <w:gridSpan w:val="4"/>
                  <w:tcBorders>
                    <w:tl2br w:val="nil"/>
                    <w:tr2bl w:val="nil"/>
                  </w:tcBorders>
                  <w:vAlign w:val="center"/>
                </w:tcPr>
                <w:p w14:paraId="2C9731E6">
                  <w:pPr>
                    <w:pStyle w:val="22"/>
                    <w:widowControl w:val="0"/>
                    <w:adjustRightInd w:val="0"/>
                    <w:snapToGrid w:val="0"/>
                    <w:spacing w:before="0" w:beforeAutospacing="0" w:after="0" w:afterAutospacing="0"/>
                    <w:jc w:val="center"/>
                    <w:textAlignment w:val="baseline"/>
                    <w:rPr>
                      <w:rFonts w:ascii="Times New Roman" w:hAnsi="Times New Roman"/>
                      <w:b/>
                      <w:color w:val="auto"/>
                      <w:spacing w:val="-10"/>
                      <w:sz w:val="21"/>
                      <w:szCs w:val="21"/>
                    </w:rPr>
                  </w:pPr>
                  <w:r>
                    <w:rPr>
                      <w:rFonts w:hint="eastAsia" w:cs="宋体"/>
                      <w:b/>
                      <w:color w:val="auto"/>
                      <w:spacing w:val="-10"/>
                      <w:sz w:val="21"/>
                      <w:szCs w:val="21"/>
                    </w:rPr>
                    <w:t>建筑物插入损失</w:t>
                  </w:r>
                  <w:r>
                    <w:rPr>
                      <w:rFonts w:ascii="Times New Roman" w:hAnsi="Times New Roman"/>
                      <w:b/>
                      <w:color w:val="auto"/>
                      <w:spacing w:val="-10"/>
                      <w:sz w:val="21"/>
                      <w:szCs w:val="21"/>
                    </w:rPr>
                    <w:t>/dB</w:t>
                  </w:r>
                  <w:r>
                    <w:rPr>
                      <w:rFonts w:hint="eastAsia" w:cs="宋体"/>
                      <w:b/>
                      <w:color w:val="auto"/>
                      <w:spacing w:val="-10"/>
                      <w:sz w:val="21"/>
                      <w:szCs w:val="21"/>
                    </w:rPr>
                    <w:t>（</w:t>
                  </w:r>
                  <w:r>
                    <w:rPr>
                      <w:rFonts w:ascii="Times New Roman" w:hAnsi="Times New Roman"/>
                      <w:b/>
                      <w:color w:val="auto"/>
                      <w:spacing w:val="-10"/>
                      <w:sz w:val="21"/>
                      <w:szCs w:val="21"/>
                    </w:rPr>
                    <w:t>A</w:t>
                  </w:r>
                  <w:r>
                    <w:rPr>
                      <w:rFonts w:hint="eastAsia" w:cs="宋体"/>
                      <w:b/>
                      <w:color w:val="auto"/>
                      <w:spacing w:val="-10"/>
                      <w:sz w:val="21"/>
                      <w:szCs w:val="21"/>
                    </w:rPr>
                    <w:t>）</w:t>
                  </w:r>
                </w:p>
              </w:tc>
              <w:tc>
                <w:tcPr>
                  <w:tcW w:w="752" w:type="pct"/>
                  <w:gridSpan w:val="5"/>
                  <w:tcBorders>
                    <w:tl2br w:val="nil"/>
                    <w:tr2bl w:val="nil"/>
                  </w:tcBorders>
                  <w:vAlign w:val="center"/>
                </w:tcPr>
                <w:p w14:paraId="099C7F1F">
                  <w:pPr>
                    <w:pStyle w:val="22"/>
                    <w:widowControl w:val="0"/>
                    <w:adjustRightInd w:val="0"/>
                    <w:snapToGrid w:val="0"/>
                    <w:spacing w:before="0" w:beforeAutospacing="0" w:after="0" w:afterAutospacing="0"/>
                    <w:jc w:val="center"/>
                    <w:textAlignment w:val="baseline"/>
                    <w:rPr>
                      <w:rFonts w:ascii="Times New Roman" w:hAnsi="Times New Roman"/>
                      <w:b/>
                      <w:color w:val="auto"/>
                      <w:spacing w:val="-10"/>
                      <w:sz w:val="21"/>
                      <w:szCs w:val="21"/>
                    </w:rPr>
                  </w:pPr>
                  <w:r>
                    <w:rPr>
                      <w:rFonts w:hint="eastAsia" w:cs="宋体"/>
                      <w:b/>
                      <w:color w:val="auto"/>
                      <w:spacing w:val="-10"/>
                      <w:sz w:val="21"/>
                      <w:szCs w:val="21"/>
                    </w:rPr>
                    <w:t>建筑物外噪声声压级</w:t>
                  </w:r>
                  <w:r>
                    <w:rPr>
                      <w:rFonts w:ascii="Times New Roman" w:hAnsi="Times New Roman"/>
                      <w:b/>
                      <w:color w:val="auto"/>
                      <w:spacing w:val="-10"/>
                      <w:sz w:val="21"/>
                      <w:szCs w:val="21"/>
                    </w:rPr>
                    <w:t>/dB</w:t>
                  </w:r>
                  <w:r>
                    <w:rPr>
                      <w:rFonts w:hint="eastAsia" w:cs="宋体"/>
                      <w:b/>
                      <w:color w:val="auto"/>
                      <w:spacing w:val="-10"/>
                      <w:sz w:val="21"/>
                      <w:szCs w:val="21"/>
                    </w:rPr>
                    <w:t>（</w:t>
                  </w:r>
                  <w:r>
                    <w:rPr>
                      <w:rFonts w:ascii="Times New Roman" w:hAnsi="Times New Roman"/>
                      <w:b/>
                      <w:color w:val="auto"/>
                      <w:spacing w:val="-10"/>
                      <w:sz w:val="21"/>
                      <w:szCs w:val="21"/>
                    </w:rPr>
                    <w:t>A</w:t>
                  </w:r>
                  <w:r>
                    <w:rPr>
                      <w:rFonts w:hint="eastAsia" w:cs="宋体"/>
                      <w:b/>
                      <w:color w:val="auto"/>
                      <w:spacing w:val="-10"/>
                      <w:sz w:val="21"/>
                      <w:szCs w:val="21"/>
                    </w:rPr>
                    <w:t>）</w:t>
                  </w:r>
                </w:p>
              </w:tc>
            </w:tr>
            <w:tr w14:paraId="552A4BE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141" w:type="pct"/>
                  <w:vMerge w:val="continue"/>
                  <w:tcBorders>
                    <w:tl2br w:val="nil"/>
                    <w:tr2bl w:val="nil"/>
                  </w:tcBorders>
                  <w:vAlign w:val="center"/>
                </w:tcPr>
                <w:p w14:paraId="320BF72D">
                  <w:pPr>
                    <w:jc w:val="center"/>
                    <w:rPr>
                      <w:color w:val="auto"/>
                      <w:sz w:val="21"/>
                      <w:szCs w:val="21"/>
                    </w:rPr>
                  </w:pPr>
                </w:p>
              </w:tc>
              <w:tc>
                <w:tcPr>
                  <w:tcW w:w="162" w:type="pct"/>
                  <w:vMerge w:val="continue"/>
                  <w:tcBorders>
                    <w:tl2br w:val="nil"/>
                    <w:tr2bl w:val="nil"/>
                  </w:tcBorders>
                  <w:vAlign w:val="center"/>
                </w:tcPr>
                <w:p w14:paraId="2383BAAF">
                  <w:pPr>
                    <w:jc w:val="center"/>
                    <w:rPr>
                      <w:color w:val="auto"/>
                      <w:sz w:val="21"/>
                      <w:szCs w:val="21"/>
                    </w:rPr>
                  </w:pPr>
                </w:p>
              </w:tc>
              <w:tc>
                <w:tcPr>
                  <w:tcW w:w="353" w:type="pct"/>
                  <w:vMerge w:val="continue"/>
                  <w:tcBorders>
                    <w:tl2br w:val="nil"/>
                    <w:tr2bl w:val="nil"/>
                  </w:tcBorders>
                  <w:vAlign w:val="center"/>
                </w:tcPr>
                <w:p w14:paraId="314778AD">
                  <w:pPr>
                    <w:jc w:val="center"/>
                    <w:rPr>
                      <w:color w:val="auto"/>
                      <w:sz w:val="21"/>
                      <w:szCs w:val="21"/>
                    </w:rPr>
                  </w:pPr>
                </w:p>
              </w:tc>
              <w:tc>
                <w:tcPr>
                  <w:tcW w:w="190" w:type="pct"/>
                  <w:vMerge w:val="continue"/>
                  <w:tcBorders>
                    <w:tl2br w:val="nil"/>
                    <w:tr2bl w:val="nil"/>
                  </w:tcBorders>
                  <w:vAlign w:val="center"/>
                </w:tcPr>
                <w:p w14:paraId="068470B3">
                  <w:pPr>
                    <w:jc w:val="center"/>
                    <w:rPr>
                      <w:color w:val="auto"/>
                      <w:sz w:val="21"/>
                      <w:szCs w:val="21"/>
                    </w:rPr>
                  </w:pPr>
                </w:p>
              </w:tc>
              <w:tc>
                <w:tcPr>
                  <w:tcW w:w="302" w:type="pct"/>
                  <w:tcBorders>
                    <w:tl2br w:val="nil"/>
                    <w:tr2bl w:val="nil"/>
                  </w:tcBorders>
                  <w:vAlign w:val="center"/>
                </w:tcPr>
                <w:p w14:paraId="2A8AF8C1">
                  <w:pPr>
                    <w:keepNext w:val="0"/>
                    <w:keepLines w:val="0"/>
                    <w:pageBreakBefore w:val="0"/>
                    <w:kinsoku/>
                    <w:wordWrap/>
                    <w:overflowPunct/>
                    <w:topLinePunct w:val="0"/>
                    <w:autoSpaceDE/>
                    <w:autoSpaceDN/>
                    <w:bidi w:val="0"/>
                    <w:ind w:left="-42" w:leftChars="-20" w:right="-42" w:rightChars="-20"/>
                    <w:jc w:val="center"/>
                    <w:rPr>
                      <w:color w:val="auto"/>
                      <w:sz w:val="21"/>
                      <w:szCs w:val="21"/>
                    </w:rPr>
                  </w:pPr>
                  <w:r>
                    <w:rPr>
                      <w:rFonts w:hint="eastAsia"/>
                      <w:b/>
                      <w:color w:val="auto"/>
                      <w:spacing w:val="-10"/>
                      <w:kern w:val="0"/>
                      <w:sz w:val="21"/>
                      <w:szCs w:val="21"/>
                    </w:rPr>
                    <w:t>声功率级</w:t>
                  </w:r>
                  <w:r>
                    <w:rPr>
                      <w:b/>
                      <w:color w:val="auto"/>
                      <w:spacing w:val="-10"/>
                      <w:kern w:val="0"/>
                      <w:sz w:val="21"/>
                      <w:szCs w:val="21"/>
                    </w:rPr>
                    <w:t>/dB</w:t>
                  </w:r>
                  <w:r>
                    <w:rPr>
                      <w:rFonts w:hint="eastAsia" w:ascii="宋体" w:hAnsi="宋体" w:cs="宋体"/>
                      <w:b/>
                      <w:color w:val="auto"/>
                      <w:spacing w:val="-10"/>
                      <w:kern w:val="0"/>
                      <w:sz w:val="21"/>
                      <w:szCs w:val="21"/>
                    </w:rPr>
                    <w:t>（</w:t>
                  </w:r>
                  <w:r>
                    <w:rPr>
                      <w:b/>
                      <w:color w:val="auto"/>
                      <w:spacing w:val="-10"/>
                      <w:kern w:val="0"/>
                      <w:sz w:val="21"/>
                      <w:szCs w:val="21"/>
                    </w:rPr>
                    <w:t>A</w:t>
                  </w:r>
                  <w:r>
                    <w:rPr>
                      <w:rFonts w:hint="eastAsia" w:ascii="宋体" w:hAnsi="宋体" w:cs="宋体"/>
                      <w:b/>
                      <w:color w:val="auto"/>
                      <w:spacing w:val="-10"/>
                      <w:kern w:val="0"/>
                      <w:sz w:val="21"/>
                      <w:szCs w:val="21"/>
                    </w:rPr>
                    <w:t>）</w:t>
                  </w:r>
                </w:p>
              </w:tc>
              <w:tc>
                <w:tcPr>
                  <w:tcW w:w="169" w:type="pct"/>
                  <w:vMerge w:val="continue"/>
                  <w:tcBorders>
                    <w:tl2br w:val="nil"/>
                    <w:tr2bl w:val="nil"/>
                  </w:tcBorders>
                  <w:vAlign w:val="center"/>
                </w:tcPr>
                <w:p w14:paraId="241CCB0E">
                  <w:pPr>
                    <w:jc w:val="center"/>
                    <w:rPr>
                      <w:color w:val="auto"/>
                      <w:sz w:val="21"/>
                      <w:szCs w:val="21"/>
                    </w:rPr>
                  </w:pPr>
                </w:p>
              </w:tc>
              <w:tc>
                <w:tcPr>
                  <w:tcW w:w="177" w:type="pct"/>
                  <w:tcBorders>
                    <w:tl2br w:val="nil"/>
                    <w:tr2bl w:val="nil"/>
                  </w:tcBorders>
                  <w:vAlign w:val="center"/>
                </w:tcPr>
                <w:p w14:paraId="6496B985">
                  <w:pPr>
                    <w:pStyle w:val="22"/>
                    <w:widowControl w:val="0"/>
                    <w:adjustRightInd w:val="0"/>
                    <w:snapToGrid w:val="0"/>
                    <w:spacing w:before="0" w:beforeAutospacing="0" w:after="0" w:afterAutospacing="0"/>
                    <w:jc w:val="center"/>
                    <w:textAlignment w:val="baseline"/>
                    <w:rPr>
                      <w:rFonts w:ascii="Times New Roman" w:hAnsi="Times New Roman"/>
                      <w:b/>
                      <w:color w:val="auto"/>
                      <w:spacing w:val="-10"/>
                      <w:sz w:val="21"/>
                      <w:szCs w:val="21"/>
                    </w:rPr>
                  </w:pPr>
                  <w:r>
                    <w:rPr>
                      <w:rFonts w:ascii="Times New Roman" w:hAnsi="Times New Roman"/>
                      <w:b/>
                      <w:color w:val="auto"/>
                      <w:spacing w:val="-10"/>
                      <w:sz w:val="21"/>
                      <w:szCs w:val="21"/>
                    </w:rPr>
                    <w:t>X</w:t>
                  </w:r>
                </w:p>
              </w:tc>
              <w:tc>
                <w:tcPr>
                  <w:tcW w:w="201" w:type="pct"/>
                  <w:tcBorders>
                    <w:tl2br w:val="nil"/>
                    <w:tr2bl w:val="nil"/>
                  </w:tcBorders>
                  <w:vAlign w:val="center"/>
                </w:tcPr>
                <w:p w14:paraId="422647D9">
                  <w:pPr>
                    <w:pStyle w:val="22"/>
                    <w:widowControl w:val="0"/>
                    <w:adjustRightInd w:val="0"/>
                    <w:snapToGrid w:val="0"/>
                    <w:spacing w:before="0" w:beforeAutospacing="0" w:after="0" w:afterAutospacing="0"/>
                    <w:jc w:val="center"/>
                    <w:textAlignment w:val="baseline"/>
                    <w:rPr>
                      <w:rFonts w:ascii="Times New Roman" w:hAnsi="Times New Roman"/>
                      <w:b/>
                      <w:color w:val="auto"/>
                      <w:spacing w:val="-10"/>
                      <w:sz w:val="21"/>
                      <w:szCs w:val="21"/>
                    </w:rPr>
                  </w:pPr>
                  <w:r>
                    <w:rPr>
                      <w:rFonts w:ascii="Times New Roman" w:hAnsi="Times New Roman"/>
                      <w:b/>
                      <w:color w:val="auto"/>
                      <w:spacing w:val="-10"/>
                      <w:sz w:val="21"/>
                      <w:szCs w:val="21"/>
                    </w:rPr>
                    <w:t>Y</w:t>
                  </w:r>
                </w:p>
              </w:tc>
              <w:tc>
                <w:tcPr>
                  <w:tcW w:w="116" w:type="pct"/>
                  <w:tcBorders>
                    <w:tl2br w:val="nil"/>
                    <w:tr2bl w:val="nil"/>
                  </w:tcBorders>
                  <w:vAlign w:val="center"/>
                </w:tcPr>
                <w:p w14:paraId="44C9A2A0">
                  <w:pPr>
                    <w:pStyle w:val="22"/>
                    <w:widowControl w:val="0"/>
                    <w:adjustRightInd w:val="0"/>
                    <w:snapToGrid w:val="0"/>
                    <w:spacing w:before="0" w:beforeAutospacing="0" w:after="0" w:afterAutospacing="0"/>
                    <w:jc w:val="center"/>
                    <w:textAlignment w:val="baseline"/>
                    <w:rPr>
                      <w:rFonts w:ascii="Times New Roman" w:hAnsi="Times New Roman"/>
                      <w:b/>
                      <w:color w:val="auto"/>
                      <w:spacing w:val="-10"/>
                      <w:sz w:val="21"/>
                      <w:szCs w:val="21"/>
                    </w:rPr>
                  </w:pPr>
                  <w:r>
                    <w:rPr>
                      <w:rFonts w:ascii="Times New Roman" w:hAnsi="Times New Roman"/>
                      <w:b/>
                      <w:color w:val="auto"/>
                      <w:spacing w:val="-10"/>
                      <w:sz w:val="21"/>
                      <w:szCs w:val="21"/>
                    </w:rPr>
                    <w:t>Z</w:t>
                  </w:r>
                </w:p>
              </w:tc>
              <w:tc>
                <w:tcPr>
                  <w:tcW w:w="197" w:type="pct"/>
                  <w:tcBorders>
                    <w:tl2br w:val="nil"/>
                    <w:tr2bl w:val="nil"/>
                  </w:tcBorders>
                  <w:vAlign w:val="center"/>
                </w:tcPr>
                <w:p w14:paraId="4D1759C8">
                  <w:pPr>
                    <w:jc w:val="center"/>
                    <w:rPr>
                      <w:b/>
                      <w:bCs/>
                      <w:color w:val="auto"/>
                      <w:sz w:val="21"/>
                      <w:szCs w:val="21"/>
                    </w:rPr>
                  </w:pPr>
                  <w:r>
                    <w:rPr>
                      <w:rFonts w:hint="eastAsia"/>
                      <w:b/>
                      <w:bCs/>
                      <w:color w:val="auto"/>
                      <w:sz w:val="21"/>
                      <w:szCs w:val="21"/>
                    </w:rPr>
                    <w:t>东</w:t>
                  </w:r>
                </w:p>
              </w:tc>
              <w:tc>
                <w:tcPr>
                  <w:tcW w:w="237" w:type="pct"/>
                  <w:tcBorders>
                    <w:tl2br w:val="nil"/>
                    <w:tr2bl w:val="nil"/>
                  </w:tcBorders>
                  <w:vAlign w:val="center"/>
                </w:tcPr>
                <w:p w14:paraId="4DD4C5E2">
                  <w:pPr>
                    <w:jc w:val="center"/>
                    <w:rPr>
                      <w:b/>
                      <w:bCs/>
                      <w:color w:val="auto"/>
                      <w:sz w:val="21"/>
                      <w:szCs w:val="21"/>
                    </w:rPr>
                  </w:pPr>
                  <w:r>
                    <w:rPr>
                      <w:rFonts w:hint="eastAsia"/>
                      <w:b/>
                      <w:bCs/>
                      <w:color w:val="auto"/>
                      <w:sz w:val="21"/>
                      <w:szCs w:val="21"/>
                    </w:rPr>
                    <w:t>南</w:t>
                  </w:r>
                </w:p>
              </w:tc>
              <w:tc>
                <w:tcPr>
                  <w:tcW w:w="181" w:type="pct"/>
                  <w:tcBorders>
                    <w:tl2br w:val="nil"/>
                    <w:tr2bl w:val="nil"/>
                  </w:tcBorders>
                  <w:vAlign w:val="center"/>
                </w:tcPr>
                <w:p w14:paraId="3BBFED74">
                  <w:pPr>
                    <w:jc w:val="center"/>
                    <w:rPr>
                      <w:b/>
                      <w:bCs/>
                      <w:color w:val="auto"/>
                      <w:sz w:val="21"/>
                      <w:szCs w:val="21"/>
                    </w:rPr>
                  </w:pPr>
                  <w:r>
                    <w:rPr>
                      <w:rFonts w:hint="eastAsia"/>
                      <w:b/>
                      <w:bCs/>
                      <w:color w:val="auto"/>
                      <w:sz w:val="21"/>
                      <w:szCs w:val="21"/>
                    </w:rPr>
                    <w:t>西</w:t>
                  </w:r>
                </w:p>
              </w:tc>
              <w:tc>
                <w:tcPr>
                  <w:tcW w:w="237" w:type="pct"/>
                  <w:tcBorders>
                    <w:tl2br w:val="nil"/>
                    <w:tr2bl w:val="nil"/>
                  </w:tcBorders>
                  <w:vAlign w:val="center"/>
                </w:tcPr>
                <w:p w14:paraId="0B7BA4DD">
                  <w:pPr>
                    <w:jc w:val="center"/>
                    <w:rPr>
                      <w:b/>
                      <w:bCs/>
                      <w:color w:val="auto"/>
                      <w:sz w:val="21"/>
                      <w:szCs w:val="21"/>
                    </w:rPr>
                  </w:pPr>
                  <w:r>
                    <w:rPr>
                      <w:rFonts w:hint="eastAsia"/>
                      <w:b/>
                      <w:bCs/>
                      <w:color w:val="auto"/>
                      <w:sz w:val="21"/>
                      <w:szCs w:val="21"/>
                    </w:rPr>
                    <w:t>北</w:t>
                  </w:r>
                </w:p>
              </w:tc>
              <w:tc>
                <w:tcPr>
                  <w:tcW w:w="241" w:type="pct"/>
                  <w:tcBorders>
                    <w:tl2br w:val="nil"/>
                    <w:tr2bl w:val="nil"/>
                  </w:tcBorders>
                  <w:vAlign w:val="center"/>
                </w:tcPr>
                <w:p w14:paraId="5838913F">
                  <w:pPr>
                    <w:jc w:val="center"/>
                    <w:rPr>
                      <w:color w:val="auto"/>
                      <w:sz w:val="21"/>
                      <w:szCs w:val="21"/>
                    </w:rPr>
                  </w:pPr>
                  <w:r>
                    <w:rPr>
                      <w:rFonts w:hint="eastAsia"/>
                      <w:b/>
                      <w:bCs/>
                      <w:color w:val="auto"/>
                      <w:sz w:val="21"/>
                      <w:szCs w:val="21"/>
                    </w:rPr>
                    <w:t>东</w:t>
                  </w:r>
                </w:p>
              </w:tc>
              <w:tc>
                <w:tcPr>
                  <w:tcW w:w="241" w:type="pct"/>
                  <w:tcBorders>
                    <w:tl2br w:val="nil"/>
                    <w:tr2bl w:val="nil"/>
                  </w:tcBorders>
                  <w:vAlign w:val="center"/>
                </w:tcPr>
                <w:p w14:paraId="1205C8A2">
                  <w:pPr>
                    <w:jc w:val="center"/>
                    <w:rPr>
                      <w:color w:val="auto"/>
                      <w:sz w:val="21"/>
                      <w:szCs w:val="21"/>
                    </w:rPr>
                  </w:pPr>
                  <w:r>
                    <w:rPr>
                      <w:rFonts w:hint="eastAsia"/>
                      <w:b/>
                      <w:bCs/>
                      <w:color w:val="auto"/>
                      <w:sz w:val="21"/>
                      <w:szCs w:val="21"/>
                    </w:rPr>
                    <w:t>南</w:t>
                  </w:r>
                </w:p>
              </w:tc>
              <w:tc>
                <w:tcPr>
                  <w:tcW w:w="206" w:type="pct"/>
                  <w:tcBorders>
                    <w:tl2br w:val="nil"/>
                    <w:tr2bl w:val="nil"/>
                  </w:tcBorders>
                  <w:vAlign w:val="center"/>
                </w:tcPr>
                <w:p w14:paraId="666C4F95">
                  <w:pPr>
                    <w:jc w:val="center"/>
                    <w:rPr>
                      <w:color w:val="auto"/>
                      <w:sz w:val="21"/>
                      <w:szCs w:val="21"/>
                    </w:rPr>
                  </w:pPr>
                  <w:r>
                    <w:rPr>
                      <w:rFonts w:hint="eastAsia"/>
                      <w:b/>
                      <w:bCs/>
                      <w:color w:val="auto"/>
                      <w:sz w:val="21"/>
                      <w:szCs w:val="21"/>
                    </w:rPr>
                    <w:t>西</w:t>
                  </w:r>
                </w:p>
              </w:tc>
              <w:tc>
                <w:tcPr>
                  <w:tcW w:w="207" w:type="pct"/>
                  <w:tcBorders>
                    <w:tl2br w:val="nil"/>
                    <w:tr2bl w:val="nil"/>
                  </w:tcBorders>
                  <w:vAlign w:val="center"/>
                </w:tcPr>
                <w:p w14:paraId="6E479856">
                  <w:pPr>
                    <w:jc w:val="center"/>
                    <w:rPr>
                      <w:color w:val="auto"/>
                      <w:sz w:val="21"/>
                      <w:szCs w:val="21"/>
                    </w:rPr>
                  </w:pPr>
                  <w:r>
                    <w:rPr>
                      <w:rFonts w:hint="eastAsia"/>
                      <w:b/>
                      <w:bCs/>
                      <w:color w:val="auto"/>
                      <w:sz w:val="21"/>
                      <w:szCs w:val="21"/>
                    </w:rPr>
                    <w:t>北</w:t>
                  </w:r>
                </w:p>
              </w:tc>
              <w:tc>
                <w:tcPr>
                  <w:tcW w:w="151" w:type="pct"/>
                  <w:vMerge w:val="continue"/>
                  <w:tcBorders>
                    <w:tl2br w:val="nil"/>
                    <w:tr2bl w:val="nil"/>
                  </w:tcBorders>
                  <w:vAlign w:val="center"/>
                </w:tcPr>
                <w:p w14:paraId="264407DD">
                  <w:pPr>
                    <w:jc w:val="center"/>
                    <w:rPr>
                      <w:color w:val="auto"/>
                      <w:sz w:val="21"/>
                      <w:szCs w:val="21"/>
                    </w:rPr>
                  </w:pPr>
                </w:p>
              </w:tc>
              <w:tc>
                <w:tcPr>
                  <w:tcW w:w="148" w:type="pct"/>
                  <w:tcBorders>
                    <w:tl2br w:val="nil"/>
                    <w:tr2bl w:val="nil"/>
                  </w:tcBorders>
                  <w:vAlign w:val="center"/>
                </w:tcPr>
                <w:p w14:paraId="5893E12B">
                  <w:pPr>
                    <w:jc w:val="center"/>
                    <w:rPr>
                      <w:color w:val="auto"/>
                      <w:sz w:val="21"/>
                      <w:szCs w:val="21"/>
                    </w:rPr>
                  </w:pPr>
                  <w:r>
                    <w:rPr>
                      <w:rFonts w:hint="eastAsia"/>
                      <w:b/>
                      <w:bCs/>
                      <w:color w:val="auto"/>
                      <w:sz w:val="21"/>
                      <w:szCs w:val="21"/>
                    </w:rPr>
                    <w:t>东</w:t>
                  </w:r>
                </w:p>
              </w:tc>
              <w:tc>
                <w:tcPr>
                  <w:tcW w:w="126" w:type="pct"/>
                  <w:tcBorders>
                    <w:tl2br w:val="nil"/>
                    <w:tr2bl w:val="nil"/>
                  </w:tcBorders>
                  <w:vAlign w:val="center"/>
                </w:tcPr>
                <w:p w14:paraId="7F6EECBF">
                  <w:pPr>
                    <w:jc w:val="center"/>
                    <w:rPr>
                      <w:color w:val="auto"/>
                      <w:sz w:val="21"/>
                      <w:szCs w:val="21"/>
                    </w:rPr>
                  </w:pPr>
                  <w:r>
                    <w:rPr>
                      <w:rFonts w:hint="eastAsia"/>
                      <w:b/>
                      <w:bCs/>
                      <w:color w:val="auto"/>
                      <w:sz w:val="21"/>
                      <w:szCs w:val="21"/>
                    </w:rPr>
                    <w:t>南</w:t>
                  </w:r>
                </w:p>
              </w:tc>
              <w:tc>
                <w:tcPr>
                  <w:tcW w:w="120" w:type="pct"/>
                  <w:tcBorders>
                    <w:tl2br w:val="nil"/>
                    <w:tr2bl w:val="nil"/>
                  </w:tcBorders>
                  <w:vAlign w:val="center"/>
                </w:tcPr>
                <w:p w14:paraId="3A4D6082">
                  <w:pPr>
                    <w:jc w:val="center"/>
                    <w:rPr>
                      <w:color w:val="auto"/>
                      <w:sz w:val="21"/>
                      <w:szCs w:val="21"/>
                    </w:rPr>
                  </w:pPr>
                  <w:r>
                    <w:rPr>
                      <w:rFonts w:hint="eastAsia"/>
                      <w:b/>
                      <w:bCs/>
                      <w:color w:val="auto"/>
                      <w:sz w:val="21"/>
                      <w:szCs w:val="21"/>
                    </w:rPr>
                    <w:t>西</w:t>
                  </w:r>
                </w:p>
              </w:tc>
              <w:tc>
                <w:tcPr>
                  <w:tcW w:w="134" w:type="pct"/>
                  <w:tcBorders>
                    <w:tl2br w:val="nil"/>
                    <w:tr2bl w:val="nil"/>
                  </w:tcBorders>
                  <w:vAlign w:val="center"/>
                </w:tcPr>
                <w:p w14:paraId="752BA39F">
                  <w:pPr>
                    <w:jc w:val="center"/>
                    <w:rPr>
                      <w:color w:val="auto"/>
                      <w:sz w:val="21"/>
                      <w:szCs w:val="21"/>
                    </w:rPr>
                  </w:pPr>
                  <w:r>
                    <w:rPr>
                      <w:rFonts w:hint="eastAsia"/>
                      <w:b/>
                      <w:bCs/>
                      <w:color w:val="auto"/>
                      <w:sz w:val="21"/>
                      <w:szCs w:val="21"/>
                    </w:rPr>
                    <w:t>北</w:t>
                  </w:r>
                </w:p>
              </w:tc>
              <w:tc>
                <w:tcPr>
                  <w:tcW w:w="115" w:type="pct"/>
                  <w:tcBorders>
                    <w:tl2br w:val="nil"/>
                    <w:tr2bl w:val="nil"/>
                  </w:tcBorders>
                  <w:vAlign w:val="center"/>
                </w:tcPr>
                <w:p w14:paraId="51697E32">
                  <w:pPr>
                    <w:jc w:val="center"/>
                    <w:rPr>
                      <w:b/>
                      <w:color w:val="auto"/>
                      <w:spacing w:val="-10"/>
                      <w:kern w:val="0"/>
                      <w:sz w:val="21"/>
                      <w:szCs w:val="21"/>
                    </w:rPr>
                  </w:pPr>
                  <w:r>
                    <w:rPr>
                      <w:rFonts w:hint="eastAsia"/>
                      <w:b/>
                      <w:bCs/>
                      <w:color w:val="auto"/>
                      <w:sz w:val="21"/>
                      <w:szCs w:val="21"/>
                    </w:rPr>
                    <w:t>东</w:t>
                  </w:r>
                </w:p>
              </w:tc>
              <w:tc>
                <w:tcPr>
                  <w:tcW w:w="117" w:type="pct"/>
                  <w:tcBorders>
                    <w:tl2br w:val="nil"/>
                    <w:tr2bl w:val="nil"/>
                  </w:tcBorders>
                  <w:vAlign w:val="center"/>
                </w:tcPr>
                <w:p w14:paraId="5024E4EF">
                  <w:pPr>
                    <w:jc w:val="center"/>
                    <w:rPr>
                      <w:b/>
                      <w:color w:val="auto"/>
                      <w:spacing w:val="-10"/>
                      <w:kern w:val="0"/>
                      <w:sz w:val="21"/>
                      <w:szCs w:val="21"/>
                    </w:rPr>
                  </w:pPr>
                  <w:r>
                    <w:rPr>
                      <w:rFonts w:hint="eastAsia"/>
                      <w:b/>
                      <w:bCs/>
                      <w:color w:val="auto"/>
                      <w:sz w:val="21"/>
                      <w:szCs w:val="21"/>
                    </w:rPr>
                    <w:t>南</w:t>
                  </w:r>
                </w:p>
              </w:tc>
              <w:tc>
                <w:tcPr>
                  <w:tcW w:w="117" w:type="pct"/>
                  <w:tcBorders>
                    <w:tl2br w:val="nil"/>
                    <w:tr2bl w:val="nil"/>
                  </w:tcBorders>
                  <w:vAlign w:val="center"/>
                </w:tcPr>
                <w:p w14:paraId="28B85719">
                  <w:pPr>
                    <w:jc w:val="center"/>
                    <w:rPr>
                      <w:b/>
                      <w:color w:val="auto"/>
                      <w:spacing w:val="-10"/>
                      <w:kern w:val="0"/>
                      <w:sz w:val="21"/>
                      <w:szCs w:val="21"/>
                    </w:rPr>
                  </w:pPr>
                  <w:r>
                    <w:rPr>
                      <w:rFonts w:hint="eastAsia"/>
                      <w:b/>
                      <w:bCs/>
                      <w:color w:val="auto"/>
                      <w:sz w:val="21"/>
                      <w:szCs w:val="21"/>
                    </w:rPr>
                    <w:t>西</w:t>
                  </w:r>
                </w:p>
              </w:tc>
              <w:tc>
                <w:tcPr>
                  <w:tcW w:w="118" w:type="pct"/>
                  <w:tcBorders>
                    <w:tl2br w:val="nil"/>
                    <w:tr2bl w:val="nil"/>
                  </w:tcBorders>
                  <w:vAlign w:val="center"/>
                </w:tcPr>
                <w:p w14:paraId="3789C0E8">
                  <w:pPr>
                    <w:jc w:val="center"/>
                    <w:rPr>
                      <w:b/>
                      <w:color w:val="auto"/>
                      <w:spacing w:val="-10"/>
                      <w:kern w:val="0"/>
                      <w:sz w:val="21"/>
                      <w:szCs w:val="21"/>
                    </w:rPr>
                  </w:pPr>
                  <w:r>
                    <w:rPr>
                      <w:rFonts w:hint="eastAsia"/>
                      <w:b/>
                      <w:bCs/>
                      <w:color w:val="auto"/>
                      <w:sz w:val="21"/>
                      <w:szCs w:val="21"/>
                    </w:rPr>
                    <w:t>北</w:t>
                  </w:r>
                </w:p>
              </w:tc>
              <w:tc>
                <w:tcPr>
                  <w:tcW w:w="282" w:type="pct"/>
                  <w:tcBorders>
                    <w:tl2br w:val="nil"/>
                    <w:tr2bl w:val="nil"/>
                  </w:tcBorders>
                  <w:vAlign w:val="center"/>
                </w:tcPr>
                <w:p w14:paraId="64DD7CF6">
                  <w:pPr>
                    <w:pStyle w:val="22"/>
                    <w:keepNext w:val="0"/>
                    <w:keepLines w:val="0"/>
                    <w:pageBreakBefore w:val="0"/>
                    <w:widowControl w:val="0"/>
                    <w:kinsoku/>
                    <w:wordWrap/>
                    <w:overflowPunct/>
                    <w:topLinePunct w:val="0"/>
                    <w:autoSpaceDE/>
                    <w:autoSpaceDN/>
                    <w:bidi w:val="0"/>
                    <w:adjustRightInd w:val="0"/>
                    <w:snapToGrid w:val="0"/>
                    <w:spacing w:before="0" w:beforeAutospacing="0" w:after="0" w:afterAutospacing="0"/>
                    <w:ind w:left="-42" w:leftChars="-20" w:right="-42" w:rightChars="-20"/>
                    <w:jc w:val="center"/>
                    <w:textAlignment w:val="baseline"/>
                    <w:rPr>
                      <w:rFonts w:ascii="Times New Roman" w:hAnsi="Times New Roman"/>
                      <w:b/>
                      <w:color w:val="auto"/>
                      <w:spacing w:val="-10"/>
                      <w:sz w:val="21"/>
                      <w:szCs w:val="21"/>
                    </w:rPr>
                  </w:pPr>
                  <w:r>
                    <w:rPr>
                      <w:rFonts w:hint="eastAsia" w:cs="宋体"/>
                      <w:b/>
                      <w:color w:val="auto"/>
                      <w:spacing w:val="-10"/>
                      <w:sz w:val="21"/>
                      <w:szCs w:val="21"/>
                    </w:rPr>
                    <w:t>建筑物外距离</w:t>
                  </w:r>
                </w:p>
              </w:tc>
            </w:tr>
            <w:tr w14:paraId="670709B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1" w:type="pct"/>
                  <w:tcBorders>
                    <w:tl2br w:val="nil"/>
                    <w:tr2bl w:val="nil"/>
                  </w:tcBorders>
                  <w:vAlign w:val="center"/>
                </w:tcPr>
                <w:p w14:paraId="341F868B">
                  <w:pPr>
                    <w:pStyle w:val="22"/>
                    <w:widowControl w:val="0"/>
                    <w:numPr>
                      <w:ilvl w:val="0"/>
                      <w:numId w:val="11"/>
                    </w:numPr>
                    <w:adjustRightInd w:val="0"/>
                    <w:snapToGrid w:val="0"/>
                    <w:spacing w:before="0" w:beforeAutospacing="0" w:after="0" w:afterAutospacing="0"/>
                    <w:ind w:left="0" w:leftChars="0" w:firstLine="0" w:firstLineChars="0"/>
                    <w:jc w:val="center"/>
                    <w:textAlignment w:val="baseline"/>
                    <w:rPr>
                      <w:rFonts w:ascii="Times New Roman" w:hAnsi="Times New Roman"/>
                      <w:color w:val="auto"/>
                      <w:spacing w:val="-10"/>
                      <w:sz w:val="21"/>
                      <w:szCs w:val="21"/>
                    </w:rPr>
                  </w:pPr>
                </w:p>
              </w:tc>
              <w:tc>
                <w:tcPr>
                  <w:tcW w:w="162" w:type="pct"/>
                  <w:vMerge w:val="restart"/>
                  <w:tcBorders>
                    <w:tl2br w:val="nil"/>
                    <w:tr2bl w:val="nil"/>
                  </w:tcBorders>
                  <w:vAlign w:val="center"/>
                </w:tcPr>
                <w:p w14:paraId="086935CA">
                  <w:pPr>
                    <w:pStyle w:val="22"/>
                    <w:widowControl w:val="0"/>
                    <w:adjustRightInd w:val="0"/>
                    <w:snapToGrid w:val="0"/>
                    <w:spacing w:before="0" w:beforeAutospacing="0" w:after="0" w:afterAutospacing="0"/>
                    <w:jc w:val="center"/>
                    <w:textAlignment w:val="baseline"/>
                    <w:rPr>
                      <w:rFonts w:hint="default" w:ascii="Times New Roman" w:hAnsi="Times New Roman" w:eastAsia="宋体"/>
                      <w:color w:val="auto"/>
                      <w:spacing w:val="-10"/>
                      <w:sz w:val="21"/>
                      <w:szCs w:val="21"/>
                      <w:lang w:val="en-US" w:eastAsia="zh-CN"/>
                    </w:rPr>
                  </w:pPr>
                  <w:r>
                    <w:rPr>
                      <w:rFonts w:hint="eastAsia" w:ascii="Times New Roman" w:hAnsi="Times New Roman"/>
                      <w:color w:val="auto"/>
                      <w:spacing w:val="-10"/>
                      <w:sz w:val="21"/>
                      <w:szCs w:val="21"/>
                      <w:lang w:val="en-US" w:eastAsia="zh-CN"/>
                    </w:rPr>
                    <w:t>生产车间</w:t>
                  </w:r>
                </w:p>
              </w:tc>
              <w:tc>
                <w:tcPr>
                  <w:tcW w:w="353" w:type="pct"/>
                  <w:tcBorders>
                    <w:tl2br w:val="nil"/>
                    <w:tr2bl w:val="nil"/>
                  </w:tcBorders>
                  <w:shd w:val="clear" w:color="auto" w:fill="auto"/>
                  <w:vAlign w:val="center"/>
                </w:tcPr>
                <w:p w14:paraId="5B2F7194">
                  <w:pPr>
                    <w:widowControl/>
                    <w:spacing w:line="240" w:lineRule="auto"/>
                    <w:jc w:val="center"/>
                    <w:textAlignment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kern w:val="0"/>
                      <w:sz w:val="21"/>
                      <w:szCs w:val="21"/>
                      <w:lang w:val="en-US" w:eastAsia="zh-CN" w:bidi="ar"/>
                    </w:rPr>
                    <w:t>8轴数控枪钻</w:t>
                  </w:r>
                </w:p>
              </w:tc>
              <w:tc>
                <w:tcPr>
                  <w:tcW w:w="190" w:type="pct"/>
                  <w:tcBorders>
                    <w:tl2br w:val="nil"/>
                    <w:tr2bl w:val="nil"/>
                  </w:tcBorders>
                  <w:shd w:val="clear" w:color="auto" w:fill="auto"/>
                  <w:vAlign w:val="center"/>
                </w:tcPr>
                <w:p w14:paraId="1A2D36D8">
                  <w:pPr>
                    <w:widowControl/>
                    <w:spacing w:line="240" w:lineRule="auto"/>
                    <w:jc w:val="center"/>
                    <w:textAlignment w:val="center"/>
                    <w:rPr>
                      <w:rFonts w:hint="default" w:ascii="Times New Roman" w:hAnsi="Times New Roman" w:eastAsia="宋体" w:cs="Times New Roman"/>
                      <w:color w:val="auto"/>
                      <w:kern w:val="0"/>
                      <w:sz w:val="21"/>
                      <w:szCs w:val="21"/>
                      <w:lang w:val="en-US" w:eastAsia="zh-CN" w:bidi="ar"/>
                    </w:rPr>
                  </w:pPr>
                  <w:r>
                    <w:rPr>
                      <w:rFonts w:hint="eastAsia" w:cs="Times New Roman"/>
                      <w:color w:val="auto"/>
                      <w:kern w:val="0"/>
                      <w:sz w:val="21"/>
                      <w:szCs w:val="21"/>
                      <w:lang w:val="en-US" w:eastAsia="zh-CN" w:bidi="ar"/>
                    </w:rPr>
                    <w:t>/</w:t>
                  </w:r>
                </w:p>
              </w:tc>
              <w:tc>
                <w:tcPr>
                  <w:tcW w:w="302" w:type="pct"/>
                  <w:tcBorders>
                    <w:tl2br w:val="nil"/>
                    <w:tr2bl w:val="nil"/>
                  </w:tcBorders>
                  <w:shd w:val="clear" w:color="auto" w:fill="auto"/>
                  <w:vAlign w:val="center"/>
                </w:tcPr>
                <w:p w14:paraId="691240F5">
                  <w:pPr>
                    <w:keepNext w:val="0"/>
                    <w:keepLines w:val="0"/>
                    <w:widowControl/>
                    <w:suppressLineNumbers w:val="0"/>
                    <w:jc w:val="center"/>
                    <w:textAlignment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等线" w:cs="Times New Roman"/>
                      <w:i w:val="0"/>
                      <w:iCs w:val="0"/>
                      <w:color w:val="auto"/>
                      <w:kern w:val="0"/>
                      <w:sz w:val="21"/>
                      <w:szCs w:val="21"/>
                      <w:u w:val="none"/>
                      <w:lang w:val="en-US" w:eastAsia="zh-CN" w:bidi="ar"/>
                    </w:rPr>
                    <w:t>88</w:t>
                  </w:r>
                </w:p>
              </w:tc>
              <w:tc>
                <w:tcPr>
                  <w:tcW w:w="169" w:type="pct"/>
                  <w:vMerge w:val="restart"/>
                  <w:tcBorders>
                    <w:tl2br w:val="nil"/>
                    <w:tr2bl w:val="nil"/>
                  </w:tcBorders>
                  <w:shd w:val="clear" w:color="auto" w:fill="auto"/>
                  <w:vAlign w:val="center"/>
                </w:tcPr>
                <w:p w14:paraId="3B937BAD">
                  <w:pPr>
                    <w:pStyle w:val="22"/>
                    <w:widowControl w:val="0"/>
                    <w:adjustRightInd w:val="0"/>
                    <w:snapToGrid w:val="0"/>
                    <w:spacing w:before="0" w:beforeAutospacing="0" w:after="0" w:afterAutospacing="0"/>
                    <w:jc w:val="center"/>
                    <w:textAlignment w:val="baseline"/>
                    <w:rPr>
                      <w:rFonts w:ascii="Times New Roman" w:hAnsi="Times New Roman" w:eastAsia="等线"/>
                      <w:color w:val="auto"/>
                      <w:sz w:val="21"/>
                      <w:szCs w:val="21"/>
                    </w:rPr>
                  </w:pPr>
                  <w:r>
                    <w:rPr>
                      <w:rFonts w:ascii="Times New Roman" w:hAnsi="Times New Roman"/>
                      <w:color w:val="auto"/>
                      <w:spacing w:val="-10"/>
                      <w:sz w:val="21"/>
                      <w:szCs w:val="21"/>
                    </w:rPr>
                    <w:t>基础减振</w:t>
                  </w:r>
                </w:p>
              </w:tc>
              <w:tc>
                <w:tcPr>
                  <w:tcW w:w="177" w:type="pct"/>
                  <w:tcBorders>
                    <w:tl2br w:val="nil"/>
                    <w:tr2bl w:val="nil"/>
                  </w:tcBorders>
                  <w:shd w:val="clear" w:color="auto" w:fill="auto"/>
                  <w:vAlign w:val="center"/>
                </w:tcPr>
                <w:p w14:paraId="4C6A19F1">
                  <w:pPr>
                    <w:widowControl/>
                    <w:jc w:val="center"/>
                    <w:textAlignment w:val="center"/>
                    <w:rPr>
                      <w:rFonts w:hint="default" w:ascii="Times New Roman" w:hAnsi="Times New Roman" w:eastAsia="等线" w:cs="Times New Roman"/>
                      <w:color w:val="auto"/>
                      <w:kern w:val="0"/>
                      <w:sz w:val="21"/>
                      <w:szCs w:val="21"/>
                      <w:lang w:val="en-US" w:eastAsia="zh-CN" w:bidi="ar-SA"/>
                    </w:rPr>
                  </w:pPr>
                  <w:r>
                    <w:rPr>
                      <w:rFonts w:hint="eastAsia" w:eastAsia="等线" w:cs="Times New Roman"/>
                      <w:color w:val="auto"/>
                      <w:kern w:val="0"/>
                      <w:sz w:val="21"/>
                      <w:szCs w:val="21"/>
                      <w:lang w:val="en-US" w:eastAsia="zh-CN" w:bidi="ar-SA"/>
                    </w:rPr>
                    <w:t>37</w:t>
                  </w:r>
                </w:p>
              </w:tc>
              <w:tc>
                <w:tcPr>
                  <w:tcW w:w="201" w:type="pct"/>
                  <w:tcBorders>
                    <w:tl2br w:val="nil"/>
                    <w:tr2bl w:val="nil"/>
                  </w:tcBorders>
                  <w:shd w:val="clear" w:color="auto" w:fill="auto"/>
                  <w:vAlign w:val="center"/>
                </w:tcPr>
                <w:p w14:paraId="4BEB3349">
                  <w:pPr>
                    <w:widowControl/>
                    <w:jc w:val="center"/>
                    <w:textAlignment w:val="center"/>
                    <w:rPr>
                      <w:rFonts w:hint="default" w:ascii="Times New Roman" w:hAnsi="Times New Roman" w:eastAsia="等线" w:cs="Times New Roman"/>
                      <w:color w:val="auto"/>
                      <w:kern w:val="0"/>
                      <w:sz w:val="21"/>
                      <w:szCs w:val="21"/>
                      <w:lang w:val="en-US" w:eastAsia="zh-CN" w:bidi="ar-SA"/>
                    </w:rPr>
                  </w:pPr>
                  <w:r>
                    <w:rPr>
                      <w:rFonts w:hint="eastAsia" w:eastAsia="等线" w:cs="Times New Roman"/>
                      <w:color w:val="auto"/>
                      <w:kern w:val="0"/>
                      <w:sz w:val="21"/>
                      <w:szCs w:val="21"/>
                      <w:lang w:val="en-US" w:eastAsia="zh-CN" w:bidi="ar-SA"/>
                    </w:rPr>
                    <w:t>50</w:t>
                  </w:r>
                </w:p>
              </w:tc>
              <w:tc>
                <w:tcPr>
                  <w:tcW w:w="116" w:type="pct"/>
                  <w:tcBorders>
                    <w:tl2br w:val="nil"/>
                    <w:tr2bl w:val="nil"/>
                  </w:tcBorders>
                  <w:shd w:val="clear" w:color="auto" w:fill="auto"/>
                  <w:vAlign w:val="center"/>
                </w:tcPr>
                <w:p w14:paraId="0653D40B">
                  <w:pPr>
                    <w:widowControl/>
                    <w:jc w:val="center"/>
                    <w:textAlignment w:val="center"/>
                    <w:rPr>
                      <w:rFonts w:hint="default" w:ascii="Times New Roman" w:hAnsi="Times New Roman" w:eastAsia="等线" w:cs="Times New Roman"/>
                      <w:color w:val="auto"/>
                      <w:kern w:val="0"/>
                      <w:sz w:val="21"/>
                      <w:szCs w:val="21"/>
                      <w:lang w:val="en-US" w:eastAsia="zh-CN" w:bidi="ar-SA"/>
                    </w:rPr>
                  </w:pPr>
                  <w:r>
                    <w:rPr>
                      <w:rFonts w:hint="eastAsia" w:eastAsia="宋体"/>
                      <w:color w:val="auto"/>
                      <w:sz w:val="21"/>
                      <w:szCs w:val="21"/>
                      <w:lang w:val="en-US" w:eastAsia="zh-CN"/>
                    </w:rPr>
                    <w:t>1</w:t>
                  </w:r>
                </w:p>
              </w:tc>
              <w:tc>
                <w:tcPr>
                  <w:tcW w:w="197" w:type="pct"/>
                  <w:tcBorders>
                    <w:tl2br w:val="nil"/>
                    <w:tr2bl w:val="nil"/>
                  </w:tcBorders>
                  <w:shd w:val="clear" w:color="auto" w:fill="auto"/>
                  <w:vAlign w:val="center"/>
                </w:tcPr>
                <w:p w14:paraId="274C3265">
                  <w:pPr>
                    <w:widowControl/>
                    <w:jc w:val="center"/>
                    <w:textAlignment w:val="center"/>
                    <w:rPr>
                      <w:rFonts w:hint="default" w:ascii="Times New Roman" w:hAnsi="Times New Roman" w:eastAsia="等线" w:cs="Times New Roman"/>
                      <w:color w:val="auto"/>
                      <w:kern w:val="0"/>
                      <w:sz w:val="21"/>
                      <w:szCs w:val="21"/>
                      <w:lang w:val="en-US" w:eastAsia="zh-CN" w:bidi="ar-SA"/>
                    </w:rPr>
                  </w:pPr>
                  <w:r>
                    <w:rPr>
                      <w:rFonts w:hint="eastAsia" w:eastAsia="等线" w:cs="Times New Roman"/>
                      <w:color w:val="auto"/>
                      <w:kern w:val="0"/>
                      <w:sz w:val="21"/>
                      <w:szCs w:val="21"/>
                      <w:lang w:val="en-US" w:eastAsia="zh-CN" w:bidi="ar-SA"/>
                    </w:rPr>
                    <w:t>16</w:t>
                  </w:r>
                </w:p>
              </w:tc>
              <w:tc>
                <w:tcPr>
                  <w:tcW w:w="237" w:type="pct"/>
                  <w:tcBorders>
                    <w:tl2br w:val="nil"/>
                    <w:tr2bl w:val="nil"/>
                  </w:tcBorders>
                  <w:shd w:val="clear" w:color="auto" w:fill="auto"/>
                  <w:vAlign w:val="center"/>
                </w:tcPr>
                <w:p w14:paraId="50F01C43">
                  <w:pPr>
                    <w:keepNext w:val="0"/>
                    <w:keepLines w:val="0"/>
                    <w:widowControl/>
                    <w:suppressLineNumbers w:val="0"/>
                    <w:jc w:val="center"/>
                    <w:textAlignment w:val="center"/>
                    <w:rPr>
                      <w:rFonts w:hint="default" w:ascii="Times New Roman" w:hAnsi="Times New Roman" w:eastAsia="等线" w:cs="Times New Roman"/>
                      <w:color w:val="auto"/>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38</w:t>
                  </w:r>
                </w:p>
              </w:tc>
              <w:tc>
                <w:tcPr>
                  <w:tcW w:w="181" w:type="pct"/>
                  <w:tcBorders>
                    <w:tl2br w:val="nil"/>
                    <w:tr2bl w:val="nil"/>
                  </w:tcBorders>
                  <w:shd w:val="clear" w:color="auto" w:fill="auto"/>
                  <w:vAlign w:val="center"/>
                </w:tcPr>
                <w:p w14:paraId="02D781DF">
                  <w:pPr>
                    <w:keepNext w:val="0"/>
                    <w:keepLines w:val="0"/>
                    <w:widowControl/>
                    <w:suppressLineNumbers w:val="0"/>
                    <w:jc w:val="center"/>
                    <w:textAlignment w:val="center"/>
                    <w:rPr>
                      <w:rFonts w:hint="default" w:ascii="Times New Roman" w:hAnsi="Times New Roman" w:eastAsia="等线" w:cs="Times New Roman"/>
                      <w:color w:val="auto"/>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50</w:t>
                  </w:r>
                </w:p>
              </w:tc>
              <w:tc>
                <w:tcPr>
                  <w:tcW w:w="237" w:type="pct"/>
                  <w:tcBorders>
                    <w:tl2br w:val="nil"/>
                    <w:tr2bl w:val="nil"/>
                  </w:tcBorders>
                  <w:shd w:val="clear" w:color="auto" w:fill="auto"/>
                  <w:vAlign w:val="center"/>
                </w:tcPr>
                <w:p w14:paraId="2791FA09">
                  <w:pPr>
                    <w:widowControl/>
                    <w:jc w:val="center"/>
                    <w:textAlignment w:val="center"/>
                    <w:rPr>
                      <w:rFonts w:hint="default" w:ascii="Times New Roman" w:hAnsi="Times New Roman" w:eastAsia="等线" w:cs="Times New Roman"/>
                      <w:color w:val="auto"/>
                      <w:kern w:val="0"/>
                      <w:sz w:val="21"/>
                      <w:szCs w:val="21"/>
                      <w:lang w:val="en-US" w:eastAsia="zh-CN" w:bidi="ar-SA"/>
                    </w:rPr>
                  </w:pPr>
                  <w:r>
                    <w:rPr>
                      <w:rFonts w:hint="eastAsia" w:eastAsia="等线" w:cs="Times New Roman"/>
                      <w:color w:val="auto"/>
                      <w:kern w:val="0"/>
                      <w:sz w:val="21"/>
                      <w:szCs w:val="21"/>
                      <w:lang w:val="en-US" w:eastAsia="zh-CN" w:bidi="ar-SA"/>
                    </w:rPr>
                    <w:t>71</w:t>
                  </w:r>
                </w:p>
              </w:tc>
              <w:tc>
                <w:tcPr>
                  <w:tcW w:w="241" w:type="pct"/>
                  <w:tcBorders>
                    <w:tl2br w:val="nil"/>
                    <w:tr2bl w:val="nil"/>
                  </w:tcBorders>
                  <w:shd w:val="clear" w:color="auto" w:fill="auto"/>
                  <w:vAlign w:val="center"/>
                </w:tcPr>
                <w:p w14:paraId="3C8A9DF7">
                  <w:pPr>
                    <w:keepNext w:val="0"/>
                    <w:keepLines w:val="0"/>
                    <w:widowControl/>
                    <w:suppressLineNumbers w:val="0"/>
                    <w:jc w:val="center"/>
                    <w:textAlignment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等线" w:cs="Times New Roman"/>
                      <w:i w:val="0"/>
                      <w:iCs w:val="0"/>
                      <w:color w:val="auto"/>
                      <w:kern w:val="0"/>
                      <w:sz w:val="22"/>
                      <w:szCs w:val="22"/>
                      <w:u w:val="none"/>
                      <w:lang w:val="en-US" w:eastAsia="zh-CN" w:bidi="ar"/>
                    </w:rPr>
                    <w:t>59.9</w:t>
                  </w:r>
                </w:p>
              </w:tc>
              <w:tc>
                <w:tcPr>
                  <w:tcW w:w="241" w:type="pct"/>
                  <w:tcBorders>
                    <w:tl2br w:val="nil"/>
                    <w:tr2bl w:val="nil"/>
                  </w:tcBorders>
                  <w:shd w:val="clear" w:color="auto" w:fill="auto"/>
                  <w:vAlign w:val="center"/>
                </w:tcPr>
                <w:p w14:paraId="412CFE1F">
                  <w:pPr>
                    <w:keepNext w:val="0"/>
                    <w:keepLines w:val="0"/>
                    <w:widowControl/>
                    <w:suppressLineNumbers w:val="0"/>
                    <w:jc w:val="center"/>
                    <w:textAlignment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等线" w:cs="Times New Roman"/>
                      <w:i w:val="0"/>
                      <w:iCs w:val="0"/>
                      <w:color w:val="auto"/>
                      <w:kern w:val="0"/>
                      <w:sz w:val="22"/>
                      <w:szCs w:val="22"/>
                      <w:u w:val="none"/>
                      <w:lang w:val="en-US" w:eastAsia="zh-CN" w:bidi="ar"/>
                    </w:rPr>
                    <w:t>59.4</w:t>
                  </w:r>
                </w:p>
              </w:tc>
              <w:tc>
                <w:tcPr>
                  <w:tcW w:w="206" w:type="pct"/>
                  <w:tcBorders>
                    <w:tl2br w:val="nil"/>
                    <w:tr2bl w:val="nil"/>
                  </w:tcBorders>
                  <w:shd w:val="clear" w:color="auto" w:fill="auto"/>
                  <w:vAlign w:val="center"/>
                </w:tcPr>
                <w:p w14:paraId="5D84B821">
                  <w:pPr>
                    <w:keepNext w:val="0"/>
                    <w:keepLines w:val="0"/>
                    <w:widowControl/>
                    <w:suppressLineNumbers w:val="0"/>
                    <w:jc w:val="center"/>
                    <w:textAlignment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等线" w:cs="Times New Roman"/>
                      <w:i w:val="0"/>
                      <w:iCs w:val="0"/>
                      <w:color w:val="auto"/>
                      <w:kern w:val="0"/>
                      <w:sz w:val="22"/>
                      <w:szCs w:val="22"/>
                      <w:u w:val="none"/>
                      <w:lang w:val="en-US" w:eastAsia="zh-CN" w:bidi="ar"/>
                    </w:rPr>
                    <w:t>59.3</w:t>
                  </w:r>
                </w:p>
              </w:tc>
              <w:tc>
                <w:tcPr>
                  <w:tcW w:w="207" w:type="pct"/>
                  <w:tcBorders>
                    <w:tl2br w:val="nil"/>
                    <w:tr2bl w:val="nil"/>
                  </w:tcBorders>
                  <w:shd w:val="clear" w:color="auto" w:fill="auto"/>
                  <w:vAlign w:val="center"/>
                </w:tcPr>
                <w:p w14:paraId="4DD9EB78">
                  <w:pPr>
                    <w:keepNext w:val="0"/>
                    <w:keepLines w:val="0"/>
                    <w:widowControl/>
                    <w:suppressLineNumbers w:val="0"/>
                    <w:jc w:val="center"/>
                    <w:textAlignment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等线" w:cs="Times New Roman"/>
                      <w:i w:val="0"/>
                      <w:iCs w:val="0"/>
                      <w:color w:val="auto"/>
                      <w:kern w:val="0"/>
                      <w:sz w:val="22"/>
                      <w:szCs w:val="22"/>
                      <w:u w:val="none"/>
                      <w:lang w:val="en-US" w:eastAsia="zh-CN" w:bidi="ar"/>
                    </w:rPr>
                    <w:t>59.3</w:t>
                  </w:r>
                </w:p>
              </w:tc>
              <w:tc>
                <w:tcPr>
                  <w:tcW w:w="151" w:type="pct"/>
                  <w:vMerge w:val="restart"/>
                  <w:tcBorders>
                    <w:tl2br w:val="nil"/>
                    <w:tr2bl w:val="nil"/>
                  </w:tcBorders>
                  <w:vAlign w:val="center"/>
                </w:tcPr>
                <w:p w14:paraId="74C742A9">
                  <w:pPr>
                    <w:pStyle w:val="22"/>
                    <w:widowControl w:val="0"/>
                    <w:adjustRightInd w:val="0"/>
                    <w:snapToGrid w:val="0"/>
                    <w:spacing w:before="0" w:beforeAutospacing="0" w:after="0" w:afterAutospacing="0"/>
                    <w:jc w:val="center"/>
                    <w:textAlignment w:val="baseline"/>
                    <w:rPr>
                      <w:rFonts w:hint="eastAsia" w:ascii="Times New Roman" w:hAnsi="Times New Roman"/>
                      <w:color w:val="auto"/>
                      <w:spacing w:val="-10"/>
                      <w:sz w:val="21"/>
                      <w:szCs w:val="21"/>
                    </w:rPr>
                  </w:pPr>
                  <w:r>
                    <w:rPr>
                      <w:rFonts w:hint="eastAsia" w:ascii="Times New Roman" w:hAnsi="Times New Roman"/>
                      <w:color w:val="auto"/>
                      <w:spacing w:val="-10"/>
                      <w:sz w:val="21"/>
                      <w:szCs w:val="21"/>
                      <w:lang w:val="en-US" w:eastAsia="zh-CN"/>
                    </w:rPr>
                    <w:t>00</w:t>
                  </w:r>
                  <w:r>
                    <w:rPr>
                      <w:rFonts w:hint="eastAsia" w:ascii="Times New Roman" w:hAnsi="Times New Roman"/>
                      <w:color w:val="auto"/>
                      <w:spacing w:val="-10"/>
                      <w:sz w:val="21"/>
                      <w:szCs w:val="21"/>
                    </w:rPr>
                    <w:t>：</w:t>
                  </w:r>
                  <w:r>
                    <w:rPr>
                      <w:rFonts w:hint="eastAsia" w:ascii="Times New Roman" w:hAnsi="Times New Roman"/>
                      <w:color w:val="auto"/>
                      <w:spacing w:val="-10"/>
                      <w:sz w:val="21"/>
                      <w:szCs w:val="21"/>
                      <w:lang w:val="en-US" w:eastAsia="zh-CN"/>
                    </w:rPr>
                    <w:t>0</w:t>
                  </w:r>
                  <w:r>
                    <w:rPr>
                      <w:rFonts w:hint="eastAsia" w:ascii="Times New Roman" w:hAnsi="Times New Roman"/>
                      <w:color w:val="auto"/>
                      <w:spacing w:val="-10"/>
                      <w:sz w:val="21"/>
                      <w:szCs w:val="21"/>
                    </w:rPr>
                    <w:t>0-</w:t>
                  </w:r>
                  <w:r>
                    <w:rPr>
                      <w:rFonts w:hint="eastAsia" w:ascii="Times New Roman" w:hAnsi="Times New Roman"/>
                      <w:color w:val="auto"/>
                      <w:spacing w:val="-10"/>
                      <w:sz w:val="21"/>
                      <w:szCs w:val="21"/>
                      <w:lang w:val="en-US" w:eastAsia="zh-CN"/>
                    </w:rPr>
                    <w:t>24</w:t>
                  </w:r>
                  <w:r>
                    <w:rPr>
                      <w:rFonts w:hint="eastAsia" w:ascii="Times New Roman" w:hAnsi="Times New Roman"/>
                      <w:color w:val="auto"/>
                      <w:spacing w:val="-10"/>
                      <w:sz w:val="21"/>
                      <w:szCs w:val="21"/>
                    </w:rPr>
                    <w:t>：00</w:t>
                  </w:r>
                </w:p>
              </w:tc>
              <w:tc>
                <w:tcPr>
                  <w:tcW w:w="148" w:type="pct"/>
                  <w:vMerge w:val="restart"/>
                  <w:tcBorders>
                    <w:tl2br w:val="nil"/>
                    <w:tr2bl w:val="nil"/>
                  </w:tcBorders>
                  <w:vAlign w:val="center"/>
                </w:tcPr>
                <w:p w14:paraId="59C88CFC">
                  <w:pPr>
                    <w:widowControl w:val="0"/>
                    <w:adjustRightInd w:val="0"/>
                    <w:snapToGrid w:val="0"/>
                    <w:spacing w:before="0" w:beforeAutospacing="0" w:after="0" w:afterAutospacing="0"/>
                    <w:jc w:val="center"/>
                    <w:textAlignment w:val="baseline"/>
                    <w:rPr>
                      <w:rFonts w:hint="default" w:ascii="Times New Roman" w:hAnsi="Times New Roman" w:eastAsia="宋体"/>
                      <w:b w:val="0"/>
                      <w:bCs w:val="0"/>
                      <w:color w:val="auto"/>
                      <w:spacing w:val="-10"/>
                      <w:sz w:val="21"/>
                      <w:szCs w:val="21"/>
                      <w:lang w:val="en-US" w:eastAsia="zh-CN"/>
                    </w:rPr>
                  </w:pPr>
                  <w:r>
                    <w:rPr>
                      <w:rFonts w:hint="default" w:ascii="Times New Roman" w:hAnsi="Times New Roman" w:eastAsia="宋体"/>
                      <w:b w:val="0"/>
                      <w:bCs w:val="0"/>
                      <w:color w:val="auto"/>
                      <w:spacing w:val="-10"/>
                      <w:sz w:val="21"/>
                      <w:szCs w:val="21"/>
                      <w:lang w:val="en-US" w:eastAsia="zh-CN"/>
                    </w:rPr>
                    <w:t>2</w:t>
                  </w:r>
                  <w:r>
                    <w:rPr>
                      <w:rFonts w:hint="eastAsia"/>
                      <w:b w:val="0"/>
                      <w:bCs w:val="0"/>
                      <w:color w:val="auto"/>
                      <w:spacing w:val="-10"/>
                      <w:sz w:val="21"/>
                      <w:szCs w:val="21"/>
                      <w:lang w:val="en-US" w:eastAsia="zh-CN"/>
                    </w:rPr>
                    <w:t>0</w:t>
                  </w:r>
                </w:p>
              </w:tc>
              <w:tc>
                <w:tcPr>
                  <w:tcW w:w="126" w:type="pct"/>
                  <w:vMerge w:val="restart"/>
                  <w:tcBorders>
                    <w:tl2br w:val="nil"/>
                    <w:tr2bl w:val="nil"/>
                  </w:tcBorders>
                  <w:vAlign w:val="center"/>
                </w:tcPr>
                <w:p w14:paraId="6B4A22FD">
                  <w:pPr>
                    <w:adjustRightInd w:val="0"/>
                    <w:snapToGrid w:val="0"/>
                    <w:jc w:val="center"/>
                    <w:textAlignment w:val="baseline"/>
                    <w:rPr>
                      <w:rFonts w:hint="default" w:eastAsia="宋体"/>
                      <w:b w:val="0"/>
                      <w:bCs w:val="0"/>
                      <w:color w:val="auto"/>
                      <w:spacing w:val="-10"/>
                      <w:sz w:val="21"/>
                      <w:szCs w:val="21"/>
                      <w:lang w:val="en-US" w:eastAsia="zh-CN"/>
                    </w:rPr>
                  </w:pPr>
                  <w:r>
                    <w:rPr>
                      <w:rFonts w:hint="default" w:ascii="Times New Roman" w:hAnsi="Times New Roman" w:eastAsia="宋体"/>
                      <w:b w:val="0"/>
                      <w:bCs w:val="0"/>
                      <w:color w:val="auto"/>
                      <w:spacing w:val="-10"/>
                      <w:sz w:val="21"/>
                      <w:szCs w:val="21"/>
                      <w:lang w:val="en-US" w:eastAsia="zh-CN"/>
                    </w:rPr>
                    <w:t>2</w:t>
                  </w:r>
                  <w:r>
                    <w:rPr>
                      <w:rFonts w:hint="eastAsia"/>
                      <w:b w:val="0"/>
                      <w:bCs w:val="0"/>
                      <w:color w:val="auto"/>
                      <w:spacing w:val="-10"/>
                      <w:sz w:val="21"/>
                      <w:szCs w:val="21"/>
                      <w:lang w:val="en-US" w:eastAsia="zh-CN"/>
                    </w:rPr>
                    <w:t>0</w:t>
                  </w:r>
                </w:p>
              </w:tc>
              <w:tc>
                <w:tcPr>
                  <w:tcW w:w="120" w:type="pct"/>
                  <w:vMerge w:val="restart"/>
                  <w:tcBorders>
                    <w:tl2br w:val="nil"/>
                    <w:tr2bl w:val="nil"/>
                  </w:tcBorders>
                  <w:vAlign w:val="center"/>
                </w:tcPr>
                <w:p w14:paraId="57E80CA1">
                  <w:pPr>
                    <w:adjustRightInd w:val="0"/>
                    <w:snapToGrid w:val="0"/>
                    <w:jc w:val="center"/>
                    <w:textAlignment w:val="baseline"/>
                    <w:rPr>
                      <w:rFonts w:hint="default" w:eastAsia="宋体"/>
                      <w:b w:val="0"/>
                      <w:bCs w:val="0"/>
                      <w:color w:val="auto"/>
                      <w:spacing w:val="-10"/>
                      <w:sz w:val="21"/>
                      <w:szCs w:val="21"/>
                      <w:lang w:val="en-US" w:eastAsia="zh-CN"/>
                    </w:rPr>
                  </w:pPr>
                  <w:r>
                    <w:rPr>
                      <w:rFonts w:hint="default" w:ascii="Times New Roman" w:hAnsi="Times New Roman" w:eastAsia="宋体"/>
                      <w:b w:val="0"/>
                      <w:bCs w:val="0"/>
                      <w:color w:val="auto"/>
                      <w:spacing w:val="-10"/>
                      <w:sz w:val="21"/>
                      <w:szCs w:val="21"/>
                      <w:lang w:val="en-US" w:eastAsia="zh-CN"/>
                    </w:rPr>
                    <w:t>2</w:t>
                  </w:r>
                  <w:r>
                    <w:rPr>
                      <w:rFonts w:hint="eastAsia"/>
                      <w:b w:val="0"/>
                      <w:bCs w:val="0"/>
                      <w:color w:val="auto"/>
                      <w:spacing w:val="-10"/>
                      <w:sz w:val="21"/>
                      <w:szCs w:val="21"/>
                      <w:lang w:val="en-US" w:eastAsia="zh-CN"/>
                    </w:rPr>
                    <w:t>0</w:t>
                  </w:r>
                </w:p>
              </w:tc>
              <w:tc>
                <w:tcPr>
                  <w:tcW w:w="134" w:type="pct"/>
                  <w:vMerge w:val="restart"/>
                  <w:tcBorders>
                    <w:tl2br w:val="nil"/>
                    <w:tr2bl w:val="nil"/>
                  </w:tcBorders>
                  <w:vAlign w:val="center"/>
                </w:tcPr>
                <w:p w14:paraId="07A6385B">
                  <w:pPr>
                    <w:adjustRightInd w:val="0"/>
                    <w:snapToGrid w:val="0"/>
                    <w:jc w:val="center"/>
                    <w:textAlignment w:val="baseline"/>
                    <w:rPr>
                      <w:rFonts w:hint="default" w:eastAsia="宋体"/>
                      <w:b w:val="0"/>
                      <w:bCs w:val="0"/>
                      <w:color w:val="auto"/>
                      <w:spacing w:val="-10"/>
                      <w:sz w:val="21"/>
                      <w:szCs w:val="21"/>
                      <w:lang w:val="en-US" w:eastAsia="zh-CN"/>
                    </w:rPr>
                  </w:pPr>
                  <w:r>
                    <w:rPr>
                      <w:rFonts w:hint="default" w:ascii="Times New Roman" w:hAnsi="Times New Roman" w:eastAsia="宋体"/>
                      <w:b w:val="0"/>
                      <w:bCs w:val="0"/>
                      <w:color w:val="auto"/>
                      <w:spacing w:val="-10"/>
                      <w:sz w:val="21"/>
                      <w:szCs w:val="21"/>
                      <w:lang w:val="en-US" w:eastAsia="zh-CN"/>
                    </w:rPr>
                    <w:t>2</w:t>
                  </w:r>
                  <w:r>
                    <w:rPr>
                      <w:rFonts w:hint="eastAsia"/>
                      <w:b w:val="0"/>
                      <w:bCs w:val="0"/>
                      <w:color w:val="auto"/>
                      <w:spacing w:val="-10"/>
                      <w:sz w:val="21"/>
                      <w:szCs w:val="21"/>
                      <w:lang w:val="en-US" w:eastAsia="zh-CN"/>
                    </w:rPr>
                    <w:t>0</w:t>
                  </w:r>
                </w:p>
              </w:tc>
              <w:tc>
                <w:tcPr>
                  <w:tcW w:w="115" w:type="pct"/>
                  <w:vMerge w:val="restart"/>
                  <w:tcBorders>
                    <w:tl2br w:val="nil"/>
                    <w:tr2bl w:val="nil"/>
                  </w:tcBorders>
                  <w:shd w:val="clear" w:color="auto" w:fill="auto"/>
                  <w:vAlign w:val="center"/>
                </w:tcPr>
                <w:p w14:paraId="5D0D5090">
                  <w:pPr>
                    <w:keepNext w:val="0"/>
                    <w:keepLines w:val="0"/>
                    <w:pageBreakBefore w:val="0"/>
                    <w:widowControl/>
                    <w:suppressLineNumbers w:val="0"/>
                    <w:kinsoku/>
                    <w:wordWrap/>
                    <w:overflowPunct/>
                    <w:topLinePunct w:val="0"/>
                    <w:autoSpaceDE/>
                    <w:autoSpaceDN/>
                    <w:bidi w:val="0"/>
                    <w:jc w:val="center"/>
                    <w:textAlignment w:val="center"/>
                    <w:rPr>
                      <w:rFonts w:hint="default" w:ascii="Times New Roman" w:hAnsi="Times New Roman" w:eastAsia="宋体" w:cs="Times New Roman"/>
                      <w:color w:val="auto"/>
                      <w:spacing w:val="-10"/>
                      <w:kern w:val="2"/>
                      <w:sz w:val="21"/>
                      <w:szCs w:val="21"/>
                      <w:lang w:val="en-US" w:eastAsia="zh-CN" w:bidi="ar"/>
                    </w:rPr>
                  </w:pPr>
                  <w:r>
                    <w:rPr>
                      <w:rFonts w:hint="eastAsia" w:cs="Times New Roman"/>
                      <w:color w:val="auto"/>
                      <w:spacing w:val="-10"/>
                      <w:kern w:val="2"/>
                      <w:sz w:val="21"/>
                      <w:szCs w:val="21"/>
                      <w:lang w:val="en-US" w:eastAsia="zh-CN" w:bidi="ar"/>
                    </w:rPr>
                    <w:t>57.8</w:t>
                  </w:r>
                </w:p>
              </w:tc>
              <w:tc>
                <w:tcPr>
                  <w:tcW w:w="117" w:type="pct"/>
                  <w:vMerge w:val="restart"/>
                  <w:tcBorders>
                    <w:tl2br w:val="nil"/>
                    <w:tr2bl w:val="nil"/>
                  </w:tcBorders>
                  <w:shd w:val="clear" w:color="auto" w:fill="auto"/>
                  <w:vAlign w:val="center"/>
                </w:tcPr>
                <w:p w14:paraId="1B94E961">
                  <w:pPr>
                    <w:keepNext w:val="0"/>
                    <w:keepLines w:val="0"/>
                    <w:pageBreakBefore w:val="0"/>
                    <w:widowControl/>
                    <w:suppressLineNumbers w:val="0"/>
                    <w:kinsoku/>
                    <w:wordWrap/>
                    <w:overflowPunct/>
                    <w:topLinePunct w:val="0"/>
                    <w:autoSpaceDE/>
                    <w:autoSpaceDN/>
                    <w:bidi w:val="0"/>
                    <w:jc w:val="center"/>
                    <w:textAlignment w:val="center"/>
                    <w:rPr>
                      <w:rFonts w:hint="default" w:ascii="Times New Roman" w:hAnsi="Times New Roman" w:eastAsia="宋体" w:cs="Times New Roman"/>
                      <w:color w:val="auto"/>
                      <w:spacing w:val="-10"/>
                      <w:kern w:val="2"/>
                      <w:sz w:val="21"/>
                      <w:szCs w:val="21"/>
                      <w:lang w:val="en-US" w:eastAsia="zh-CN" w:bidi="ar"/>
                    </w:rPr>
                  </w:pPr>
                  <w:r>
                    <w:rPr>
                      <w:rFonts w:hint="eastAsia" w:cs="Times New Roman"/>
                      <w:color w:val="auto"/>
                      <w:spacing w:val="-10"/>
                      <w:kern w:val="2"/>
                      <w:sz w:val="21"/>
                      <w:szCs w:val="21"/>
                      <w:lang w:val="en-US" w:eastAsia="zh-CN" w:bidi="ar"/>
                    </w:rPr>
                    <w:t>56.3</w:t>
                  </w:r>
                </w:p>
              </w:tc>
              <w:tc>
                <w:tcPr>
                  <w:tcW w:w="117" w:type="pct"/>
                  <w:vMerge w:val="restart"/>
                  <w:tcBorders>
                    <w:tl2br w:val="nil"/>
                    <w:tr2bl w:val="nil"/>
                  </w:tcBorders>
                  <w:shd w:val="clear" w:color="auto" w:fill="auto"/>
                  <w:vAlign w:val="center"/>
                </w:tcPr>
                <w:p w14:paraId="36D759B1">
                  <w:pPr>
                    <w:keepNext w:val="0"/>
                    <w:keepLines w:val="0"/>
                    <w:pageBreakBefore w:val="0"/>
                    <w:widowControl/>
                    <w:suppressLineNumbers w:val="0"/>
                    <w:kinsoku/>
                    <w:wordWrap/>
                    <w:overflowPunct/>
                    <w:topLinePunct w:val="0"/>
                    <w:autoSpaceDE/>
                    <w:autoSpaceDN/>
                    <w:bidi w:val="0"/>
                    <w:jc w:val="center"/>
                    <w:textAlignment w:val="center"/>
                    <w:rPr>
                      <w:rFonts w:hint="default" w:ascii="Times New Roman" w:hAnsi="Times New Roman" w:eastAsia="宋体" w:cs="Times New Roman"/>
                      <w:color w:val="auto"/>
                      <w:spacing w:val="-10"/>
                      <w:kern w:val="2"/>
                      <w:sz w:val="21"/>
                      <w:szCs w:val="21"/>
                      <w:lang w:val="en-US" w:eastAsia="zh-CN" w:bidi="ar"/>
                    </w:rPr>
                  </w:pPr>
                  <w:r>
                    <w:rPr>
                      <w:rFonts w:hint="eastAsia" w:cs="Times New Roman"/>
                      <w:color w:val="auto"/>
                      <w:spacing w:val="-10"/>
                      <w:kern w:val="2"/>
                      <w:sz w:val="21"/>
                      <w:szCs w:val="21"/>
                      <w:lang w:val="en-US" w:eastAsia="zh-CN" w:bidi="ar"/>
                    </w:rPr>
                    <w:t>57.8</w:t>
                  </w:r>
                </w:p>
              </w:tc>
              <w:tc>
                <w:tcPr>
                  <w:tcW w:w="118" w:type="pct"/>
                  <w:vMerge w:val="restart"/>
                  <w:tcBorders>
                    <w:tl2br w:val="nil"/>
                    <w:tr2bl w:val="nil"/>
                  </w:tcBorders>
                  <w:vAlign w:val="center"/>
                </w:tcPr>
                <w:p w14:paraId="3F2366CE">
                  <w:pPr>
                    <w:keepNext w:val="0"/>
                    <w:keepLines w:val="0"/>
                    <w:pageBreakBefore w:val="0"/>
                    <w:widowControl/>
                    <w:suppressLineNumbers w:val="0"/>
                    <w:kinsoku/>
                    <w:wordWrap/>
                    <w:overflowPunct/>
                    <w:topLinePunct w:val="0"/>
                    <w:autoSpaceDE/>
                    <w:autoSpaceDN/>
                    <w:bidi w:val="0"/>
                    <w:jc w:val="center"/>
                    <w:textAlignment w:val="center"/>
                    <w:rPr>
                      <w:rFonts w:hint="default" w:ascii="Times New Roman" w:hAnsi="Times New Roman" w:eastAsia="宋体" w:cs="Times New Roman"/>
                      <w:color w:val="auto"/>
                      <w:spacing w:val="-10"/>
                      <w:sz w:val="21"/>
                      <w:szCs w:val="21"/>
                      <w:lang w:val="en-US" w:eastAsia="zh-CN"/>
                    </w:rPr>
                  </w:pPr>
                  <w:r>
                    <w:rPr>
                      <w:rFonts w:hint="eastAsia" w:cs="Times New Roman"/>
                      <w:color w:val="auto"/>
                      <w:spacing w:val="-10"/>
                      <w:sz w:val="21"/>
                      <w:szCs w:val="21"/>
                      <w:lang w:val="en-US" w:eastAsia="zh-CN"/>
                    </w:rPr>
                    <w:t>57.3</w:t>
                  </w:r>
                </w:p>
              </w:tc>
              <w:tc>
                <w:tcPr>
                  <w:tcW w:w="282" w:type="pct"/>
                  <w:vMerge w:val="restart"/>
                  <w:tcBorders>
                    <w:tl2br w:val="nil"/>
                    <w:tr2bl w:val="nil"/>
                  </w:tcBorders>
                  <w:vAlign w:val="center"/>
                </w:tcPr>
                <w:p w14:paraId="4A5E69AF">
                  <w:pPr>
                    <w:pStyle w:val="22"/>
                    <w:widowControl w:val="0"/>
                    <w:adjustRightInd w:val="0"/>
                    <w:snapToGrid w:val="0"/>
                    <w:spacing w:before="0" w:beforeAutospacing="0" w:after="0" w:afterAutospacing="0"/>
                    <w:jc w:val="center"/>
                    <w:textAlignment w:val="baseline"/>
                    <w:rPr>
                      <w:rFonts w:ascii="Times New Roman" w:hAnsi="Times New Roman"/>
                      <w:color w:val="auto"/>
                      <w:spacing w:val="-10"/>
                      <w:sz w:val="21"/>
                      <w:szCs w:val="21"/>
                    </w:rPr>
                  </w:pPr>
                  <w:r>
                    <w:rPr>
                      <w:rFonts w:ascii="Times New Roman" w:hAnsi="Times New Roman"/>
                      <w:color w:val="auto"/>
                      <w:spacing w:val="-10"/>
                      <w:sz w:val="21"/>
                      <w:szCs w:val="21"/>
                    </w:rPr>
                    <w:t>1</w:t>
                  </w:r>
                </w:p>
              </w:tc>
            </w:tr>
            <w:tr w14:paraId="314BB53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41" w:type="pct"/>
                  <w:tcBorders>
                    <w:tl2br w:val="nil"/>
                    <w:tr2bl w:val="nil"/>
                  </w:tcBorders>
                  <w:vAlign w:val="center"/>
                </w:tcPr>
                <w:p w14:paraId="7BCE4258">
                  <w:pPr>
                    <w:pStyle w:val="22"/>
                    <w:widowControl w:val="0"/>
                    <w:numPr>
                      <w:ilvl w:val="0"/>
                      <w:numId w:val="11"/>
                    </w:numPr>
                    <w:adjustRightInd w:val="0"/>
                    <w:snapToGrid w:val="0"/>
                    <w:spacing w:before="0" w:beforeAutospacing="0" w:after="0" w:afterAutospacing="0"/>
                    <w:ind w:left="0" w:leftChars="0" w:firstLine="0" w:firstLineChars="0"/>
                    <w:jc w:val="center"/>
                    <w:textAlignment w:val="baseline"/>
                    <w:rPr>
                      <w:rFonts w:ascii="Times New Roman" w:hAnsi="Times New Roman"/>
                      <w:color w:val="auto"/>
                      <w:spacing w:val="-10"/>
                      <w:sz w:val="21"/>
                      <w:szCs w:val="21"/>
                    </w:rPr>
                  </w:pPr>
                </w:p>
              </w:tc>
              <w:tc>
                <w:tcPr>
                  <w:tcW w:w="162" w:type="pct"/>
                  <w:vMerge w:val="continue"/>
                  <w:tcBorders>
                    <w:tl2br w:val="nil"/>
                    <w:tr2bl w:val="nil"/>
                  </w:tcBorders>
                  <w:vAlign w:val="center"/>
                </w:tcPr>
                <w:p w14:paraId="120DC8E7">
                  <w:pPr>
                    <w:pStyle w:val="22"/>
                    <w:widowControl w:val="0"/>
                    <w:adjustRightInd w:val="0"/>
                    <w:snapToGrid w:val="0"/>
                    <w:spacing w:before="0" w:beforeAutospacing="0" w:after="0" w:afterAutospacing="0"/>
                    <w:jc w:val="center"/>
                    <w:textAlignment w:val="baseline"/>
                    <w:rPr>
                      <w:rFonts w:hint="default" w:ascii="Times New Roman" w:hAnsi="Times New Roman" w:eastAsia="宋体"/>
                      <w:color w:val="auto"/>
                      <w:spacing w:val="-10"/>
                      <w:sz w:val="21"/>
                      <w:szCs w:val="21"/>
                      <w:lang w:val="en-US" w:eastAsia="zh-CN"/>
                    </w:rPr>
                  </w:pPr>
                </w:p>
              </w:tc>
              <w:tc>
                <w:tcPr>
                  <w:tcW w:w="353" w:type="pct"/>
                  <w:tcBorders>
                    <w:tl2br w:val="nil"/>
                    <w:tr2bl w:val="nil"/>
                  </w:tcBorders>
                  <w:shd w:val="clear" w:color="auto" w:fill="auto"/>
                  <w:vAlign w:val="center"/>
                </w:tcPr>
                <w:p w14:paraId="384505A9">
                  <w:pPr>
                    <w:widowControl/>
                    <w:spacing w:line="240" w:lineRule="auto"/>
                    <w:jc w:val="center"/>
                    <w:textAlignment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sz w:val="21"/>
                      <w:szCs w:val="21"/>
                    </w:rPr>
                    <w:t>4轴数控枪钻</w:t>
                  </w:r>
                </w:p>
              </w:tc>
              <w:tc>
                <w:tcPr>
                  <w:tcW w:w="190" w:type="pct"/>
                  <w:tcBorders>
                    <w:tl2br w:val="nil"/>
                    <w:tr2bl w:val="nil"/>
                  </w:tcBorders>
                  <w:shd w:val="clear" w:color="auto" w:fill="auto"/>
                  <w:vAlign w:val="center"/>
                </w:tcPr>
                <w:p w14:paraId="2F3FAB5C">
                  <w:pPr>
                    <w:widowControl/>
                    <w:spacing w:line="240" w:lineRule="auto"/>
                    <w:jc w:val="center"/>
                    <w:textAlignment w:val="center"/>
                    <w:rPr>
                      <w:rFonts w:hint="default" w:ascii="Times New Roman" w:hAnsi="Times New Roman" w:eastAsia="宋体" w:cs="Times New Roman"/>
                      <w:color w:val="auto"/>
                      <w:kern w:val="0"/>
                      <w:sz w:val="21"/>
                      <w:szCs w:val="21"/>
                      <w:lang w:val="en-US" w:eastAsia="zh-CN" w:bidi="ar"/>
                    </w:rPr>
                  </w:pPr>
                  <w:r>
                    <w:rPr>
                      <w:rFonts w:hint="eastAsia" w:cs="Times New Roman"/>
                      <w:color w:val="auto"/>
                      <w:kern w:val="0"/>
                      <w:sz w:val="21"/>
                      <w:szCs w:val="21"/>
                      <w:lang w:val="en-US" w:eastAsia="zh-CN" w:bidi="ar"/>
                    </w:rPr>
                    <w:t>/</w:t>
                  </w:r>
                </w:p>
              </w:tc>
              <w:tc>
                <w:tcPr>
                  <w:tcW w:w="302" w:type="pct"/>
                  <w:tcBorders>
                    <w:tl2br w:val="nil"/>
                    <w:tr2bl w:val="nil"/>
                  </w:tcBorders>
                  <w:shd w:val="clear" w:color="auto" w:fill="auto"/>
                  <w:vAlign w:val="center"/>
                </w:tcPr>
                <w:p w14:paraId="4A284FFB">
                  <w:pPr>
                    <w:keepNext w:val="0"/>
                    <w:keepLines w:val="0"/>
                    <w:widowControl/>
                    <w:suppressLineNumbers w:val="0"/>
                    <w:jc w:val="center"/>
                    <w:textAlignment w:val="center"/>
                    <w:rPr>
                      <w:rFonts w:hint="eastAsia" w:ascii="Times New Roman" w:hAnsi="Times New Roman" w:eastAsia="宋体" w:cs="Times New Roman"/>
                      <w:color w:val="auto"/>
                      <w:kern w:val="0"/>
                      <w:sz w:val="21"/>
                      <w:szCs w:val="21"/>
                      <w:lang w:val="en-US" w:eastAsia="zh-CN" w:bidi="ar"/>
                    </w:rPr>
                  </w:pPr>
                  <w:r>
                    <w:rPr>
                      <w:rFonts w:hint="default" w:ascii="Times New Roman" w:hAnsi="Times New Roman" w:eastAsia="等线" w:cs="Times New Roman"/>
                      <w:i w:val="0"/>
                      <w:iCs w:val="0"/>
                      <w:color w:val="auto"/>
                      <w:kern w:val="0"/>
                      <w:sz w:val="21"/>
                      <w:szCs w:val="21"/>
                      <w:u w:val="none"/>
                      <w:lang w:val="en-US" w:eastAsia="zh-CN" w:bidi="ar"/>
                    </w:rPr>
                    <w:t>95</w:t>
                  </w:r>
                </w:p>
              </w:tc>
              <w:tc>
                <w:tcPr>
                  <w:tcW w:w="169" w:type="pct"/>
                  <w:vMerge w:val="continue"/>
                  <w:tcBorders>
                    <w:tl2br w:val="nil"/>
                    <w:tr2bl w:val="nil"/>
                  </w:tcBorders>
                  <w:vAlign w:val="center"/>
                </w:tcPr>
                <w:p w14:paraId="6855107B">
                  <w:pPr>
                    <w:pStyle w:val="22"/>
                    <w:widowControl w:val="0"/>
                    <w:adjustRightInd w:val="0"/>
                    <w:snapToGrid w:val="0"/>
                    <w:spacing w:before="0" w:beforeAutospacing="0" w:after="0" w:afterAutospacing="0"/>
                    <w:jc w:val="center"/>
                    <w:textAlignment w:val="baseline"/>
                    <w:rPr>
                      <w:rFonts w:ascii="Times New Roman" w:hAnsi="Times New Roman" w:eastAsia="等线"/>
                      <w:color w:val="auto"/>
                      <w:sz w:val="21"/>
                      <w:szCs w:val="21"/>
                    </w:rPr>
                  </w:pPr>
                </w:p>
              </w:tc>
              <w:tc>
                <w:tcPr>
                  <w:tcW w:w="177" w:type="pct"/>
                  <w:tcBorders>
                    <w:tl2br w:val="nil"/>
                    <w:tr2bl w:val="nil"/>
                  </w:tcBorders>
                  <w:shd w:val="clear" w:color="auto" w:fill="auto"/>
                  <w:vAlign w:val="center"/>
                </w:tcPr>
                <w:p w14:paraId="2F2C0330">
                  <w:pPr>
                    <w:widowControl/>
                    <w:jc w:val="center"/>
                    <w:textAlignment w:val="center"/>
                    <w:rPr>
                      <w:rFonts w:hint="default" w:ascii="Times New Roman" w:hAnsi="Times New Roman" w:eastAsia="等线" w:cs="Times New Roman"/>
                      <w:color w:val="auto"/>
                      <w:kern w:val="0"/>
                      <w:sz w:val="21"/>
                      <w:szCs w:val="21"/>
                      <w:lang w:val="en-US" w:eastAsia="zh-CN" w:bidi="ar"/>
                    </w:rPr>
                  </w:pPr>
                  <w:r>
                    <w:rPr>
                      <w:rFonts w:hint="eastAsia" w:eastAsia="等线" w:cs="Times New Roman"/>
                      <w:color w:val="auto"/>
                      <w:kern w:val="0"/>
                      <w:sz w:val="21"/>
                      <w:szCs w:val="21"/>
                      <w:lang w:val="en-US" w:eastAsia="zh-CN" w:bidi="ar"/>
                    </w:rPr>
                    <w:t>24</w:t>
                  </w:r>
                </w:p>
              </w:tc>
              <w:tc>
                <w:tcPr>
                  <w:tcW w:w="201" w:type="pct"/>
                  <w:tcBorders>
                    <w:tl2br w:val="nil"/>
                    <w:tr2bl w:val="nil"/>
                  </w:tcBorders>
                  <w:shd w:val="clear" w:color="auto" w:fill="auto"/>
                  <w:vAlign w:val="center"/>
                </w:tcPr>
                <w:p w14:paraId="70DCF3B3">
                  <w:pPr>
                    <w:widowControl/>
                    <w:jc w:val="center"/>
                    <w:textAlignment w:val="center"/>
                    <w:rPr>
                      <w:rFonts w:hint="default" w:ascii="Times New Roman" w:hAnsi="Times New Roman" w:eastAsia="等线" w:cs="Times New Roman"/>
                      <w:color w:val="auto"/>
                      <w:kern w:val="0"/>
                      <w:sz w:val="21"/>
                      <w:szCs w:val="21"/>
                      <w:lang w:val="en-US" w:eastAsia="zh-CN" w:bidi="ar"/>
                    </w:rPr>
                  </w:pPr>
                  <w:r>
                    <w:rPr>
                      <w:rFonts w:hint="eastAsia" w:eastAsia="等线" w:cs="Times New Roman"/>
                      <w:color w:val="auto"/>
                      <w:kern w:val="0"/>
                      <w:sz w:val="21"/>
                      <w:szCs w:val="21"/>
                      <w:lang w:val="en-US" w:eastAsia="zh-CN" w:bidi="ar"/>
                    </w:rPr>
                    <w:t>36</w:t>
                  </w:r>
                </w:p>
              </w:tc>
              <w:tc>
                <w:tcPr>
                  <w:tcW w:w="116" w:type="pct"/>
                  <w:tcBorders>
                    <w:tl2br w:val="nil"/>
                    <w:tr2bl w:val="nil"/>
                  </w:tcBorders>
                  <w:vAlign w:val="center"/>
                </w:tcPr>
                <w:p w14:paraId="29D91674">
                  <w:pPr>
                    <w:widowControl/>
                    <w:jc w:val="center"/>
                    <w:textAlignment w:val="center"/>
                    <w:rPr>
                      <w:rFonts w:hint="default" w:eastAsia="等线"/>
                      <w:color w:val="auto"/>
                      <w:kern w:val="0"/>
                      <w:sz w:val="21"/>
                      <w:szCs w:val="21"/>
                      <w:lang w:val="en-US" w:eastAsia="zh-CN"/>
                    </w:rPr>
                  </w:pPr>
                  <w:r>
                    <w:rPr>
                      <w:rFonts w:hint="eastAsia" w:eastAsia="宋体"/>
                      <w:color w:val="auto"/>
                      <w:sz w:val="21"/>
                      <w:szCs w:val="21"/>
                      <w:lang w:val="en-US" w:eastAsia="zh-CN"/>
                    </w:rPr>
                    <w:t>1</w:t>
                  </w:r>
                </w:p>
              </w:tc>
              <w:tc>
                <w:tcPr>
                  <w:tcW w:w="197" w:type="pct"/>
                  <w:tcBorders>
                    <w:tl2br w:val="nil"/>
                    <w:tr2bl w:val="nil"/>
                  </w:tcBorders>
                  <w:vAlign w:val="center"/>
                </w:tcPr>
                <w:p w14:paraId="2D644E8D">
                  <w:pPr>
                    <w:widowControl/>
                    <w:jc w:val="center"/>
                    <w:textAlignment w:val="center"/>
                    <w:rPr>
                      <w:rFonts w:hint="default" w:eastAsia="等线"/>
                      <w:color w:val="auto"/>
                      <w:kern w:val="0"/>
                      <w:sz w:val="21"/>
                      <w:szCs w:val="21"/>
                      <w:lang w:val="en-US" w:eastAsia="zh-CN"/>
                    </w:rPr>
                  </w:pPr>
                  <w:r>
                    <w:rPr>
                      <w:rFonts w:hint="eastAsia" w:eastAsia="等线"/>
                      <w:color w:val="auto"/>
                      <w:kern w:val="0"/>
                      <w:sz w:val="21"/>
                      <w:szCs w:val="21"/>
                      <w:lang w:val="en-US" w:eastAsia="zh-CN"/>
                    </w:rPr>
                    <w:t>33</w:t>
                  </w:r>
                </w:p>
              </w:tc>
              <w:tc>
                <w:tcPr>
                  <w:tcW w:w="237" w:type="pct"/>
                  <w:tcBorders>
                    <w:tl2br w:val="nil"/>
                    <w:tr2bl w:val="nil"/>
                  </w:tcBorders>
                  <w:vAlign w:val="center"/>
                </w:tcPr>
                <w:p w14:paraId="56977BF6">
                  <w:pPr>
                    <w:keepNext w:val="0"/>
                    <w:keepLines w:val="0"/>
                    <w:widowControl/>
                    <w:suppressLineNumbers w:val="0"/>
                    <w:jc w:val="center"/>
                    <w:textAlignment w:val="center"/>
                    <w:rPr>
                      <w:rFonts w:hint="default" w:eastAsia="等线"/>
                      <w:color w:val="auto"/>
                      <w:kern w:val="0"/>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28</w:t>
                  </w:r>
                </w:p>
              </w:tc>
              <w:tc>
                <w:tcPr>
                  <w:tcW w:w="181" w:type="pct"/>
                  <w:tcBorders>
                    <w:tl2br w:val="nil"/>
                    <w:tr2bl w:val="nil"/>
                  </w:tcBorders>
                  <w:vAlign w:val="center"/>
                </w:tcPr>
                <w:p w14:paraId="7C6D083A">
                  <w:pPr>
                    <w:keepNext w:val="0"/>
                    <w:keepLines w:val="0"/>
                    <w:widowControl/>
                    <w:suppressLineNumbers w:val="0"/>
                    <w:jc w:val="center"/>
                    <w:textAlignment w:val="center"/>
                    <w:rPr>
                      <w:rFonts w:hint="default" w:eastAsia="等线"/>
                      <w:color w:val="auto"/>
                      <w:kern w:val="0"/>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33</w:t>
                  </w:r>
                </w:p>
              </w:tc>
              <w:tc>
                <w:tcPr>
                  <w:tcW w:w="237" w:type="pct"/>
                  <w:tcBorders>
                    <w:tl2br w:val="nil"/>
                    <w:tr2bl w:val="nil"/>
                  </w:tcBorders>
                  <w:vAlign w:val="center"/>
                </w:tcPr>
                <w:p w14:paraId="749BEBD0">
                  <w:pPr>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81</w:t>
                  </w:r>
                </w:p>
              </w:tc>
              <w:tc>
                <w:tcPr>
                  <w:tcW w:w="241" w:type="pct"/>
                  <w:tcBorders>
                    <w:tl2br w:val="nil"/>
                    <w:tr2bl w:val="nil"/>
                  </w:tcBorders>
                  <w:vAlign w:val="center"/>
                </w:tcPr>
                <w:p w14:paraId="167C0662">
                  <w:pPr>
                    <w:keepNext w:val="0"/>
                    <w:keepLines w:val="0"/>
                    <w:widowControl/>
                    <w:suppressLineNumbers w:val="0"/>
                    <w:jc w:val="center"/>
                    <w:textAlignment w:val="center"/>
                    <w:rPr>
                      <w:rFonts w:hint="default" w:ascii="Times New Roman" w:hAnsi="Times New Roman" w:eastAsia="宋体" w:cs="Times New Roman"/>
                      <w:color w:val="auto"/>
                      <w:kern w:val="0"/>
                      <w:sz w:val="21"/>
                      <w:szCs w:val="21"/>
                    </w:rPr>
                  </w:pPr>
                  <w:r>
                    <w:rPr>
                      <w:rFonts w:hint="default" w:ascii="Times New Roman" w:hAnsi="Times New Roman" w:eastAsia="等线" w:cs="Times New Roman"/>
                      <w:i w:val="0"/>
                      <w:iCs w:val="0"/>
                      <w:color w:val="auto"/>
                      <w:kern w:val="0"/>
                      <w:sz w:val="22"/>
                      <w:szCs w:val="22"/>
                      <w:u w:val="none"/>
                      <w:lang w:val="en-US" w:eastAsia="zh-CN" w:bidi="ar"/>
                    </w:rPr>
                    <w:t>66.4</w:t>
                  </w:r>
                </w:p>
              </w:tc>
              <w:tc>
                <w:tcPr>
                  <w:tcW w:w="241" w:type="pct"/>
                  <w:tcBorders>
                    <w:tl2br w:val="nil"/>
                    <w:tr2bl w:val="nil"/>
                  </w:tcBorders>
                  <w:vAlign w:val="center"/>
                </w:tcPr>
                <w:p w14:paraId="325E8603">
                  <w:pPr>
                    <w:keepNext w:val="0"/>
                    <w:keepLines w:val="0"/>
                    <w:widowControl/>
                    <w:suppressLineNumbers w:val="0"/>
                    <w:jc w:val="center"/>
                    <w:textAlignment w:val="center"/>
                    <w:rPr>
                      <w:rFonts w:hint="default" w:ascii="Times New Roman" w:hAnsi="Times New Roman" w:eastAsia="宋体" w:cs="Times New Roman"/>
                      <w:color w:val="auto"/>
                      <w:kern w:val="0"/>
                      <w:sz w:val="21"/>
                      <w:szCs w:val="21"/>
                    </w:rPr>
                  </w:pPr>
                  <w:r>
                    <w:rPr>
                      <w:rFonts w:hint="default" w:ascii="Times New Roman" w:hAnsi="Times New Roman" w:eastAsia="等线" w:cs="Times New Roman"/>
                      <w:i w:val="0"/>
                      <w:iCs w:val="0"/>
                      <w:color w:val="auto"/>
                      <w:kern w:val="0"/>
                      <w:sz w:val="22"/>
                      <w:szCs w:val="22"/>
                      <w:u w:val="none"/>
                      <w:lang w:val="en-US" w:eastAsia="zh-CN" w:bidi="ar"/>
                    </w:rPr>
                    <w:t>66.5</w:t>
                  </w:r>
                </w:p>
              </w:tc>
              <w:tc>
                <w:tcPr>
                  <w:tcW w:w="206" w:type="pct"/>
                  <w:tcBorders>
                    <w:tl2br w:val="nil"/>
                    <w:tr2bl w:val="nil"/>
                  </w:tcBorders>
                  <w:vAlign w:val="center"/>
                </w:tcPr>
                <w:p w14:paraId="370A38CD">
                  <w:pPr>
                    <w:keepNext w:val="0"/>
                    <w:keepLines w:val="0"/>
                    <w:widowControl/>
                    <w:suppressLineNumbers w:val="0"/>
                    <w:jc w:val="center"/>
                    <w:textAlignment w:val="center"/>
                    <w:rPr>
                      <w:rFonts w:hint="default" w:ascii="Times New Roman" w:hAnsi="Times New Roman" w:eastAsia="宋体" w:cs="Times New Roman"/>
                      <w:color w:val="auto"/>
                      <w:kern w:val="0"/>
                      <w:sz w:val="21"/>
                      <w:szCs w:val="21"/>
                    </w:rPr>
                  </w:pPr>
                  <w:r>
                    <w:rPr>
                      <w:rFonts w:hint="default" w:ascii="Times New Roman" w:hAnsi="Times New Roman" w:eastAsia="等线" w:cs="Times New Roman"/>
                      <w:i w:val="0"/>
                      <w:iCs w:val="0"/>
                      <w:color w:val="auto"/>
                      <w:kern w:val="0"/>
                      <w:sz w:val="22"/>
                      <w:szCs w:val="22"/>
                      <w:u w:val="none"/>
                      <w:lang w:val="en-US" w:eastAsia="zh-CN" w:bidi="ar"/>
                    </w:rPr>
                    <w:t>66.4</w:t>
                  </w:r>
                </w:p>
              </w:tc>
              <w:tc>
                <w:tcPr>
                  <w:tcW w:w="207" w:type="pct"/>
                  <w:tcBorders>
                    <w:tl2br w:val="nil"/>
                    <w:tr2bl w:val="nil"/>
                  </w:tcBorders>
                  <w:vAlign w:val="center"/>
                </w:tcPr>
                <w:p w14:paraId="7B4DC6E8">
                  <w:pPr>
                    <w:keepNext w:val="0"/>
                    <w:keepLines w:val="0"/>
                    <w:widowControl/>
                    <w:suppressLineNumbers w:val="0"/>
                    <w:jc w:val="center"/>
                    <w:textAlignment w:val="center"/>
                    <w:rPr>
                      <w:rFonts w:hint="default" w:ascii="Times New Roman" w:hAnsi="Times New Roman" w:eastAsia="宋体" w:cs="Times New Roman"/>
                      <w:color w:val="auto"/>
                      <w:kern w:val="0"/>
                      <w:sz w:val="21"/>
                      <w:szCs w:val="21"/>
                    </w:rPr>
                  </w:pPr>
                  <w:r>
                    <w:rPr>
                      <w:rFonts w:hint="default" w:ascii="Times New Roman" w:hAnsi="Times New Roman" w:eastAsia="等线" w:cs="Times New Roman"/>
                      <w:i w:val="0"/>
                      <w:iCs w:val="0"/>
                      <w:color w:val="auto"/>
                      <w:kern w:val="0"/>
                      <w:sz w:val="22"/>
                      <w:szCs w:val="22"/>
                      <w:u w:val="none"/>
                      <w:lang w:val="en-US" w:eastAsia="zh-CN" w:bidi="ar"/>
                    </w:rPr>
                    <w:t>66.3</w:t>
                  </w:r>
                </w:p>
              </w:tc>
              <w:tc>
                <w:tcPr>
                  <w:tcW w:w="151" w:type="pct"/>
                  <w:vMerge w:val="continue"/>
                  <w:tcBorders>
                    <w:tl2br w:val="nil"/>
                    <w:tr2bl w:val="nil"/>
                  </w:tcBorders>
                  <w:vAlign w:val="center"/>
                </w:tcPr>
                <w:p w14:paraId="613F2B1E">
                  <w:pPr>
                    <w:pStyle w:val="22"/>
                    <w:widowControl w:val="0"/>
                    <w:adjustRightInd w:val="0"/>
                    <w:snapToGrid w:val="0"/>
                    <w:spacing w:before="0" w:beforeAutospacing="0" w:after="0" w:afterAutospacing="0"/>
                    <w:jc w:val="center"/>
                    <w:textAlignment w:val="baseline"/>
                    <w:rPr>
                      <w:rFonts w:hint="default" w:ascii="Times New Roman" w:hAnsi="Times New Roman" w:eastAsia="宋体"/>
                      <w:color w:val="auto"/>
                      <w:spacing w:val="-10"/>
                      <w:sz w:val="21"/>
                      <w:szCs w:val="21"/>
                      <w:lang w:val="en-US" w:eastAsia="zh-CN"/>
                    </w:rPr>
                  </w:pPr>
                </w:p>
              </w:tc>
              <w:tc>
                <w:tcPr>
                  <w:tcW w:w="148" w:type="pct"/>
                  <w:vMerge w:val="continue"/>
                  <w:tcBorders>
                    <w:tl2br w:val="nil"/>
                    <w:tr2bl w:val="nil"/>
                  </w:tcBorders>
                  <w:vAlign w:val="center"/>
                </w:tcPr>
                <w:p w14:paraId="14E9B14A">
                  <w:pPr>
                    <w:widowControl w:val="0"/>
                    <w:adjustRightInd w:val="0"/>
                    <w:snapToGrid w:val="0"/>
                    <w:spacing w:before="0" w:beforeAutospacing="0" w:after="0" w:afterAutospacing="0"/>
                    <w:jc w:val="center"/>
                    <w:textAlignment w:val="baseline"/>
                    <w:rPr>
                      <w:rFonts w:ascii="Times New Roman" w:hAnsi="Times New Roman"/>
                      <w:b w:val="0"/>
                      <w:bCs w:val="0"/>
                      <w:color w:val="auto"/>
                      <w:spacing w:val="-10"/>
                      <w:sz w:val="21"/>
                      <w:szCs w:val="21"/>
                    </w:rPr>
                  </w:pPr>
                </w:p>
              </w:tc>
              <w:tc>
                <w:tcPr>
                  <w:tcW w:w="126" w:type="pct"/>
                  <w:vMerge w:val="continue"/>
                  <w:tcBorders>
                    <w:tl2br w:val="nil"/>
                    <w:tr2bl w:val="nil"/>
                  </w:tcBorders>
                  <w:vAlign w:val="center"/>
                </w:tcPr>
                <w:p w14:paraId="093F27CA">
                  <w:pPr>
                    <w:adjustRightInd w:val="0"/>
                    <w:snapToGrid w:val="0"/>
                    <w:jc w:val="center"/>
                    <w:textAlignment w:val="baseline"/>
                    <w:rPr>
                      <w:b w:val="0"/>
                      <w:bCs w:val="0"/>
                      <w:color w:val="auto"/>
                      <w:spacing w:val="-10"/>
                      <w:sz w:val="21"/>
                      <w:szCs w:val="21"/>
                    </w:rPr>
                  </w:pPr>
                </w:p>
              </w:tc>
              <w:tc>
                <w:tcPr>
                  <w:tcW w:w="120" w:type="pct"/>
                  <w:vMerge w:val="continue"/>
                  <w:tcBorders>
                    <w:tl2br w:val="nil"/>
                    <w:tr2bl w:val="nil"/>
                  </w:tcBorders>
                  <w:vAlign w:val="center"/>
                </w:tcPr>
                <w:p w14:paraId="02CB9B42">
                  <w:pPr>
                    <w:adjustRightInd w:val="0"/>
                    <w:snapToGrid w:val="0"/>
                    <w:jc w:val="center"/>
                    <w:textAlignment w:val="baseline"/>
                    <w:rPr>
                      <w:b w:val="0"/>
                      <w:bCs w:val="0"/>
                      <w:color w:val="auto"/>
                      <w:spacing w:val="-10"/>
                      <w:sz w:val="21"/>
                      <w:szCs w:val="21"/>
                    </w:rPr>
                  </w:pPr>
                </w:p>
              </w:tc>
              <w:tc>
                <w:tcPr>
                  <w:tcW w:w="134" w:type="pct"/>
                  <w:vMerge w:val="continue"/>
                  <w:tcBorders>
                    <w:tl2br w:val="nil"/>
                    <w:tr2bl w:val="nil"/>
                  </w:tcBorders>
                  <w:vAlign w:val="center"/>
                </w:tcPr>
                <w:p w14:paraId="0970F927">
                  <w:pPr>
                    <w:adjustRightInd w:val="0"/>
                    <w:snapToGrid w:val="0"/>
                    <w:jc w:val="center"/>
                    <w:textAlignment w:val="baseline"/>
                    <w:rPr>
                      <w:b w:val="0"/>
                      <w:bCs w:val="0"/>
                      <w:color w:val="auto"/>
                      <w:spacing w:val="-10"/>
                      <w:sz w:val="21"/>
                      <w:szCs w:val="21"/>
                    </w:rPr>
                  </w:pPr>
                </w:p>
              </w:tc>
              <w:tc>
                <w:tcPr>
                  <w:tcW w:w="115" w:type="pct"/>
                  <w:vMerge w:val="continue"/>
                  <w:tcBorders>
                    <w:tl2br w:val="nil"/>
                    <w:tr2bl w:val="nil"/>
                  </w:tcBorders>
                  <w:vAlign w:val="center"/>
                </w:tcPr>
                <w:p w14:paraId="79E3F0F6">
                  <w:pPr>
                    <w:keepNext w:val="0"/>
                    <w:keepLines w:val="0"/>
                    <w:pageBreakBefore w:val="0"/>
                    <w:widowControl/>
                    <w:suppressLineNumbers w:val="0"/>
                    <w:kinsoku/>
                    <w:wordWrap/>
                    <w:overflowPunct/>
                    <w:topLinePunct w:val="0"/>
                    <w:autoSpaceDE/>
                    <w:autoSpaceDN/>
                    <w:bidi w:val="0"/>
                    <w:jc w:val="center"/>
                    <w:textAlignment w:val="center"/>
                    <w:rPr>
                      <w:rFonts w:hint="default" w:ascii="Times New Roman" w:hAnsi="Times New Roman" w:cs="Times New Roman"/>
                      <w:color w:val="auto"/>
                      <w:spacing w:val="-10"/>
                      <w:sz w:val="21"/>
                      <w:szCs w:val="21"/>
                    </w:rPr>
                  </w:pPr>
                </w:p>
              </w:tc>
              <w:tc>
                <w:tcPr>
                  <w:tcW w:w="117" w:type="pct"/>
                  <w:vMerge w:val="continue"/>
                  <w:tcBorders>
                    <w:tl2br w:val="nil"/>
                    <w:tr2bl w:val="nil"/>
                  </w:tcBorders>
                  <w:vAlign w:val="center"/>
                </w:tcPr>
                <w:p w14:paraId="40F328DA">
                  <w:pPr>
                    <w:keepNext w:val="0"/>
                    <w:keepLines w:val="0"/>
                    <w:pageBreakBefore w:val="0"/>
                    <w:widowControl/>
                    <w:suppressLineNumbers w:val="0"/>
                    <w:kinsoku/>
                    <w:wordWrap/>
                    <w:overflowPunct/>
                    <w:topLinePunct w:val="0"/>
                    <w:autoSpaceDE/>
                    <w:autoSpaceDN/>
                    <w:bidi w:val="0"/>
                    <w:jc w:val="center"/>
                    <w:textAlignment w:val="center"/>
                    <w:rPr>
                      <w:rFonts w:hint="default" w:ascii="Times New Roman" w:hAnsi="Times New Roman" w:cs="Times New Roman"/>
                      <w:color w:val="auto"/>
                      <w:spacing w:val="-10"/>
                      <w:sz w:val="21"/>
                      <w:szCs w:val="21"/>
                    </w:rPr>
                  </w:pPr>
                </w:p>
              </w:tc>
              <w:tc>
                <w:tcPr>
                  <w:tcW w:w="117" w:type="pct"/>
                  <w:vMerge w:val="continue"/>
                  <w:tcBorders>
                    <w:tl2br w:val="nil"/>
                    <w:tr2bl w:val="nil"/>
                  </w:tcBorders>
                  <w:vAlign w:val="center"/>
                </w:tcPr>
                <w:p w14:paraId="56C0BA39">
                  <w:pPr>
                    <w:keepNext w:val="0"/>
                    <w:keepLines w:val="0"/>
                    <w:pageBreakBefore w:val="0"/>
                    <w:widowControl/>
                    <w:suppressLineNumbers w:val="0"/>
                    <w:kinsoku/>
                    <w:wordWrap/>
                    <w:overflowPunct/>
                    <w:topLinePunct w:val="0"/>
                    <w:autoSpaceDE/>
                    <w:autoSpaceDN/>
                    <w:bidi w:val="0"/>
                    <w:jc w:val="center"/>
                    <w:textAlignment w:val="center"/>
                    <w:rPr>
                      <w:rFonts w:hint="default" w:ascii="Times New Roman" w:hAnsi="Times New Roman" w:cs="Times New Roman"/>
                      <w:color w:val="auto"/>
                      <w:spacing w:val="-10"/>
                      <w:sz w:val="21"/>
                      <w:szCs w:val="21"/>
                    </w:rPr>
                  </w:pPr>
                </w:p>
              </w:tc>
              <w:tc>
                <w:tcPr>
                  <w:tcW w:w="118" w:type="pct"/>
                  <w:vMerge w:val="continue"/>
                  <w:tcBorders>
                    <w:tl2br w:val="nil"/>
                    <w:tr2bl w:val="nil"/>
                  </w:tcBorders>
                  <w:vAlign w:val="center"/>
                </w:tcPr>
                <w:p w14:paraId="2DD99BA9">
                  <w:pPr>
                    <w:keepNext w:val="0"/>
                    <w:keepLines w:val="0"/>
                    <w:pageBreakBefore w:val="0"/>
                    <w:widowControl/>
                    <w:suppressLineNumbers w:val="0"/>
                    <w:kinsoku/>
                    <w:wordWrap/>
                    <w:overflowPunct/>
                    <w:topLinePunct w:val="0"/>
                    <w:autoSpaceDE/>
                    <w:autoSpaceDN/>
                    <w:bidi w:val="0"/>
                    <w:jc w:val="center"/>
                    <w:textAlignment w:val="center"/>
                    <w:rPr>
                      <w:rFonts w:hint="default" w:ascii="Times New Roman" w:hAnsi="Times New Roman" w:cs="Times New Roman"/>
                      <w:color w:val="auto"/>
                      <w:spacing w:val="-10"/>
                      <w:sz w:val="21"/>
                      <w:szCs w:val="21"/>
                    </w:rPr>
                  </w:pPr>
                </w:p>
              </w:tc>
              <w:tc>
                <w:tcPr>
                  <w:tcW w:w="282" w:type="pct"/>
                  <w:vMerge w:val="continue"/>
                  <w:tcBorders>
                    <w:tl2br w:val="nil"/>
                    <w:tr2bl w:val="nil"/>
                  </w:tcBorders>
                  <w:vAlign w:val="center"/>
                </w:tcPr>
                <w:p w14:paraId="50EE385E">
                  <w:pPr>
                    <w:pStyle w:val="22"/>
                    <w:widowControl w:val="0"/>
                    <w:adjustRightInd w:val="0"/>
                    <w:snapToGrid w:val="0"/>
                    <w:spacing w:before="0" w:beforeAutospacing="0" w:after="0" w:afterAutospacing="0"/>
                    <w:jc w:val="center"/>
                    <w:textAlignment w:val="baseline"/>
                    <w:rPr>
                      <w:rFonts w:ascii="Times New Roman" w:hAnsi="Times New Roman"/>
                      <w:color w:val="auto"/>
                      <w:spacing w:val="-10"/>
                      <w:sz w:val="21"/>
                      <w:szCs w:val="21"/>
                    </w:rPr>
                  </w:pPr>
                </w:p>
              </w:tc>
            </w:tr>
            <w:tr w14:paraId="4903BB1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41" w:type="pct"/>
                  <w:tcBorders>
                    <w:tl2br w:val="nil"/>
                    <w:tr2bl w:val="nil"/>
                  </w:tcBorders>
                  <w:vAlign w:val="center"/>
                </w:tcPr>
                <w:p w14:paraId="366F2EAF">
                  <w:pPr>
                    <w:pStyle w:val="22"/>
                    <w:widowControl w:val="0"/>
                    <w:numPr>
                      <w:ilvl w:val="0"/>
                      <w:numId w:val="11"/>
                    </w:numPr>
                    <w:adjustRightInd w:val="0"/>
                    <w:snapToGrid w:val="0"/>
                    <w:spacing w:before="0" w:beforeAutospacing="0" w:after="0" w:afterAutospacing="0"/>
                    <w:ind w:left="0" w:leftChars="0" w:firstLine="0" w:firstLineChars="0"/>
                    <w:jc w:val="center"/>
                    <w:textAlignment w:val="baseline"/>
                    <w:rPr>
                      <w:rFonts w:ascii="Times New Roman" w:hAnsi="Times New Roman"/>
                      <w:color w:val="auto"/>
                      <w:spacing w:val="-10"/>
                      <w:sz w:val="21"/>
                      <w:szCs w:val="21"/>
                    </w:rPr>
                  </w:pPr>
                </w:p>
              </w:tc>
              <w:tc>
                <w:tcPr>
                  <w:tcW w:w="162" w:type="pct"/>
                  <w:vMerge w:val="continue"/>
                  <w:tcBorders>
                    <w:tl2br w:val="nil"/>
                    <w:tr2bl w:val="nil"/>
                  </w:tcBorders>
                  <w:vAlign w:val="center"/>
                </w:tcPr>
                <w:p w14:paraId="0FF9EC59">
                  <w:pPr>
                    <w:pStyle w:val="22"/>
                    <w:widowControl w:val="0"/>
                    <w:adjustRightInd w:val="0"/>
                    <w:snapToGrid w:val="0"/>
                    <w:spacing w:before="0" w:beforeAutospacing="0" w:after="0" w:afterAutospacing="0"/>
                    <w:jc w:val="center"/>
                    <w:textAlignment w:val="baseline"/>
                    <w:rPr>
                      <w:rFonts w:hint="default" w:ascii="Times New Roman" w:hAnsi="Times New Roman" w:eastAsia="宋体"/>
                      <w:color w:val="auto"/>
                      <w:spacing w:val="-10"/>
                      <w:sz w:val="21"/>
                      <w:szCs w:val="21"/>
                      <w:lang w:val="en-US" w:eastAsia="zh-CN"/>
                    </w:rPr>
                  </w:pPr>
                </w:p>
              </w:tc>
              <w:tc>
                <w:tcPr>
                  <w:tcW w:w="353" w:type="pct"/>
                  <w:tcBorders>
                    <w:tl2br w:val="nil"/>
                    <w:tr2bl w:val="nil"/>
                  </w:tcBorders>
                  <w:shd w:val="clear" w:color="auto" w:fill="auto"/>
                  <w:vAlign w:val="center"/>
                </w:tcPr>
                <w:p w14:paraId="6EAD02D2">
                  <w:pPr>
                    <w:widowControl/>
                    <w:spacing w:line="240" w:lineRule="auto"/>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CNC加工中心</w:t>
                  </w:r>
                </w:p>
              </w:tc>
              <w:tc>
                <w:tcPr>
                  <w:tcW w:w="190" w:type="pct"/>
                  <w:tcBorders>
                    <w:tl2br w:val="nil"/>
                    <w:tr2bl w:val="nil"/>
                  </w:tcBorders>
                  <w:shd w:val="clear" w:color="auto" w:fill="auto"/>
                  <w:vAlign w:val="center"/>
                </w:tcPr>
                <w:p w14:paraId="1E1C6087">
                  <w:pPr>
                    <w:widowControl/>
                    <w:spacing w:line="240" w:lineRule="auto"/>
                    <w:jc w:val="center"/>
                    <w:textAlignment w:val="center"/>
                    <w:rPr>
                      <w:rFonts w:hint="default" w:cs="Times New Roman"/>
                      <w:color w:val="auto"/>
                      <w:kern w:val="0"/>
                      <w:sz w:val="21"/>
                      <w:szCs w:val="21"/>
                      <w:lang w:val="en-US" w:eastAsia="zh-CN" w:bidi="ar"/>
                    </w:rPr>
                  </w:pPr>
                  <w:r>
                    <w:rPr>
                      <w:rFonts w:hint="eastAsia" w:cs="Times New Roman"/>
                      <w:color w:val="auto"/>
                      <w:kern w:val="0"/>
                      <w:sz w:val="21"/>
                      <w:szCs w:val="21"/>
                      <w:lang w:val="en-US" w:eastAsia="zh-CN" w:bidi="ar"/>
                    </w:rPr>
                    <w:t>/</w:t>
                  </w:r>
                </w:p>
              </w:tc>
              <w:tc>
                <w:tcPr>
                  <w:tcW w:w="302" w:type="pct"/>
                  <w:tcBorders>
                    <w:tl2br w:val="nil"/>
                    <w:tr2bl w:val="nil"/>
                  </w:tcBorders>
                  <w:shd w:val="clear" w:color="auto" w:fill="auto"/>
                  <w:vAlign w:val="center"/>
                </w:tcPr>
                <w:p w14:paraId="2922052D">
                  <w:pPr>
                    <w:keepNext w:val="0"/>
                    <w:keepLines w:val="0"/>
                    <w:widowControl/>
                    <w:suppressLineNumbers w:val="0"/>
                    <w:jc w:val="center"/>
                    <w:textAlignment w:val="center"/>
                    <w:rPr>
                      <w:rFonts w:hint="default" w:ascii="Times New Roman" w:hAnsi="Times New Roman" w:eastAsia="等线" w:cs="Times New Roman"/>
                      <w:i w:val="0"/>
                      <w:iCs w:val="0"/>
                      <w:color w:val="auto"/>
                      <w:kern w:val="0"/>
                      <w:sz w:val="21"/>
                      <w:szCs w:val="21"/>
                      <w:u w:val="none"/>
                      <w:lang w:val="en-US" w:eastAsia="zh-CN" w:bidi="ar"/>
                    </w:rPr>
                  </w:pPr>
                  <w:r>
                    <w:rPr>
                      <w:rFonts w:hint="eastAsia" w:eastAsia="等线" w:cs="Times New Roman"/>
                      <w:i w:val="0"/>
                      <w:iCs w:val="0"/>
                      <w:color w:val="auto"/>
                      <w:kern w:val="0"/>
                      <w:sz w:val="21"/>
                      <w:szCs w:val="21"/>
                      <w:u w:val="none"/>
                      <w:lang w:val="en-US" w:eastAsia="zh-CN" w:bidi="ar"/>
                    </w:rPr>
                    <w:t>90</w:t>
                  </w:r>
                </w:p>
              </w:tc>
              <w:tc>
                <w:tcPr>
                  <w:tcW w:w="169" w:type="pct"/>
                  <w:vMerge w:val="continue"/>
                  <w:tcBorders>
                    <w:tl2br w:val="nil"/>
                    <w:tr2bl w:val="nil"/>
                  </w:tcBorders>
                  <w:vAlign w:val="center"/>
                </w:tcPr>
                <w:p w14:paraId="2E2966D2">
                  <w:pPr>
                    <w:pStyle w:val="22"/>
                    <w:widowControl w:val="0"/>
                    <w:adjustRightInd w:val="0"/>
                    <w:snapToGrid w:val="0"/>
                    <w:spacing w:before="0" w:beforeAutospacing="0" w:after="0" w:afterAutospacing="0"/>
                    <w:jc w:val="center"/>
                    <w:textAlignment w:val="baseline"/>
                    <w:rPr>
                      <w:rFonts w:ascii="Times New Roman" w:hAnsi="Times New Roman" w:eastAsia="等线"/>
                      <w:color w:val="auto"/>
                      <w:sz w:val="21"/>
                      <w:szCs w:val="21"/>
                    </w:rPr>
                  </w:pPr>
                </w:p>
              </w:tc>
              <w:tc>
                <w:tcPr>
                  <w:tcW w:w="177" w:type="pct"/>
                  <w:tcBorders>
                    <w:tl2br w:val="nil"/>
                    <w:tr2bl w:val="nil"/>
                  </w:tcBorders>
                  <w:shd w:val="clear" w:color="auto" w:fill="auto"/>
                  <w:vAlign w:val="center"/>
                </w:tcPr>
                <w:p w14:paraId="2AE54379">
                  <w:pPr>
                    <w:widowControl/>
                    <w:jc w:val="center"/>
                    <w:textAlignment w:val="center"/>
                    <w:rPr>
                      <w:rFonts w:hint="default" w:eastAsia="等线" w:cs="Times New Roman"/>
                      <w:color w:val="auto"/>
                      <w:kern w:val="0"/>
                      <w:sz w:val="21"/>
                      <w:szCs w:val="21"/>
                      <w:lang w:val="en-US" w:eastAsia="zh-CN" w:bidi="ar"/>
                    </w:rPr>
                  </w:pPr>
                  <w:r>
                    <w:rPr>
                      <w:rFonts w:hint="eastAsia" w:eastAsia="等线" w:cs="Times New Roman"/>
                      <w:color w:val="auto"/>
                      <w:kern w:val="0"/>
                      <w:sz w:val="21"/>
                      <w:szCs w:val="21"/>
                      <w:lang w:val="en-US" w:eastAsia="zh-CN" w:bidi="ar"/>
                    </w:rPr>
                    <w:t>34</w:t>
                  </w:r>
                </w:p>
              </w:tc>
              <w:tc>
                <w:tcPr>
                  <w:tcW w:w="201" w:type="pct"/>
                  <w:tcBorders>
                    <w:tl2br w:val="nil"/>
                    <w:tr2bl w:val="nil"/>
                  </w:tcBorders>
                  <w:shd w:val="clear" w:color="auto" w:fill="auto"/>
                  <w:vAlign w:val="center"/>
                </w:tcPr>
                <w:p w14:paraId="33A0B9F3">
                  <w:pPr>
                    <w:widowControl/>
                    <w:jc w:val="center"/>
                    <w:textAlignment w:val="center"/>
                    <w:rPr>
                      <w:rFonts w:hint="default" w:eastAsia="等线" w:cs="Times New Roman"/>
                      <w:color w:val="auto"/>
                      <w:kern w:val="0"/>
                      <w:sz w:val="21"/>
                      <w:szCs w:val="21"/>
                      <w:lang w:val="en-US" w:eastAsia="zh-CN" w:bidi="ar"/>
                    </w:rPr>
                  </w:pPr>
                  <w:r>
                    <w:rPr>
                      <w:rFonts w:hint="eastAsia" w:eastAsia="等线" w:cs="Times New Roman"/>
                      <w:color w:val="auto"/>
                      <w:kern w:val="0"/>
                      <w:sz w:val="21"/>
                      <w:szCs w:val="21"/>
                      <w:lang w:val="en-US" w:eastAsia="zh-CN" w:bidi="ar"/>
                    </w:rPr>
                    <w:t>63</w:t>
                  </w:r>
                </w:p>
              </w:tc>
              <w:tc>
                <w:tcPr>
                  <w:tcW w:w="116" w:type="pct"/>
                  <w:tcBorders>
                    <w:tl2br w:val="nil"/>
                    <w:tr2bl w:val="nil"/>
                  </w:tcBorders>
                  <w:vAlign w:val="center"/>
                </w:tcPr>
                <w:p w14:paraId="5F59B325">
                  <w:pPr>
                    <w:widowControl/>
                    <w:jc w:val="center"/>
                    <w:textAlignment w:val="center"/>
                    <w:rPr>
                      <w:rFonts w:hint="default" w:eastAsia="宋体"/>
                      <w:color w:val="auto"/>
                      <w:sz w:val="21"/>
                      <w:szCs w:val="21"/>
                      <w:lang w:val="en-US" w:eastAsia="zh-CN"/>
                    </w:rPr>
                  </w:pPr>
                  <w:r>
                    <w:rPr>
                      <w:rFonts w:hint="eastAsia"/>
                      <w:color w:val="auto"/>
                      <w:sz w:val="21"/>
                      <w:szCs w:val="21"/>
                      <w:lang w:val="en-US" w:eastAsia="zh-CN"/>
                    </w:rPr>
                    <w:t>1</w:t>
                  </w:r>
                </w:p>
              </w:tc>
              <w:tc>
                <w:tcPr>
                  <w:tcW w:w="197" w:type="pct"/>
                  <w:tcBorders>
                    <w:tl2br w:val="nil"/>
                    <w:tr2bl w:val="nil"/>
                  </w:tcBorders>
                  <w:vAlign w:val="center"/>
                </w:tcPr>
                <w:p w14:paraId="4A96E0FB">
                  <w:pPr>
                    <w:widowControl/>
                    <w:jc w:val="center"/>
                    <w:textAlignment w:val="center"/>
                    <w:rPr>
                      <w:rFonts w:hint="default" w:eastAsia="等线"/>
                      <w:color w:val="auto"/>
                      <w:kern w:val="0"/>
                      <w:sz w:val="21"/>
                      <w:szCs w:val="21"/>
                      <w:lang w:val="en-US" w:eastAsia="zh-CN"/>
                    </w:rPr>
                  </w:pPr>
                  <w:r>
                    <w:rPr>
                      <w:rFonts w:hint="eastAsia" w:eastAsia="等线"/>
                      <w:color w:val="auto"/>
                      <w:kern w:val="0"/>
                      <w:sz w:val="21"/>
                      <w:szCs w:val="21"/>
                      <w:lang w:val="en-US" w:eastAsia="zh-CN"/>
                    </w:rPr>
                    <w:t>16</w:t>
                  </w:r>
                </w:p>
              </w:tc>
              <w:tc>
                <w:tcPr>
                  <w:tcW w:w="237" w:type="pct"/>
                  <w:tcBorders>
                    <w:tl2br w:val="nil"/>
                    <w:tr2bl w:val="nil"/>
                  </w:tcBorders>
                  <w:vAlign w:val="center"/>
                </w:tcPr>
                <w:p w14:paraId="49DDFE1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52</w:t>
                  </w:r>
                </w:p>
              </w:tc>
              <w:tc>
                <w:tcPr>
                  <w:tcW w:w="181" w:type="pct"/>
                  <w:tcBorders>
                    <w:tl2br w:val="nil"/>
                    <w:tr2bl w:val="nil"/>
                  </w:tcBorders>
                  <w:vAlign w:val="center"/>
                </w:tcPr>
                <w:p w14:paraId="24F6084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50</w:t>
                  </w:r>
                </w:p>
              </w:tc>
              <w:tc>
                <w:tcPr>
                  <w:tcW w:w="237" w:type="pct"/>
                  <w:tcBorders>
                    <w:tl2br w:val="nil"/>
                    <w:tr2bl w:val="nil"/>
                  </w:tcBorders>
                  <w:vAlign w:val="center"/>
                </w:tcPr>
                <w:p w14:paraId="529F00CA">
                  <w:pPr>
                    <w:jc w:val="center"/>
                    <w:rPr>
                      <w:rFonts w:hint="default" w:cs="Times New Roman"/>
                      <w:color w:val="auto"/>
                      <w:kern w:val="2"/>
                      <w:sz w:val="21"/>
                      <w:szCs w:val="21"/>
                      <w:lang w:val="en-US" w:eastAsia="zh-CN" w:bidi="ar-SA"/>
                    </w:rPr>
                  </w:pPr>
                  <w:r>
                    <w:rPr>
                      <w:rFonts w:hint="eastAsia" w:cs="Times New Roman"/>
                      <w:color w:val="auto"/>
                      <w:kern w:val="2"/>
                      <w:sz w:val="21"/>
                      <w:szCs w:val="21"/>
                      <w:lang w:val="en-US" w:eastAsia="zh-CN" w:bidi="ar-SA"/>
                    </w:rPr>
                    <w:t>57</w:t>
                  </w:r>
                </w:p>
              </w:tc>
              <w:tc>
                <w:tcPr>
                  <w:tcW w:w="241" w:type="pct"/>
                  <w:tcBorders>
                    <w:tl2br w:val="nil"/>
                    <w:tr2bl w:val="nil"/>
                  </w:tcBorders>
                  <w:vAlign w:val="center"/>
                </w:tcPr>
                <w:p w14:paraId="44BD9CF2">
                  <w:pPr>
                    <w:keepNext w:val="0"/>
                    <w:keepLines w:val="0"/>
                    <w:widowControl/>
                    <w:suppressLineNumbers w:val="0"/>
                    <w:jc w:val="center"/>
                    <w:textAlignment w:val="center"/>
                    <w:rPr>
                      <w:rFonts w:hint="default" w:ascii="Times New Roman" w:hAnsi="Times New Roman" w:eastAsia="等线" w:cs="Times New Roman"/>
                      <w:i w:val="0"/>
                      <w:iCs w:val="0"/>
                      <w:color w:val="auto"/>
                      <w:kern w:val="0"/>
                      <w:sz w:val="22"/>
                      <w:szCs w:val="22"/>
                      <w:u w:val="none"/>
                      <w:lang w:val="en-US" w:eastAsia="zh-CN" w:bidi="ar"/>
                    </w:rPr>
                  </w:pPr>
                  <w:r>
                    <w:rPr>
                      <w:rFonts w:hint="eastAsia" w:eastAsia="等线" w:cs="Times New Roman"/>
                      <w:i w:val="0"/>
                      <w:iCs w:val="0"/>
                      <w:color w:val="auto"/>
                      <w:kern w:val="0"/>
                      <w:sz w:val="22"/>
                      <w:szCs w:val="22"/>
                      <w:u w:val="none"/>
                      <w:lang w:val="en-US" w:eastAsia="zh-CN" w:bidi="ar"/>
                    </w:rPr>
                    <w:t>61.9</w:t>
                  </w:r>
                </w:p>
              </w:tc>
              <w:tc>
                <w:tcPr>
                  <w:tcW w:w="241" w:type="pct"/>
                  <w:tcBorders>
                    <w:tl2br w:val="nil"/>
                    <w:tr2bl w:val="nil"/>
                  </w:tcBorders>
                  <w:vAlign w:val="center"/>
                </w:tcPr>
                <w:p w14:paraId="2C0DFBAF">
                  <w:pPr>
                    <w:keepNext w:val="0"/>
                    <w:keepLines w:val="0"/>
                    <w:widowControl/>
                    <w:suppressLineNumbers w:val="0"/>
                    <w:jc w:val="center"/>
                    <w:textAlignment w:val="center"/>
                    <w:rPr>
                      <w:rFonts w:hint="default" w:ascii="Times New Roman" w:hAnsi="Times New Roman" w:eastAsia="等线" w:cs="Times New Roman"/>
                      <w:i w:val="0"/>
                      <w:iCs w:val="0"/>
                      <w:color w:val="auto"/>
                      <w:kern w:val="0"/>
                      <w:sz w:val="22"/>
                      <w:szCs w:val="22"/>
                      <w:u w:val="none"/>
                      <w:lang w:val="en-US" w:eastAsia="zh-CN" w:bidi="ar"/>
                    </w:rPr>
                  </w:pPr>
                  <w:r>
                    <w:rPr>
                      <w:rFonts w:hint="default" w:ascii="Times New Roman" w:hAnsi="Times New Roman" w:eastAsia="等线" w:cs="Times New Roman"/>
                      <w:i w:val="0"/>
                      <w:iCs w:val="0"/>
                      <w:color w:val="auto"/>
                      <w:kern w:val="0"/>
                      <w:sz w:val="22"/>
                      <w:szCs w:val="22"/>
                      <w:u w:val="none"/>
                      <w:lang w:val="en-US" w:eastAsia="zh-CN" w:bidi="ar"/>
                    </w:rPr>
                    <w:t>61.3</w:t>
                  </w:r>
                </w:p>
              </w:tc>
              <w:tc>
                <w:tcPr>
                  <w:tcW w:w="206" w:type="pct"/>
                  <w:tcBorders>
                    <w:tl2br w:val="nil"/>
                    <w:tr2bl w:val="nil"/>
                  </w:tcBorders>
                  <w:vAlign w:val="center"/>
                </w:tcPr>
                <w:p w14:paraId="1E213977">
                  <w:pPr>
                    <w:keepNext w:val="0"/>
                    <w:keepLines w:val="0"/>
                    <w:widowControl/>
                    <w:suppressLineNumbers w:val="0"/>
                    <w:jc w:val="center"/>
                    <w:textAlignment w:val="center"/>
                    <w:rPr>
                      <w:rFonts w:hint="default" w:ascii="Times New Roman" w:hAnsi="Times New Roman" w:eastAsia="等线" w:cs="Times New Roman"/>
                      <w:i w:val="0"/>
                      <w:iCs w:val="0"/>
                      <w:color w:val="auto"/>
                      <w:kern w:val="0"/>
                      <w:sz w:val="22"/>
                      <w:szCs w:val="22"/>
                      <w:u w:val="none"/>
                      <w:lang w:val="en-US" w:eastAsia="zh-CN" w:bidi="ar"/>
                    </w:rPr>
                  </w:pPr>
                  <w:r>
                    <w:rPr>
                      <w:rFonts w:hint="default" w:ascii="Times New Roman" w:hAnsi="Times New Roman" w:eastAsia="等线" w:cs="Times New Roman"/>
                      <w:i w:val="0"/>
                      <w:iCs w:val="0"/>
                      <w:color w:val="auto"/>
                      <w:kern w:val="0"/>
                      <w:sz w:val="22"/>
                      <w:szCs w:val="22"/>
                      <w:u w:val="none"/>
                      <w:lang w:val="en-US" w:eastAsia="zh-CN" w:bidi="ar"/>
                    </w:rPr>
                    <w:t>61.3</w:t>
                  </w:r>
                </w:p>
              </w:tc>
              <w:tc>
                <w:tcPr>
                  <w:tcW w:w="207" w:type="pct"/>
                  <w:tcBorders>
                    <w:tl2br w:val="nil"/>
                    <w:tr2bl w:val="nil"/>
                  </w:tcBorders>
                  <w:vAlign w:val="center"/>
                </w:tcPr>
                <w:p w14:paraId="7E8F7049">
                  <w:pPr>
                    <w:keepNext w:val="0"/>
                    <w:keepLines w:val="0"/>
                    <w:widowControl/>
                    <w:suppressLineNumbers w:val="0"/>
                    <w:jc w:val="center"/>
                    <w:textAlignment w:val="center"/>
                    <w:rPr>
                      <w:rFonts w:hint="default" w:ascii="Times New Roman" w:hAnsi="Times New Roman" w:eastAsia="等线" w:cs="Times New Roman"/>
                      <w:i w:val="0"/>
                      <w:iCs w:val="0"/>
                      <w:color w:val="auto"/>
                      <w:kern w:val="0"/>
                      <w:sz w:val="22"/>
                      <w:szCs w:val="22"/>
                      <w:u w:val="none"/>
                      <w:lang w:val="en-US" w:eastAsia="zh-CN" w:bidi="ar"/>
                    </w:rPr>
                  </w:pPr>
                  <w:r>
                    <w:rPr>
                      <w:rFonts w:hint="default" w:ascii="Times New Roman" w:hAnsi="Times New Roman" w:eastAsia="等线" w:cs="Times New Roman"/>
                      <w:i w:val="0"/>
                      <w:iCs w:val="0"/>
                      <w:color w:val="auto"/>
                      <w:kern w:val="0"/>
                      <w:sz w:val="22"/>
                      <w:szCs w:val="22"/>
                      <w:u w:val="none"/>
                      <w:lang w:val="en-US" w:eastAsia="zh-CN" w:bidi="ar"/>
                    </w:rPr>
                    <w:t>61.3</w:t>
                  </w:r>
                </w:p>
              </w:tc>
              <w:tc>
                <w:tcPr>
                  <w:tcW w:w="151" w:type="pct"/>
                  <w:vMerge w:val="continue"/>
                  <w:tcBorders>
                    <w:tl2br w:val="nil"/>
                    <w:tr2bl w:val="nil"/>
                  </w:tcBorders>
                  <w:vAlign w:val="center"/>
                </w:tcPr>
                <w:p w14:paraId="796059FE">
                  <w:pPr>
                    <w:pStyle w:val="22"/>
                    <w:widowControl w:val="0"/>
                    <w:adjustRightInd w:val="0"/>
                    <w:snapToGrid w:val="0"/>
                    <w:spacing w:before="0" w:beforeAutospacing="0" w:after="0" w:afterAutospacing="0"/>
                    <w:jc w:val="center"/>
                    <w:textAlignment w:val="baseline"/>
                    <w:rPr>
                      <w:rFonts w:hint="default" w:ascii="Times New Roman" w:hAnsi="Times New Roman" w:eastAsia="宋体"/>
                      <w:color w:val="auto"/>
                      <w:spacing w:val="-10"/>
                      <w:sz w:val="21"/>
                      <w:szCs w:val="21"/>
                      <w:lang w:val="en-US" w:eastAsia="zh-CN"/>
                    </w:rPr>
                  </w:pPr>
                </w:p>
              </w:tc>
              <w:tc>
                <w:tcPr>
                  <w:tcW w:w="148" w:type="pct"/>
                  <w:vMerge w:val="continue"/>
                  <w:tcBorders>
                    <w:tl2br w:val="nil"/>
                    <w:tr2bl w:val="nil"/>
                  </w:tcBorders>
                  <w:vAlign w:val="center"/>
                </w:tcPr>
                <w:p w14:paraId="71D17F9B">
                  <w:pPr>
                    <w:widowControl w:val="0"/>
                    <w:adjustRightInd w:val="0"/>
                    <w:snapToGrid w:val="0"/>
                    <w:spacing w:before="0" w:beforeAutospacing="0" w:after="0" w:afterAutospacing="0"/>
                    <w:jc w:val="center"/>
                    <w:textAlignment w:val="baseline"/>
                    <w:rPr>
                      <w:rFonts w:ascii="Times New Roman" w:hAnsi="Times New Roman"/>
                      <w:b w:val="0"/>
                      <w:bCs w:val="0"/>
                      <w:color w:val="auto"/>
                      <w:spacing w:val="-10"/>
                      <w:sz w:val="21"/>
                      <w:szCs w:val="21"/>
                    </w:rPr>
                  </w:pPr>
                </w:p>
              </w:tc>
              <w:tc>
                <w:tcPr>
                  <w:tcW w:w="126" w:type="pct"/>
                  <w:vMerge w:val="continue"/>
                  <w:tcBorders>
                    <w:tl2br w:val="nil"/>
                    <w:tr2bl w:val="nil"/>
                  </w:tcBorders>
                  <w:vAlign w:val="center"/>
                </w:tcPr>
                <w:p w14:paraId="7648827F">
                  <w:pPr>
                    <w:adjustRightInd w:val="0"/>
                    <w:snapToGrid w:val="0"/>
                    <w:jc w:val="center"/>
                    <w:textAlignment w:val="baseline"/>
                    <w:rPr>
                      <w:b w:val="0"/>
                      <w:bCs w:val="0"/>
                      <w:color w:val="auto"/>
                      <w:spacing w:val="-10"/>
                      <w:sz w:val="21"/>
                      <w:szCs w:val="21"/>
                    </w:rPr>
                  </w:pPr>
                </w:p>
              </w:tc>
              <w:tc>
                <w:tcPr>
                  <w:tcW w:w="120" w:type="pct"/>
                  <w:vMerge w:val="continue"/>
                  <w:tcBorders>
                    <w:tl2br w:val="nil"/>
                    <w:tr2bl w:val="nil"/>
                  </w:tcBorders>
                  <w:vAlign w:val="center"/>
                </w:tcPr>
                <w:p w14:paraId="4ED7DE6F">
                  <w:pPr>
                    <w:adjustRightInd w:val="0"/>
                    <w:snapToGrid w:val="0"/>
                    <w:jc w:val="center"/>
                    <w:textAlignment w:val="baseline"/>
                    <w:rPr>
                      <w:b w:val="0"/>
                      <w:bCs w:val="0"/>
                      <w:color w:val="auto"/>
                      <w:spacing w:val="-10"/>
                      <w:sz w:val="21"/>
                      <w:szCs w:val="21"/>
                    </w:rPr>
                  </w:pPr>
                </w:p>
              </w:tc>
              <w:tc>
                <w:tcPr>
                  <w:tcW w:w="134" w:type="pct"/>
                  <w:vMerge w:val="continue"/>
                  <w:tcBorders>
                    <w:tl2br w:val="nil"/>
                    <w:tr2bl w:val="nil"/>
                  </w:tcBorders>
                  <w:vAlign w:val="center"/>
                </w:tcPr>
                <w:p w14:paraId="5BA0F8FA">
                  <w:pPr>
                    <w:adjustRightInd w:val="0"/>
                    <w:snapToGrid w:val="0"/>
                    <w:jc w:val="center"/>
                    <w:textAlignment w:val="baseline"/>
                    <w:rPr>
                      <w:b w:val="0"/>
                      <w:bCs w:val="0"/>
                      <w:color w:val="auto"/>
                      <w:spacing w:val="-10"/>
                      <w:sz w:val="21"/>
                      <w:szCs w:val="21"/>
                    </w:rPr>
                  </w:pPr>
                </w:p>
              </w:tc>
              <w:tc>
                <w:tcPr>
                  <w:tcW w:w="115" w:type="pct"/>
                  <w:vMerge w:val="continue"/>
                  <w:tcBorders>
                    <w:tl2br w:val="nil"/>
                    <w:tr2bl w:val="nil"/>
                  </w:tcBorders>
                  <w:vAlign w:val="center"/>
                </w:tcPr>
                <w:p w14:paraId="209FBDA0">
                  <w:pPr>
                    <w:keepNext w:val="0"/>
                    <w:keepLines w:val="0"/>
                    <w:pageBreakBefore w:val="0"/>
                    <w:widowControl/>
                    <w:suppressLineNumbers w:val="0"/>
                    <w:kinsoku/>
                    <w:wordWrap/>
                    <w:overflowPunct/>
                    <w:topLinePunct w:val="0"/>
                    <w:autoSpaceDE/>
                    <w:autoSpaceDN/>
                    <w:bidi w:val="0"/>
                    <w:jc w:val="center"/>
                    <w:textAlignment w:val="center"/>
                    <w:rPr>
                      <w:rFonts w:hint="default" w:ascii="Times New Roman" w:hAnsi="Times New Roman" w:cs="Times New Roman"/>
                      <w:color w:val="auto"/>
                      <w:spacing w:val="-10"/>
                      <w:sz w:val="21"/>
                      <w:szCs w:val="21"/>
                    </w:rPr>
                  </w:pPr>
                </w:p>
              </w:tc>
              <w:tc>
                <w:tcPr>
                  <w:tcW w:w="117" w:type="pct"/>
                  <w:vMerge w:val="continue"/>
                  <w:tcBorders>
                    <w:tl2br w:val="nil"/>
                    <w:tr2bl w:val="nil"/>
                  </w:tcBorders>
                  <w:vAlign w:val="center"/>
                </w:tcPr>
                <w:p w14:paraId="19E2A822">
                  <w:pPr>
                    <w:keepNext w:val="0"/>
                    <w:keepLines w:val="0"/>
                    <w:pageBreakBefore w:val="0"/>
                    <w:widowControl/>
                    <w:suppressLineNumbers w:val="0"/>
                    <w:kinsoku/>
                    <w:wordWrap/>
                    <w:overflowPunct/>
                    <w:topLinePunct w:val="0"/>
                    <w:autoSpaceDE/>
                    <w:autoSpaceDN/>
                    <w:bidi w:val="0"/>
                    <w:jc w:val="center"/>
                    <w:textAlignment w:val="center"/>
                    <w:rPr>
                      <w:rFonts w:hint="default" w:ascii="Times New Roman" w:hAnsi="Times New Roman" w:cs="Times New Roman"/>
                      <w:color w:val="auto"/>
                      <w:spacing w:val="-10"/>
                      <w:sz w:val="21"/>
                      <w:szCs w:val="21"/>
                    </w:rPr>
                  </w:pPr>
                </w:p>
              </w:tc>
              <w:tc>
                <w:tcPr>
                  <w:tcW w:w="117" w:type="pct"/>
                  <w:vMerge w:val="continue"/>
                  <w:tcBorders>
                    <w:tl2br w:val="nil"/>
                    <w:tr2bl w:val="nil"/>
                  </w:tcBorders>
                  <w:vAlign w:val="center"/>
                </w:tcPr>
                <w:p w14:paraId="3D48782C">
                  <w:pPr>
                    <w:keepNext w:val="0"/>
                    <w:keepLines w:val="0"/>
                    <w:pageBreakBefore w:val="0"/>
                    <w:widowControl/>
                    <w:suppressLineNumbers w:val="0"/>
                    <w:kinsoku/>
                    <w:wordWrap/>
                    <w:overflowPunct/>
                    <w:topLinePunct w:val="0"/>
                    <w:autoSpaceDE/>
                    <w:autoSpaceDN/>
                    <w:bidi w:val="0"/>
                    <w:jc w:val="center"/>
                    <w:textAlignment w:val="center"/>
                    <w:rPr>
                      <w:rFonts w:hint="default" w:ascii="Times New Roman" w:hAnsi="Times New Roman" w:cs="Times New Roman"/>
                      <w:color w:val="auto"/>
                      <w:spacing w:val="-10"/>
                      <w:sz w:val="21"/>
                      <w:szCs w:val="21"/>
                    </w:rPr>
                  </w:pPr>
                </w:p>
              </w:tc>
              <w:tc>
                <w:tcPr>
                  <w:tcW w:w="118" w:type="pct"/>
                  <w:vMerge w:val="continue"/>
                  <w:tcBorders>
                    <w:tl2br w:val="nil"/>
                    <w:tr2bl w:val="nil"/>
                  </w:tcBorders>
                  <w:vAlign w:val="center"/>
                </w:tcPr>
                <w:p w14:paraId="03558B37">
                  <w:pPr>
                    <w:keepNext w:val="0"/>
                    <w:keepLines w:val="0"/>
                    <w:pageBreakBefore w:val="0"/>
                    <w:widowControl/>
                    <w:suppressLineNumbers w:val="0"/>
                    <w:kinsoku/>
                    <w:wordWrap/>
                    <w:overflowPunct/>
                    <w:topLinePunct w:val="0"/>
                    <w:autoSpaceDE/>
                    <w:autoSpaceDN/>
                    <w:bidi w:val="0"/>
                    <w:jc w:val="center"/>
                    <w:textAlignment w:val="center"/>
                    <w:rPr>
                      <w:rFonts w:hint="default" w:ascii="Times New Roman" w:hAnsi="Times New Roman" w:cs="Times New Roman"/>
                      <w:color w:val="auto"/>
                      <w:spacing w:val="-10"/>
                      <w:sz w:val="21"/>
                      <w:szCs w:val="21"/>
                    </w:rPr>
                  </w:pPr>
                </w:p>
              </w:tc>
              <w:tc>
                <w:tcPr>
                  <w:tcW w:w="282" w:type="pct"/>
                  <w:vMerge w:val="continue"/>
                  <w:tcBorders>
                    <w:tl2br w:val="nil"/>
                    <w:tr2bl w:val="nil"/>
                  </w:tcBorders>
                  <w:vAlign w:val="center"/>
                </w:tcPr>
                <w:p w14:paraId="59AA685B">
                  <w:pPr>
                    <w:pStyle w:val="22"/>
                    <w:widowControl w:val="0"/>
                    <w:adjustRightInd w:val="0"/>
                    <w:snapToGrid w:val="0"/>
                    <w:spacing w:before="0" w:beforeAutospacing="0" w:after="0" w:afterAutospacing="0"/>
                    <w:jc w:val="center"/>
                    <w:textAlignment w:val="baseline"/>
                    <w:rPr>
                      <w:rFonts w:ascii="Times New Roman" w:hAnsi="Times New Roman"/>
                      <w:color w:val="auto"/>
                      <w:spacing w:val="-10"/>
                      <w:sz w:val="21"/>
                      <w:szCs w:val="21"/>
                    </w:rPr>
                  </w:pPr>
                </w:p>
              </w:tc>
            </w:tr>
            <w:tr w14:paraId="37F8259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41" w:type="pct"/>
                  <w:tcBorders>
                    <w:tl2br w:val="nil"/>
                    <w:tr2bl w:val="nil"/>
                  </w:tcBorders>
                  <w:vAlign w:val="center"/>
                </w:tcPr>
                <w:p w14:paraId="695BADD3">
                  <w:pPr>
                    <w:pStyle w:val="22"/>
                    <w:widowControl w:val="0"/>
                    <w:numPr>
                      <w:ilvl w:val="0"/>
                      <w:numId w:val="11"/>
                    </w:numPr>
                    <w:adjustRightInd w:val="0"/>
                    <w:snapToGrid w:val="0"/>
                    <w:spacing w:before="0" w:beforeAutospacing="0" w:after="0" w:afterAutospacing="0"/>
                    <w:ind w:left="0" w:leftChars="0" w:firstLine="0" w:firstLineChars="0"/>
                    <w:jc w:val="center"/>
                    <w:textAlignment w:val="baseline"/>
                    <w:rPr>
                      <w:rFonts w:ascii="Times New Roman" w:hAnsi="Times New Roman"/>
                      <w:color w:val="auto"/>
                      <w:spacing w:val="-10"/>
                      <w:sz w:val="21"/>
                      <w:szCs w:val="21"/>
                    </w:rPr>
                  </w:pPr>
                </w:p>
              </w:tc>
              <w:tc>
                <w:tcPr>
                  <w:tcW w:w="162" w:type="pct"/>
                  <w:vMerge w:val="continue"/>
                  <w:tcBorders>
                    <w:tl2br w:val="nil"/>
                    <w:tr2bl w:val="nil"/>
                  </w:tcBorders>
                  <w:vAlign w:val="center"/>
                </w:tcPr>
                <w:p w14:paraId="42EDE06F">
                  <w:pPr>
                    <w:pStyle w:val="22"/>
                    <w:widowControl w:val="0"/>
                    <w:adjustRightInd w:val="0"/>
                    <w:snapToGrid w:val="0"/>
                    <w:spacing w:before="0" w:beforeAutospacing="0" w:after="0" w:afterAutospacing="0"/>
                    <w:jc w:val="center"/>
                    <w:textAlignment w:val="baseline"/>
                    <w:rPr>
                      <w:rFonts w:ascii="Times New Roman" w:hAnsi="Times New Roman"/>
                      <w:color w:val="auto"/>
                      <w:spacing w:val="-10"/>
                      <w:sz w:val="21"/>
                      <w:szCs w:val="21"/>
                    </w:rPr>
                  </w:pPr>
                </w:p>
              </w:tc>
              <w:tc>
                <w:tcPr>
                  <w:tcW w:w="353" w:type="pct"/>
                  <w:tcBorders>
                    <w:tl2br w:val="nil"/>
                    <w:tr2bl w:val="nil"/>
                  </w:tcBorders>
                  <w:shd w:val="clear" w:color="auto" w:fill="auto"/>
                  <w:vAlign w:val="center"/>
                </w:tcPr>
                <w:p w14:paraId="3E85FCEE">
                  <w:pPr>
                    <w:widowControl/>
                    <w:spacing w:line="240" w:lineRule="auto"/>
                    <w:jc w:val="center"/>
                    <w:textAlignment w:val="center"/>
                    <w:rPr>
                      <w:rFonts w:hint="eastAsia"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kern w:val="0"/>
                      <w:sz w:val="21"/>
                      <w:szCs w:val="21"/>
                      <w:lang w:val="en-US" w:eastAsia="zh-CN" w:bidi="ar"/>
                    </w:rPr>
                    <w:t>减压钻</w:t>
                  </w:r>
                </w:p>
              </w:tc>
              <w:tc>
                <w:tcPr>
                  <w:tcW w:w="190" w:type="pct"/>
                  <w:tcBorders>
                    <w:tl2br w:val="nil"/>
                    <w:tr2bl w:val="nil"/>
                  </w:tcBorders>
                  <w:shd w:val="clear" w:color="auto" w:fill="auto"/>
                  <w:vAlign w:val="center"/>
                </w:tcPr>
                <w:p w14:paraId="1FFDEB62">
                  <w:pPr>
                    <w:widowControl/>
                    <w:spacing w:line="240" w:lineRule="auto"/>
                    <w:jc w:val="center"/>
                    <w:textAlignment w:val="center"/>
                    <w:rPr>
                      <w:rFonts w:hint="default" w:ascii="Times New Roman" w:hAnsi="Times New Roman" w:eastAsia="宋体" w:cs="Times New Roman"/>
                      <w:color w:val="auto"/>
                      <w:kern w:val="0"/>
                      <w:sz w:val="21"/>
                      <w:szCs w:val="21"/>
                      <w:lang w:val="en-US" w:eastAsia="zh-CN" w:bidi="ar"/>
                    </w:rPr>
                  </w:pPr>
                  <w:r>
                    <w:rPr>
                      <w:rFonts w:hint="eastAsia" w:cs="Times New Roman"/>
                      <w:color w:val="auto"/>
                      <w:kern w:val="0"/>
                      <w:sz w:val="21"/>
                      <w:szCs w:val="21"/>
                      <w:lang w:val="en-US" w:eastAsia="zh-CN" w:bidi="ar"/>
                    </w:rPr>
                    <w:t>/</w:t>
                  </w:r>
                </w:p>
              </w:tc>
              <w:tc>
                <w:tcPr>
                  <w:tcW w:w="302" w:type="pct"/>
                  <w:tcBorders>
                    <w:tl2br w:val="nil"/>
                    <w:tr2bl w:val="nil"/>
                  </w:tcBorders>
                  <w:shd w:val="clear" w:color="auto" w:fill="auto"/>
                  <w:vAlign w:val="center"/>
                </w:tcPr>
                <w:p w14:paraId="5C7E4253">
                  <w:pPr>
                    <w:keepNext w:val="0"/>
                    <w:keepLines w:val="0"/>
                    <w:widowControl/>
                    <w:suppressLineNumbers w:val="0"/>
                    <w:jc w:val="center"/>
                    <w:textAlignment w:val="center"/>
                    <w:rPr>
                      <w:rFonts w:hint="eastAsia" w:ascii="Times New Roman" w:hAnsi="Times New Roman" w:eastAsia="宋体" w:cs="Times New Roman"/>
                      <w:color w:val="auto"/>
                      <w:kern w:val="0"/>
                      <w:sz w:val="21"/>
                      <w:szCs w:val="21"/>
                      <w:lang w:val="en-US" w:eastAsia="zh-CN" w:bidi="ar"/>
                    </w:rPr>
                  </w:pPr>
                  <w:r>
                    <w:rPr>
                      <w:rFonts w:hint="default" w:ascii="Times New Roman" w:hAnsi="Times New Roman" w:eastAsia="等线" w:cs="Times New Roman"/>
                      <w:i w:val="0"/>
                      <w:iCs w:val="0"/>
                      <w:color w:val="auto"/>
                      <w:kern w:val="0"/>
                      <w:sz w:val="21"/>
                      <w:szCs w:val="21"/>
                      <w:u w:val="none"/>
                      <w:lang w:val="en-US" w:eastAsia="zh-CN" w:bidi="ar"/>
                    </w:rPr>
                    <w:t>91</w:t>
                  </w:r>
                </w:p>
              </w:tc>
              <w:tc>
                <w:tcPr>
                  <w:tcW w:w="169" w:type="pct"/>
                  <w:vMerge w:val="continue"/>
                  <w:tcBorders>
                    <w:tl2br w:val="nil"/>
                    <w:tr2bl w:val="nil"/>
                  </w:tcBorders>
                  <w:vAlign w:val="center"/>
                </w:tcPr>
                <w:p w14:paraId="766A4A4D">
                  <w:pPr>
                    <w:pStyle w:val="22"/>
                    <w:widowControl w:val="0"/>
                    <w:adjustRightInd w:val="0"/>
                    <w:snapToGrid w:val="0"/>
                    <w:spacing w:before="0" w:beforeAutospacing="0" w:after="0" w:afterAutospacing="0"/>
                    <w:jc w:val="center"/>
                    <w:textAlignment w:val="baseline"/>
                    <w:rPr>
                      <w:rFonts w:ascii="Times New Roman" w:hAnsi="Times New Roman"/>
                      <w:color w:val="auto"/>
                      <w:spacing w:val="-10"/>
                      <w:sz w:val="21"/>
                      <w:szCs w:val="21"/>
                    </w:rPr>
                  </w:pPr>
                </w:p>
              </w:tc>
              <w:tc>
                <w:tcPr>
                  <w:tcW w:w="177" w:type="pct"/>
                  <w:tcBorders>
                    <w:tl2br w:val="nil"/>
                    <w:tr2bl w:val="nil"/>
                  </w:tcBorders>
                  <w:shd w:val="clear" w:color="auto" w:fill="auto"/>
                  <w:vAlign w:val="center"/>
                </w:tcPr>
                <w:p w14:paraId="4505379E">
                  <w:pPr>
                    <w:widowControl/>
                    <w:jc w:val="center"/>
                    <w:textAlignment w:val="center"/>
                    <w:rPr>
                      <w:rFonts w:hint="default" w:ascii="Times New Roman" w:hAnsi="Times New Roman" w:eastAsia="等线" w:cs="Times New Roman"/>
                      <w:color w:val="auto"/>
                      <w:kern w:val="0"/>
                      <w:sz w:val="21"/>
                      <w:szCs w:val="21"/>
                      <w:lang w:val="en-US" w:eastAsia="zh-CN" w:bidi="ar"/>
                    </w:rPr>
                  </w:pPr>
                  <w:r>
                    <w:rPr>
                      <w:rFonts w:hint="eastAsia" w:eastAsia="等线" w:cs="Times New Roman"/>
                      <w:color w:val="auto"/>
                      <w:kern w:val="0"/>
                      <w:sz w:val="21"/>
                      <w:szCs w:val="21"/>
                      <w:lang w:val="en-US" w:eastAsia="zh-CN" w:bidi="ar"/>
                    </w:rPr>
                    <w:t>6</w:t>
                  </w:r>
                </w:p>
              </w:tc>
              <w:tc>
                <w:tcPr>
                  <w:tcW w:w="201" w:type="pct"/>
                  <w:tcBorders>
                    <w:tl2br w:val="nil"/>
                    <w:tr2bl w:val="nil"/>
                  </w:tcBorders>
                  <w:shd w:val="clear" w:color="auto" w:fill="auto"/>
                  <w:vAlign w:val="center"/>
                </w:tcPr>
                <w:p w14:paraId="77E31654">
                  <w:pPr>
                    <w:widowControl/>
                    <w:jc w:val="center"/>
                    <w:textAlignment w:val="center"/>
                    <w:rPr>
                      <w:rFonts w:hint="default" w:ascii="Times New Roman" w:hAnsi="Times New Roman" w:eastAsia="等线" w:cs="Times New Roman"/>
                      <w:color w:val="auto"/>
                      <w:kern w:val="0"/>
                      <w:sz w:val="21"/>
                      <w:szCs w:val="21"/>
                      <w:lang w:val="en-US" w:eastAsia="zh-CN" w:bidi="ar"/>
                    </w:rPr>
                  </w:pPr>
                  <w:r>
                    <w:rPr>
                      <w:rFonts w:hint="eastAsia" w:eastAsia="等线" w:cs="Times New Roman"/>
                      <w:color w:val="auto"/>
                      <w:kern w:val="0"/>
                      <w:sz w:val="21"/>
                      <w:szCs w:val="21"/>
                      <w:lang w:val="en-US" w:eastAsia="zh-CN" w:bidi="ar"/>
                    </w:rPr>
                    <w:t>87</w:t>
                  </w:r>
                </w:p>
              </w:tc>
              <w:tc>
                <w:tcPr>
                  <w:tcW w:w="116" w:type="pct"/>
                  <w:tcBorders>
                    <w:tl2br w:val="nil"/>
                    <w:tr2bl w:val="nil"/>
                  </w:tcBorders>
                  <w:vAlign w:val="center"/>
                </w:tcPr>
                <w:p w14:paraId="29C00C8F">
                  <w:pPr>
                    <w:widowControl/>
                    <w:jc w:val="center"/>
                    <w:textAlignment w:val="center"/>
                    <w:rPr>
                      <w:rFonts w:hint="default" w:eastAsia="等线"/>
                      <w:color w:val="auto"/>
                      <w:kern w:val="0"/>
                      <w:sz w:val="21"/>
                      <w:szCs w:val="21"/>
                      <w:lang w:val="en-US" w:eastAsia="zh-CN"/>
                    </w:rPr>
                  </w:pPr>
                  <w:r>
                    <w:rPr>
                      <w:rFonts w:hint="eastAsia" w:eastAsia="宋体"/>
                      <w:color w:val="auto"/>
                      <w:sz w:val="21"/>
                      <w:szCs w:val="21"/>
                      <w:lang w:val="en-US" w:eastAsia="zh-CN"/>
                    </w:rPr>
                    <w:t>1</w:t>
                  </w:r>
                </w:p>
              </w:tc>
              <w:tc>
                <w:tcPr>
                  <w:tcW w:w="197" w:type="pct"/>
                  <w:tcBorders>
                    <w:tl2br w:val="nil"/>
                    <w:tr2bl w:val="nil"/>
                  </w:tcBorders>
                  <w:vAlign w:val="center"/>
                </w:tcPr>
                <w:p w14:paraId="59B8A51D">
                  <w:pPr>
                    <w:widowControl/>
                    <w:jc w:val="center"/>
                    <w:textAlignment w:val="center"/>
                    <w:rPr>
                      <w:rFonts w:hint="default" w:eastAsia="等线"/>
                      <w:color w:val="auto"/>
                      <w:kern w:val="0"/>
                      <w:sz w:val="21"/>
                      <w:szCs w:val="21"/>
                      <w:lang w:val="en-US" w:eastAsia="zh-CN"/>
                    </w:rPr>
                  </w:pPr>
                  <w:r>
                    <w:rPr>
                      <w:rFonts w:hint="eastAsia" w:eastAsia="等线"/>
                      <w:color w:val="auto"/>
                      <w:kern w:val="0"/>
                      <w:sz w:val="21"/>
                      <w:szCs w:val="21"/>
                      <w:lang w:val="en-US" w:eastAsia="zh-CN"/>
                    </w:rPr>
                    <w:t>39</w:t>
                  </w:r>
                </w:p>
              </w:tc>
              <w:tc>
                <w:tcPr>
                  <w:tcW w:w="237" w:type="pct"/>
                  <w:tcBorders>
                    <w:tl2br w:val="nil"/>
                    <w:tr2bl w:val="nil"/>
                  </w:tcBorders>
                  <w:vAlign w:val="center"/>
                </w:tcPr>
                <w:p w14:paraId="685DB904">
                  <w:pPr>
                    <w:keepNext w:val="0"/>
                    <w:keepLines w:val="0"/>
                    <w:widowControl/>
                    <w:suppressLineNumbers w:val="0"/>
                    <w:jc w:val="center"/>
                    <w:textAlignment w:val="center"/>
                    <w:rPr>
                      <w:rFonts w:hint="default" w:eastAsia="等线"/>
                      <w:color w:val="auto"/>
                      <w:kern w:val="0"/>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82</w:t>
                  </w:r>
                </w:p>
              </w:tc>
              <w:tc>
                <w:tcPr>
                  <w:tcW w:w="181" w:type="pct"/>
                  <w:tcBorders>
                    <w:tl2br w:val="nil"/>
                    <w:tr2bl w:val="nil"/>
                  </w:tcBorders>
                  <w:vAlign w:val="center"/>
                </w:tcPr>
                <w:p w14:paraId="14861050">
                  <w:pPr>
                    <w:keepNext w:val="0"/>
                    <w:keepLines w:val="0"/>
                    <w:widowControl/>
                    <w:suppressLineNumbers w:val="0"/>
                    <w:jc w:val="center"/>
                    <w:textAlignment w:val="center"/>
                    <w:rPr>
                      <w:rFonts w:hint="default" w:eastAsia="等线"/>
                      <w:color w:val="auto"/>
                      <w:kern w:val="0"/>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27</w:t>
                  </w:r>
                </w:p>
              </w:tc>
              <w:tc>
                <w:tcPr>
                  <w:tcW w:w="237" w:type="pct"/>
                  <w:tcBorders>
                    <w:tl2br w:val="nil"/>
                    <w:tr2bl w:val="nil"/>
                  </w:tcBorders>
                  <w:vAlign w:val="center"/>
                </w:tcPr>
                <w:p w14:paraId="42C9B15F">
                  <w:pPr>
                    <w:widowControl/>
                    <w:jc w:val="center"/>
                    <w:textAlignment w:val="center"/>
                    <w:rPr>
                      <w:rFonts w:hint="default" w:eastAsia="等线"/>
                      <w:color w:val="auto"/>
                      <w:kern w:val="0"/>
                      <w:sz w:val="21"/>
                      <w:szCs w:val="21"/>
                      <w:lang w:val="en-US" w:eastAsia="zh-CN"/>
                    </w:rPr>
                  </w:pPr>
                  <w:r>
                    <w:rPr>
                      <w:rFonts w:hint="eastAsia" w:eastAsia="等线"/>
                      <w:color w:val="auto"/>
                      <w:kern w:val="0"/>
                      <w:sz w:val="21"/>
                      <w:szCs w:val="21"/>
                      <w:lang w:val="en-US" w:eastAsia="zh-CN"/>
                    </w:rPr>
                    <w:t>27</w:t>
                  </w:r>
                </w:p>
              </w:tc>
              <w:tc>
                <w:tcPr>
                  <w:tcW w:w="241" w:type="pct"/>
                  <w:tcBorders>
                    <w:tl2br w:val="nil"/>
                    <w:tr2bl w:val="nil"/>
                  </w:tcBorders>
                  <w:vAlign w:val="center"/>
                </w:tcPr>
                <w:p w14:paraId="69F7008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等线" w:cs="Times New Roman"/>
                      <w:i w:val="0"/>
                      <w:iCs w:val="0"/>
                      <w:color w:val="auto"/>
                      <w:kern w:val="0"/>
                      <w:sz w:val="22"/>
                      <w:szCs w:val="22"/>
                      <w:u w:val="none"/>
                      <w:lang w:val="en-US" w:eastAsia="zh-CN" w:bidi="ar"/>
                    </w:rPr>
                    <w:t>62.4</w:t>
                  </w:r>
                </w:p>
              </w:tc>
              <w:tc>
                <w:tcPr>
                  <w:tcW w:w="241" w:type="pct"/>
                  <w:tcBorders>
                    <w:tl2br w:val="nil"/>
                    <w:tr2bl w:val="nil"/>
                  </w:tcBorders>
                  <w:vAlign w:val="center"/>
                </w:tcPr>
                <w:p w14:paraId="6DF5ADE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等线" w:cs="Times New Roman"/>
                      <w:i w:val="0"/>
                      <w:iCs w:val="0"/>
                      <w:color w:val="auto"/>
                      <w:kern w:val="0"/>
                      <w:sz w:val="22"/>
                      <w:szCs w:val="22"/>
                      <w:u w:val="none"/>
                      <w:lang w:val="en-US" w:eastAsia="zh-CN" w:bidi="ar"/>
                    </w:rPr>
                    <w:t>62.3</w:t>
                  </w:r>
                </w:p>
              </w:tc>
              <w:tc>
                <w:tcPr>
                  <w:tcW w:w="206" w:type="pct"/>
                  <w:tcBorders>
                    <w:tl2br w:val="nil"/>
                    <w:tr2bl w:val="nil"/>
                  </w:tcBorders>
                  <w:vAlign w:val="center"/>
                </w:tcPr>
                <w:p w14:paraId="6BB5D5B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等线" w:cs="Times New Roman"/>
                      <w:i w:val="0"/>
                      <w:iCs w:val="0"/>
                      <w:color w:val="auto"/>
                      <w:kern w:val="0"/>
                      <w:sz w:val="22"/>
                      <w:szCs w:val="22"/>
                      <w:u w:val="none"/>
                      <w:lang w:val="en-US" w:eastAsia="zh-CN" w:bidi="ar"/>
                    </w:rPr>
                    <w:t>62.5</w:t>
                  </w:r>
                </w:p>
              </w:tc>
              <w:tc>
                <w:tcPr>
                  <w:tcW w:w="207" w:type="pct"/>
                  <w:tcBorders>
                    <w:tl2br w:val="nil"/>
                    <w:tr2bl w:val="nil"/>
                  </w:tcBorders>
                  <w:vAlign w:val="center"/>
                </w:tcPr>
                <w:p w14:paraId="00D1A0C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等线" w:cs="Times New Roman"/>
                      <w:i w:val="0"/>
                      <w:iCs w:val="0"/>
                      <w:color w:val="auto"/>
                      <w:kern w:val="0"/>
                      <w:sz w:val="22"/>
                      <w:szCs w:val="22"/>
                      <w:u w:val="none"/>
                      <w:lang w:val="en-US" w:eastAsia="zh-CN" w:bidi="ar"/>
                    </w:rPr>
                    <w:t>62.5</w:t>
                  </w:r>
                </w:p>
              </w:tc>
              <w:tc>
                <w:tcPr>
                  <w:tcW w:w="151" w:type="pct"/>
                  <w:vMerge w:val="continue"/>
                  <w:tcBorders>
                    <w:tl2br w:val="nil"/>
                    <w:tr2bl w:val="nil"/>
                  </w:tcBorders>
                  <w:vAlign w:val="center"/>
                </w:tcPr>
                <w:p w14:paraId="24A851C6">
                  <w:pPr>
                    <w:pStyle w:val="22"/>
                    <w:widowControl w:val="0"/>
                    <w:adjustRightInd w:val="0"/>
                    <w:snapToGrid w:val="0"/>
                    <w:spacing w:before="0" w:beforeAutospacing="0" w:after="0" w:afterAutospacing="0"/>
                    <w:jc w:val="center"/>
                    <w:textAlignment w:val="baseline"/>
                    <w:rPr>
                      <w:rFonts w:ascii="Times New Roman" w:hAnsi="Times New Roman"/>
                      <w:color w:val="auto"/>
                      <w:spacing w:val="-10"/>
                      <w:sz w:val="21"/>
                      <w:szCs w:val="21"/>
                    </w:rPr>
                  </w:pPr>
                </w:p>
              </w:tc>
              <w:tc>
                <w:tcPr>
                  <w:tcW w:w="148" w:type="pct"/>
                  <w:vMerge w:val="continue"/>
                  <w:tcBorders>
                    <w:tl2br w:val="nil"/>
                    <w:tr2bl w:val="nil"/>
                  </w:tcBorders>
                  <w:vAlign w:val="center"/>
                </w:tcPr>
                <w:p w14:paraId="02957FD0">
                  <w:pPr>
                    <w:pStyle w:val="22"/>
                    <w:widowControl w:val="0"/>
                    <w:adjustRightInd w:val="0"/>
                    <w:snapToGrid w:val="0"/>
                    <w:spacing w:before="0" w:beforeAutospacing="0" w:after="0" w:afterAutospacing="0"/>
                    <w:jc w:val="center"/>
                    <w:textAlignment w:val="baseline"/>
                    <w:rPr>
                      <w:rFonts w:ascii="Times New Roman" w:hAnsi="Times New Roman"/>
                      <w:color w:val="auto"/>
                      <w:spacing w:val="-10"/>
                      <w:sz w:val="21"/>
                      <w:szCs w:val="21"/>
                    </w:rPr>
                  </w:pPr>
                </w:p>
              </w:tc>
              <w:tc>
                <w:tcPr>
                  <w:tcW w:w="126" w:type="pct"/>
                  <w:vMerge w:val="continue"/>
                  <w:tcBorders>
                    <w:tl2br w:val="nil"/>
                    <w:tr2bl w:val="nil"/>
                  </w:tcBorders>
                  <w:vAlign w:val="center"/>
                </w:tcPr>
                <w:p w14:paraId="01606D77">
                  <w:pPr>
                    <w:pStyle w:val="22"/>
                    <w:widowControl w:val="0"/>
                    <w:adjustRightInd w:val="0"/>
                    <w:snapToGrid w:val="0"/>
                    <w:spacing w:before="0" w:beforeAutospacing="0" w:after="0" w:afterAutospacing="0"/>
                    <w:jc w:val="center"/>
                    <w:textAlignment w:val="baseline"/>
                    <w:rPr>
                      <w:rFonts w:ascii="Times New Roman" w:hAnsi="Times New Roman"/>
                      <w:color w:val="auto"/>
                      <w:spacing w:val="-10"/>
                      <w:sz w:val="21"/>
                      <w:szCs w:val="21"/>
                    </w:rPr>
                  </w:pPr>
                </w:p>
              </w:tc>
              <w:tc>
                <w:tcPr>
                  <w:tcW w:w="120" w:type="pct"/>
                  <w:vMerge w:val="continue"/>
                  <w:tcBorders>
                    <w:tl2br w:val="nil"/>
                    <w:tr2bl w:val="nil"/>
                  </w:tcBorders>
                  <w:vAlign w:val="center"/>
                </w:tcPr>
                <w:p w14:paraId="3A9DB3EC">
                  <w:pPr>
                    <w:pStyle w:val="22"/>
                    <w:widowControl w:val="0"/>
                    <w:adjustRightInd w:val="0"/>
                    <w:snapToGrid w:val="0"/>
                    <w:spacing w:before="0" w:beforeAutospacing="0" w:after="0" w:afterAutospacing="0"/>
                    <w:jc w:val="center"/>
                    <w:textAlignment w:val="baseline"/>
                    <w:rPr>
                      <w:rFonts w:ascii="Times New Roman" w:hAnsi="Times New Roman"/>
                      <w:color w:val="auto"/>
                      <w:spacing w:val="-10"/>
                      <w:sz w:val="21"/>
                      <w:szCs w:val="21"/>
                    </w:rPr>
                  </w:pPr>
                </w:p>
              </w:tc>
              <w:tc>
                <w:tcPr>
                  <w:tcW w:w="134" w:type="pct"/>
                  <w:vMerge w:val="continue"/>
                  <w:tcBorders>
                    <w:tl2br w:val="nil"/>
                    <w:tr2bl w:val="nil"/>
                  </w:tcBorders>
                  <w:vAlign w:val="center"/>
                </w:tcPr>
                <w:p w14:paraId="039BDC35">
                  <w:pPr>
                    <w:pStyle w:val="22"/>
                    <w:widowControl w:val="0"/>
                    <w:adjustRightInd w:val="0"/>
                    <w:snapToGrid w:val="0"/>
                    <w:spacing w:before="0" w:beforeAutospacing="0" w:after="0" w:afterAutospacing="0"/>
                    <w:jc w:val="center"/>
                    <w:textAlignment w:val="baseline"/>
                    <w:rPr>
                      <w:rFonts w:ascii="Times New Roman" w:hAnsi="Times New Roman"/>
                      <w:color w:val="auto"/>
                      <w:spacing w:val="-10"/>
                      <w:sz w:val="21"/>
                      <w:szCs w:val="21"/>
                    </w:rPr>
                  </w:pPr>
                </w:p>
              </w:tc>
              <w:tc>
                <w:tcPr>
                  <w:tcW w:w="115" w:type="pct"/>
                  <w:vMerge w:val="continue"/>
                  <w:tcBorders>
                    <w:tl2br w:val="nil"/>
                    <w:tr2bl w:val="nil"/>
                  </w:tcBorders>
                  <w:vAlign w:val="center"/>
                </w:tcPr>
                <w:p w14:paraId="379F0443">
                  <w:pPr>
                    <w:pStyle w:val="22"/>
                    <w:keepNext w:val="0"/>
                    <w:keepLines w:val="0"/>
                    <w:pageBreakBefore w:val="0"/>
                    <w:widowControl w:val="0"/>
                    <w:kinsoku/>
                    <w:wordWrap/>
                    <w:overflowPunct/>
                    <w:topLinePunct w:val="0"/>
                    <w:autoSpaceDE/>
                    <w:autoSpaceDN/>
                    <w:bidi w:val="0"/>
                    <w:adjustRightInd w:val="0"/>
                    <w:snapToGrid w:val="0"/>
                    <w:spacing w:before="0" w:beforeAutospacing="0" w:after="0" w:afterAutospacing="0"/>
                    <w:jc w:val="center"/>
                    <w:textAlignment w:val="baseline"/>
                    <w:rPr>
                      <w:rFonts w:hint="default" w:ascii="Times New Roman" w:hAnsi="Times New Roman" w:cs="Times New Roman"/>
                      <w:color w:val="auto"/>
                      <w:spacing w:val="-10"/>
                      <w:sz w:val="21"/>
                      <w:szCs w:val="21"/>
                    </w:rPr>
                  </w:pPr>
                </w:p>
              </w:tc>
              <w:tc>
                <w:tcPr>
                  <w:tcW w:w="117" w:type="pct"/>
                  <w:vMerge w:val="continue"/>
                  <w:tcBorders>
                    <w:tl2br w:val="nil"/>
                    <w:tr2bl w:val="nil"/>
                  </w:tcBorders>
                  <w:vAlign w:val="center"/>
                </w:tcPr>
                <w:p w14:paraId="219CF2C8">
                  <w:pPr>
                    <w:pStyle w:val="22"/>
                    <w:keepNext w:val="0"/>
                    <w:keepLines w:val="0"/>
                    <w:pageBreakBefore w:val="0"/>
                    <w:widowControl w:val="0"/>
                    <w:kinsoku/>
                    <w:wordWrap/>
                    <w:overflowPunct/>
                    <w:topLinePunct w:val="0"/>
                    <w:autoSpaceDE/>
                    <w:autoSpaceDN/>
                    <w:bidi w:val="0"/>
                    <w:adjustRightInd w:val="0"/>
                    <w:snapToGrid w:val="0"/>
                    <w:spacing w:before="0" w:beforeAutospacing="0" w:after="0" w:afterAutospacing="0"/>
                    <w:jc w:val="center"/>
                    <w:textAlignment w:val="baseline"/>
                    <w:rPr>
                      <w:rFonts w:hint="default" w:ascii="Times New Roman" w:hAnsi="Times New Roman" w:cs="Times New Roman"/>
                      <w:color w:val="auto"/>
                      <w:spacing w:val="-10"/>
                      <w:sz w:val="21"/>
                      <w:szCs w:val="21"/>
                    </w:rPr>
                  </w:pPr>
                </w:p>
              </w:tc>
              <w:tc>
                <w:tcPr>
                  <w:tcW w:w="117" w:type="pct"/>
                  <w:vMerge w:val="continue"/>
                  <w:tcBorders>
                    <w:tl2br w:val="nil"/>
                    <w:tr2bl w:val="nil"/>
                  </w:tcBorders>
                  <w:vAlign w:val="center"/>
                </w:tcPr>
                <w:p w14:paraId="1F99A7D6">
                  <w:pPr>
                    <w:pStyle w:val="22"/>
                    <w:keepNext w:val="0"/>
                    <w:keepLines w:val="0"/>
                    <w:pageBreakBefore w:val="0"/>
                    <w:widowControl w:val="0"/>
                    <w:kinsoku/>
                    <w:wordWrap/>
                    <w:overflowPunct/>
                    <w:topLinePunct w:val="0"/>
                    <w:autoSpaceDE/>
                    <w:autoSpaceDN/>
                    <w:bidi w:val="0"/>
                    <w:adjustRightInd w:val="0"/>
                    <w:snapToGrid w:val="0"/>
                    <w:spacing w:before="0" w:beforeAutospacing="0" w:after="0" w:afterAutospacing="0"/>
                    <w:jc w:val="center"/>
                    <w:textAlignment w:val="baseline"/>
                    <w:rPr>
                      <w:rFonts w:hint="default" w:ascii="Times New Roman" w:hAnsi="Times New Roman" w:cs="Times New Roman"/>
                      <w:color w:val="auto"/>
                      <w:spacing w:val="-10"/>
                      <w:sz w:val="21"/>
                      <w:szCs w:val="21"/>
                    </w:rPr>
                  </w:pPr>
                </w:p>
              </w:tc>
              <w:tc>
                <w:tcPr>
                  <w:tcW w:w="118" w:type="pct"/>
                  <w:vMerge w:val="continue"/>
                  <w:tcBorders>
                    <w:tl2br w:val="nil"/>
                    <w:tr2bl w:val="nil"/>
                  </w:tcBorders>
                  <w:vAlign w:val="center"/>
                </w:tcPr>
                <w:p w14:paraId="197D8ACD">
                  <w:pPr>
                    <w:pStyle w:val="22"/>
                    <w:keepNext w:val="0"/>
                    <w:keepLines w:val="0"/>
                    <w:pageBreakBefore w:val="0"/>
                    <w:widowControl w:val="0"/>
                    <w:kinsoku/>
                    <w:wordWrap/>
                    <w:overflowPunct/>
                    <w:topLinePunct w:val="0"/>
                    <w:autoSpaceDE/>
                    <w:autoSpaceDN/>
                    <w:bidi w:val="0"/>
                    <w:adjustRightInd w:val="0"/>
                    <w:snapToGrid w:val="0"/>
                    <w:spacing w:before="0" w:beforeAutospacing="0" w:after="0" w:afterAutospacing="0"/>
                    <w:jc w:val="center"/>
                    <w:textAlignment w:val="baseline"/>
                    <w:rPr>
                      <w:rFonts w:hint="default" w:ascii="Times New Roman" w:hAnsi="Times New Roman" w:cs="Times New Roman"/>
                      <w:color w:val="auto"/>
                      <w:spacing w:val="-10"/>
                      <w:sz w:val="21"/>
                      <w:szCs w:val="21"/>
                    </w:rPr>
                  </w:pPr>
                </w:p>
              </w:tc>
              <w:tc>
                <w:tcPr>
                  <w:tcW w:w="282" w:type="pct"/>
                  <w:vMerge w:val="continue"/>
                  <w:tcBorders>
                    <w:tl2br w:val="nil"/>
                    <w:tr2bl w:val="nil"/>
                  </w:tcBorders>
                  <w:vAlign w:val="center"/>
                </w:tcPr>
                <w:p w14:paraId="1AF5B960">
                  <w:pPr>
                    <w:pStyle w:val="22"/>
                    <w:widowControl w:val="0"/>
                    <w:adjustRightInd w:val="0"/>
                    <w:snapToGrid w:val="0"/>
                    <w:spacing w:before="0" w:beforeAutospacing="0" w:after="0" w:afterAutospacing="0"/>
                    <w:jc w:val="center"/>
                    <w:textAlignment w:val="baseline"/>
                    <w:rPr>
                      <w:rFonts w:ascii="Times New Roman" w:hAnsi="Times New Roman"/>
                      <w:color w:val="auto"/>
                      <w:spacing w:val="-10"/>
                      <w:sz w:val="21"/>
                      <w:szCs w:val="21"/>
                    </w:rPr>
                  </w:pPr>
                </w:p>
              </w:tc>
            </w:tr>
            <w:tr w14:paraId="0203AE4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41" w:type="pct"/>
                  <w:tcBorders>
                    <w:tl2br w:val="nil"/>
                    <w:tr2bl w:val="nil"/>
                  </w:tcBorders>
                  <w:vAlign w:val="center"/>
                </w:tcPr>
                <w:p w14:paraId="6D0440D5">
                  <w:pPr>
                    <w:pStyle w:val="22"/>
                    <w:widowControl w:val="0"/>
                    <w:numPr>
                      <w:ilvl w:val="0"/>
                      <w:numId w:val="11"/>
                    </w:numPr>
                    <w:adjustRightInd w:val="0"/>
                    <w:snapToGrid w:val="0"/>
                    <w:spacing w:before="0" w:beforeAutospacing="0" w:after="0" w:afterAutospacing="0"/>
                    <w:ind w:left="0" w:leftChars="0" w:firstLine="0" w:firstLineChars="0"/>
                    <w:jc w:val="center"/>
                    <w:textAlignment w:val="baseline"/>
                    <w:rPr>
                      <w:rFonts w:ascii="Times New Roman" w:hAnsi="Times New Roman"/>
                      <w:color w:val="auto"/>
                      <w:spacing w:val="-10"/>
                      <w:sz w:val="21"/>
                      <w:szCs w:val="21"/>
                    </w:rPr>
                  </w:pPr>
                </w:p>
              </w:tc>
              <w:tc>
                <w:tcPr>
                  <w:tcW w:w="162" w:type="pct"/>
                  <w:vMerge w:val="continue"/>
                  <w:tcBorders>
                    <w:tl2br w:val="nil"/>
                    <w:tr2bl w:val="nil"/>
                  </w:tcBorders>
                  <w:vAlign w:val="center"/>
                </w:tcPr>
                <w:p w14:paraId="05055F0A">
                  <w:pPr>
                    <w:pStyle w:val="22"/>
                    <w:widowControl w:val="0"/>
                    <w:adjustRightInd w:val="0"/>
                    <w:snapToGrid w:val="0"/>
                    <w:spacing w:before="0" w:beforeAutospacing="0" w:after="0" w:afterAutospacing="0"/>
                    <w:jc w:val="center"/>
                    <w:textAlignment w:val="baseline"/>
                    <w:rPr>
                      <w:rFonts w:ascii="Times New Roman" w:hAnsi="Times New Roman"/>
                      <w:color w:val="auto"/>
                      <w:spacing w:val="-10"/>
                      <w:sz w:val="21"/>
                      <w:szCs w:val="21"/>
                    </w:rPr>
                  </w:pPr>
                </w:p>
              </w:tc>
              <w:tc>
                <w:tcPr>
                  <w:tcW w:w="353" w:type="pct"/>
                  <w:tcBorders>
                    <w:tl2br w:val="nil"/>
                    <w:tr2bl w:val="nil"/>
                  </w:tcBorders>
                  <w:shd w:val="clear" w:color="auto" w:fill="auto"/>
                  <w:vAlign w:val="center"/>
                </w:tcPr>
                <w:p w14:paraId="4269414E">
                  <w:pPr>
                    <w:keepNext w:val="0"/>
                    <w:keepLines w:val="0"/>
                    <w:pageBreakBefore w:val="0"/>
                    <w:kinsoku/>
                    <w:wordWrap/>
                    <w:overflowPunct/>
                    <w:topLinePunct w:val="0"/>
                    <w:autoSpaceDE/>
                    <w:autoSpaceDN/>
                    <w:bidi w:val="0"/>
                    <w:spacing w:line="240" w:lineRule="auto"/>
                    <w:jc w:val="center"/>
                    <w:textAlignment w:val="auto"/>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倒角钻</w:t>
                  </w:r>
                </w:p>
              </w:tc>
              <w:tc>
                <w:tcPr>
                  <w:tcW w:w="190" w:type="pct"/>
                  <w:tcBorders>
                    <w:tl2br w:val="nil"/>
                    <w:tr2bl w:val="nil"/>
                  </w:tcBorders>
                  <w:shd w:val="clear" w:color="auto" w:fill="auto"/>
                  <w:vAlign w:val="center"/>
                </w:tcPr>
                <w:p w14:paraId="4E4B4D94">
                  <w:pPr>
                    <w:keepNext w:val="0"/>
                    <w:keepLines w:val="0"/>
                    <w:pageBreakBefore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0"/>
                      <w:sz w:val="21"/>
                      <w:szCs w:val="21"/>
                      <w:lang w:val="en-US" w:eastAsia="zh-CN" w:bidi="ar"/>
                    </w:rPr>
                    <w:t>/</w:t>
                  </w:r>
                </w:p>
              </w:tc>
              <w:tc>
                <w:tcPr>
                  <w:tcW w:w="302" w:type="pct"/>
                  <w:tcBorders>
                    <w:tl2br w:val="nil"/>
                    <w:tr2bl w:val="nil"/>
                  </w:tcBorders>
                  <w:shd w:val="clear" w:color="auto" w:fill="auto"/>
                  <w:vAlign w:val="center"/>
                </w:tcPr>
                <w:p w14:paraId="436F10CC">
                  <w:pPr>
                    <w:keepNext w:val="0"/>
                    <w:keepLines w:val="0"/>
                    <w:widowControl/>
                    <w:suppressLineNumbers w:val="0"/>
                    <w:jc w:val="center"/>
                    <w:textAlignment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等线" w:cs="Times New Roman"/>
                      <w:i w:val="0"/>
                      <w:iCs w:val="0"/>
                      <w:color w:val="auto"/>
                      <w:kern w:val="0"/>
                      <w:sz w:val="21"/>
                      <w:szCs w:val="21"/>
                      <w:u w:val="none"/>
                      <w:lang w:val="en-US" w:eastAsia="zh-CN" w:bidi="ar"/>
                    </w:rPr>
                    <w:t>93</w:t>
                  </w:r>
                </w:p>
              </w:tc>
              <w:tc>
                <w:tcPr>
                  <w:tcW w:w="169" w:type="pct"/>
                  <w:vMerge w:val="continue"/>
                  <w:tcBorders>
                    <w:tl2br w:val="nil"/>
                    <w:tr2bl w:val="nil"/>
                  </w:tcBorders>
                  <w:vAlign w:val="center"/>
                </w:tcPr>
                <w:p w14:paraId="2EAA80CD">
                  <w:pPr>
                    <w:pStyle w:val="22"/>
                    <w:widowControl w:val="0"/>
                    <w:adjustRightInd w:val="0"/>
                    <w:snapToGrid w:val="0"/>
                    <w:spacing w:before="0" w:beforeAutospacing="0" w:after="0" w:afterAutospacing="0"/>
                    <w:jc w:val="center"/>
                    <w:textAlignment w:val="baseline"/>
                    <w:rPr>
                      <w:rFonts w:ascii="Times New Roman" w:hAnsi="Times New Roman"/>
                      <w:color w:val="auto"/>
                      <w:spacing w:val="-10"/>
                      <w:sz w:val="21"/>
                      <w:szCs w:val="21"/>
                    </w:rPr>
                  </w:pPr>
                </w:p>
              </w:tc>
              <w:tc>
                <w:tcPr>
                  <w:tcW w:w="177" w:type="pct"/>
                  <w:tcBorders>
                    <w:tl2br w:val="nil"/>
                    <w:tr2bl w:val="nil"/>
                  </w:tcBorders>
                  <w:shd w:val="clear" w:color="auto" w:fill="auto"/>
                  <w:vAlign w:val="center"/>
                </w:tcPr>
                <w:p w14:paraId="3CA4D5E2">
                  <w:pPr>
                    <w:widowControl/>
                    <w:jc w:val="center"/>
                    <w:textAlignment w:val="center"/>
                    <w:rPr>
                      <w:rFonts w:hint="default" w:ascii="Times New Roman" w:hAnsi="Times New Roman" w:eastAsia="等线" w:cs="Times New Roman"/>
                      <w:color w:val="auto"/>
                      <w:kern w:val="0"/>
                      <w:sz w:val="21"/>
                      <w:szCs w:val="21"/>
                      <w:lang w:val="en-US" w:eastAsia="zh-CN" w:bidi="ar"/>
                    </w:rPr>
                  </w:pPr>
                  <w:r>
                    <w:rPr>
                      <w:rFonts w:hint="eastAsia" w:eastAsia="等线" w:cs="Times New Roman"/>
                      <w:color w:val="auto"/>
                      <w:kern w:val="0"/>
                      <w:sz w:val="21"/>
                      <w:szCs w:val="21"/>
                      <w:lang w:val="en-US" w:eastAsia="zh-CN" w:bidi="ar"/>
                    </w:rPr>
                    <w:t>25</w:t>
                  </w:r>
                </w:p>
              </w:tc>
              <w:tc>
                <w:tcPr>
                  <w:tcW w:w="201" w:type="pct"/>
                  <w:tcBorders>
                    <w:tl2br w:val="nil"/>
                    <w:tr2bl w:val="nil"/>
                  </w:tcBorders>
                  <w:shd w:val="clear" w:color="auto" w:fill="auto"/>
                  <w:vAlign w:val="center"/>
                </w:tcPr>
                <w:p w14:paraId="5CF786F0">
                  <w:pPr>
                    <w:widowControl/>
                    <w:jc w:val="center"/>
                    <w:textAlignment w:val="center"/>
                    <w:rPr>
                      <w:rFonts w:hint="default" w:ascii="Times New Roman" w:hAnsi="Times New Roman" w:eastAsia="等线" w:cs="Times New Roman"/>
                      <w:color w:val="auto"/>
                      <w:kern w:val="0"/>
                      <w:sz w:val="21"/>
                      <w:szCs w:val="21"/>
                      <w:lang w:val="en-US" w:eastAsia="zh-CN" w:bidi="ar"/>
                    </w:rPr>
                  </w:pPr>
                  <w:r>
                    <w:rPr>
                      <w:rFonts w:hint="eastAsia" w:eastAsia="等线" w:cs="Times New Roman"/>
                      <w:color w:val="auto"/>
                      <w:kern w:val="0"/>
                      <w:sz w:val="21"/>
                      <w:szCs w:val="21"/>
                      <w:lang w:val="en-US" w:eastAsia="zh-CN" w:bidi="ar"/>
                    </w:rPr>
                    <w:t>13</w:t>
                  </w:r>
                </w:p>
              </w:tc>
              <w:tc>
                <w:tcPr>
                  <w:tcW w:w="116" w:type="pct"/>
                  <w:tcBorders>
                    <w:tl2br w:val="nil"/>
                    <w:tr2bl w:val="nil"/>
                  </w:tcBorders>
                  <w:vAlign w:val="center"/>
                </w:tcPr>
                <w:p w14:paraId="70786EC9">
                  <w:pPr>
                    <w:widowControl/>
                    <w:jc w:val="center"/>
                    <w:textAlignment w:val="center"/>
                    <w:rPr>
                      <w:rFonts w:hint="default" w:eastAsia="等线"/>
                      <w:color w:val="auto"/>
                      <w:kern w:val="0"/>
                      <w:sz w:val="21"/>
                      <w:szCs w:val="21"/>
                      <w:lang w:val="en-US" w:eastAsia="zh-CN"/>
                    </w:rPr>
                  </w:pPr>
                  <w:r>
                    <w:rPr>
                      <w:rFonts w:hint="eastAsia" w:eastAsia="宋体"/>
                      <w:color w:val="auto"/>
                      <w:sz w:val="21"/>
                      <w:szCs w:val="21"/>
                      <w:lang w:val="en-US" w:eastAsia="zh-CN"/>
                    </w:rPr>
                    <w:t>1</w:t>
                  </w:r>
                </w:p>
              </w:tc>
              <w:tc>
                <w:tcPr>
                  <w:tcW w:w="197" w:type="pct"/>
                  <w:tcBorders>
                    <w:tl2br w:val="nil"/>
                    <w:tr2bl w:val="nil"/>
                  </w:tcBorders>
                  <w:vAlign w:val="center"/>
                </w:tcPr>
                <w:p w14:paraId="14065A97">
                  <w:pPr>
                    <w:widowControl/>
                    <w:jc w:val="center"/>
                    <w:textAlignment w:val="center"/>
                    <w:rPr>
                      <w:rFonts w:hint="default" w:eastAsia="等线"/>
                      <w:color w:val="auto"/>
                      <w:kern w:val="0"/>
                      <w:sz w:val="21"/>
                      <w:szCs w:val="21"/>
                      <w:lang w:val="en-US" w:eastAsia="zh-CN"/>
                    </w:rPr>
                  </w:pPr>
                  <w:r>
                    <w:rPr>
                      <w:rFonts w:hint="eastAsia" w:eastAsia="等线"/>
                      <w:color w:val="auto"/>
                      <w:kern w:val="0"/>
                      <w:sz w:val="21"/>
                      <w:szCs w:val="21"/>
                      <w:lang w:val="en-US" w:eastAsia="zh-CN"/>
                    </w:rPr>
                    <w:t>38</w:t>
                  </w:r>
                </w:p>
              </w:tc>
              <w:tc>
                <w:tcPr>
                  <w:tcW w:w="237" w:type="pct"/>
                  <w:tcBorders>
                    <w:tl2br w:val="nil"/>
                    <w:tr2bl w:val="nil"/>
                  </w:tcBorders>
                  <w:vAlign w:val="center"/>
                </w:tcPr>
                <w:p w14:paraId="2F4CAC93">
                  <w:pPr>
                    <w:keepNext w:val="0"/>
                    <w:keepLines w:val="0"/>
                    <w:widowControl/>
                    <w:suppressLineNumbers w:val="0"/>
                    <w:jc w:val="center"/>
                    <w:textAlignment w:val="center"/>
                    <w:rPr>
                      <w:rFonts w:hint="default" w:eastAsia="等线"/>
                      <w:color w:val="auto"/>
                      <w:kern w:val="0"/>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6</w:t>
                  </w:r>
                </w:p>
              </w:tc>
              <w:tc>
                <w:tcPr>
                  <w:tcW w:w="181" w:type="pct"/>
                  <w:tcBorders>
                    <w:tl2br w:val="nil"/>
                    <w:tr2bl w:val="nil"/>
                  </w:tcBorders>
                  <w:vAlign w:val="center"/>
                </w:tcPr>
                <w:p w14:paraId="0650731A">
                  <w:pPr>
                    <w:keepNext w:val="0"/>
                    <w:keepLines w:val="0"/>
                    <w:widowControl/>
                    <w:suppressLineNumbers w:val="0"/>
                    <w:jc w:val="center"/>
                    <w:textAlignment w:val="center"/>
                    <w:rPr>
                      <w:rFonts w:hint="default" w:eastAsia="等线"/>
                      <w:color w:val="auto"/>
                      <w:kern w:val="0"/>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28</w:t>
                  </w:r>
                </w:p>
              </w:tc>
              <w:tc>
                <w:tcPr>
                  <w:tcW w:w="237" w:type="pct"/>
                  <w:tcBorders>
                    <w:tl2br w:val="nil"/>
                    <w:tr2bl w:val="nil"/>
                  </w:tcBorders>
                  <w:vAlign w:val="center"/>
                </w:tcPr>
                <w:p w14:paraId="40BE8E72">
                  <w:pPr>
                    <w:widowControl/>
                    <w:jc w:val="center"/>
                    <w:textAlignment w:val="center"/>
                    <w:rPr>
                      <w:rFonts w:hint="default" w:eastAsia="等线"/>
                      <w:color w:val="auto"/>
                      <w:kern w:val="0"/>
                      <w:sz w:val="21"/>
                      <w:szCs w:val="21"/>
                      <w:lang w:val="en-US" w:eastAsia="zh-CN"/>
                    </w:rPr>
                  </w:pPr>
                  <w:r>
                    <w:rPr>
                      <w:rFonts w:hint="eastAsia" w:eastAsia="等线"/>
                      <w:color w:val="auto"/>
                      <w:kern w:val="0"/>
                      <w:sz w:val="21"/>
                      <w:szCs w:val="21"/>
                      <w:lang w:val="en-US" w:eastAsia="zh-CN"/>
                    </w:rPr>
                    <w:t>103</w:t>
                  </w:r>
                </w:p>
              </w:tc>
              <w:tc>
                <w:tcPr>
                  <w:tcW w:w="241" w:type="pct"/>
                  <w:tcBorders>
                    <w:tl2br w:val="nil"/>
                    <w:tr2bl w:val="nil"/>
                  </w:tcBorders>
                  <w:vAlign w:val="center"/>
                </w:tcPr>
                <w:p w14:paraId="042F039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等线" w:cs="Times New Roman"/>
                      <w:i w:val="0"/>
                      <w:iCs w:val="0"/>
                      <w:color w:val="auto"/>
                      <w:kern w:val="0"/>
                      <w:sz w:val="22"/>
                      <w:szCs w:val="22"/>
                      <w:u w:val="none"/>
                      <w:lang w:val="en-US" w:eastAsia="zh-CN" w:bidi="ar"/>
                    </w:rPr>
                    <w:t>64.4</w:t>
                  </w:r>
                </w:p>
              </w:tc>
              <w:tc>
                <w:tcPr>
                  <w:tcW w:w="241" w:type="pct"/>
                  <w:tcBorders>
                    <w:tl2br w:val="nil"/>
                    <w:tr2bl w:val="nil"/>
                  </w:tcBorders>
                  <w:vAlign w:val="center"/>
                </w:tcPr>
                <w:p w14:paraId="52764D1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等线" w:cs="Times New Roman"/>
                      <w:i w:val="0"/>
                      <w:iCs w:val="0"/>
                      <w:color w:val="auto"/>
                      <w:kern w:val="0"/>
                      <w:sz w:val="22"/>
                      <w:szCs w:val="22"/>
                      <w:u w:val="none"/>
                      <w:lang w:val="en-US" w:eastAsia="zh-CN" w:bidi="ar"/>
                    </w:rPr>
                    <w:t>67.4</w:t>
                  </w:r>
                </w:p>
              </w:tc>
              <w:tc>
                <w:tcPr>
                  <w:tcW w:w="206" w:type="pct"/>
                  <w:tcBorders>
                    <w:tl2br w:val="nil"/>
                    <w:tr2bl w:val="nil"/>
                  </w:tcBorders>
                  <w:vAlign w:val="center"/>
                </w:tcPr>
                <w:p w14:paraId="220C226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等线" w:cs="Times New Roman"/>
                      <w:i w:val="0"/>
                      <w:iCs w:val="0"/>
                      <w:color w:val="auto"/>
                      <w:kern w:val="0"/>
                      <w:sz w:val="22"/>
                      <w:szCs w:val="22"/>
                      <w:u w:val="none"/>
                      <w:lang w:val="en-US" w:eastAsia="zh-CN" w:bidi="ar"/>
                    </w:rPr>
                    <w:t>64.5</w:t>
                  </w:r>
                </w:p>
              </w:tc>
              <w:tc>
                <w:tcPr>
                  <w:tcW w:w="207" w:type="pct"/>
                  <w:tcBorders>
                    <w:tl2br w:val="nil"/>
                    <w:tr2bl w:val="nil"/>
                  </w:tcBorders>
                  <w:vAlign w:val="center"/>
                </w:tcPr>
                <w:p w14:paraId="0016981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等线" w:cs="Times New Roman"/>
                      <w:i w:val="0"/>
                      <w:iCs w:val="0"/>
                      <w:color w:val="auto"/>
                      <w:kern w:val="0"/>
                      <w:sz w:val="22"/>
                      <w:szCs w:val="22"/>
                      <w:u w:val="none"/>
                      <w:lang w:val="en-US" w:eastAsia="zh-CN" w:bidi="ar"/>
                    </w:rPr>
                    <w:t>64.3</w:t>
                  </w:r>
                </w:p>
              </w:tc>
              <w:tc>
                <w:tcPr>
                  <w:tcW w:w="151" w:type="pct"/>
                  <w:vMerge w:val="continue"/>
                  <w:tcBorders>
                    <w:tl2br w:val="nil"/>
                    <w:tr2bl w:val="nil"/>
                  </w:tcBorders>
                  <w:vAlign w:val="center"/>
                </w:tcPr>
                <w:p w14:paraId="6AA3F1D8">
                  <w:pPr>
                    <w:pStyle w:val="22"/>
                    <w:widowControl w:val="0"/>
                    <w:adjustRightInd w:val="0"/>
                    <w:snapToGrid w:val="0"/>
                    <w:spacing w:before="0" w:beforeAutospacing="0" w:after="0" w:afterAutospacing="0"/>
                    <w:jc w:val="center"/>
                    <w:textAlignment w:val="baseline"/>
                    <w:rPr>
                      <w:rFonts w:ascii="Times New Roman" w:hAnsi="Times New Roman"/>
                      <w:color w:val="auto"/>
                      <w:spacing w:val="-10"/>
                      <w:sz w:val="21"/>
                      <w:szCs w:val="21"/>
                    </w:rPr>
                  </w:pPr>
                </w:p>
              </w:tc>
              <w:tc>
                <w:tcPr>
                  <w:tcW w:w="148" w:type="pct"/>
                  <w:vMerge w:val="continue"/>
                  <w:tcBorders>
                    <w:tl2br w:val="nil"/>
                    <w:tr2bl w:val="nil"/>
                  </w:tcBorders>
                  <w:vAlign w:val="center"/>
                </w:tcPr>
                <w:p w14:paraId="2AE07EB9">
                  <w:pPr>
                    <w:pStyle w:val="22"/>
                    <w:widowControl w:val="0"/>
                    <w:adjustRightInd w:val="0"/>
                    <w:snapToGrid w:val="0"/>
                    <w:spacing w:before="0" w:beforeAutospacing="0" w:after="0" w:afterAutospacing="0"/>
                    <w:jc w:val="center"/>
                    <w:textAlignment w:val="baseline"/>
                    <w:rPr>
                      <w:rFonts w:ascii="Times New Roman" w:hAnsi="Times New Roman"/>
                      <w:color w:val="auto"/>
                      <w:spacing w:val="-10"/>
                      <w:sz w:val="21"/>
                      <w:szCs w:val="21"/>
                    </w:rPr>
                  </w:pPr>
                </w:p>
              </w:tc>
              <w:tc>
                <w:tcPr>
                  <w:tcW w:w="126" w:type="pct"/>
                  <w:vMerge w:val="continue"/>
                  <w:tcBorders>
                    <w:tl2br w:val="nil"/>
                    <w:tr2bl w:val="nil"/>
                  </w:tcBorders>
                  <w:vAlign w:val="center"/>
                </w:tcPr>
                <w:p w14:paraId="61ABED47">
                  <w:pPr>
                    <w:pStyle w:val="22"/>
                    <w:widowControl w:val="0"/>
                    <w:adjustRightInd w:val="0"/>
                    <w:snapToGrid w:val="0"/>
                    <w:spacing w:before="0" w:beforeAutospacing="0" w:after="0" w:afterAutospacing="0"/>
                    <w:jc w:val="center"/>
                    <w:textAlignment w:val="baseline"/>
                    <w:rPr>
                      <w:rFonts w:ascii="Times New Roman" w:hAnsi="Times New Roman"/>
                      <w:color w:val="auto"/>
                      <w:spacing w:val="-10"/>
                      <w:sz w:val="21"/>
                      <w:szCs w:val="21"/>
                    </w:rPr>
                  </w:pPr>
                </w:p>
              </w:tc>
              <w:tc>
                <w:tcPr>
                  <w:tcW w:w="120" w:type="pct"/>
                  <w:vMerge w:val="continue"/>
                  <w:tcBorders>
                    <w:tl2br w:val="nil"/>
                    <w:tr2bl w:val="nil"/>
                  </w:tcBorders>
                  <w:vAlign w:val="center"/>
                </w:tcPr>
                <w:p w14:paraId="6C13F8B4">
                  <w:pPr>
                    <w:pStyle w:val="22"/>
                    <w:widowControl w:val="0"/>
                    <w:adjustRightInd w:val="0"/>
                    <w:snapToGrid w:val="0"/>
                    <w:spacing w:before="0" w:beforeAutospacing="0" w:after="0" w:afterAutospacing="0"/>
                    <w:jc w:val="center"/>
                    <w:textAlignment w:val="baseline"/>
                    <w:rPr>
                      <w:rFonts w:ascii="Times New Roman" w:hAnsi="Times New Roman"/>
                      <w:color w:val="auto"/>
                      <w:spacing w:val="-10"/>
                      <w:sz w:val="21"/>
                      <w:szCs w:val="21"/>
                    </w:rPr>
                  </w:pPr>
                </w:p>
              </w:tc>
              <w:tc>
                <w:tcPr>
                  <w:tcW w:w="134" w:type="pct"/>
                  <w:vMerge w:val="continue"/>
                  <w:tcBorders>
                    <w:tl2br w:val="nil"/>
                    <w:tr2bl w:val="nil"/>
                  </w:tcBorders>
                  <w:vAlign w:val="center"/>
                </w:tcPr>
                <w:p w14:paraId="342763C0">
                  <w:pPr>
                    <w:pStyle w:val="22"/>
                    <w:widowControl w:val="0"/>
                    <w:adjustRightInd w:val="0"/>
                    <w:snapToGrid w:val="0"/>
                    <w:spacing w:before="0" w:beforeAutospacing="0" w:after="0" w:afterAutospacing="0"/>
                    <w:jc w:val="center"/>
                    <w:textAlignment w:val="baseline"/>
                    <w:rPr>
                      <w:rFonts w:ascii="Times New Roman" w:hAnsi="Times New Roman"/>
                      <w:color w:val="auto"/>
                      <w:spacing w:val="-10"/>
                      <w:sz w:val="21"/>
                      <w:szCs w:val="21"/>
                    </w:rPr>
                  </w:pPr>
                </w:p>
              </w:tc>
              <w:tc>
                <w:tcPr>
                  <w:tcW w:w="115" w:type="pct"/>
                  <w:vMerge w:val="continue"/>
                  <w:tcBorders>
                    <w:tl2br w:val="nil"/>
                    <w:tr2bl w:val="nil"/>
                  </w:tcBorders>
                  <w:vAlign w:val="center"/>
                </w:tcPr>
                <w:p w14:paraId="222B6326">
                  <w:pPr>
                    <w:pStyle w:val="22"/>
                    <w:keepNext w:val="0"/>
                    <w:keepLines w:val="0"/>
                    <w:pageBreakBefore w:val="0"/>
                    <w:widowControl w:val="0"/>
                    <w:kinsoku/>
                    <w:wordWrap/>
                    <w:overflowPunct/>
                    <w:topLinePunct w:val="0"/>
                    <w:autoSpaceDE/>
                    <w:autoSpaceDN/>
                    <w:bidi w:val="0"/>
                    <w:adjustRightInd w:val="0"/>
                    <w:snapToGrid w:val="0"/>
                    <w:spacing w:before="0" w:beforeAutospacing="0" w:after="0" w:afterAutospacing="0"/>
                    <w:jc w:val="center"/>
                    <w:textAlignment w:val="baseline"/>
                    <w:rPr>
                      <w:rFonts w:hint="default" w:ascii="Times New Roman" w:hAnsi="Times New Roman" w:cs="Times New Roman"/>
                      <w:color w:val="auto"/>
                      <w:spacing w:val="-10"/>
                      <w:sz w:val="21"/>
                      <w:szCs w:val="21"/>
                    </w:rPr>
                  </w:pPr>
                </w:p>
              </w:tc>
              <w:tc>
                <w:tcPr>
                  <w:tcW w:w="117" w:type="pct"/>
                  <w:vMerge w:val="continue"/>
                  <w:tcBorders>
                    <w:tl2br w:val="nil"/>
                    <w:tr2bl w:val="nil"/>
                  </w:tcBorders>
                  <w:vAlign w:val="center"/>
                </w:tcPr>
                <w:p w14:paraId="1286B3E9">
                  <w:pPr>
                    <w:pStyle w:val="22"/>
                    <w:keepNext w:val="0"/>
                    <w:keepLines w:val="0"/>
                    <w:pageBreakBefore w:val="0"/>
                    <w:widowControl w:val="0"/>
                    <w:kinsoku/>
                    <w:wordWrap/>
                    <w:overflowPunct/>
                    <w:topLinePunct w:val="0"/>
                    <w:autoSpaceDE/>
                    <w:autoSpaceDN/>
                    <w:bidi w:val="0"/>
                    <w:adjustRightInd w:val="0"/>
                    <w:snapToGrid w:val="0"/>
                    <w:spacing w:before="0" w:beforeAutospacing="0" w:after="0" w:afterAutospacing="0"/>
                    <w:jc w:val="center"/>
                    <w:textAlignment w:val="baseline"/>
                    <w:rPr>
                      <w:rFonts w:hint="default" w:ascii="Times New Roman" w:hAnsi="Times New Roman" w:cs="Times New Roman"/>
                      <w:color w:val="auto"/>
                      <w:spacing w:val="-10"/>
                      <w:sz w:val="21"/>
                      <w:szCs w:val="21"/>
                    </w:rPr>
                  </w:pPr>
                </w:p>
              </w:tc>
              <w:tc>
                <w:tcPr>
                  <w:tcW w:w="117" w:type="pct"/>
                  <w:vMerge w:val="continue"/>
                  <w:tcBorders>
                    <w:tl2br w:val="nil"/>
                    <w:tr2bl w:val="nil"/>
                  </w:tcBorders>
                  <w:vAlign w:val="center"/>
                </w:tcPr>
                <w:p w14:paraId="55637219">
                  <w:pPr>
                    <w:pStyle w:val="22"/>
                    <w:keepNext w:val="0"/>
                    <w:keepLines w:val="0"/>
                    <w:pageBreakBefore w:val="0"/>
                    <w:widowControl w:val="0"/>
                    <w:kinsoku/>
                    <w:wordWrap/>
                    <w:overflowPunct/>
                    <w:topLinePunct w:val="0"/>
                    <w:autoSpaceDE/>
                    <w:autoSpaceDN/>
                    <w:bidi w:val="0"/>
                    <w:adjustRightInd w:val="0"/>
                    <w:snapToGrid w:val="0"/>
                    <w:spacing w:before="0" w:beforeAutospacing="0" w:after="0" w:afterAutospacing="0"/>
                    <w:jc w:val="center"/>
                    <w:textAlignment w:val="baseline"/>
                    <w:rPr>
                      <w:rFonts w:hint="default" w:ascii="Times New Roman" w:hAnsi="Times New Roman" w:cs="Times New Roman"/>
                      <w:color w:val="auto"/>
                      <w:spacing w:val="-10"/>
                      <w:sz w:val="21"/>
                      <w:szCs w:val="21"/>
                    </w:rPr>
                  </w:pPr>
                </w:p>
              </w:tc>
              <w:tc>
                <w:tcPr>
                  <w:tcW w:w="118" w:type="pct"/>
                  <w:vMerge w:val="continue"/>
                  <w:tcBorders>
                    <w:tl2br w:val="nil"/>
                    <w:tr2bl w:val="nil"/>
                  </w:tcBorders>
                  <w:vAlign w:val="center"/>
                </w:tcPr>
                <w:p w14:paraId="743AFCC9">
                  <w:pPr>
                    <w:pStyle w:val="22"/>
                    <w:keepNext w:val="0"/>
                    <w:keepLines w:val="0"/>
                    <w:pageBreakBefore w:val="0"/>
                    <w:widowControl w:val="0"/>
                    <w:kinsoku/>
                    <w:wordWrap/>
                    <w:overflowPunct/>
                    <w:topLinePunct w:val="0"/>
                    <w:autoSpaceDE/>
                    <w:autoSpaceDN/>
                    <w:bidi w:val="0"/>
                    <w:adjustRightInd w:val="0"/>
                    <w:snapToGrid w:val="0"/>
                    <w:spacing w:before="0" w:beforeAutospacing="0" w:after="0" w:afterAutospacing="0"/>
                    <w:jc w:val="center"/>
                    <w:textAlignment w:val="baseline"/>
                    <w:rPr>
                      <w:rFonts w:hint="default" w:ascii="Times New Roman" w:hAnsi="Times New Roman" w:cs="Times New Roman"/>
                      <w:color w:val="auto"/>
                      <w:spacing w:val="-10"/>
                      <w:sz w:val="21"/>
                      <w:szCs w:val="21"/>
                    </w:rPr>
                  </w:pPr>
                </w:p>
              </w:tc>
              <w:tc>
                <w:tcPr>
                  <w:tcW w:w="282" w:type="pct"/>
                  <w:vMerge w:val="continue"/>
                  <w:tcBorders>
                    <w:tl2br w:val="nil"/>
                    <w:tr2bl w:val="nil"/>
                  </w:tcBorders>
                  <w:vAlign w:val="center"/>
                </w:tcPr>
                <w:p w14:paraId="425A6ECA">
                  <w:pPr>
                    <w:pStyle w:val="22"/>
                    <w:widowControl w:val="0"/>
                    <w:adjustRightInd w:val="0"/>
                    <w:snapToGrid w:val="0"/>
                    <w:spacing w:before="0" w:beforeAutospacing="0" w:after="0" w:afterAutospacing="0"/>
                    <w:jc w:val="center"/>
                    <w:textAlignment w:val="baseline"/>
                    <w:rPr>
                      <w:rFonts w:ascii="Times New Roman" w:hAnsi="Times New Roman"/>
                      <w:color w:val="auto"/>
                      <w:spacing w:val="-10"/>
                      <w:sz w:val="21"/>
                      <w:szCs w:val="21"/>
                    </w:rPr>
                  </w:pPr>
                </w:p>
              </w:tc>
            </w:tr>
            <w:tr w14:paraId="38140A3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41" w:type="pct"/>
                  <w:tcBorders>
                    <w:tl2br w:val="nil"/>
                    <w:tr2bl w:val="nil"/>
                  </w:tcBorders>
                  <w:vAlign w:val="center"/>
                </w:tcPr>
                <w:p w14:paraId="7A95158E">
                  <w:pPr>
                    <w:pStyle w:val="22"/>
                    <w:widowControl w:val="0"/>
                    <w:numPr>
                      <w:ilvl w:val="0"/>
                      <w:numId w:val="11"/>
                    </w:numPr>
                    <w:adjustRightInd w:val="0"/>
                    <w:snapToGrid w:val="0"/>
                    <w:spacing w:before="0" w:beforeAutospacing="0" w:after="0" w:afterAutospacing="0"/>
                    <w:ind w:left="0" w:leftChars="0" w:firstLine="0" w:firstLineChars="0"/>
                    <w:jc w:val="center"/>
                    <w:textAlignment w:val="baseline"/>
                    <w:rPr>
                      <w:rFonts w:ascii="Times New Roman" w:hAnsi="Times New Roman"/>
                      <w:color w:val="auto"/>
                      <w:spacing w:val="-10"/>
                      <w:sz w:val="21"/>
                      <w:szCs w:val="21"/>
                    </w:rPr>
                  </w:pPr>
                </w:p>
              </w:tc>
              <w:tc>
                <w:tcPr>
                  <w:tcW w:w="162" w:type="pct"/>
                  <w:vMerge w:val="continue"/>
                  <w:tcBorders>
                    <w:tl2br w:val="nil"/>
                    <w:tr2bl w:val="nil"/>
                  </w:tcBorders>
                  <w:vAlign w:val="center"/>
                </w:tcPr>
                <w:p w14:paraId="7D20CB8B">
                  <w:pPr>
                    <w:pStyle w:val="22"/>
                    <w:widowControl w:val="0"/>
                    <w:adjustRightInd w:val="0"/>
                    <w:snapToGrid w:val="0"/>
                    <w:spacing w:before="0" w:beforeAutospacing="0" w:after="0" w:afterAutospacing="0"/>
                    <w:jc w:val="center"/>
                    <w:textAlignment w:val="baseline"/>
                    <w:rPr>
                      <w:rFonts w:ascii="Times New Roman" w:hAnsi="Times New Roman"/>
                      <w:color w:val="auto"/>
                      <w:spacing w:val="-10"/>
                      <w:sz w:val="21"/>
                      <w:szCs w:val="21"/>
                    </w:rPr>
                  </w:pPr>
                </w:p>
              </w:tc>
              <w:tc>
                <w:tcPr>
                  <w:tcW w:w="353" w:type="pct"/>
                  <w:tcBorders>
                    <w:tl2br w:val="nil"/>
                    <w:tr2bl w:val="nil"/>
                  </w:tcBorders>
                  <w:shd w:val="clear" w:color="auto" w:fill="auto"/>
                  <w:vAlign w:val="center"/>
                </w:tcPr>
                <w:p w14:paraId="1292EE98">
                  <w:pPr>
                    <w:keepNext w:val="0"/>
                    <w:keepLines w:val="0"/>
                    <w:pageBreakBefore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auto"/>
                      <w:kern w:val="0"/>
                      <w:sz w:val="21"/>
                      <w:szCs w:val="18"/>
                      <w:lang w:val="en-US" w:eastAsia="zh-CN" w:bidi="ar"/>
                    </w:rPr>
                  </w:pPr>
                  <w:r>
                    <w:rPr>
                      <w:rFonts w:hint="default" w:ascii="Times New Roman" w:hAnsi="Times New Roman" w:eastAsia="宋体" w:cs="Times New Roman"/>
                      <w:color w:val="auto"/>
                      <w:kern w:val="0"/>
                      <w:sz w:val="21"/>
                      <w:szCs w:val="18"/>
                      <w:lang w:bidi="ar"/>
                    </w:rPr>
                    <w:t>真空炉</w:t>
                  </w:r>
                </w:p>
              </w:tc>
              <w:tc>
                <w:tcPr>
                  <w:tcW w:w="190" w:type="pct"/>
                  <w:tcBorders>
                    <w:tl2br w:val="nil"/>
                    <w:tr2bl w:val="nil"/>
                  </w:tcBorders>
                  <w:shd w:val="clear" w:color="auto" w:fill="auto"/>
                  <w:vAlign w:val="center"/>
                </w:tcPr>
                <w:p w14:paraId="62CC2547">
                  <w:pPr>
                    <w:keepNext w:val="0"/>
                    <w:keepLines w:val="0"/>
                    <w:pageBreakBefore w:val="0"/>
                    <w:kinsoku/>
                    <w:wordWrap/>
                    <w:overflowPunct/>
                    <w:topLinePunct w:val="0"/>
                    <w:autoSpaceDE/>
                    <w:autoSpaceDN/>
                    <w:bidi w:val="0"/>
                    <w:spacing w:line="240" w:lineRule="auto"/>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kern w:val="0"/>
                      <w:sz w:val="21"/>
                      <w:szCs w:val="21"/>
                      <w:lang w:val="en-US" w:eastAsia="zh-CN" w:bidi="ar"/>
                    </w:rPr>
                    <w:t>/</w:t>
                  </w:r>
                </w:p>
              </w:tc>
              <w:tc>
                <w:tcPr>
                  <w:tcW w:w="302" w:type="pct"/>
                  <w:tcBorders>
                    <w:tl2br w:val="nil"/>
                    <w:tr2bl w:val="nil"/>
                  </w:tcBorders>
                  <w:shd w:val="clear" w:color="auto" w:fill="auto"/>
                  <w:vAlign w:val="center"/>
                </w:tcPr>
                <w:p w14:paraId="093FF392">
                  <w:pPr>
                    <w:keepNext w:val="0"/>
                    <w:keepLines w:val="0"/>
                    <w:widowControl/>
                    <w:suppressLineNumbers w:val="0"/>
                    <w:jc w:val="center"/>
                    <w:textAlignment w:val="center"/>
                    <w:rPr>
                      <w:rFonts w:hint="default" w:ascii="Times New Roman" w:hAnsi="Times New Roman" w:eastAsia="等线" w:cs="Times New Roman"/>
                      <w:i w:val="0"/>
                      <w:iCs w:val="0"/>
                      <w:color w:val="auto"/>
                      <w:kern w:val="0"/>
                      <w:sz w:val="21"/>
                      <w:szCs w:val="21"/>
                      <w:u w:val="none"/>
                      <w:lang w:val="en-US" w:eastAsia="zh-CN" w:bidi="ar"/>
                    </w:rPr>
                  </w:pPr>
                  <w:r>
                    <w:rPr>
                      <w:rFonts w:hint="default" w:ascii="Times New Roman" w:hAnsi="Times New Roman" w:eastAsia="等线" w:cs="Times New Roman"/>
                      <w:i w:val="0"/>
                      <w:iCs w:val="0"/>
                      <w:color w:val="auto"/>
                      <w:kern w:val="0"/>
                      <w:sz w:val="21"/>
                      <w:szCs w:val="21"/>
                      <w:u w:val="none"/>
                      <w:lang w:val="en-US" w:eastAsia="zh-CN" w:bidi="ar"/>
                    </w:rPr>
                    <w:t>80</w:t>
                  </w:r>
                </w:p>
              </w:tc>
              <w:tc>
                <w:tcPr>
                  <w:tcW w:w="169" w:type="pct"/>
                  <w:vMerge w:val="continue"/>
                  <w:tcBorders>
                    <w:tl2br w:val="nil"/>
                    <w:tr2bl w:val="nil"/>
                  </w:tcBorders>
                  <w:vAlign w:val="center"/>
                </w:tcPr>
                <w:p w14:paraId="1706A74E">
                  <w:pPr>
                    <w:pStyle w:val="22"/>
                    <w:widowControl w:val="0"/>
                    <w:adjustRightInd w:val="0"/>
                    <w:snapToGrid w:val="0"/>
                    <w:spacing w:before="0" w:beforeAutospacing="0" w:after="0" w:afterAutospacing="0"/>
                    <w:jc w:val="center"/>
                    <w:textAlignment w:val="baseline"/>
                    <w:rPr>
                      <w:rFonts w:ascii="Times New Roman" w:hAnsi="Times New Roman"/>
                      <w:color w:val="auto"/>
                      <w:spacing w:val="-10"/>
                      <w:sz w:val="21"/>
                      <w:szCs w:val="21"/>
                    </w:rPr>
                  </w:pPr>
                </w:p>
              </w:tc>
              <w:tc>
                <w:tcPr>
                  <w:tcW w:w="177" w:type="pct"/>
                  <w:tcBorders>
                    <w:tl2br w:val="nil"/>
                    <w:tr2bl w:val="nil"/>
                  </w:tcBorders>
                  <w:shd w:val="clear" w:color="auto" w:fill="auto"/>
                  <w:vAlign w:val="center"/>
                </w:tcPr>
                <w:p w14:paraId="7DD1D5F5">
                  <w:pPr>
                    <w:widowControl/>
                    <w:jc w:val="center"/>
                    <w:textAlignment w:val="center"/>
                    <w:rPr>
                      <w:rFonts w:hint="default" w:ascii="Times New Roman" w:hAnsi="Times New Roman" w:eastAsia="等线" w:cs="Times New Roman"/>
                      <w:color w:val="auto"/>
                      <w:kern w:val="0"/>
                      <w:sz w:val="21"/>
                      <w:szCs w:val="21"/>
                      <w:lang w:val="en-US" w:eastAsia="zh-CN" w:bidi="ar"/>
                    </w:rPr>
                  </w:pPr>
                  <w:r>
                    <w:rPr>
                      <w:rFonts w:hint="eastAsia" w:eastAsia="等线" w:cs="Times New Roman"/>
                      <w:color w:val="auto"/>
                      <w:kern w:val="0"/>
                      <w:sz w:val="21"/>
                      <w:szCs w:val="21"/>
                      <w:lang w:val="en-US" w:eastAsia="zh-CN" w:bidi="ar"/>
                    </w:rPr>
                    <w:t>4</w:t>
                  </w:r>
                </w:p>
              </w:tc>
              <w:tc>
                <w:tcPr>
                  <w:tcW w:w="201" w:type="pct"/>
                  <w:tcBorders>
                    <w:tl2br w:val="nil"/>
                    <w:tr2bl w:val="nil"/>
                  </w:tcBorders>
                  <w:shd w:val="clear" w:color="auto" w:fill="auto"/>
                  <w:vAlign w:val="center"/>
                </w:tcPr>
                <w:p w14:paraId="63E67C01">
                  <w:pPr>
                    <w:widowControl/>
                    <w:jc w:val="center"/>
                    <w:textAlignment w:val="center"/>
                    <w:rPr>
                      <w:rFonts w:hint="default" w:ascii="Times New Roman" w:hAnsi="Times New Roman" w:eastAsia="等线" w:cs="Times New Roman"/>
                      <w:color w:val="auto"/>
                      <w:kern w:val="0"/>
                      <w:sz w:val="21"/>
                      <w:szCs w:val="21"/>
                      <w:lang w:val="en-US" w:eastAsia="zh-CN" w:bidi="ar"/>
                    </w:rPr>
                  </w:pPr>
                  <w:r>
                    <w:rPr>
                      <w:rFonts w:hint="eastAsia" w:eastAsia="等线" w:cs="Times New Roman"/>
                      <w:color w:val="auto"/>
                      <w:kern w:val="0"/>
                      <w:sz w:val="21"/>
                      <w:szCs w:val="21"/>
                      <w:lang w:val="en-US" w:eastAsia="zh-CN" w:bidi="ar"/>
                    </w:rPr>
                    <w:t>42</w:t>
                  </w:r>
                </w:p>
              </w:tc>
              <w:tc>
                <w:tcPr>
                  <w:tcW w:w="116" w:type="pct"/>
                  <w:tcBorders>
                    <w:tl2br w:val="nil"/>
                    <w:tr2bl w:val="nil"/>
                  </w:tcBorders>
                  <w:vAlign w:val="center"/>
                </w:tcPr>
                <w:p w14:paraId="14C8E2EA">
                  <w:pPr>
                    <w:widowControl/>
                    <w:jc w:val="center"/>
                    <w:textAlignment w:val="center"/>
                    <w:rPr>
                      <w:rFonts w:hint="default" w:eastAsia="等线"/>
                      <w:color w:val="auto"/>
                      <w:kern w:val="0"/>
                      <w:sz w:val="21"/>
                      <w:szCs w:val="21"/>
                      <w:lang w:val="en-US" w:eastAsia="zh-CN"/>
                    </w:rPr>
                  </w:pPr>
                  <w:r>
                    <w:rPr>
                      <w:rFonts w:hint="eastAsia" w:eastAsia="宋体"/>
                      <w:color w:val="auto"/>
                      <w:sz w:val="21"/>
                      <w:szCs w:val="21"/>
                      <w:lang w:val="en-US" w:eastAsia="zh-CN"/>
                    </w:rPr>
                    <w:t>1</w:t>
                  </w:r>
                </w:p>
              </w:tc>
              <w:tc>
                <w:tcPr>
                  <w:tcW w:w="197" w:type="pct"/>
                  <w:tcBorders>
                    <w:tl2br w:val="nil"/>
                    <w:tr2bl w:val="nil"/>
                  </w:tcBorders>
                  <w:vAlign w:val="center"/>
                </w:tcPr>
                <w:p w14:paraId="56CE4B45">
                  <w:pPr>
                    <w:widowControl/>
                    <w:jc w:val="center"/>
                    <w:textAlignment w:val="center"/>
                    <w:rPr>
                      <w:rFonts w:hint="default" w:eastAsia="等线"/>
                      <w:color w:val="auto"/>
                      <w:kern w:val="0"/>
                      <w:sz w:val="21"/>
                      <w:szCs w:val="21"/>
                      <w:lang w:val="en-US" w:eastAsia="zh-CN"/>
                    </w:rPr>
                  </w:pPr>
                  <w:r>
                    <w:rPr>
                      <w:rFonts w:hint="eastAsia" w:eastAsia="等线"/>
                      <w:color w:val="auto"/>
                      <w:kern w:val="0"/>
                      <w:sz w:val="21"/>
                      <w:szCs w:val="21"/>
                      <w:lang w:val="en-US" w:eastAsia="zh-CN"/>
                    </w:rPr>
                    <w:t>50</w:t>
                  </w:r>
                </w:p>
              </w:tc>
              <w:tc>
                <w:tcPr>
                  <w:tcW w:w="237" w:type="pct"/>
                  <w:tcBorders>
                    <w:tl2br w:val="nil"/>
                    <w:tr2bl w:val="nil"/>
                  </w:tcBorders>
                  <w:vAlign w:val="center"/>
                </w:tcPr>
                <w:p w14:paraId="6A60B02A">
                  <w:pPr>
                    <w:keepNext w:val="0"/>
                    <w:keepLines w:val="0"/>
                    <w:widowControl/>
                    <w:suppressLineNumbers w:val="0"/>
                    <w:jc w:val="center"/>
                    <w:textAlignment w:val="center"/>
                    <w:rPr>
                      <w:rFonts w:hint="default" w:eastAsia="等线"/>
                      <w:color w:val="auto"/>
                      <w:kern w:val="0"/>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40</w:t>
                  </w:r>
                </w:p>
              </w:tc>
              <w:tc>
                <w:tcPr>
                  <w:tcW w:w="181" w:type="pct"/>
                  <w:tcBorders>
                    <w:tl2br w:val="nil"/>
                    <w:tr2bl w:val="nil"/>
                  </w:tcBorders>
                  <w:vAlign w:val="center"/>
                </w:tcPr>
                <w:p w14:paraId="75DBCD11">
                  <w:pPr>
                    <w:keepNext w:val="0"/>
                    <w:keepLines w:val="0"/>
                    <w:widowControl/>
                    <w:suppressLineNumbers w:val="0"/>
                    <w:jc w:val="center"/>
                    <w:textAlignment w:val="center"/>
                    <w:rPr>
                      <w:rFonts w:hint="default" w:eastAsia="等线"/>
                      <w:color w:val="auto"/>
                      <w:kern w:val="0"/>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16</w:t>
                  </w:r>
                </w:p>
              </w:tc>
              <w:tc>
                <w:tcPr>
                  <w:tcW w:w="237" w:type="pct"/>
                  <w:tcBorders>
                    <w:tl2br w:val="nil"/>
                    <w:tr2bl w:val="nil"/>
                  </w:tcBorders>
                  <w:vAlign w:val="center"/>
                </w:tcPr>
                <w:p w14:paraId="2CE256E0">
                  <w:pPr>
                    <w:widowControl/>
                    <w:jc w:val="center"/>
                    <w:textAlignment w:val="center"/>
                    <w:rPr>
                      <w:rFonts w:hint="default" w:eastAsia="等线"/>
                      <w:color w:val="auto"/>
                      <w:kern w:val="0"/>
                      <w:sz w:val="21"/>
                      <w:szCs w:val="21"/>
                      <w:lang w:val="en-US" w:eastAsia="zh-CN"/>
                    </w:rPr>
                  </w:pPr>
                  <w:r>
                    <w:rPr>
                      <w:rFonts w:hint="eastAsia" w:eastAsia="等线"/>
                      <w:color w:val="auto"/>
                      <w:kern w:val="0"/>
                      <w:sz w:val="21"/>
                      <w:szCs w:val="21"/>
                      <w:lang w:val="en-US" w:eastAsia="zh-CN"/>
                    </w:rPr>
                    <w:t>69</w:t>
                  </w:r>
                </w:p>
              </w:tc>
              <w:tc>
                <w:tcPr>
                  <w:tcW w:w="241" w:type="pct"/>
                  <w:tcBorders>
                    <w:tl2br w:val="nil"/>
                    <w:tr2bl w:val="nil"/>
                  </w:tcBorders>
                  <w:vAlign w:val="center"/>
                </w:tcPr>
                <w:p w14:paraId="73ED83E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等线" w:cs="Times New Roman"/>
                      <w:i w:val="0"/>
                      <w:iCs w:val="0"/>
                      <w:color w:val="auto"/>
                      <w:kern w:val="0"/>
                      <w:sz w:val="22"/>
                      <w:szCs w:val="22"/>
                      <w:u w:val="none"/>
                      <w:lang w:val="en-US" w:eastAsia="zh-CN" w:bidi="ar"/>
                    </w:rPr>
                    <w:t>51.3</w:t>
                  </w:r>
                </w:p>
              </w:tc>
              <w:tc>
                <w:tcPr>
                  <w:tcW w:w="241" w:type="pct"/>
                  <w:tcBorders>
                    <w:tl2br w:val="nil"/>
                    <w:tr2bl w:val="nil"/>
                  </w:tcBorders>
                  <w:vAlign w:val="center"/>
                </w:tcPr>
                <w:p w14:paraId="2F7B8B3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等线" w:cs="Times New Roman"/>
                      <w:i w:val="0"/>
                      <w:iCs w:val="0"/>
                      <w:color w:val="auto"/>
                      <w:kern w:val="0"/>
                      <w:sz w:val="22"/>
                      <w:szCs w:val="22"/>
                      <w:u w:val="none"/>
                      <w:lang w:val="en-US" w:eastAsia="zh-CN" w:bidi="ar"/>
                    </w:rPr>
                    <w:t>51.4</w:t>
                  </w:r>
                </w:p>
              </w:tc>
              <w:tc>
                <w:tcPr>
                  <w:tcW w:w="206" w:type="pct"/>
                  <w:tcBorders>
                    <w:tl2br w:val="nil"/>
                    <w:tr2bl w:val="nil"/>
                  </w:tcBorders>
                  <w:vAlign w:val="center"/>
                </w:tcPr>
                <w:p w14:paraId="715950E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等线" w:cs="Times New Roman"/>
                      <w:i w:val="0"/>
                      <w:iCs w:val="0"/>
                      <w:color w:val="auto"/>
                      <w:kern w:val="0"/>
                      <w:sz w:val="22"/>
                      <w:szCs w:val="22"/>
                      <w:u w:val="none"/>
                      <w:lang w:val="en-US" w:eastAsia="zh-CN" w:bidi="ar"/>
                    </w:rPr>
                    <w:t>51.9</w:t>
                  </w:r>
                </w:p>
              </w:tc>
              <w:tc>
                <w:tcPr>
                  <w:tcW w:w="207" w:type="pct"/>
                  <w:tcBorders>
                    <w:tl2br w:val="nil"/>
                    <w:tr2bl w:val="nil"/>
                  </w:tcBorders>
                  <w:vAlign w:val="center"/>
                </w:tcPr>
                <w:p w14:paraId="17A1ED7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等线" w:cs="Times New Roman"/>
                      <w:i w:val="0"/>
                      <w:iCs w:val="0"/>
                      <w:color w:val="auto"/>
                      <w:kern w:val="0"/>
                      <w:sz w:val="22"/>
                      <w:szCs w:val="22"/>
                      <w:u w:val="none"/>
                      <w:lang w:val="en-US" w:eastAsia="zh-CN" w:bidi="ar"/>
                    </w:rPr>
                    <w:t>51.3</w:t>
                  </w:r>
                </w:p>
              </w:tc>
              <w:tc>
                <w:tcPr>
                  <w:tcW w:w="151" w:type="pct"/>
                  <w:vMerge w:val="continue"/>
                  <w:tcBorders>
                    <w:tl2br w:val="nil"/>
                    <w:tr2bl w:val="nil"/>
                  </w:tcBorders>
                  <w:vAlign w:val="center"/>
                </w:tcPr>
                <w:p w14:paraId="4F107D17">
                  <w:pPr>
                    <w:pStyle w:val="22"/>
                    <w:widowControl w:val="0"/>
                    <w:adjustRightInd w:val="0"/>
                    <w:snapToGrid w:val="0"/>
                    <w:spacing w:before="0" w:beforeAutospacing="0" w:after="0" w:afterAutospacing="0"/>
                    <w:jc w:val="center"/>
                    <w:textAlignment w:val="baseline"/>
                    <w:rPr>
                      <w:rFonts w:ascii="Times New Roman" w:hAnsi="Times New Roman"/>
                      <w:color w:val="auto"/>
                      <w:spacing w:val="-10"/>
                      <w:sz w:val="21"/>
                      <w:szCs w:val="21"/>
                    </w:rPr>
                  </w:pPr>
                </w:p>
              </w:tc>
              <w:tc>
                <w:tcPr>
                  <w:tcW w:w="148" w:type="pct"/>
                  <w:vMerge w:val="continue"/>
                  <w:tcBorders>
                    <w:tl2br w:val="nil"/>
                    <w:tr2bl w:val="nil"/>
                  </w:tcBorders>
                  <w:vAlign w:val="center"/>
                </w:tcPr>
                <w:p w14:paraId="31C4D4A7">
                  <w:pPr>
                    <w:pStyle w:val="22"/>
                    <w:widowControl w:val="0"/>
                    <w:adjustRightInd w:val="0"/>
                    <w:snapToGrid w:val="0"/>
                    <w:spacing w:before="0" w:beforeAutospacing="0" w:after="0" w:afterAutospacing="0"/>
                    <w:jc w:val="center"/>
                    <w:textAlignment w:val="baseline"/>
                    <w:rPr>
                      <w:rFonts w:ascii="Times New Roman" w:hAnsi="Times New Roman"/>
                      <w:color w:val="auto"/>
                      <w:spacing w:val="-10"/>
                      <w:sz w:val="21"/>
                      <w:szCs w:val="21"/>
                    </w:rPr>
                  </w:pPr>
                </w:p>
              </w:tc>
              <w:tc>
                <w:tcPr>
                  <w:tcW w:w="126" w:type="pct"/>
                  <w:vMerge w:val="continue"/>
                  <w:tcBorders>
                    <w:tl2br w:val="nil"/>
                    <w:tr2bl w:val="nil"/>
                  </w:tcBorders>
                  <w:vAlign w:val="center"/>
                </w:tcPr>
                <w:p w14:paraId="6CF5FAB6">
                  <w:pPr>
                    <w:pStyle w:val="22"/>
                    <w:widowControl w:val="0"/>
                    <w:adjustRightInd w:val="0"/>
                    <w:snapToGrid w:val="0"/>
                    <w:spacing w:before="0" w:beforeAutospacing="0" w:after="0" w:afterAutospacing="0"/>
                    <w:jc w:val="center"/>
                    <w:textAlignment w:val="baseline"/>
                    <w:rPr>
                      <w:rFonts w:ascii="Times New Roman" w:hAnsi="Times New Roman"/>
                      <w:color w:val="auto"/>
                      <w:spacing w:val="-10"/>
                      <w:sz w:val="21"/>
                      <w:szCs w:val="21"/>
                    </w:rPr>
                  </w:pPr>
                </w:p>
              </w:tc>
              <w:tc>
                <w:tcPr>
                  <w:tcW w:w="120" w:type="pct"/>
                  <w:vMerge w:val="continue"/>
                  <w:tcBorders>
                    <w:tl2br w:val="nil"/>
                    <w:tr2bl w:val="nil"/>
                  </w:tcBorders>
                  <w:vAlign w:val="center"/>
                </w:tcPr>
                <w:p w14:paraId="04DE82D3">
                  <w:pPr>
                    <w:pStyle w:val="22"/>
                    <w:widowControl w:val="0"/>
                    <w:adjustRightInd w:val="0"/>
                    <w:snapToGrid w:val="0"/>
                    <w:spacing w:before="0" w:beforeAutospacing="0" w:after="0" w:afterAutospacing="0"/>
                    <w:jc w:val="center"/>
                    <w:textAlignment w:val="baseline"/>
                    <w:rPr>
                      <w:rFonts w:ascii="Times New Roman" w:hAnsi="Times New Roman"/>
                      <w:color w:val="auto"/>
                      <w:spacing w:val="-10"/>
                      <w:sz w:val="21"/>
                      <w:szCs w:val="21"/>
                    </w:rPr>
                  </w:pPr>
                </w:p>
              </w:tc>
              <w:tc>
                <w:tcPr>
                  <w:tcW w:w="134" w:type="pct"/>
                  <w:vMerge w:val="continue"/>
                  <w:tcBorders>
                    <w:tl2br w:val="nil"/>
                    <w:tr2bl w:val="nil"/>
                  </w:tcBorders>
                  <w:vAlign w:val="center"/>
                </w:tcPr>
                <w:p w14:paraId="279531B5">
                  <w:pPr>
                    <w:pStyle w:val="22"/>
                    <w:widowControl w:val="0"/>
                    <w:adjustRightInd w:val="0"/>
                    <w:snapToGrid w:val="0"/>
                    <w:spacing w:before="0" w:beforeAutospacing="0" w:after="0" w:afterAutospacing="0"/>
                    <w:jc w:val="center"/>
                    <w:textAlignment w:val="baseline"/>
                    <w:rPr>
                      <w:rFonts w:ascii="Times New Roman" w:hAnsi="Times New Roman"/>
                      <w:color w:val="auto"/>
                      <w:spacing w:val="-10"/>
                      <w:sz w:val="21"/>
                      <w:szCs w:val="21"/>
                    </w:rPr>
                  </w:pPr>
                </w:p>
              </w:tc>
              <w:tc>
                <w:tcPr>
                  <w:tcW w:w="115" w:type="pct"/>
                  <w:vMerge w:val="continue"/>
                  <w:tcBorders>
                    <w:tl2br w:val="nil"/>
                    <w:tr2bl w:val="nil"/>
                  </w:tcBorders>
                  <w:vAlign w:val="center"/>
                </w:tcPr>
                <w:p w14:paraId="5CC20B45">
                  <w:pPr>
                    <w:pStyle w:val="22"/>
                    <w:keepNext w:val="0"/>
                    <w:keepLines w:val="0"/>
                    <w:pageBreakBefore w:val="0"/>
                    <w:widowControl w:val="0"/>
                    <w:kinsoku/>
                    <w:wordWrap/>
                    <w:overflowPunct/>
                    <w:topLinePunct w:val="0"/>
                    <w:autoSpaceDE/>
                    <w:autoSpaceDN/>
                    <w:bidi w:val="0"/>
                    <w:adjustRightInd w:val="0"/>
                    <w:snapToGrid w:val="0"/>
                    <w:spacing w:before="0" w:beforeAutospacing="0" w:after="0" w:afterAutospacing="0"/>
                    <w:jc w:val="center"/>
                    <w:textAlignment w:val="baseline"/>
                    <w:rPr>
                      <w:rFonts w:hint="default" w:ascii="Times New Roman" w:hAnsi="Times New Roman" w:cs="Times New Roman"/>
                      <w:color w:val="auto"/>
                      <w:spacing w:val="-10"/>
                      <w:sz w:val="21"/>
                      <w:szCs w:val="21"/>
                    </w:rPr>
                  </w:pPr>
                </w:p>
              </w:tc>
              <w:tc>
                <w:tcPr>
                  <w:tcW w:w="117" w:type="pct"/>
                  <w:vMerge w:val="continue"/>
                  <w:tcBorders>
                    <w:tl2br w:val="nil"/>
                    <w:tr2bl w:val="nil"/>
                  </w:tcBorders>
                  <w:vAlign w:val="center"/>
                </w:tcPr>
                <w:p w14:paraId="6C946A8D">
                  <w:pPr>
                    <w:pStyle w:val="22"/>
                    <w:keepNext w:val="0"/>
                    <w:keepLines w:val="0"/>
                    <w:pageBreakBefore w:val="0"/>
                    <w:widowControl w:val="0"/>
                    <w:kinsoku/>
                    <w:wordWrap/>
                    <w:overflowPunct/>
                    <w:topLinePunct w:val="0"/>
                    <w:autoSpaceDE/>
                    <w:autoSpaceDN/>
                    <w:bidi w:val="0"/>
                    <w:adjustRightInd w:val="0"/>
                    <w:snapToGrid w:val="0"/>
                    <w:spacing w:before="0" w:beforeAutospacing="0" w:after="0" w:afterAutospacing="0"/>
                    <w:jc w:val="center"/>
                    <w:textAlignment w:val="baseline"/>
                    <w:rPr>
                      <w:rFonts w:hint="default" w:ascii="Times New Roman" w:hAnsi="Times New Roman" w:cs="Times New Roman"/>
                      <w:color w:val="auto"/>
                      <w:spacing w:val="-10"/>
                      <w:sz w:val="21"/>
                      <w:szCs w:val="21"/>
                    </w:rPr>
                  </w:pPr>
                </w:p>
              </w:tc>
              <w:tc>
                <w:tcPr>
                  <w:tcW w:w="117" w:type="pct"/>
                  <w:vMerge w:val="continue"/>
                  <w:tcBorders>
                    <w:tl2br w:val="nil"/>
                    <w:tr2bl w:val="nil"/>
                  </w:tcBorders>
                  <w:vAlign w:val="center"/>
                </w:tcPr>
                <w:p w14:paraId="31E6EEB5">
                  <w:pPr>
                    <w:pStyle w:val="22"/>
                    <w:keepNext w:val="0"/>
                    <w:keepLines w:val="0"/>
                    <w:pageBreakBefore w:val="0"/>
                    <w:widowControl w:val="0"/>
                    <w:kinsoku/>
                    <w:wordWrap/>
                    <w:overflowPunct/>
                    <w:topLinePunct w:val="0"/>
                    <w:autoSpaceDE/>
                    <w:autoSpaceDN/>
                    <w:bidi w:val="0"/>
                    <w:adjustRightInd w:val="0"/>
                    <w:snapToGrid w:val="0"/>
                    <w:spacing w:before="0" w:beforeAutospacing="0" w:after="0" w:afterAutospacing="0"/>
                    <w:jc w:val="center"/>
                    <w:textAlignment w:val="baseline"/>
                    <w:rPr>
                      <w:rFonts w:hint="default" w:ascii="Times New Roman" w:hAnsi="Times New Roman" w:cs="Times New Roman"/>
                      <w:color w:val="auto"/>
                      <w:spacing w:val="-10"/>
                      <w:sz w:val="21"/>
                      <w:szCs w:val="21"/>
                    </w:rPr>
                  </w:pPr>
                </w:p>
              </w:tc>
              <w:tc>
                <w:tcPr>
                  <w:tcW w:w="118" w:type="pct"/>
                  <w:vMerge w:val="continue"/>
                  <w:tcBorders>
                    <w:tl2br w:val="nil"/>
                    <w:tr2bl w:val="nil"/>
                  </w:tcBorders>
                  <w:vAlign w:val="center"/>
                </w:tcPr>
                <w:p w14:paraId="0C68197C">
                  <w:pPr>
                    <w:pStyle w:val="22"/>
                    <w:keepNext w:val="0"/>
                    <w:keepLines w:val="0"/>
                    <w:pageBreakBefore w:val="0"/>
                    <w:widowControl w:val="0"/>
                    <w:kinsoku/>
                    <w:wordWrap/>
                    <w:overflowPunct/>
                    <w:topLinePunct w:val="0"/>
                    <w:autoSpaceDE/>
                    <w:autoSpaceDN/>
                    <w:bidi w:val="0"/>
                    <w:adjustRightInd w:val="0"/>
                    <w:snapToGrid w:val="0"/>
                    <w:spacing w:before="0" w:beforeAutospacing="0" w:after="0" w:afterAutospacing="0"/>
                    <w:jc w:val="center"/>
                    <w:textAlignment w:val="baseline"/>
                    <w:rPr>
                      <w:rFonts w:hint="default" w:ascii="Times New Roman" w:hAnsi="Times New Roman" w:cs="Times New Roman"/>
                      <w:color w:val="auto"/>
                      <w:spacing w:val="-10"/>
                      <w:sz w:val="21"/>
                      <w:szCs w:val="21"/>
                    </w:rPr>
                  </w:pPr>
                </w:p>
              </w:tc>
              <w:tc>
                <w:tcPr>
                  <w:tcW w:w="282" w:type="pct"/>
                  <w:vMerge w:val="continue"/>
                  <w:tcBorders>
                    <w:tl2br w:val="nil"/>
                    <w:tr2bl w:val="nil"/>
                  </w:tcBorders>
                  <w:vAlign w:val="center"/>
                </w:tcPr>
                <w:p w14:paraId="1B450B39">
                  <w:pPr>
                    <w:pStyle w:val="22"/>
                    <w:widowControl w:val="0"/>
                    <w:adjustRightInd w:val="0"/>
                    <w:snapToGrid w:val="0"/>
                    <w:spacing w:before="0" w:beforeAutospacing="0" w:after="0" w:afterAutospacing="0"/>
                    <w:jc w:val="center"/>
                    <w:textAlignment w:val="baseline"/>
                    <w:rPr>
                      <w:rFonts w:ascii="Times New Roman" w:hAnsi="Times New Roman"/>
                      <w:color w:val="auto"/>
                      <w:spacing w:val="-10"/>
                      <w:sz w:val="21"/>
                      <w:szCs w:val="21"/>
                    </w:rPr>
                  </w:pPr>
                </w:p>
              </w:tc>
            </w:tr>
            <w:tr w14:paraId="3E7D86A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41" w:type="pct"/>
                  <w:tcBorders>
                    <w:tl2br w:val="nil"/>
                    <w:tr2bl w:val="nil"/>
                  </w:tcBorders>
                  <w:vAlign w:val="center"/>
                </w:tcPr>
                <w:p w14:paraId="6E52FC21">
                  <w:pPr>
                    <w:pStyle w:val="22"/>
                    <w:widowControl w:val="0"/>
                    <w:numPr>
                      <w:ilvl w:val="0"/>
                      <w:numId w:val="11"/>
                    </w:numPr>
                    <w:adjustRightInd w:val="0"/>
                    <w:snapToGrid w:val="0"/>
                    <w:spacing w:before="0" w:beforeAutospacing="0" w:after="0" w:afterAutospacing="0"/>
                    <w:ind w:left="0" w:leftChars="0" w:firstLine="0" w:firstLineChars="0"/>
                    <w:jc w:val="center"/>
                    <w:textAlignment w:val="baseline"/>
                    <w:rPr>
                      <w:rFonts w:ascii="Times New Roman" w:hAnsi="Times New Roman"/>
                      <w:color w:val="auto"/>
                      <w:spacing w:val="-10"/>
                      <w:sz w:val="21"/>
                      <w:szCs w:val="21"/>
                    </w:rPr>
                  </w:pPr>
                </w:p>
              </w:tc>
              <w:tc>
                <w:tcPr>
                  <w:tcW w:w="162" w:type="pct"/>
                  <w:vMerge w:val="continue"/>
                  <w:tcBorders>
                    <w:tl2br w:val="nil"/>
                    <w:tr2bl w:val="nil"/>
                  </w:tcBorders>
                  <w:vAlign w:val="center"/>
                </w:tcPr>
                <w:p w14:paraId="13C7A0D8">
                  <w:pPr>
                    <w:pStyle w:val="22"/>
                    <w:widowControl w:val="0"/>
                    <w:adjustRightInd w:val="0"/>
                    <w:snapToGrid w:val="0"/>
                    <w:spacing w:before="0" w:beforeAutospacing="0" w:after="0" w:afterAutospacing="0"/>
                    <w:jc w:val="center"/>
                    <w:textAlignment w:val="baseline"/>
                    <w:rPr>
                      <w:rFonts w:ascii="Times New Roman" w:hAnsi="Times New Roman"/>
                      <w:color w:val="auto"/>
                      <w:spacing w:val="-10"/>
                      <w:sz w:val="21"/>
                      <w:szCs w:val="21"/>
                    </w:rPr>
                  </w:pPr>
                </w:p>
              </w:tc>
              <w:tc>
                <w:tcPr>
                  <w:tcW w:w="353" w:type="pct"/>
                  <w:tcBorders>
                    <w:tl2br w:val="nil"/>
                    <w:tr2bl w:val="nil"/>
                  </w:tcBorders>
                  <w:shd w:val="clear" w:color="auto" w:fill="auto"/>
                  <w:vAlign w:val="center"/>
                </w:tcPr>
                <w:p w14:paraId="426F9E19">
                  <w:pPr>
                    <w:keepNext w:val="0"/>
                    <w:keepLines w:val="0"/>
                    <w:pageBreakBefore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auto"/>
                      <w:kern w:val="0"/>
                      <w:sz w:val="21"/>
                      <w:szCs w:val="18"/>
                      <w:lang w:val="en-US" w:eastAsia="zh-CN" w:bidi="ar"/>
                    </w:rPr>
                  </w:pPr>
                  <w:r>
                    <w:rPr>
                      <w:rFonts w:hint="default" w:ascii="Times New Roman" w:hAnsi="Times New Roman" w:eastAsia="宋体" w:cs="Times New Roman"/>
                      <w:color w:val="auto"/>
                      <w:sz w:val="21"/>
                      <w:szCs w:val="21"/>
                    </w:rPr>
                    <w:t>立式车铣复合中心</w:t>
                  </w:r>
                </w:p>
              </w:tc>
              <w:tc>
                <w:tcPr>
                  <w:tcW w:w="190" w:type="pct"/>
                  <w:tcBorders>
                    <w:tl2br w:val="nil"/>
                    <w:tr2bl w:val="nil"/>
                  </w:tcBorders>
                  <w:shd w:val="clear" w:color="auto" w:fill="auto"/>
                  <w:vAlign w:val="center"/>
                </w:tcPr>
                <w:p w14:paraId="75869B2D">
                  <w:pPr>
                    <w:keepNext w:val="0"/>
                    <w:keepLines w:val="0"/>
                    <w:pageBreakBefore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0"/>
                      <w:sz w:val="21"/>
                      <w:szCs w:val="21"/>
                      <w:lang w:val="en-US" w:eastAsia="zh-CN" w:bidi="ar"/>
                    </w:rPr>
                    <w:t>/</w:t>
                  </w:r>
                </w:p>
              </w:tc>
              <w:tc>
                <w:tcPr>
                  <w:tcW w:w="302" w:type="pct"/>
                  <w:tcBorders>
                    <w:tl2br w:val="nil"/>
                    <w:tr2bl w:val="nil"/>
                  </w:tcBorders>
                  <w:shd w:val="clear" w:color="auto" w:fill="auto"/>
                  <w:vAlign w:val="center"/>
                </w:tcPr>
                <w:p w14:paraId="3562AC40">
                  <w:pPr>
                    <w:keepNext w:val="0"/>
                    <w:keepLines w:val="0"/>
                    <w:widowControl/>
                    <w:suppressLineNumbers w:val="0"/>
                    <w:jc w:val="center"/>
                    <w:textAlignment w:val="center"/>
                    <w:rPr>
                      <w:rFonts w:hint="default" w:ascii="Times New Roman" w:hAnsi="Times New Roman" w:eastAsia="等线" w:cs="Times New Roman"/>
                      <w:i w:val="0"/>
                      <w:iCs w:val="0"/>
                      <w:color w:val="auto"/>
                      <w:kern w:val="0"/>
                      <w:sz w:val="21"/>
                      <w:szCs w:val="21"/>
                      <w:u w:val="none"/>
                      <w:lang w:val="en-US" w:eastAsia="zh-CN" w:bidi="ar"/>
                    </w:rPr>
                  </w:pPr>
                  <w:r>
                    <w:rPr>
                      <w:rFonts w:hint="default" w:ascii="Times New Roman" w:hAnsi="Times New Roman" w:eastAsia="等线" w:cs="Times New Roman"/>
                      <w:i w:val="0"/>
                      <w:iCs w:val="0"/>
                      <w:color w:val="auto"/>
                      <w:kern w:val="0"/>
                      <w:sz w:val="21"/>
                      <w:szCs w:val="21"/>
                      <w:u w:val="none"/>
                      <w:lang w:val="en-US" w:eastAsia="zh-CN" w:bidi="ar"/>
                    </w:rPr>
                    <w:t>90</w:t>
                  </w:r>
                </w:p>
              </w:tc>
              <w:tc>
                <w:tcPr>
                  <w:tcW w:w="169" w:type="pct"/>
                  <w:vMerge w:val="continue"/>
                  <w:tcBorders>
                    <w:tl2br w:val="nil"/>
                    <w:tr2bl w:val="nil"/>
                  </w:tcBorders>
                  <w:vAlign w:val="center"/>
                </w:tcPr>
                <w:p w14:paraId="1B576537">
                  <w:pPr>
                    <w:pStyle w:val="22"/>
                    <w:widowControl w:val="0"/>
                    <w:adjustRightInd w:val="0"/>
                    <w:snapToGrid w:val="0"/>
                    <w:spacing w:before="0" w:beforeAutospacing="0" w:after="0" w:afterAutospacing="0"/>
                    <w:jc w:val="center"/>
                    <w:textAlignment w:val="baseline"/>
                    <w:rPr>
                      <w:rFonts w:ascii="Times New Roman" w:hAnsi="Times New Roman"/>
                      <w:color w:val="auto"/>
                      <w:spacing w:val="-10"/>
                      <w:sz w:val="21"/>
                      <w:szCs w:val="21"/>
                    </w:rPr>
                  </w:pPr>
                </w:p>
              </w:tc>
              <w:tc>
                <w:tcPr>
                  <w:tcW w:w="177" w:type="pct"/>
                  <w:tcBorders>
                    <w:tl2br w:val="nil"/>
                    <w:tr2bl w:val="nil"/>
                  </w:tcBorders>
                  <w:shd w:val="clear" w:color="auto" w:fill="auto"/>
                  <w:vAlign w:val="center"/>
                </w:tcPr>
                <w:p w14:paraId="7108786D">
                  <w:pPr>
                    <w:widowControl/>
                    <w:jc w:val="center"/>
                    <w:textAlignment w:val="center"/>
                    <w:rPr>
                      <w:rFonts w:hint="default" w:eastAsia="等线" w:cs="Times New Roman"/>
                      <w:color w:val="auto"/>
                      <w:kern w:val="0"/>
                      <w:sz w:val="21"/>
                      <w:szCs w:val="21"/>
                      <w:lang w:val="en-US" w:eastAsia="zh-CN" w:bidi="ar"/>
                    </w:rPr>
                  </w:pPr>
                  <w:r>
                    <w:rPr>
                      <w:rFonts w:hint="eastAsia" w:eastAsia="等线" w:cs="Times New Roman"/>
                      <w:color w:val="auto"/>
                      <w:kern w:val="0"/>
                      <w:sz w:val="21"/>
                      <w:szCs w:val="21"/>
                      <w:lang w:val="en-US" w:eastAsia="zh-CN" w:bidi="ar"/>
                    </w:rPr>
                    <w:t>1</w:t>
                  </w:r>
                </w:p>
              </w:tc>
              <w:tc>
                <w:tcPr>
                  <w:tcW w:w="201" w:type="pct"/>
                  <w:tcBorders>
                    <w:tl2br w:val="nil"/>
                    <w:tr2bl w:val="nil"/>
                  </w:tcBorders>
                  <w:shd w:val="clear" w:color="auto" w:fill="auto"/>
                  <w:vAlign w:val="center"/>
                </w:tcPr>
                <w:p w14:paraId="29B439E8">
                  <w:pPr>
                    <w:widowControl/>
                    <w:jc w:val="center"/>
                    <w:textAlignment w:val="center"/>
                    <w:rPr>
                      <w:rFonts w:hint="default" w:eastAsia="等线" w:cs="Times New Roman"/>
                      <w:color w:val="auto"/>
                      <w:kern w:val="0"/>
                      <w:sz w:val="21"/>
                      <w:szCs w:val="21"/>
                      <w:lang w:val="en-US" w:eastAsia="zh-CN" w:bidi="ar"/>
                    </w:rPr>
                  </w:pPr>
                  <w:r>
                    <w:rPr>
                      <w:rFonts w:hint="eastAsia" w:eastAsia="等线" w:cs="Times New Roman"/>
                      <w:color w:val="auto"/>
                      <w:kern w:val="0"/>
                      <w:sz w:val="21"/>
                      <w:szCs w:val="21"/>
                      <w:lang w:val="en-US" w:eastAsia="zh-CN" w:bidi="ar"/>
                    </w:rPr>
                    <w:t>110</w:t>
                  </w:r>
                </w:p>
              </w:tc>
              <w:tc>
                <w:tcPr>
                  <w:tcW w:w="116" w:type="pct"/>
                  <w:tcBorders>
                    <w:tl2br w:val="nil"/>
                    <w:tr2bl w:val="nil"/>
                  </w:tcBorders>
                  <w:vAlign w:val="center"/>
                </w:tcPr>
                <w:p w14:paraId="4FA2E1FE">
                  <w:pPr>
                    <w:widowControl/>
                    <w:jc w:val="center"/>
                    <w:textAlignment w:val="center"/>
                    <w:rPr>
                      <w:rFonts w:hint="default" w:eastAsia="宋体"/>
                      <w:color w:val="auto"/>
                      <w:sz w:val="21"/>
                      <w:szCs w:val="21"/>
                      <w:lang w:val="en-US" w:eastAsia="zh-CN"/>
                    </w:rPr>
                  </w:pPr>
                  <w:r>
                    <w:rPr>
                      <w:rFonts w:hint="eastAsia"/>
                      <w:color w:val="auto"/>
                      <w:sz w:val="21"/>
                      <w:szCs w:val="21"/>
                      <w:lang w:val="en-US" w:eastAsia="zh-CN"/>
                    </w:rPr>
                    <w:t>1</w:t>
                  </w:r>
                </w:p>
              </w:tc>
              <w:tc>
                <w:tcPr>
                  <w:tcW w:w="197" w:type="pct"/>
                  <w:tcBorders>
                    <w:tl2br w:val="nil"/>
                    <w:tr2bl w:val="nil"/>
                  </w:tcBorders>
                  <w:vAlign w:val="center"/>
                </w:tcPr>
                <w:p w14:paraId="37B8BEBB">
                  <w:pPr>
                    <w:widowControl/>
                    <w:jc w:val="center"/>
                    <w:textAlignment w:val="center"/>
                    <w:rPr>
                      <w:rFonts w:hint="default" w:eastAsia="等线"/>
                      <w:color w:val="auto"/>
                      <w:kern w:val="0"/>
                      <w:sz w:val="21"/>
                      <w:szCs w:val="21"/>
                      <w:lang w:val="en-US" w:eastAsia="zh-CN"/>
                    </w:rPr>
                  </w:pPr>
                  <w:r>
                    <w:rPr>
                      <w:rFonts w:hint="eastAsia" w:eastAsia="等线"/>
                      <w:color w:val="auto"/>
                      <w:kern w:val="0"/>
                      <w:sz w:val="21"/>
                      <w:szCs w:val="21"/>
                      <w:lang w:val="en-US" w:eastAsia="zh-CN"/>
                    </w:rPr>
                    <w:t>33</w:t>
                  </w:r>
                </w:p>
              </w:tc>
              <w:tc>
                <w:tcPr>
                  <w:tcW w:w="237" w:type="pct"/>
                  <w:tcBorders>
                    <w:tl2br w:val="nil"/>
                    <w:tr2bl w:val="nil"/>
                  </w:tcBorders>
                  <w:vAlign w:val="center"/>
                </w:tcPr>
                <w:p w14:paraId="08BD7C8D">
                  <w:pPr>
                    <w:keepNext w:val="0"/>
                    <w:keepLines w:val="0"/>
                    <w:widowControl/>
                    <w:suppressLineNumbers w:val="0"/>
                    <w:jc w:val="center"/>
                    <w:textAlignment w:val="center"/>
                    <w:rPr>
                      <w:rFonts w:hint="default" w:eastAsia="等线"/>
                      <w:color w:val="auto"/>
                      <w:kern w:val="0"/>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106</w:t>
                  </w:r>
                </w:p>
              </w:tc>
              <w:tc>
                <w:tcPr>
                  <w:tcW w:w="181" w:type="pct"/>
                  <w:tcBorders>
                    <w:tl2br w:val="nil"/>
                    <w:tr2bl w:val="nil"/>
                  </w:tcBorders>
                  <w:vAlign w:val="center"/>
                </w:tcPr>
                <w:p w14:paraId="5AD51AFD">
                  <w:pPr>
                    <w:keepNext w:val="0"/>
                    <w:keepLines w:val="0"/>
                    <w:widowControl/>
                    <w:suppressLineNumbers w:val="0"/>
                    <w:jc w:val="center"/>
                    <w:textAlignment w:val="center"/>
                    <w:rPr>
                      <w:rFonts w:hint="default" w:eastAsia="等线"/>
                      <w:color w:val="auto"/>
                      <w:kern w:val="0"/>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33</w:t>
                  </w:r>
                </w:p>
              </w:tc>
              <w:tc>
                <w:tcPr>
                  <w:tcW w:w="237" w:type="pct"/>
                  <w:tcBorders>
                    <w:tl2br w:val="nil"/>
                    <w:tr2bl w:val="nil"/>
                  </w:tcBorders>
                  <w:vAlign w:val="center"/>
                </w:tcPr>
                <w:p w14:paraId="4DBD6D58">
                  <w:pPr>
                    <w:widowControl/>
                    <w:jc w:val="center"/>
                    <w:textAlignment w:val="center"/>
                    <w:rPr>
                      <w:rFonts w:hint="default" w:eastAsia="等线"/>
                      <w:color w:val="auto"/>
                      <w:kern w:val="0"/>
                      <w:sz w:val="21"/>
                      <w:szCs w:val="21"/>
                      <w:lang w:val="en-US" w:eastAsia="zh-CN"/>
                    </w:rPr>
                  </w:pPr>
                  <w:r>
                    <w:rPr>
                      <w:rFonts w:hint="eastAsia" w:eastAsia="等线"/>
                      <w:color w:val="auto"/>
                      <w:kern w:val="0"/>
                      <w:sz w:val="21"/>
                      <w:szCs w:val="21"/>
                      <w:lang w:val="en-US" w:eastAsia="zh-CN"/>
                    </w:rPr>
                    <w:t>3</w:t>
                  </w:r>
                </w:p>
              </w:tc>
              <w:tc>
                <w:tcPr>
                  <w:tcW w:w="241" w:type="pct"/>
                  <w:tcBorders>
                    <w:tl2br w:val="nil"/>
                    <w:tr2bl w:val="nil"/>
                  </w:tcBorders>
                  <w:vAlign w:val="center"/>
                </w:tcPr>
                <w:p w14:paraId="02AD7AC3">
                  <w:pPr>
                    <w:keepNext w:val="0"/>
                    <w:keepLines w:val="0"/>
                    <w:widowControl/>
                    <w:suppressLineNumbers w:val="0"/>
                    <w:jc w:val="center"/>
                    <w:textAlignment w:val="center"/>
                    <w:rPr>
                      <w:rFonts w:hint="default" w:ascii="Times New Roman" w:hAnsi="Times New Roman" w:eastAsia="等线" w:cs="Times New Roman"/>
                      <w:i w:val="0"/>
                      <w:iCs w:val="0"/>
                      <w:color w:val="auto"/>
                      <w:kern w:val="0"/>
                      <w:sz w:val="22"/>
                      <w:szCs w:val="22"/>
                      <w:u w:val="none"/>
                      <w:lang w:val="en-US" w:eastAsia="zh-CN" w:bidi="ar"/>
                    </w:rPr>
                  </w:pPr>
                  <w:r>
                    <w:rPr>
                      <w:rFonts w:hint="default" w:ascii="Times New Roman" w:hAnsi="Times New Roman" w:eastAsia="等线" w:cs="Times New Roman"/>
                      <w:i w:val="0"/>
                      <w:iCs w:val="0"/>
                      <w:color w:val="auto"/>
                      <w:kern w:val="0"/>
                      <w:sz w:val="22"/>
                      <w:szCs w:val="22"/>
                      <w:u w:val="none"/>
                      <w:lang w:val="en-US" w:eastAsia="zh-CN" w:bidi="ar"/>
                    </w:rPr>
                    <w:t>61.4</w:t>
                  </w:r>
                </w:p>
              </w:tc>
              <w:tc>
                <w:tcPr>
                  <w:tcW w:w="241" w:type="pct"/>
                  <w:tcBorders>
                    <w:tl2br w:val="nil"/>
                    <w:tr2bl w:val="nil"/>
                  </w:tcBorders>
                  <w:vAlign w:val="center"/>
                </w:tcPr>
                <w:p w14:paraId="7A0A5168">
                  <w:pPr>
                    <w:keepNext w:val="0"/>
                    <w:keepLines w:val="0"/>
                    <w:widowControl/>
                    <w:suppressLineNumbers w:val="0"/>
                    <w:jc w:val="center"/>
                    <w:textAlignment w:val="center"/>
                    <w:rPr>
                      <w:rFonts w:hint="default" w:ascii="Times New Roman" w:hAnsi="Times New Roman" w:eastAsia="等线" w:cs="Times New Roman"/>
                      <w:i w:val="0"/>
                      <w:iCs w:val="0"/>
                      <w:color w:val="auto"/>
                      <w:kern w:val="0"/>
                      <w:sz w:val="22"/>
                      <w:szCs w:val="22"/>
                      <w:u w:val="none"/>
                      <w:lang w:val="en-US" w:eastAsia="zh-CN" w:bidi="ar"/>
                    </w:rPr>
                  </w:pPr>
                  <w:r>
                    <w:rPr>
                      <w:rFonts w:hint="default" w:ascii="Times New Roman" w:hAnsi="Times New Roman" w:eastAsia="等线" w:cs="Times New Roman"/>
                      <w:i w:val="0"/>
                      <w:iCs w:val="0"/>
                      <w:color w:val="auto"/>
                      <w:kern w:val="0"/>
                      <w:sz w:val="22"/>
                      <w:szCs w:val="22"/>
                      <w:u w:val="none"/>
                      <w:lang w:val="en-US" w:eastAsia="zh-CN" w:bidi="ar"/>
                    </w:rPr>
                    <w:t>61.3</w:t>
                  </w:r>
                </w:p>
              </w:tc>
              <w:tc>
                <w:tcPr>
                  <w:tcW w:w="206" w:type="pct"/>
                  <w:tcBorders>
                    <w:tl2br w:val="nil"/>
                    <w:tr2bl w:val="nil"/>
                  </w:tcBorders>
                  <w:vAlign w:val="center"/>
                </w:tcPr>
                <w:p w14:paraId="09724447">
                  <w:pPr>
                    <w:keepNext w:val="0"/>
                    <w:keepLines w:val="0"/>
                    <w:widowControl/>
                    <w:suppressLineNumbers w:val="0"/>
                    <w:jc w:val="center"/>
                    <w:textAlignment w:val="center"/>
                    <w:rPr>
                      <w:rFonts w:hint="default" w:ascii="Times New Roman" w:hAnsi="Times New Roman" w:eastAsia="等线" w:cs="Times New Roman"/>
                      <w:i w:val="0"/>
                      <w:iCs w:val="0"/>
                      <w:color w:val="auto"/>
                      <w:kern w:val="0"/>
                      <w:sz w:val="22"/>
                      <w:szCs w:val="22"/>
                      <w:u w:val="none"/>
                      <w:lang w:val="en-US" w:eastAsia="zh-CN" w:bidi="ar"/>
                    </w:rPr>
                  </w:pPr>
                  <w:r>
                    <w:rPr>
                      <w:rFonts w:hint="default" w:ascii="Times New Roman" w:hAnsi="Times New Roman" w:eastAsia="等线" w:cs="Times New Roman"/>
                      <w:i w:val="0"/>
                      <w:iCs w:val="0"/>
                      <w:color w:val="auto"/>
                      <w:kern w:val="0"/>
                      <w:sz w:val="22"/>
                      <w:szCs w:val="22"/>
                      <w:u w:val="none"/>
                      <w:lang w:val="en-US" w:eastAsia="zh-CN" w:bidi="ar"/>
                    </w:rPr>
                    <w:t>61.4</w:t>
                  </w:r>
                </w:p>
              </w:tc>
              <w:tc>
                <w:tcPr>
                  <w:tcW w:w="207" w:type="pct"/>
                  <w:tcBorders>
                    <w:tl2br w:val="nil"/>
                    <w:tr2bl w:val="nil"/>
                  </w:tcBorders>
                  <w:vAlign w:val="center"/>
                </w:tcPr>
                <w:p w14:paraId="0191A391">
                  <w:pPr>
                    <w:keepNext w:val="0"/>
                    <w:keepLines w:val="0"/>
                    <w:widowControl/>
                    <w:suppressLineNumbers w:val="0"/>
                    <w:jc w:val="center"/>
                    <w:textAlignment w:val="center"/>
                    <w:rPr>
                      <w:rFonts w:hint="default" w:ascii="Times New Roman" w:hAnsi="Times New Roman" w:eastAsia="等线" w:cs="Times New Roman"/>
                      <w:i w:val="0"/>
                      <w:iCs w:val="0"/>
                      <w:color w:val="auto"/>
                      <w:kern w:val="0"/>
                      <w:sz w:val="22"/>
                      <w:szCs w:val="22"/>
                      <w:u w:val="none"/>
                      <w:lang w:val="en-US" w:eastAsia="zh-CN" w:bidi="ar"/>
                    </w:rPr>
                  </w:pPr>
                  <w:r>
                    <w:rPr>
                      <w:rFonts w:hint="default" w:ascii="Times New Roman" w:hAnsi="Times New Roman" w:eastAsia="等线" w:cs="Times New Roman"/>
                      <w:i w:val="0"/>
                      <w:iCs w:val="0"/>
                      <w:color w:val="auto"/>
                      <w:kern w:val="0"/>
                      <w:sz w:val="22"/>
                      <w:szCs w:val="22"/>
                      <w:u w:val="none"/>
                      <w:lang w:val="en-US" w:eastAsia="zh-CN" w:bidi="ar"/>
                    </w:rPr>
                    <w:t>68.4</w:t>
                  </w:r>
                </w:p>
              </w:tc>
              <w:tc>
                <w:tcPr>
                  <w:tcW w:w="151" w:type="pct"/>
                  <w:vMerge w:val="continue"/>
                  <w:tcBorders>
                    <w:tl2br w:val="nil"/>
                    <w:tr2bl w:val="nil"/>
                  </w:tcBorders>
                  <w:vAlign w:val="center"/>
                </w:tcPr>
                <w:p w14:paraId="6515F117">
                  <w:pPr>
                    <w:pStyle w:val="22"/>
                    <w:widowControl w:val="0"/>
                    <w:adjustRightInd w:val="0"/>
                    <w:snapToGrid w:val="0"/>
                    <w:spacing w:before="0" w:beforeAutospacing="0" w:after="0" w:afterAutospacing="0"/>
                    <w:jc w:val="center"/>
                    <w:textAlignment w:val="baseline"/>
                    <w:rPr>
                      <w:rFonts w:ascii="Times New Roman" w:hAnsi="Times New Roman"/>
                      <w:color w:val="auto"/>
                      <w:spacing w:val="-10"/>
                      <w:sz w:val="21"/>
                      <w:szCs w:val="21"/>
                    </w:rPr>
                  </w:pPr>
                </w:p>
              </w:tc>
              <w:tc>
                <w:tcPr>
                  <w:tcW w:w="148" w:type="pct"/>
                  <w:vMerge w:val="continue"/>
                  <w:tcBorders>
                    <w:tl2br w:val="nil"/>
                    <w:tr2bl w:val="nil"/>
                  </w:tcBorders>
                  <w:vAlign w:val="center"/>
                </w:tcPr>
                <w:p w14:paraId="34506A7C">
                  <w:pPr>
                    <w:pStyle w:val="22"/>
                    <w:widowControl w:val="0"/>
                    <w:adjustRightInd w:val="0"/>
                    <w:snapToGrid w:val="0"/>
                    <w:spacing w:before="0" w:beforeAutospacing="0" w:after="0" w:afterAutospacing="0"/>
                    <w:jc w:val="center"/>
                    <w:textAlignment w:val="baseline"/>
                    <w:rPr>
                      <w:rFonts w:ascii="Times New Roman" w:hAnsi="Times New Roman"/>
                      <w:color w:val="auto"/>
                      <w:spacing w:val="-10"/>
                      <w:sz w:val="21"/>
                      <w:szCs w:val="21"/>
                    </w:rPr>
                  </w:pPr>
                </w:p>
              </w:tc>
              <w:tc>
                <w:tcPr>
                  <w:tcW w:w="126" w:type="pct"/>
                  <w:vMerge w:val="continue"/>
                  <w:tcBorders>
                    <w:tl2br w:val="nil"/>
                    <w:tr2bl w:val="nil"/>
                  </w:tcBorders>
                  <w:vAlign w:val="center"/>
                </w:tcPr>
                <w:p w14:paraId="6E438690">
                  <w:pPr>
                    <w:pStyle w:val="22"/>
                    <w:widowControl w:val="0"/>
                    <w:adjustRightInd w:val="0"/>
                    <w:snapToGrid w:val="0"/>
                    <w:spacing w:before="0" w:beforeAutospacing="0" w:after="0" w:afterAutospacing="0"/>
                    <w:jc w:val="center"/>
                    <w:textAlignment w:val="baseline"/>
                    <w:rPr>
                      <w:rFonts w:ascii="Times New Roman" w:hAnsi="Times New Roman"/>
                      <w:color w:val="auto"/>
                      <w:spacing w:val="-10"/>
                      <w:sz w:val="21"/>
                      <w:szCs w:val="21"/>
                    </w:rPr>
                  </w:pPr>
                </w:p>
              </w:tc>
              <w:tc>
                <w:tcPr>
                  <w:tcW w:w="120" w:type="pct"/>
                  <w:vMerge w:val="continue"/>
                  <w:tcBorders>
                    <w:tl2br w:val="nil"/>
                    <w:tr2bl w:val="nil"/>
                  </w:tcBorders>
                  <w:vAlign w:val="center"/>
                </w:tcPr>
                <w:p w14:paraId="73852FA7">
                  <w:pPr>
                    <w:pStyle w:val="22"/>
                    <w:widowControl w:val="0"/>
                    <w:adjustRightInd w:val="0"/>
                    <w:snapToGrid w:val="0"/>
                    <w:spacing w:before="0" w:beforeAutospacing="0" w:after="0" w:afterAutospacing="0"/>
                    <w:jc w:val="center"/>
                    <w:textAlignment w:val="baseline"/>
                    <w:rPr>
                      <w:rFonts w:ascii="Times New Roman" w:hAnsi="Times New Roman"/>
                      <w:color w:val="auto"/>
                      <w:spacing w:val="-10"/>
                      <w:sz w:val="21"/>
                      <w:szCs w:val="21"/>
                    </w:rPr>
                  </w:pPr>
                </w:p>
              </w:tc>
              <w:tc>
                <w:tcPr>
                  <w:tcW w:w="134" w:type="pct"/>
                  <w:vMerge w:val="continue"/>
                  <w:tcBorders>
                    <w:tl2br w:val="nil"/>
                    <w:tr2bl w:val="nil"/>
                  </w:tcBorders>
                  <w:vAlign w:val="center"/>
                </w:tcPr>
                <w:p w14:paraId="015FA2B5">
                  <w:pPr>
                    <w:pStyle w:val="22"/>
                    <w:widowControl w:val="0"/>
                    <w:adjustRightInd w:val="0"/>
                    <w:snapToGrid w:val="0"/>
                    <w:spacing w:before="0" w:beforeAutospacing="0" w:after="0" w:afterAutospacing="0"/>
                    <w:jc w:val="center"/>
                    <w:textAlignment w:val="baseline"/>
                    <w:rPr>
                      <w:rFonts w:ascii="Times New Roman" w:hAnsi="Times New Roman"/>
                      <w:color w:val="auto"/>
                      <w:spacing w:val="-10"/>
                      <w:sz w:val="21"/>
                      <w:szCs w:val="21"/>
                    </w:rPr>
                  </w:pPr>
                </w:p>
              </w:tc>
              <w:tc>
                <w:tcPr>
                  <w:tcW w:w="115" w:type="pct"/>
                  <w:vMerge w:val="continue"/>
                  <w:tcBorders>
                    <w:tl2br w:val="nil"/>
                    <w:tr2bl w:val="nil"/>
                  </w:tcBorders>
                  <w:vAlign w:val="center"/>
                </w:tcPr>
                <w:p w14:paraId="25C647D0">
                  <w:pPr>
                    <w:pStyle w:val="22"/>
                    <w:keepNext w:val="0"/>
                    <w:keepLines w:val="0"/>
                    <w:pageBreakBefore w:val="0"/>
                    <w:widowControl w:val="0"/>
                    <w:kinsoku/>
                    <w:wordWrap/>
                    <w:overflowPunct/>
                    <w:topLinePunct w:val="0"/>
                    <w:autoSpaceDE/>
                    <w:autoSpaceDN/>
                    <w:bidi w:val="0"/>
                    <w:adjustRightInd w:val="0"/>
                    <w:snapToGrid w:val="0"/>
                    <w:spacing w:before="0" w:beforeAutospacing="0" w:after="0" w:afterAutospacing="0"/>
                    <w:jc w:val="center"/>
                    <w:textAlignment w:val="baseline"/>
                    <w:rPr>
                      <w:rFonts w:hint="default" w:ascii="Times New Roman" w:hAnsi="Times New Roman" w:cs="Times New Roman"/>
                      <w:color w:val="auto"/>
                      <w:spacing w:val="-10"/>
                      <w:sz w:val="21"/>
                      <w:szCs w:val="21"/>
                    </w:rPr>
                  </w:pPr>
                </w:p>
              </w:tc>
              <w:tc>
                <w:tcPr>
                  <w:tcW w:w="117" w:type="pct"/>
                  <w:vMerge w:val="continue"/>
                  <w:tcBorders>
                    <w:tl2br w:val="nil"/>
                    <w:tr2bl w:val="nil"/>
                  </w:tcBorders>
                  <w:vAlign w:val="center"/>
                </w:tcPr>
                <w:p w14:paraId="1C28E146">
                  <w:pPr>
                    <w:pStyle w:val="22"/>
                    <w:keepNext w:val="0"/>
                    <w:keepLines w:val="0"/>
                    <w:pageBreakBefore w:val="0"/>
                    <w:widowControl w:val="0"/>
                    <w:kinsoku/>
                    <w:wordWrap/>
                    <w:overflowPunct/>
                    <w:topLinePunct w:val="0"/>
                    <w:autoSpaceDE/>
                    <w:autoSpaceDN/>
                    <w:bidi w:val="0"/>
                    <w:adjustRightInd w:val="0"/>
                    <w:snapToGrid w:val="0"/>
                    <w:spacing w:before="0" w:beforeAutospacing="0" w:after="0" w:afterAutospacing="0"/>
                    <w:jc w:val="center"/>
                    <w:textAlignment w:val="baseline"/>
                    <w:rPr>
                      <w:rFonts w:hint="default" w:ascii="Times New Roman" w:hAnsi="Times New Roman" w:cs="Times New Roman"/>
                      <w:color w:val="auto"/>
                      <w:spacing w:val="-10"/>
                      <w:sz w:val="21"/>
                      <w:szCs w:val="21"/>
                    </w:rPr>
                  </w:pPr>
                </w:p>
              </w:tc>
              <w:tc>
                <w:tcPr>
                  <w:tcW w:w="117" w:type="pct"/>
                  <w:vMerge w:val="continue"/>
                  <w:tcBorders>
                    <w:tl2br w:val="nil"/>
                    <w:tr2bl w:val="nil"/>
                  </w:tcBorders>
                  <w:vAlign w:val="center"/>
                </w:tcPr>
                <w:p w14:paraId="349132D5">
                  <w:pPr>
                    <w:pStyle w:val="22"/>
                    <w:keepNext w:val="0"/>
                    <w:keepLines w:val="0"/>
                    <w:pageBreakBefore w:val="0"/>
                    <w:widowControl w:val="0"/>
                    <w:kinsoku/>
                    <w:wordWrap/>
                    <w:overflowPunct/>
                    <w:topLinePunct w:val="0"/>
                    <w:autoSpaceDE/>
                    <w:autoSpaceDN/>
                    <w:bidi w:val="0"/>
                    <w:adjustRightInd w:val="0"/>
                    <w:snapToGrid w:val="0"/>
                    <w:spacing w:before="0" w:beforeAutospacing="0" w:after="0" w:afterAutospacing="0"/>
                    <w:jc w:val="center"/>
                    <w:textAlignment w:val="baseline"/>
                    <w:rPr>
                      <w:rFonts w:hint="default" w:ascii="Times New Roman" w:hAnsi="Times New Roman" w:cs="Times New Roman"/>
                      <w:color w:val="auto"/>
                      <w:spacing w:val="-10"/>
                      <w:sz w:val="21"/>
                      <w:szCs w:val="21"/>
                    </w:rPr>
                  </w:pPr>
                </w:p>
              </w:tc>
              <w:tc>
                <w:tcPr>
                  <w:tcW w:w="118" w:type="pct"/>
                  <w:vMerge w:val="continue"/>
                  <w:tcBorders>
                    <w:tl2br w:val="nil"/>
                    <w:tr2bl w:val="nil"/>
                  </w:tcBorders>
                  <w:vAlign w:val="center"/>
                </w:tcPr>
                <w:p w14:paraId="05B93EDA">
                  <w:pPr>
                    <w:pStyle w:val="22"/>
                    <w:keepNext w:val="0"/>
                    <w:keepLines w:val="0"/>
                    <w:pageBreakBefore w:val="0"/>
                    <w:widowControl w:val="0"/>
                    <w:kinsoku/>
                    <w:wordWrap/>
                    <w:overflowPunct/>
                    <w:topLinePunct w:val="0"/>
                    <w:autoSpaceDE/>
                    <w:autoSpaceDN/>
                    <w:bidi w:val="0"/>
                    <w:adjustRightInd w:val="0"/>
                    <w:snapToGrid w:val="0"/>
                    <w:spacing w:before="0" w:beforeAutospacing="0" w:after="0" w:afterAutospacing="0"/>
                    <w:jc w:val="center"/>
                    <w:textAlignment w:val="baseline"/>
                    <w:rPr>
                      <w:rFonts w:hint="default" w:ascii="Times New Roman" w:hAnsi="Times New Roman" w:cs="Times New Roman"/>
                      <w:color w:val="auto"/>
                      <w:spacing w:val="-10"/>
                      <w:sz w:val="21"/>
                      <w:szCs w:val="21"/>
                    </w:rPr>
                  </w:pPr>
                </w:p>
              </w:tc>
              <w:tc>
                <w:tcPr>
                  <w:tcW w:w="282" w:type="pct"/>
                  <w:vMerge w:val="continue"/>
                  <w:tcBorders>
                    <w:tl2br w:val="nil"/>
                    <w:tr2bl w:val="nil"/>
                  </w:tcBorders>
                  <w:vAlign w:val="center"/>
                </w:tcPr>
                <w:p w14:paraId="36E27786">
                  <w:pPr>
                    <w:pStyle w:val="22"/>
                    <w:widowControl w:val="0"/>
                    <w:adjustRightInd w:val="0"/>
                    <w:snapToGrid w:val="0"/>
                    <w:spacing w:before="0" w:beforeAutospacing="0" w:after="0" w:afterAutospacing="0"/>
                    <w:jc w:val="center"/>
                    <w:textAlignment w:val="baseline"/>
                    <w:rPr>
                      <w:rFonts w:ascii="Times New Roman" w:hAnsi="Times New Roman"/>
                      <w:color w:val="auto"/>
                      <w:spacing w:val="-10"/>
                      <w:sz w:val="21"/>
                      <w:szCs w:val="21"/>
                    </w:rPr>
                  </w:pPr>
                </w:p>
              </w:tc>
            </w:tr>
            <w:tr w14:paraId="7D13EAA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41" w:type="pct"/>
                  <w:tcBorders>
                    <w:tl2br w:val="nil"/>
                    <w:tr2bl w:val="nil"/>
                  </w:tcBorders>
                  <w:vAlign w:val="center"/>
                </w:tcPr>
                <w:p w14:paraId="551496F7">
                  <w:pPr>
                    <w:pStyle w:val="22"/>
                    <w:widowControl w:val="0"/>
                    <w:numPr>
                      <w:ilvl w:val="0"/>
                      <w:numId w:val="11"/>
                    </w:numPr>
                    <w:adjustRightInd w:val="0"/>
                    <w:snapToGrid w:val="0"/>
                    <w:spacing w:before="0" w:beforeAutospacing="0" w:after="0" w:afterAutospacing="0"/>
                    <w:ind w:left="0" w:leftChars="0" w:firstLine="0" w:firstLineChars="0"/>
                    <w:jc w:val="center"/>
                    <w:textAlignment w:val="baseline"/>
                    <w:rPr>
                      <w:rFonts w:ascii="Times New Roman" w:hAnsi="Times New Roman"/>
                      <w:color w:val="auto"/>
                      <w:spacing w:val="-10"/>
                      <w:sz w:val="21"/>
                      <w:szCs w:val="21"/>
                    </w:rPr>
                  </w:pPr>
                </w:p>
              </w:tc>
              <w:tc>
                <w:tcPr>
                  <w:tcW w:w="162" w:type="pct"/>
                  <w:vMerge w:val="continue"/>
                  <w:tcBorders>
                    <w:tl2br w:val="nil"/>
                    <w:tr2bl w:val="nil"/>
                  </w:tcBorders>
                  <w:vAlign w:val="center"/>
                </w:tcPr>
                <w:p w14:paraId="7BBFA97D">
                  <w:pPr>
                    <w:pStyle w:val="22"/>
                    <w:widowControl w:val="0"/>
                    <w:adjustRightInd w:val="0"/>
                    <w:snapToGrid w:val="0"/>
                    <w:spacing w:before="0" w:beforeAutospacing="0" w:after="0" w:afterAutospacing="0"/>
                    <w:jc w:val="center"/>
                    <w:textAlignment w:val="baseline"/>
                    <w:rPr>
                      <w:rFonts w:ascii="Times New Roman" w:hAnsi="Times New Roman"/>
                      <w:color w:val="auto"/>
                      <w:spacing w:val="-10"/>
                      <w:sz w:val="21"/>
                      <w:szCs w:val="21"/>
                    </w:rPr>
                  </w:pPr>
                </w:p>
              </w:tc>
              <w:tc>
                <w:tcPr>
                  <w:tcW w:w="353" w:type="pct"/>
                  <w:tcBorders>
                    <w:tl2br w:val="nil"/>
                    <w:tr2bl w:val="nil"/>
                  </w:tcBorders>
                  <w:shd w:val="clear" w:color="auto" w:fill="auto"/>
                  <w:vAlign w:val="center"/>
                </w:tcPr>
                <w:p w14:paraId="26719142">
                  <w:pPr>
                    <w:keepNext w:val="0"/>
                    <w:keepLines w:val="0"/>
                    <w:pageBreakBefore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磨床</w:t>
                  </w:r>
                </w:p>
              </w:tc>
              <w:tc>
                <w:tcPr>
                  <w:tcW w:w="190" w:type="pct"/>
                  <w:tcBorders>
                    <w:tl2br w:val="nil"/>
                    <w:tr2bl w:val="nil"/>
                  </w:tcBorders>
                  <w:shd w:val="clear" w:color="auto" w:fill="auto"/>
                  <w:vAlign w:val="center"/>
                </w:tcPr>
                <w:p w14:paraId="47AE5AE8">
                  <w:pPr>
                    <w:widowControl/>
                    <w:spacing w:line="240" w:lineRule="auto"/>
                    <w:jc w:val="center"/>
                    <w:textAlignment w:val="center"/>
                    <w:rPr>
                      <w:rFonts w:hint="eastAsia" w:ascii="Times New Roman" w:hAnsi="Times New Roman" w:eastAsia="宋体" w:cs="Times New Roman"/>
                      <w:color w:val="auto"/>
                      <w:kern w:val="0"/>
                      <w:sz w:val="21"/>
                      <w:szCs w:val="21"/>
                      <w:lang w:val="en-US" w:eastAsia="zh-CN" w:bidi="ar"/>
                    </w:rPr>
                  </w:pPr>
                  <w:r>
                    <w:rPr>
                      <w:rFonts w:hint="eastAsia" w:cs="Times New Roman"/>
                      <w:color w:val="auto"/>
                      <w:kern w:val="0"/>
                      <w:sz w:val="21"/>
                      <w:szCs w:val="21"/>
                      <w:lang w:val="en-US" w:eastAsia="zh-CN" w:bidi="ar"/>
                    </w:rPr>
                    <w:t>/</w:t>
                  </w:r>
                </w:p>
              </w:tc>
              <w:tc>
                <w:tcPr>
                  <w:tcW w:w="302" w:type="pct"/>
                  <w:tcBorders>
                    <w:tl2br w:val="nil"/>
                    <w:tr2bl w:val="nil"/>
                  </w:tcBorders>
                  <w:shd w:val="clear" w:color="auto" w:fill="auto"/>
                  <w:vAlign w:val="center"/>
                </w:tcPr>
                <w:p w14:paraId="6C9EB33C">
                  <w:pPr>
                    <w:keepNext w:val="0"/>
                    <w:keepLines w:val="0"/>
                    <w:widowControl/>
                    <w:suppressLineNumbers w:val="0"/>
                    <w:jc w:val="center"/>
                    <w:textAlignment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等线" w:cs="Times New Roman"/>
                      <w:i w:val="0"/>
                      <w:iCs w:val="0"/>
                      <w:color w:val="auto"/>
                      <w:kern w:val="0"/>
                      <w:sz w:val="21"/>
                      <w:szCs w:val="21"/>
                      <w:u w:val="none"/>
                      <w:lang w:val="en-US" w:eastAsia="zh-CN" w:bidi="ar"/>
                    </w:rPr>
                    <w:t>85</w:t>
                  </w:r>
                </w:p>
              </w:tc>
              <w:tc>
                <w:tcPr>
                  <w:tcW w:w="169" w:type="pct"/>
                  <w:vMerge w:val="continue"/>
                  <w:tcBorders>
                    <w:tl2br w:val="nil"/>
                    <w:tr2bl w:val="nil"/>
                  </w:tcBorders>
                  <w:vAlign w:val="center"/>
                </w:tcPr>
                <w:p w14:paraId="44A5C107">
                  <w:pPr>
                    <w:pStyle w:val="22"/>
                    <w:widowControl w:val="0"/>
                    <w:adjustRightInd w:val="0"/>
                    <w:snapToGrid w:val="0"/>
                    <w:spacing w:before="0" w:beforeAutospacing="0" w:after="0" w:afterAutospacing="0"/>
                    <w:jc w:val="center"/>
                    <w:textAlignment w:val="baseline"/>
                    <w:rPr>
                      <w:rFonts w:ascii="Times New Roman" w:hAnsi="Times New Roman"/>
                      <w:color w:val="auto"/>
                      <w:spacing w:val="-10"/>
                      <w:sz w:val="21"/>
                      <w:szCs w:val="21"/>
                    </w:rPr>
                  </w:pPr>
                </w:p>
              </w:tc>
              <w:tc>
                <w:tcPr>
                  <w:tcW w:w="177" w:type="pct"/>
                  <w:tcBorders>
                    <w:tl2br w:val="nil"/>
                    <w:tr2bl w:val="nil"/>
                  </w:tcBorders>
                  <w:shd w:val="clear" w:color="auto" w:fill="auto"/>
                  <w:vAlign w:val="center"/>
                </w:tcPr>
                <w:p w14:paraId="6E4D171B">
                  <w:pPr>
                    <w:widowControl/>
                    <w:jc w:val="center"/>
                    <w:textAlignment w:val="center"/>
                    <w:rPr>
                      <w:rFonts w:hint="default" w:ascii="Times New Roman" w:hAnsi="Times New Roman" w:eastAsia="等线" w:cs="Times New Roman"/>
                      <w:color w:val="auto"/>
                      <w:kern w:val="0"/>
                      <w:sz w:val="21"/>
                      <w:szCs w:val="21"/>
                      <w:lang w:val="en-US" w:eastAsia="zh-CN" w:bidi="ar"/>
                    </w:rPr>
                  </w:pPr>
                  <w:r>
                    <w:rPr>
                      <w:rFonts w:hint="eastAsia" w:eastAsia="等线" w:cs="Times New Roman"/>
                      <w:color w:val="auto"/>
                      <w:kern w:val="0"/>
                      <w:sz w:val="21"/>
                      <w:szCs w:val="21"/>
                      <w:lang w:val="en-US" w:eastAsia="zh-CN" w:bidi="ar"/>
                    </w:rPr>
                    <w:t>2</w:t>
                  </w:r>
                </w:p>
              </w:tc>
              <w:tc>
                <w:tcPr>
                  <w:tcW w:w="201" w:type="pct"/>
                  <w:tcBorders>
                    <w:tl2br w:val="nil"/>
                    <w:tr2bl w:val="nil"/>
                  </w:tcBorders>
                  <w:shd w:val="clear" w:color="auto" w:fill="auto"/>
                  <w:vAlign w:val="center"/>
                </w:tcPr>
                <w:p w14:paraId="1A0733A5">
                  <w:pPr>
                    <w:widowControl/>
                    <w:jc w:val="center"/>
                    <w:textAlignment w:val="center"/>
                    <w:rPr>
                      <w:rFonts w:hint="default" w:ascii="Times New Roman" w:hAnsi="Times New Roman" w:eastAsia="等线" w:cs="Times New Roman"/>
                      <w:color w:val="auto"/>
                      <w:kern w:val="0"/>
                      <w:sz w:val="21"/>
                      <w:szCs w:val="21"/>
                      <w:lang w:val="en-US" w:eastAsia="zh-CN" w:bidi="ar"/>
                    </w:rPr>
                  </w:pPr>
                  <w:r>
                    <w:rPr>
                      <w:rFonts w:hint="eastAsia" w:eastAsia="等线" w:cs="Times New Roman"/>
                      <w:color w:val="auto"/>
                      <w:kern w:val="0"/>
                      <w:sz w:val="21"/>
                      <w:szCs w:val="21"/>
                      <w:lang w:val="en-US" w:eastAsia="zh-CN" w:bidi="ar"/>
                    </w:rPr>
                    <w:t>104</w:t>
                  </w:r>
                </w:p>
              </w:tc>
              <w:tc>
                <w:tcPr>
                  <w:tcW w:w="116" w:type="pct"/>
                  <w:tcBorders>
                    <w:tl2br w:val="nil"/>
                    <w:tr2bl w:val="nil"/>
                  </w:tcBorders>
                  <w:vAlign w:val="center"/>
                </w:tcPr>
                <w:p w14:paraId="0D9A2578">
                  <w:pPr>
                    <w:widowControl/>
                    <w:jc w:val="center"/>
                    <w:textAlignment w:val="center"/>
                    <w:rPr>
                      <w:rFonts w:hint="default" w:eastAsia="等线"/>
                      <w:color w:val="auto"/>
                      <w:kern w:val="0"/>
                      <w:sz w:val="21"/>
                      <w:szCs w:val="21"/>
                      <w:lang w:val="en-US" w:eastAsia="zh-CN"/>
                    </w:rPr>
                  </w:pPr>
                  <w:r>
                    <w:rPr>
                      <w:rFonts w:hint="eastAsia" w:eastAsia="宋体"/>
                      <w:color w:val="auto"/>
                      <w:sz w:val="21"/>
                      <w:szCs w:val="21"/>
                      <w:lang w:val="en-US" w:eastAsia="zh-CN"/>
                    </w:rPr>
                    <w:t>1</w:t>
                  </w:r>
                </w:p>
              </w:tc>
              <w:tc>
                <w:tcPr>
                  <w:tcW w:w="197" w:type="pct"/>
                  <w:tcBorders>
                    <w:tl2br w:val="nil"/>
                    <w:tr2bl w:val="nil"/>
                  </w:tcBorders>
                  <w:vAlign w:val="center"/>
                </w:tcPr>
                <w:p w14:paraId="6F9CA6F9">
                  <w:pPr>
                    <w:widowControl/>
                    <w:jc w:val="center"/>
                    <w:textAlignment w:val="center"/>
                    <w:rPr>
                      <w:rFonts w:hint="default" w:eastAsia="等线"/>
                      <w:color w:val="auto"/>
                      <w:kern w:val="0"/>
                      <w:sz w:val="21"/>
                      <w:szCs w:val="21"/>
                      <w:lang w:val="en-US" w:eastAsia="zh-CN"/>
                    </w:rPr>
                  </w:pPr>
                  <w:r>
                    <w:rPr>
                      <w:rFonts w:hint="eastAsia" w:eastAsia="等线"/>
                      <w:color w:val="auto"/>
                      <w:kern w:val="0"/>
                      <w:sz w:val="21"/>
                      <w:szCs w:val="21"/>
                      <w:lang w:val="en-US" w:eastAsia="zh-CN"/>
                    </w:rPr>
                    <w:t>33</w:t>
                  </w:r>
                </w:p>
              </w:tc>
              <w:tc>
                <w:tcPr>
                  <w:tcW w:w="237" w:type="pct"/>
                  <w:tcBorders>
                    <w:tl2br w:val="nil"/>
                    <w:tr2bl w:val="nil"/>
                  </w:tcBorders>
                  <w:vAlign w:val="center"/>
                </w:tcPr>
                <w:p w14:paraId="20E75D53">
                  <w:pPr>
                    <w:keepNext w:val="0"/>
                    <w:keepLines w:val="0"/>
                    <w:widowControl/>
                    <w:suppressLineNumbers w:val="0"/>
                    <w:jc w:val="center"/>
                    <w:textAlignment w:val="center"/>
                    <w:rPr>
                      <w:rFonts w:hint="default" w:eastAsia="等线"/>
                      <w:color w:val="auto"/>
                      <w:kern w:val="0"/>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100</w:t>
                  </w:r>
                </w:p>
              </w:tc>
              <w:tc>
                <w:tcPr>
                  <w:tcW w:w="181" w:type="pct"/>
                  <w:tcBorders>
                    <w:tl2br w:val="nil"/>
                    <w:tr2bl w:val="nil"/>
                  </w:tcBorders>
                  <w:vAlign w:val="center"/>
                </w:tcPr>
                <w:p w14:paraId="5115E0F1">
                  <w:pPr>
                    <w:keepNext w:val="0"/>
                    <w:keepLines w:val="0"/>
                    <w:widowControl/>
                    <w:suppressLineNumbers w:val="0"/>
                    <w:jc w:val="center"/>
                    <w:textAlignment w:val="center"/>
                    <w:rPr>
                      <w:rFonts w:hint="default" w:eastAsia="等线"/>
                      <w:color w:val="auto"/>
                      <w:kern w:val="0"/>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33</w:t>
                  </w:r>
                </w:p>
              </w:tc>
              <w:tc>
                <w:tcPr>
                  <w:tcW w:w="237" w:type="pct"/>
                  <w:tcBorders>
                    <w:tl2br w:val="nil"/>
                    <w:tr2bl w:val="nil"/>
                  </w:tcBorders>
                  <w:vAlign w:val="center"/>
                </w:tcPr>
                <w:p w14:paraId="44F867B1">
                  <w:pPr>
                    <w:widowControl/>
                    <w:jc w:val="center"/>
                    <w:textAlignment w:val="center"/>
                    <w:rPr>
                      <w:rFonts w:hint="default" w:eastAsia="等线"/>
                      <w:color w:val="auto"/>
                      <w:kern w:val="0"/>
                      <w:sz w:val="21"/>
                      <w:szCs w:val="21"/>
                      <w:lang w:val="en-US" w:eastAsia="zh-CN"/>
                    </w:rPr>
                  </w:pPr>
                  <w:r>
                    <w:rPr>
                      <w:rFonts w:hint="eastAsia" w:eastAsia="等线"/>
                      <w:color w:val="auto"/>
                      <w:kern w:val="0"/>
                      <w:sz w:val="21"/>
                      <w:szCs w:val="21"/>
                      <w:lang w:val="en-US" w:eastAsia="zh-CN"/>
                    </w:rPr>
                    <w:t>9</w:t>
                  </w:r>
                </w:p>
              </w:tc>
              <w:tc>
                <w:tcPr>
                  <w:tcW w:w="241" w:type="pct"/>
                  <w:tcBorders>
                    <w:tl2br w:val="nil"/>
                    <w:tr2bl w:val="nil"/>
                  </w:tcBorders>
                  <w:vAlign w:val="center"/>
                </w:tcPr>
                <w:p w14:paraId="2371B75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等线" w:cs="Times New Roman"/>
                      <w:i w:val="0"/>
                      <w:iCs w:val="0"/>
                      <w:color w:val="auto"/>
                      <w:kern w:val="0"/>
                      <w:sz w:val="22"/>
                      <w:szCs w:val="22"/>
                      <w:u w:val="none"/>
                      <w:lang w:val="en-US" w:eastAsia="zh-CN" w:bidi="ar"/>
                    </w:rPr>
                    <w:t>56.4</w:t>
                  </w:r>
                </w:p>
              </w:tc>
              <w:tc>
                <w:tcPr>
                  <w:tcW w:w="241" w:type="pct"/>
                  <w:tcBorders>
                    <w:tl2br w:val="nil"/>
                    <w:tr2bl w:val="nil"/>
                  </w:tcBorders>
                  <w:vAlign w:val="center"/>
                </w:tcPr>
                <w:p w14:paraId="18A23AE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等线" w:cs="Times New Roman"/>
                      <w:i w:val="0"/>
                      <w:iCs w:val="0"/>
                      <w:color w:val="auto"/>
                      <w:kern w:val="0"/>
                      <w:sz w:val="22"/>
                      <w:szCs w:val="22"/>
                      <w:u w:val="none"/>
                      <w:lang w:val="en-US" w:eastAsia="zh-CN" w:bidi="ar"/>
                    </w:rPr>
                    <w:t>56.3</w:t>
                  </w:r>
                </w:p>
              </w:tc>
              <w:tc>
                <w:tcPr>
                  <w:tcW w:w="206" w:type="pct"/>
                  <w:tcBorders>
                    <w:tl2br w:val="nil"/>
                    <w:tr2bl w:val="nil"/>
                  </w:tcBorders>
                  <w:vAlign w:val="center"/>
                </w:tcPr>
                <w:p w14:paraId="4AC23EF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等线" w:cs="Times New Roman"/>
                      <w:i w:val="0"/>
                      <w:iCs w:val="0"/>
                      <w:color w:val="auto"/>
                      <w:kern w:val="0"/>
                      <w:sz w:val="22"/>
                      <w:szCs w:val="22"/>
                      <w:u w:val="none"/>
                      <w:lang w:val="en-US" w:eastAsia="zh-CN" w:bidi="ar"/>
                    </w:rPr>
                    <w:t>56.4</w:t>
                  </w:r>
                </w:p>
              </w:tc>
              <w:tc>
                <w:tcPr>
                  <w:tcW w:w="207" w:type="pct"/>
                  <w:tcBorders>
                    <w:tl2br w:val="nil"/>
                    <w:tr2bl w:val="nil"/>
                  </w:tcBorders>
                  <w:vAlign w:val="center"/>
                </w:tcPr>
                <w:p w14:paraId="6FB3084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等线" w:cs="Times New Roman"/>
                      <w:i w:val="0"/>
                      <w:iCs w:val="0"/>
                      <w:color w:val="auto"/>
                      <w:kern w:val="0"/>
                      <w:sz w:val="22"/>
                      <w:szCs w:val="22"/>
                      <w:u w:val="none"/>
                      <w:lang w:val="en-US" w:eastAsia="zh-CN" w:bidi="ar"/>
                    </w:rPr>
                    <w:t>57.9</w:t>
                  </w:r>
                </w:p>
              </w:tc>
              <w:tc>
                <w:tcPr>
                  <w:tcW w:w="151" w:type="pct"/>
                  <w:vMerge w:val="continue"/>
                  <w:tcBorders>
                    <w:tl2br w:val="nil"/>
                    <w:tr2bl w:val="nil"/>
                  </w:tcBorders>
                  <w:vAlign w:val="center"/>
                </w:tcPr>
                <w:p w14:paraId="0D237E5E">
                  <w:pPr>
                    <w:pStyle w:val="22"/>
                    <w:widowControl w:val="0"/>
                    <w:adjustRightInd w:val="0"/>
                    <w:snapToGrid w:val="0"/>
                    <w:spacing w:before="0" w:beforeAutospacing="0" w:after="0" w:afterAutospacing="0"/>
                    <w:jc w:val="center"/>
                    <w:textAlignment w:val="baseline"/>
                    <w:rPr>
                      <w:rFonts w:ascii="Times New Roman" w:hAnsi="Times New Roman"/>
                      <w:color w:val="auto"/>
                      <w:spacing w:val="-10"/>
                      <w:sz w:val="21"/>
                      <w:szCs w:val="21"/>
                    </w:rPr>
                  </w:pPr>
                </w:p>
              </w:tc>
              <w:tc>
                <w:tcPr>
                  <w:tcW w:w="148" w:type="pct"/>
                  <w:vMerge w:val="continue"/>
                  <w:tcBorders>
                    <w:tl2br w:val="nil"/>
                    <w:tr2bl w:val="nil"/>
                  </w:tcBorders>
                  <w:vAlign w:val="center"/>
                </w:tcPr>
                <w:p w14:paraId="56D0AB9C">
                  <w:pPr>
                    <w:pStyle w:val="22"/>
                    <w:widowControl w:val="0"/>
                    <w:adjustRightInd w:val="0"/>
                    <w:snapToGrid w:val="0"/>
                    <w:spacing w:before="0" w:beforeAutospacing="0" w:after="0" w:afterAutospacing="0"/>
                    <w:jc w:val="center"/>
                    <w:textAlignment w:val="baseline"/>
                    <w:rPr>
                      <w:rFonts w:ascii="Times New Roman" w:hAnsi="Times New Roman"/>
                      <w:color w:val="auto"/>
                      <w:spacing w:val="-10"/>
                      <w:sz w:val="21"/>
                      <w:szCs w:val="21"/>
                    </w:rPr>
                  </w:pPr>
                </w:p>
              </w:tc>
              <w:tc>
                <w:tcPr>
                  <w:tcW w:w="126" w:type="pct"/>
                  <w:vMerge w:val="continue"/>
                  <w:tcBorders>
                    <w:tl2br w:val="nil"/>
                    <w:tr2bl w:val="nil"/>
                  </w:tcBorders>
                  <w:vAlign w:val="center"/>
                </w:tcPr>
                <w:p w14:paraId="37E77137">
                  <w:pPr>
                    <w:pStyle w:val="22"/>
                    <w:widowControl w:val="0"/>
                    <w:adjustRightInd w:val="0"/>
                    <w:snapToGrid w:val="0"/>
                    <w:spacing w:before="0" w:beforeAutospacing="0" w:after="0" w:afterAutospacing="0"/>
                    <w:jc w:val="center"/>
                    <w:textAlignment w:val="baseline"/>
                    <w:rPr>
                      <w:rFonts w:ascii="Times New Roman" w:hAnsi="Times New Roman"/>
                      <w:color w:val="auto"/>
                      <w:spacing w:val="-10"/>
                      <w:sz w:val="21"/>
                      <w:szCs w:val="21"/>
                    </w:rPr>
                  </w:pPr>
                </w:p>
              </w:tc>
              <w:tc>
                <w:tcPr>
                  <w:tcW w:w="120" w:type="pct"/>
                  <w:vMerge w:val="continue"/>
                  <w:tcBorders>
                    <w:tl2br w:val="nil"/>
                    <w:tr2bl w:val="nil"/>
                  </w:tcBorders>
                  <w:vAlign w:val="center"/>
                </w:tcPr>
                <w:p w14:paraId="54383B8B">
                  <w:pPr>
                    <w:pStyle w:val="22"/>
                    <w:widowControl w:val="0"/>
                    <w:adjustRightInd w:val="0"/>
                    <w:snapToGrid w:val="0"/>
                    <w:spacing w:before="0" w:beforeAutospacing="0" w:after="0" w:afterAutospacing="0"/>
                    <w:jc w:val="center"/>
                    <w:textAlignment w:val="baseline"/>
                    <w:rPr>
                      <w:rFonts w:ascii="Times New Roman" w:hAnsi="Times New Roman"/>
                      <w:color w:val="auto"/>
                      <w:spacing w:val="-10"/>
                      <w:sz w:val="21"/>
                      <w:szCs w:val="21"/>
                    </w:rPr>
                  </w:pPr>
                </w:p>
              </w:tc>
              <w:tc>
                <w:tcPr>
                  <w:tcW w:w="134" w:type="pct"/>
                  <w:vMerge w:val="continue"/>
                  <w:tcBorders>
                    <w:tl2br w:val="nil"/>
                    <w:tr2bl w:val="nil"/>
                  </w:tcBorders>
                  <w:vAlign w:val="center"/>
                </w:tcPr>
                <w:p w14:paraId="2192EC58">
                  <w:pPr>
                    <w:pStyle w:val="22"/>
                    <w:widowControl w:val="0"/>
                    <w:adjustRightInd w:val="0"/>
                    <w:snapToGrid w:val="0"/>
                    <w:spacing w:before="0" w:beforeAutospacing="0" w:after="0" w:afterAutospacing="0"/>
                    <w:jc w:val="center"/>
                    <w:textAlignment w:val="baseline"/>
                    <w:rPr>
                      <w:rFonts w:ascii="Times New Roman" w:hAnsi="Times New Roman"/>
                      <w:color w:val="auto"/>
                      <w:spacing w:val="-10"/>
                      <w:sz w:val="21"/>
                      <w:szCs w:val="21"/>
                    </w:rPr>
                  </w:pPr>
                </w:p>
              </w:tc>
              <w:tc>
                <w:tcPr>
                  <w:tcW w:w="115" w:type="pct"/>
                  <w:vMerge w:val="continue"/>
                  <w:tcBorders>
                    <w:tl2br w:val="nil"/>
                    <w:tr2bl w:val="nil"/>
                  </w:tcBorders>
                  <w:vAlign w:val="center"/>
                </w:tcPr>
                <w:p w14:paraId="5FAF0EBB">
                  <w:pPr>
                    <w:pStyle w:val="22"/>
                    <w:keepNext w:val="0"/>
                    <w:keepLines w:val="0"/>
                    <w:pageBreakBefore w:val="0"/>
                    <w:widowControl w:val="0"/>
                    <w:kinsoku/>
                    <w:wordWrap/>
                    <w:overflowPunct/>
                    <w:topLinePunct w:val="0"/>
                    <w:autoSpaceDE/>
                    <w:autoSpaceDN/>
                    <w:bidi w:val="0"/>
                    <w:adjustRightInd w:val="0"/>
                    <w:snapToGrid w:val="0"/>
                    <w:spacing w:before="0" w:beforeAutospacing="0" w:after="0" w:afterAutospacing="0"/>
                    <w:jc w:val="center"/>
                    <w:textAlignment w:val="baseline"/>
                    <w:rPr>
                      <w:rFonts w:hint="default" w:ascii="Times New Roman" w:hAnsi="Times New Roman" w:cs="Times New Roman"/>
                      <w:color w:val="auto"/>
                      <w:spacing w:val="-10"/>
                      <w:sz w:val="21"/>
                      <w:szCs w:val="21"/>
                    </w:rPr>
                  </w:pPr>
                </w:p>
              </w:tc>
              <w:tc>
                <w:tcPr>
                  <w:tcW w:w="117" w:type="pct"/>
                  <w:vMerge w:val="continue"/>
                  <w:tcBorders>
                    <w:tl2br w:val="nil"/>
                    <w:tr2bl w:val="nil"/>
                  </w:tcBorders>
                  <w:vAlign w:val="center"/>
                </w:tcPr>
                <w:p w14:paraId="0F042B02">
                  <w:pPr>
                    <w:pStyle w:val="22"/>
                    <w:keepNext w:val="0"/>
                    <w:keepLines w:val="0"/>
                    <w:pageBreakBefore w:val="0"/>
                    <w:widowControl w:val="0"/>
                    <w:kinsoku/>
                    <w:wordWrap/>
                    <w:overflowPunct/>
                    <w:topLinePunct w:val="0"/>
                    <w:autoSpaceDE/>
                    <w:autoSpaceDN/>
                    <w:bidi w:val="0"/>
                    <w:adjustRightInd w:val="0"/>
                    <w:snapToGrid w:val="0"/>
                    <w:spacing w:before="0" w:beforeAutospacing="0" w:after="0" w:afterAutospacing="0"/>
                    <w:jc w:val="center"/>
                    <w:textAlignment w:val="baseline"/>
                    <w:rPr>
                      <w:rFonts w:hint="default" w:ascii="Times New Roman" w:hAnsi="Times New Roman" w:cs="Times New Roman"/>
                      <w:color w:val="auto"/>
                      <w:spacing w:val="-10"/>
                      <w:sz w:val="21"/>
                      <w:szCs w:val="21"/>
                    </w:rPr>
                  </w:pPr>
                </w:p>
              </w:tc>
              <w:tc>
                <w:tcPr>
                  <w:tcW w:w="117" w:type="pct"/>
                  <w:vMerge w:val="continue"/>
                  <w:tcBorders>
                    <w:tl2br w:val="nil"/>
                    <w:tr2bl w:val="nil"/>
                  </w:tcBorders>
                  <w:vAlign w:val="center"/>
                </w:tcPr>
                <w:p w14:paraId="1252B3DD">
                  <w:pPr>
                    <w:pStyle w:val="22"/>
                    <w:keepNext w:val="0"/>
                    <w:keepLines w:val="0"/>
                    <w:pageBreakBefore w:val="0"/>
                    <w:widowControl w:val="0"/>
                    <w:kinsoku/>
                    <w:wordWrap/>
                    <w:overflowPunct/>
                    <w:topLinePunct w:val="0"/>
                    <w:autoSpaceDE/>
                    <w:autoSpaceDN/>
                    <w:bidi w:val="0"/>
                    <w:adjustRightInd w:val="0"/>
                    <w:snapToGrid w:val="0"/>
                    <w:spacing w:before="0" w:beforeAutospacing="0" w:after="0" w:afterAutospacing="0"/>
                    <w:jc w:val="center"/>
                    <w:textAlignment w:val="baseline"/>
                    <w:rPr>
                      <w:rFonts w:hint="default" w:ascii="Times New Roman" w:hAnsi="Times New Roman" w:cs="Times New Roman"/>
                      <w:color w:val="auto"/>
                      <w:spacing w:val="-10"/>
                      <w:sz w:val="21"/>
                      <w:szCs w:val="21"/>
                    </w:rPr>
                  </w:pPr>
                </w:p>
              </w:tc>
              <w:tc>
                <w:tcPr>
                  <w:tcW w:w="118" w:type="pct"/>
                  <w:vMerge w:val="continue"/>
                  <w:tcBorders>
                    <w:tl2br w:val="nil"/>
                    <w:tr2bl w:val="nil"/>
                  </w:tcBorders>
                  <w:vAlign w:val="center"/>
                </w:tcPr>
                <w:p w14:paraId="2120B6F4">
                  <w:pPr>
                    <w:pStyle w:val="22"/>
                    <w:keepNext w:val="0"/>
                    <w:keepLines w:val="0"/>
                    <w:pageBreakBefore w:val="0"/>
                    <w:widowControl w:val="0"/>
                    <w:kinsoku/>
                    <w:wordWrap/>
                    <w:overflowPunct/>
                    <w:topLinePunct w:val="0"/>
                    <w:autoSpaceDE/>
                    <w:autoSpaceDN/>
                    <w:bidi w:val="0"/>
                    <w:adjustRightInd w:val="0"/>
                    <w:snapToGrid w:val="0"/>
                    <w:spacing w:before="0" w:beforeAutospacing="0" w:after="0" w:afterAutospacing="0"/>
                    <w:jc w:val="center"/>
                    <w:textAlignment w:val="baseline"/>
                    <w:rPr>
                      <w:rFonts w:hint="default" w:ascii="Times New Roman" w:hAnsi="Times New Roman" w:cs="Times New Roman"/>
                      <w:color w:val="auto"/>
                      <w:spacing w:val="-10"/>
                      <w:sz w:val="21"/>
                      <w:szCs w:val="21"/>
                    </w:rPr>
                  </w:pPr>
                </w:p>
              </w:tc>
              <w:tc>
                <w:tcPr>
                  <w:tcW w:w="282" w:type="pct"/>
                  <w:vMerge w:val="continue"/>
                  <w:tcBorders>
                    <w:tl2br w:val="nil"/>
                    <w:tr2bl w:val="nil"/>
                  </w:tcBorders>
                  <w:vAlign w:val="center"/>
                </w:tcPr>
                <w:p w14:paraId="6F6059CE">
                  <w:pPr>
                    <w:pStyle w:val="22"/>
                    <w:widowControl w:val="0"/>
                    <w:adjustRightInd w:val="0"/>
                    <w:snapToGrid w:val="0"/>
                    <w:spacing w:before="0" w:beforeAutospacing="0" w:after="0" w:afterAutospacing="0"/>
                    <w:jc w:val="center"/>
                    <w:textAlignment w:val="baseline"/>
                    <w:rPr>
                      <w:rFonts w:ascii="Times New Roman" w:hAnsi="Times New Roman"/>
                      <w:color w:val="auto"/>
                      <w:spacing w:val="-10"/>
                      <w:sz w:val="21"/>
                      <w:szCs w:val="21"/>
                    </w:rPr>
                  </w:pPr>
                </w:p>
              </w:tc>
            </w:tr>
            <w:tr w14:paraId="3BFE9EE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41" w:type="pct"/>
                  <w:tcBorders>
                    <w:tl2br w:val="nil"/>
                    <w:tr2bl w:val="nil"/>
                  </w:tcBorders>
                  <w:vAlign w:val="center"/>
                </w:tcPr>
                <w:p w14:paraId="26798811">
                  <w:pPr>
                    <w:pStyle w:val="22"/>
                    <w:widowControl w:val="0"/>
                    <w:numPr>
                      <w:ilvl w:val="0"/>
                      <w:numId w:val="11"/>
                    </w:numPr>
                    <w:adjustRightInd w:val="0"/>
                    <w:snapToGrid w:val="0"/>
                    <w:spacing w:before="0" w:beforeAutospacing="0" w:after="0" w:afterAutospacing="0"/>
                    <w:ind w:left="0" w:leftChars="0" w:firstLine="0" w:firstLineChars="0"/>
                    <w:jc w:val="center"/>
                    <w:textAlignment w:val="baseline"/>
                    <w:rPr>
                      <w:rFonts w:ascii="Times New Roman" w:hAnsi="Times New Roman"/>
                      <w:color w:val="auto"/>
                      <w:spacing w:val="-10"/>
                      <w:sz w:val="21"/>
                      <w:szCs w:val="21"/>
                    </w:rPr>
                  </w:pPr>
                </w:p>
              </w:tc>
              <w:tc>
                <w:tcPr>
                  <w:tcW w:w="162" w:type="pct"/>
                  <w:vMerge w:val="continue"/>
                  <w:tcBorders>
                    <w:tl2br w:val="nil"/>
                    <w:tr2bl w:val="nil"/>
                  </w:tcBorders>
                  <w:vAlign w:val="center"/>
                </w:tcPr>
                <w:p w14:paraId="50CF6DA3">
                  <w:pPr>
                    <w:pStyle w:val="22"/>
                    <w:widowControl w:val="0"/>
                    <w:adjustRightInd w:val="0"/>
                    <w:snapToGrid w:val="0"/>
                    <w:spacing w:before="0" w:beforeAutospacing="0" w:after="0" w:afterAutospacing="0"/>
                    <w:jc w:val="center"/>
                    <w:textAlignment w:val="baseline"/>
                    <w:rPr>
                      <w:rFonts w:ascii="Times New Roman" w:hAnsi="Times New Roman"/>
                      <w:color w:val="auto"/>
                      <w:spacing w:val="-10"/>
                      <w:sz w:val="21"/>
                      <w:szCs w:val="21"/>
                    </w:rPr>
                  </w:pPr>
                </w:p>
              </w:tc>
              <w:tc>
                <w:tcPr>
                  <w:tcW w:w="353" w:type="pct"/>
                  <w:tcBorders>
                    <w:tl2br w:val="nil"/>
                    <w:tr2bl w:val="nil"/>
                  </w:tcBorders>
                  <w:shd w:val="clear" w:color="auto" w:fill="auto"/>
                  <w:vAlign w:val="center"/>
                </w:tcPr>
                <w:p w14:paraId="3E35C64D">
                  <w:pPr>
                    <w:keepNext w:val="0"/>
                    <w:keepLines w:val="0"/>
                    <w:pageBreakBefore w:val="0"/>
                    <w:kinsoku/>
                    <w:wordWrap/>
                    <w:overflowPunct/>
                    <w:topLinePunct w:val="0"/>
                    <w:autoSpaceDE/>
                    <w:autoSpaceDN/>
                    <w:bidi w:val="0"/>
                    <w:spacing w:line="240" w:lineRule="auto"/>
                    <w:jc w:val="center"/>
                    <w:rPr>
                      <w:rFonts w:hint="default" w:ascii="Times New Roman" w:hAnsi="Times New Roman" w:eastAsia="宋体" w:cs="Times New Roman"/>
                      <w:color w:val="auto"/>
                      <w:kern w:val="2"/>
                      <w:sz w:val="21"/>
                      <w:szCs w:val="21"/>
                      <w:lang w:val="en-US" w:eastAsia="zh-CN" w:bidi="ar"/>
                    </w:rPr>
                  </w:pPr>
                  <w:r>
                    <w:rPr>
                      <w:rFonts w:hint="default" w:ascii="Times New Roman" w:hAnsi="Times New Roman" w:eastAsia="宋体" w:cs="Times New Roman"/>
                      <w:color w:val="auto"/>
                      <w:sz w:val="21"/>
                      <w:szCs w:val="21"/>
                    </w:rPr>
                    <w:t>抛光机</w:t>
                  </w:r>
                </w:p>
              </w:tc>
              <w:tc>
                <w:tcPr>
                  <w:tcW w:w="190" w:type="pct"/>
                  <w:tcBorders>
                    <w:tl2br w:val="nil"/>
                    <w:tr2bl w:val="nil"/>
                  </w:tcBorders>
                  <w:shd w:val="clear" w:color="auto" w:fill="auto"/>
                  <w:vAlign w:val="center"/>
                </w:tcPr>
                <w:p w14:paraId="2F17CA43">
                  <w:pPr>
                    <w:widowControl/>
                    <w:spacing w:line="240" w:lineRule="auto"/>
                    <w:jc w:val="center"/>
                    <w:textAlignment w:val="center"/>
                    <w:rPr>
                      <w:rFonts w:hint="eastAsia" w:ascii="Times New Roman" w:hAnsi="Times New Roman" w:eastAsia="宋体" w:cs="Times New Roman"/>
                      <w:color w:val="auto"/>
                      <w:kern w:val="0"/>
                      <w:sz w:val="21"/>
                      <w:szCs w:val="21"/>
                      <w:lang w:val="en-US" w:eastAsia="zh-CN" w:bidi="ar"/>
                    </w:rPr>
                  </w:pPr>
                  <w:r>
                    <w:rPr>
                      <w:rFonts w:hint="eastAsia" w:cs="Times New Roman"/>
                      <w:color w:val="auto"/>
                      <w:kern w:val="0"/>
                      <w:sz w:val="21"/>
                      <w:szCs w:val="21"/>
                      <w:lang w:val="en-US" w:eastAsia="zh-CN" w:bidi="ar"/>
                    </w:rPr>
                    <w:t>/</w:t>
                  </w:r>
                </w:p>
              </w:tc>
              <w:tc>
                <w:tcPr>
                  <w:tcW w:w="302" w:type="pct"/>
                  <w:tcBorders>
                    <w:tl2br w:val="nil"/>
                    <w:tr2bl w:val="nil"/>
                  </w:tcBorders>
                  <w:shd w:val="clear" w:color="auto" w:fill="auto"/>
                  <w:vAlign w:val="center"/>
                </w:tcPr>
                <w:p w14:paraId="71F4D0A5">
                  <w:pPr>
                    <w:keepNext w:val="0"/>
                    <w:keepLines w:val="0"/>
                    <w:widowControl/>
                    <w:suppressLineNumbers w:val="0"/>
                    <w:jc w:val="center"/>
                    <w:textAlignment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等线" w:cs="Times New Roman"/>
                      <w:i w:val="0"/>
                      <w:iCs w:val="0"/>
                      <w:color w:val="auto"/>
                      <w:kern w:val="0"/>
                      <w:sz w:val="21"/>
                      <w:szCs w:val="21"/>
                      <w:u w:val="none"/>
                      <w:lang w:val="en-US" w:eastAsia="zh-CN" w:bidi="ar"/>
                    </w:rPr>
                    <w:t>83</w:t>
                  </w:r>
                </w:p>
              </w:tc>
              <w:tc>
                <w:tcPr>
                  <w:tcW w:w="169" w:type="pct"/>
                  <w:vMerge w:val="continue"/>
                  <w:tcBorders>
                    <w:tl2br w:val="nil"/>
                    <w:tr2bl w:val="nil"/>
                  </w:tcBorders>
                  <w:vAlign w:val="center"/>
                </w:tcPr>
                <w:p w14:paraId="0BC37F2D">
                  <w:pPr>
                    <w:pStyle w:val="22"/>
                    <w:widowControl w:val="0"/>
                    <w:adjustRightInd w:val="0"/>
                    <w:snapToGrid w:val="0"/>
                    <w:spacing w:before="0" w:beforeAutospacing="0" w:after="0" w:afterAutospacing="0"/>
                    <w:jc w:val="center"/>
                    <w:textAlignment w:val="baseline"/>
                    <w:rPr>
                      <w:rFonts w:ascii="Times New Roman" w:hAnsi="Times New Roman"/>
                      <w:color w:val="auto"/>
                      <w:spacing w:val="-10"/>
                      <w:sz w:val="21"/>
                      <w:szCs w:val="21"/>
                    </w:rPr>
                  </w:pPr>
                </w:p>
              </w:tc>
              <w:tc>
                <w:tcPr>
                  <w:tcW w:w="177" w:type="pct"/>
                  <w:tcBorders>
                    <w:tl2br w:val="nil"/>
                    <w:tr2bl w:val="nil"/>
                  </w:tcBorders>
                  <w:shd w:val="clear" w:color="auto" w:fill="auto"/>
                  <w:vAlign w:val="center"/>
                </w:tcPr>
                <w:p w14:paraId="6CBA12B8">
                  <w:pPr>
                    <w:widowControl/>
                    <w:jc w:val="center"/>
                    <w:textAlignment w:val="center"/>
                    <w:rPr>
                      <w:rFonts w:hint="default" w:ascii="Times New Roman" w:hAnsi="Times New Roman" w:eastAsia="等线" w:cs="Times New Roman"/>
                      <w:color w:val="auto"/>
                      <w:kern w:val="0"/>
                      <w:sz w:val="21"/>
                      <w:szCs w:val="21"/>
                      <w:lang w:val="en-US" w:eastAsia="zh-CN" w:bidi="ar"/>
                    </w:rPr>
                  </w:pPr>
                  <w:r>
                    <w:rPr>
                      <w:rFonts w:hint="eastAsia" w:eastAsia="等线" w:cs="Times New Roman"/>
                      <w:color w:val="auto"/>
                      <w:kern w:val="0"/>
                      <w:sz w:val="21"/>
                      <w:szCs w:val="21"/>
                      <w:lang w:val="en-US" w:eastAsia="zh-CN" w:bidi="ar"/>
                    </w:rPr>
                    <w:t>-19</w:t>
                  </w:r>
                </w:p>
              </w:tc>
              <w:tc>
                <w:tcPr>
                  <w:tcW w:w="201" w:type="pct"/>
                  <w:tcBorders>
                    <w:tl2br w:val="nil"/>
                    <w:tr2bl w:val="nil"/>
                  </w:tcBorders>
                  <w:shd w:val="clear" w:color="auto" w:fill="auto"/>
                  <w:vAlign w:val="center"/>
                </w:tcPr>
                <w:p w14:paraId="73880E05">
                  <w:pPr>
                    <w:widowControl/>
                    <w:jc w:val="center"/>
                    <w:textAlignment w:val="center"/>
                    <w:rPr>
                      <w:rFonts w:hint="default" w:ascii="Times New Roman" w:hAnsi="Times New Roman" w:eastAsia="等线" w:cs="Times New Roman"/>
                      <w:color w:val="auto"/>
                      <w:kern w:val="0"/>
                      <w:sz w:val="21"/>
                      <w:szCs w:val="21"/>
                      <w:lang w:val="en-US" w:eastAsia="zh-CN" w:bidi="ar"/>
                    </w:rPr>
                  </w:pPr>
                  <w:r>
                    <w:rPr>
                      <w:rFonts w:hint="eastAsia" w:eastAsia="等线" w:cs="Times New Roman"/>
                      <w:color w:val="auto"/>
                      <w:kern w:val="0"/>
                      <w:sz w:val="21"/>
                      <w:szCs w:val="21"/>
                      <w:lang w:val="en-US" w:eastAsia="zh-CN" w:bidi="ar"/>
                    </w:rPr>
                    <w:t>103</w:t>
                  </w:r>
                </w:p>
              </w:tc>
              <w:tc>
                <w:tcPr>
                  <w:tcW w:w="116" w:type="pct"/>
                  <w:tcBorders>
                    <w:tl2br w:val="nil"/>
                    <w:tr2bl w:val="nil"/>
                  </w:tcBorders>
                  <w:vAlign w:val="center"/>
                </w:tcPr>
                <w:p w14:paraId="01C764AD">
                  <w:pPr>
                    <w:widowControl/>
                    <w:jc w:val="center"/>
                    <w:textAlignment w:val="center"/>
                    <w:rPr>
                      <w:rFonts w:hint="default" w:eastAsia="等线"/>
                      <w:color w:val="auto"/>
                      <w:kern w:val="0"/>
                      <w:sz w:val="21"/>
                      <w:szCs w:val="21"/>
                      <w:lang w:val="en-US" w:eastAsia="zh-CN"/>
                    </w:rPr>
                  </w:pPr>
                  <w:r>
                    <w:rPr>
                      <w:rFonts w:hint="eastAsia" w:eastAsia="宋体"/>
                      <w:color w:val="auto"/>
                      <w:sz w:val="21"/>
                      <w:szCs w:val="21"/>
                      <w:lang w:val="en-US" w:eastAsia="zh-CN"/>
                    </w:rPr>
                    <w:t>1</w:t>
                  </w:r>
                </w:p>
              </w:tc>
              <w:tc>
                <w:tcPr>
                  <w:tcW w:w="197" w:type="pct"/>
                  <w:tcBorders>
                    <w:tl2br w:val="nil"/>
                    <w:tr2bl w:val="nil"/>
                  </w:tcBorders>
                  <w:vAlign w:val="center"/>
                </w:tcPr>
                <w:p w14:paraId="45B72BCB">
                  <w:pPr>
                    <w:widowControl/>
                    <w:jc w:val="center"/>
                    <w:textAlignment w:val="center"/>
                    <w:rPr>
                      <w:rFonts w:hint="default" w:eastAsia="等线"/>
                      <w:color w:val="auto"/>
                      <w:kern w:val="0"/>
                      <w:sz w:val="21"/>
                      <w:szCs w:val="21"/>
                      <w:lang w:val="en-US" w:eastAsia="zh-CN"/>
                    </w:rPr>
                  </w:pPr>
                  <w:r>
                    <w:rPr>
                      <w:rFonts w:hint="eastAsia" w:eastAsia="等线"/>
                      <w:color w:val="auto"/>
                      <w:kern w:val="0"/>
                      <w:sz w:val="21"/>
                      <w:szCs w:val="21"/>
                      <w:lang w:val="en-US" w:eastAsia="zh-CN"/>
                    </w:rPr>
                    <w:t>54</w:t>
                  </w:r>
                </w:p>
              </w:tc>
              <w:tc>
                <w:tcPr>
                  <w:tcW w:w="237" w:type="pct"/>
                  <w:tcBorders>
                    <w:tl2br w:val="nil"/>
                    <w:tr2bl w:val="nil"/>
                  </w:tcBorders>
                  <w:vAlign w:val="center"/>
                </w:tcPr>
                <w:p w14:paraId="5E46703C">
                  <w:pPr>
                    <w:keepNext w:val="0"/>
                    <w:keepLines w:val="0"/>
                    <w:widowControl/>
                    <w:suppressLineNumbers w:val="0"/>
                    <w:jc w:val="center"/>
                    <w:textAlignment w:val="center"/>
                    <w:rPr>
                      <w:rFonts w:hint="default" w:eastAsia="等线"/>
                      <w:color w:val="auto"/>
                      <w:kern w:val="0"/>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104</w:t>
                  </w:r>
                </w:p>
              </w:tc>
              <w:tc>
                <w:tcPr>
                  <w:tcW w:w="181" w:type="pct"/>
                  <w:tcBorders>
                    <w:tl2br w:val="nil"/>
                    <w:tr2bl w:val="nil"/>
                  </w:tcBorders>
                  <w:vAlign w:val="center"/>
                </w:tcPr>
                <w:p w14:paraId="4EFC2B02">
                  <w:pPr>
                    <w:keepNext w:val="0"/>
                    <w:keepLines w:val="0"/>
                    <w:widowControl/>
                    <w:suppressLineNumbers w:val="0"/>
                    <w:jc w:val="center"/>
                    <w:textAlignment w:val="center"/>
                    <w:rPr>
                      <w:rFonts w:hint="default" w:eastAsia="等线"/>
                      <w:color w:val="auto"/>
                      <w:kern w:val="0"/>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12</w:t>
                  </w:r>
                </w:p>
              </w:tc>
              <w:tc>
                <w:tcPr>
                  <w:tcW w:w="237" w:type="pct"/>
                  <w:tcBorders>
                    <w:tl2br w:val="nil"/>
                    <w:tr2bl w:val="nil"/>
                  </w:tcBorders>
                  <w:vAlign w:val="center"/>
                </w:tcPr>
                <w:p w14:paraId="181DE44A">
                  <w:pPr>
                    <w:widowControl/>
                    <w:jc w:val="center"/>
                    <w:textAlignment w:val="center"/>
                    <w:rPr>
                      <w:rFonts w:hint="default" w:eastAsia="等线"/>
                      <w:color w:val="auto"/>
                      <w:kern w:val="0"/>
                      <w:sz w:val="21"/>
                      <w:szCs w:val="21"/>
                      <w:lang w:val="en-US" w:eastAsia="zh-CN"/>
                    </w:rPr>
                  </w:pPr>
                  <w:r>
                    <w:rPr>
                      <w:rFonts w:hint="eastAsia" w:eastAsia="等线"/>
                      <w:color w:val="auto"/>
                      <w:kern w:val="0"/>
                      <w:sz w:val="21"/>
                      <w:szCs w:val="21"/>
                      <w:lang w:val="en-US" w:eastAsia="zh-CN"/>
                    </w:rPr>
                    <w:t>5</w:t>
                  </w:r>
                </w:p>
              </w:tc>
              <w:tc>
                <w:tcPr>
                  <w:tcW w:w="241" w:type="pct"/>
                  <w:tcBorders>
                    <w:tl2br w:val="nil"/>
                    <w:tr2bl w:val="nil"/>
                  </w:tcBorders>
                  <w:vAlign w:val="center"/>
                </w:tcPr>
                <w:p w14:paraId="1A4B1FE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等线" w:cs="Times New Roman"/>
                      <w:i w:val="0"/>
                      <w:iCs w:val="0"/>
                      <w:color w:val="auto"/>
                      <w:kern w:val="0"/>
                      <w:sz w:val="22"/>
                      <w:szCs w:val="22"/>
                      <w:u w:val="none"/>
                      <w:lang w:val="en-US" w:eastAsia="zh-CN" w:bidi="ar"/>
                    </w:rPr>
                    <w:t>54.4</w:t>
                  </w:r>
                </w:p>
              </w:tc>
              <w:tc>
                <w:tcPr>
                  <w:tcW w:w="241" w:type="pct"/>
                  <w:tcBorders>
                    <w:tl2br w:val="nil"/>
                    <w:tr2bl w:val="nil"/>
                  </w:tcBorders>
                  <w:vAlign w:val="center"/>
                </w:tcPr>
                <w:p w14:paraId="77B7424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等线" w:cs="Times New Roman"/>
                      <w:i w:val="0"/>
                      <w:iCs w:val="0"/>
                      <w:color w:val="auto"/>
                      <w:kern w:val="0"/>
                      <w:sz w:val="22"/>
                      <w:szCs w:val="22"/>
                      <w:u w:val="none"/>
                      <w:lang w:val="en-US" w:eastAsia="zh-CN" w:bidi="ar"/>
                    </w:rPr>
                    <w:t>54.3</w:t>
                  </w:r>
                </w:p>
              </w:tc>
              <w:tc>
                <w:tcPr>
                  <w:tcW w:w="206" w:type="pct"/>
                  <w:tcBorders>
                    <w:tl2br w:val="nil"/>
                    <w:tr2bl w:val="nil"/>
                  </w:tcBorders>
                  <w:vAlign w:val="center"/>
                </w:tcPr>
                <w:p w14:paraId="2A1EE18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等线" w:cs="Times New Roman"/>
                      <w:i w:val="0"/>
                      <w:iCs w:val="0"/>
                      <w:color w:val="auto"/>
                      <w:kern w:val="0"/>
                      <w:sz w:val="22"/>
                      <w:szCs w:val="22"/>
                      <w:u w:val="none"/>
                      <w:lang w:val="en-US" w:eastAsia="zh-CN" w:bidi="ar"/>
                    </w:rPr>
                    <w:t>56.1</w:t>
                  </w:r>
                </w:p>
              </w:tc>
              <w:tc>
                <w:tcPr>
                  <w:tcW w:w="207" w:type="pct"/>
                  <w:tcBorders>
                    <w:tl2br w:val="nil"/>
                    <w:tr2bl w:val="nil"/>
                  </w:tcBorders>
                  <w:vAlign w:val="center"/>
                </w:tcPr>
                <w:p w14:paraId="7151E6E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等线" w:cs="Times New Roman"/>
                      <w:i w:val="0"/>
                      <w:iCs w:val="0"/>
                      <w:color w:val="auto"/>
                      <w:kern w:val="0"/>
                      <w:sz w:val="22"/>
                      <w:szCs w:val="22"/>
                      <w:u w:val="none"/>
                      <w:lang w:val="en-US" w:eastAsia="zh-CN" w:bidi="ar"/>
                    </w:rPr>
                    <w:t>60.3</w:t>
                  </w:r>
                </w:p>
              </w:tc>
              <w:tc>
                <w:tcPr>
                  <w:tcW w:w="151" w:type="pct"/>
                  <w:vMerge w:val="continue"/>
                  <w:tcBorders>
                    <w:tl2br w:val="nil"/>
                    <w:tr2bl w:val="nil"/>
                  </w:tcBorders>
                  <w:vAlign w:val="center"/>
                </w:tcPr>
                <w:p w14:paraId="213EEDCB">
                  <w:pPr>
                    <w:pStyle w:val="22"/>
                    <w:widowControl w:val="0"/>
                    <w:adjustRightInd w:val="0"/>
                    <w:snapToGrid w:val="0"/>
                    <w:spacing w:before="0" w:beforeAutospacing="0" w:after="0" w:afterAutospacing="0"/>
                    <w:jc w:val="center"/>
                    <w:textAlignment w:val="baseline"/>
                    <w:rPr>
                      <w:rFonts w:ascii="Times New Roman" w:hAnsi="Times New Roman"/>
                      <w:color w:val="auto"/>
                      <w:spacing w:val="-10"/>
                      <w:sz w:val="21"/>
                      <w:szCs w:val="21"/>
                    </w:rPr>
                  </w:pPr>
                </w:p>
              </w:tc>
              <w:tc>
                <w:tcPr>
                  <w:tcW w:w="148" w:type="pct"/>
                  <w:vMerge w:val="continue"/>
                  <w:tcBorders>
                    <w:tl2br w:val="nil"/>
                    <w:tr2bl w:val="nil"/>
                  </w:tcBorders>
                  <w:vAlign w:val="center"/>
                </w:tcPr>
                <w:p w14:paraId="0B788CF7">
                  <w:pPr>
                    <w:pStyle w:val="22"/>
                    <w:widowControl w:val="0"/>
                    <w:adjustRightInd w:val="0"/>
                    <w:snapToGrid w:val="0"/>
                    <w:spacing w:before="0" w:beforeAutospacing="0" w:after="0" w:afterAutospacing="0"/>
                    <w:jc w:val="center"/>
                    <w:textAlignment w:val="baseline"/>
                    <w:rPr>
                      <w:rFonts w:ascii="Times New Roman" w:hAnsi="Times New Roman"/>
                      <w:color w:val="auto"/>
                      <w:spacing w:val="-10"/>
                      <w:sz w:val="21"/>
                      <w:szCs w:val="21"/>
                    </w:rPr>
                  </w:pPr>
                </w:p>
              </w:tc>
              <w:tc>
                <w:tcPr>
                  <w:tcW w:w="126" w:type="pct"/>
                  <w:vMerge w:val="continue"/>
                  <w:tcBorders>
                    <w:tl2br w:val="nil"/>
                    <w:tr2bl w:val="nil"/>
                  </w:tcBorders>
                  <w:vAlign w:val="center"/>
                </w:tcPr>
                <w:p w14:paraId="5E27C43E">
                  <w:pPr>
                    <w:pStyle w:val="22"/>
                    <w:widowControl w:val="0"/>
                    <w:adjustRightInd w:val="0"/>
                    <w:snapToGrid w:val="0"/>
                    <w:spacing w:before="0" w:beforeAutospacing="0" w:after="0" w:afterAutospacing="0"/>
                    <w:jc w:val="center"/>
                    <w:textAlignment w:val="baseline"/>
                    <w:rPr>
                      <w:rFonts w:ascii="Times New Roman" w:hAnsi="Times New Roman"/>
                      <w:color w:val="auto"/>
                      <w:spacing w:val="-10"/>
                      <w:sz w:val="21"/>
                      <w:szCs w:val="21"/>
                    </w:rPr>
                  </w:pPr>
                </w:p>
              </w:tc>
              <w:tc>
                <w:tcPr>
                  <w:tcW w:w="120" w:type="pct"/>
                  <w:vMerge w:val="continue"/>
                  <w:tcBorders>
                    <w:tl2br w:val="nil"/>
                    <w:tr2bl w:val="nil"/>
                  </w:tcBorders>
                  <w:vAlign w:val="center"/>
                </w:tcPr>
                <w:p w14:paraId="1D1A58ED">
                  <w:pPr>
                    <w:pStyle w:val="22"/>
                    <w:widowControl w:val="0"/>
                    <w:adjustRightInd w:val="0"/>
                    <w:snapToGrid w:val="0"/>
                    <w:spacing w:before="0" w:beforeAutospacing="0" w:after="0" w:afterAutospacing="0"/>
                    <w:jc w:val="center"/>
                    <w:textAlignment w:val="baseline"/>
                    <w:rPr>
                      <w:rFonts w:ascii="Times New Roman" w:hAnsi="Times New Roman"/>
                      <w:color w:val="auto"/>
                      <w:spacing w:val="-10"/>
                      <w:sz w:val="21"/>
                      <w:szCs w:val="21"/>
                    </w:rPr>
                  </w:pPr>
                </w:p>
              </w:tc>
              <w:tc>
                <w:tcPr>
                  <w:tcW w:w="134" w:type="pct"/>
                  <w:vMerge w:val="continue"/>
                  <w:tcBorders>
                    <w:tl2br w:val="nil"/>
                    <w:tr2bl w:val="nil"/>
                  </w:tcBorders>
                  <w:vAlign w:val="center"/>
                </w:tcPr>
                <w:p w14:paraId="269D5578">
                  <w:pPr>
                    <w:pStyle w:val="22"/>
                    <w:widowControl w:val="0"/>
                    <w:adjustRightInd w:val="0"/>
                    <w:snapToGrid w:val="0"/>
                    <w:spacing w:before="0" w:beforeAutospacing="0" w:after="0" w:afterAutospacing="0"/>
                    <w:jc w:val="center"/>
                    <w:textAlignment w:val="baseline"/>
                    <w:rPr>
                      <w:rFonts w:ascii="Times New Roman" w:hAnsi="Times New Roman"/>
                      <w:color w:val="auto"/>
                      <w:spacing w:val="-10"/>
                      <w:sz w:val="21"/>
                      <w:szCs w:val="21"/>
                    </w:rPr>
                  </w:pPr>
                </w:p>
              </w:tc>
              <w:tc>
                <w:tcPr>
                  <w:tcW w:w="115" w:type="pct"/>
                  <w:vMerge w:val="continue"/>
                  <w:tcBorders>
                    <w:tl2br w:val="nil"/>
                    <w:tr2bl w:val="nil"/>
                  </w:tcBorders>
                  <w:vAlign w:val="center"/>
                </w:tcPr>
                <w:p w14:paraId="2B47770A">
                  <w:pPr>
                    <w:pStyle w:val="22"/>
                    <w:keepNext w:val="0"/>
                    <w:keepLines w:val="0"/>
                    <w:pageBreakBefore w:val="0"/>
                    <w:widowControl w:val="0"/>
                    <w:kinsoku/>
                    <w:wordWrap/>
                    <w:overflowPunct/>
                    <w:topLinePunct w:val="0"/>
                    <w:autoSpaceDE/>
                    <w:autoSpaceDN/>
                    <w:bidi w:val="0"/>
                    <w:adjustRightInd w:val="0"/>
                    <w:snapToGrid w:val="0"/>
                    <w:spacing w:before="0" w:beforeAutospacing="0" w:after="0" w:afterAutospacing="0"/>
                    <w:jc w:val="center"/>
                    <w:textAlignment w:val="baseline"/>
                    <w:rPr>
                      <w:rFonts w:hint="default" w:ascii="Times New Roman" w:hAnsi="Times New Roman" w:cs="Times New Roman"/>
                      <w:color w:val="auto"/>
                      <w:spacing w:val="-10"/>
                      <w:sz w:val="21"/>
                      <w:szCs w:val="21"/>
                    </w:rPr>
                  </w:pPr>
                </w:p>
              </w:tc>
              <w:tc>
                <w:tcPr>
                  <w:tcW w:w="117" w:type="pct"/>
                  <w:vMerge w:val="continue"/>
                  <w:tcBorders>
                    <w:tl2br w:val="nil"/>
                    <w:tr2bl w:val="nil"/>
                  </w:tcBorders>
                  <w:vAlign w:val="center"/>
                </w:tcPr>
                <w:p w14:paraId="4ABC4DBD">
                  <w:pPr>
                    <w:pStyle w:val="22"/>
                    <w:keepNext w:val="0"/>
                    <w:keepLines w:val="0"/>
                    <w:pageBreakBefore w:val="0"/>
                    <w:widowControl w:val="0"/>
                    <w:kinsoku/>
                    <w:wordWrap/>
                    <w:overflowPunct/>
                    <w:topLinePunct w:val="0"/>
                    <w:autoSpaceDE/>
                    <w:autoSpaceDN/>
                    <w:bidi w:val="0"/>
                    <w:adjustRightInd w:val="0"/>
                    <w:snapToGrid w:val="0"/>
                    <w:spacing w:before="0" w:beforeAutospacing="0" w:after="0" w:afterAutospacing="0"/>
                    <w:jc w:val="center"/>
                    <w:textAlignment w:val="baseline"/>
                    <w:rPr>
                      <w:rFonts w:hint="default" w:ascii="Times New Roman" w:hAnsi="Times New Roman" w:cs="Times New Roman"/>
                      <w:color w:val="auto"/>
                      <w:spacing w:val="-10"/>
                      <w:sz w:val="21"/>
                      <w:szCs w:val="21"/>
                    </w:rPr>
                  </w:pPr>
                </w:p>
              </w:tc>
              <w:tc>
                <w:tcPr>
                  <w:tcW w:w="117" w:type="pct"/>
                  <w:vMerge w:val="continue"/>
                  <w:tcBorders>
                    <w:tl2br w:val="nil"/>
                    <w:tr2bl w:val="nil"/>
                  </w:tcBorders>
                  <w:vAlign w:val="center"/>
                </w:tcPr>
                <w:p w14:paraId="5F86AFED">
                  <w:pPr>
                    <w:pStyle w:val="22"/>
                    <w:keepNext w:val="0"/>
                    <w:keepLines w:val="0"/>
                    <w:pageBreakBefore w:val="0"/>
                    <w:widowControl w:val="0"/>
                    <w:kinsoku/>
                    <w:wordWrap/>
                    <w:overflowPunct/>
                    <w:topLinePunct w:val="0"/>
                    <w:autoSpaceDE/>
                    <w:autoSpaceDN/>
                    <w:bidi w:val="0"/>
                    <w:adjustRightInd w:val="0"/>
                    <w:snapToGrid w:val="0"/>
                    <w:spacing w:before="0" w:beforeAutospacing="0" w:after="0" w:afterAutospacing="0"/>
                    <w:jc w:val="center"/>
                    <w:textAlignment w:val="baseline"/>
                    <w:rPr>
                      <w:rFonts w:hint="default" w:ascii="Times New Roman" w:hAnsi="Times New Roman" w:cs="Times New Roman"/>
                      <w:color w:val="auto"/>
                      <w:spacing w:val="-10"/>
                      <w:sz w:val="21"/>
                      <w:szCs w:val="21"/>
                    </w:rPr>
                  </w:pPr>
                </w:p>
              </w:tc>
              <w:tc>
                <w:tcPr>
                  <w:tcW w:w="118" w:type="pct"/>
                  <w:vMerge w:val="continue"/>
                  <w:tcBorders>
                    <w:tl2br w:val="nil"/>
                    <w:tr2bl w:val="nil"/>
                  </w:tcBorders>
                  <w:vAlign w:val="center"/>
                </w:tcPr>
                <w:p w14:paraId="6E991F6D">
                  <w:pPr>
                    <w:pStyle w:val="22"/>
                    <w:keepNext w:val="0"/>
                    <w:keepLines w:val="0"/>
                    <w:pageBreakBefore w:val="0"/>
                    <w:widowControl w:val="0"/>
                    <w:kinsoku/>
                    <w:wordWrap/>
                    <w:overflowPunct/>
                    <w:topLinePunct w:val="0"/>
                    <w:autoSpaceDE/>
                    <w:autoSpaceDN/>
                    <w:bidi w:val="0"/>
                    <w:adjustRightInd w:val="0"/>
                    <w:snapToGrid w:val="0"/>
                    <w:spacing w:before="0" w:beforeAutospacing="0" w:after="0" w:afterAutospacing="0"/>
                    <w:jc w:val="center"/>
                    <w:textAlignment w:val="baseline"/>
                    <w:rPr>
                      <w:rFonts w:hint="default" w:ascii="Times New Roman" w:hAnsi="Times New Roman" w:cs="Times New Roman"/>
                      <w:color w:val="auto"/>
                      <w:spacing w:val="-10"/>
                      <w:sz w:val="21"/>
                      <w:szCs w:val="21"/>
                    </w:rPr>
                  </w:pPr>
                </w:p>
              </w:tc>
              <w:tc>
                <w:tcPr>
                  <w:tcW w:w="282" w:type="pct"/>
                  <w:vMerge w:val="continue"/>
                  <w:tcBorders>
                    <w:tl2br w:val="nil"/>
                    <w:tr2bl w:val="nil"/>
                  </w:tcBorders>
                  <w:vAlign w:val="center"/>
                </w:tcPr>
                <w:p w14:paraId="44BE4772">
                  <w:pPr>
                    <w:pStyle w:val="22"/>
                    <w:widowControl w:val="0"/>
                    <w:adjustRightInd w:val="0"/>
                    <w:snapToGrid w:val="0"/>
                    <w:spacing w:before="0" w:beforeAutospacing="0" w:after="0" w:afterAutospacing="0"/>
                    <w:jc w:val="center"/>
                    <w:textAlignment w:val="baseline"/>
                    <w:rPr>
                      <w:rFonts w:ascii="Times New Roman" w:hAnsi="Times New Roman"/>
                      <w:color w:val="auto"/>
                      <w:spacing w:val="-10"/>
                      <w:sz w:val="21"/>
                      <w:szCs w:val="21"/>
                    </w:rPr>
                  </w:pPr>
                </w:p>
              </w:tc>
            </w:tr>
            <w:tr w14:paraId="592D06E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41" w:type="pct"/>
                  <w:tcBorders>
                    <w:tl2br w:val="nil"/>
                    <w:tr2bl w:val="nil"/>
                  </w:tcBorders>
                  <w:vAlign w:val="center"/>
                </w:tcPr>
                <w:p w14:paraId="1BCB2EB3">
                  <w:pPr>
                    <w:pStyle w:val="22"/>
                    <w:widowControl w:val="0"/>
                    <w:numPr>
                      <w:ilvl w:val="0"/>
                      <w:numId w:val="11"/>
                    </w:numPr>
                    <w:adjustRightInd w:val="0"/>
                    <w:snapToGrid w:val="0"/>
                    <w:spacing w:before="0" w:beforeAutospacing="0" w:after="0" w:afterAutospacing="0"/>
                    <w:ind w:left="0" w:leftChars="0" w:firstLine="0" w:firstLineChars="0"/>
                    <w:jc w:val="center"/>
                    <w:textAlignment w:val="baseline"/>
                    <w:rPr>
                      <w:rFonts w:ascii="Times New Roman" w:hAnsi="Times New Roman"/>
                      <w:color w:val="auto"/>
                      <w:spacing w:val="-10"/>
                      <w:sz w:val="21"/>
                      <w:szCs w:val="21"/>
                    </w:rPr>
                  </w:pPr>
                </w:p>
              </w:tc>
              <w:tc>
                <w:tcPr>
                  <w:tcW w:w="162" w:type="pct"/>
                  <w:vMerge w:val="continue"/>
                  <w:tcBorders>
                    <w:tl2br w:val="nil"/>
                    <w:tr2bl w:val="nil"/>
                  </w:tcBorders>
                  <w:vAlign w:val="center"/>
                </w:tcPr>
                <w:p w14:paraId="41246A7C">
                  <w:pPr>
                    <w:pStyle w:val="22"/>
                    <w:widowControl w:val="0"/>
                    <w:adjustRightInd w:val="0"/>
                    <w:snapToGrid w:val="0"/>
                    <w:spacing w:before="0" w:beforeAutospacing="0" w:after="0" w:afterAutospacing="0"/>
                    <w:jc w:val="center"/>
                    <w:textAlignment w:val="baseline"/>
                    <w:rPr>
                      <w:rFonts w:ascii="Times New Roman" w:hAnsi="Times New Roman"/>
                      <w:color w:val="auto"/>
                      <w:spacing w:val="-10"/>
                      <w:sz w:val="21"/>
                      <w:szCs w:val="21"/>
                    </w:rPr>
                  </w:pPr>
                </w:p>
              </w:tc>
              <w:tc>
                <w:tcPr>
                  <w:tcW w:w="353" w:type="pct"/>
                  <w:tcBorders>
                    <w:tl2br w:val="nil"/>
                    <w:tr2bl w:val="nil"/>
                  </w:tcBorders>
                  <w:shd w:val="clear" w:color="auto" w:fill="auto"/>
                  <w:vAlign w:val="center"/>
                </w:tcPr>
                <w:p w14:paraId="5C25FA40">
                  <w:pPr>
                    <w:keepNext w:val="0"/>
                    <w:keepLines w:val="0"/>
                    <w:pageBreakBefore w:val="0"/>
                    <w:kinsoku/>
                    <w:wordWrap/>
                    <w:overflowPunct/>
                    <w:topLinePunct w:val="0"/>
                    <w:autoSpaceDE/>
                    <w:autoSpaceDN/>
                    <w:bidi w:val="0"/>
                    <w:spacing w:line="240" w:lineRule="auto"/>
                    <w:jc w:val="center"/>
                    <w:rPr>
                      <w:rFonts w:hint="default" w:ascii="Times New Roman" w:hAnsi="Times New Roman" w:eastAsia="宋体" w:cs="Times New Roman"/>
                      <w:color w:val="auto"/>
                      <w:kern w:val="2"/>
                      <w:sz w:val="21"/>
                      <w:szCs w:val="21"/>
                      <w:lang w:val="en-US" w:eastAsia="zh-CN" w:bidi="ar"/>
                    </w:rPr>
                  </w:pPr>
                  <w:r>
                    <w:rPr>
                      <w:rFonts w:hint="default" w:ascii="Times New Roman" w:hAnsi="Times New Roman" w:eastAsia="宋体" w:cs="Times New Roman"/>
                      <w:color w:val="auto"/>
                      <w:sz w:val="21"/>
                      <w:szCs w:val="21"/>
                    </w:rPr>
                    <w:t>压块机</w:t>
                  </w:r>
                </w:p>
              </w:tc>
              <w:tc>
                <w:tcPr>
                  <w:tcW w:w="190" w:type="pct"/>
                  <w:tcBorders>
                    <w:tl2br w:val="nil"/>
                    <w:tr2bl w:val="nil"/>
                  </w:tcBorders>
                  <w:shd w:val="clear" w:color="auto" w:fill="auto"/>
                  <w:vAlign w:val="center"/>
                </w:tcPr>
                <w:p w14:paraId="30776A6F">
                  <w:pPr>
                    <w:widowControl/>
                    <w:spacing w:line="240" w:lineRule="auto"/>
                    <w:jc w:val="center"/>
                    <w:textAlignment w:val="center"/>
                    <w:rPr>
                      <w:rFonts w:hint="eastAsia" w:ascii="Times New Roman" w:hAnsi="Times New Roman" w:eastAsia="宋体" w:cs="Times New Roman"/>
                      <w:color w:val="auto"/>
                      <w:kern w:val="0"/>
                      <w:sz w:val="21"/>
                      <w:szCs w:val="21"/>
                      <w:lang w:val="en-US" w:eastAsia="zh-CN" w:bidi="ar"/>
                    </w:rPr>
                  </w:pPr>
                  <w:r>
                    <w:rPr>
                      <w:rFonts w:hint="eastAsia" w:cs="Times New Roman"/>
                      <w:color w:val="auto"/>
                      <w:kern w:val="0"/>
                      <w:sz w:val="21"/>
                      <w:szCs w:val="21"/>
                      <w:lang w:val="en-US" w:eastAsia="zh-CN" w:bidi="ar"/>
                    </w:rPr>
                    <w:t>/</w:t>
                  </w:r>
                </w:p>
              </w:tc>
              <w:tc>
                <w:tcPr>
                  <w:tcW w:w="302" w:type="pct"/>
                  <w:tcBorders>
                    <w:tl2br w:val="nil"/>
                    <w:tr2bl w:val="nil"/>
                  </w:tcBorders>
                  <w:shd w:val="clear" w:color="auto" w:fill="auto"/>
                  <w:vAlign w:val="center"/>
                </w:tcPr>
                <w:p w14:paraId="00ADA76B">
                  <w:pPr>
                    <w:keepNext w:val="0"/>
                    <w:keepLines w:val="0"/>
                    <w:widowControl/>
                    <w:suppressLineNumbers w:val="0"/>
                    <w:jc w:val="center"/>
                    <w:textAlignment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等线" w:cs="Times New Roman"/>
                      <w:i w:val="0"/>
                      <w:iCs w:val="0"/>
                      <w:color w:val="auto"/>
                      <w:kern w:val="0"/>
                      <w:sz w:val="21"/>
                      <w:szCs w:val="21"/>
                      <w:u w:val="none"/>
                      <w:lang w:val="en-US" w:eastAsia="zh-CN" w:bidi="ar"/>
                    </w:rPr>
                    <w:t>80</w:t>
                  </w:r>
                </w:p>
              </w:tc>
              <w:tc>
                <w:tcPr>
                  <w:tcW w:w="169" w:type="pct"/>
                  <w:vMerge w:val="continue"/>
                  <w:tcBorders>
                    <w:tl2br w:val="nil"/>
                    <w:tr2bl w:val="nil"/>
                  </w:tcBorders>
                  <w:vAlign w:val="center"/>
                </w:tcPr>
                <w:p w14:paraId="05440A5E">
                  <w:pPr>
                    <w:pStyle w:val="22"/>
                    <w:widowControl w:val="0"/>
                    <w:adjustRightInd w:val="0"/>
                    <w:snapToGrid w:val="0"/>
                    <w:spacing w:before="0" w:beforeAutospacing="0" w:after="0" w:afterAutospacing="0"/>
                    <w:jc w:val="center"/>
                    <w:textAlignment w:val="baseline"/>
                    <w:rPr>
                      <w:rFonts w:ascii="Times New Roman" w:hAnsi="Times New Roman"/>
                      <w:color w:val="auto"/>
                      <w:spacing w:val="-10"/>
                      <w:sz w:val="21"/>
                      <w:szCs w:val="21"/>
                    </w:rPr>
                  </w:pPr>
                </w:p>
              </w:tc>
              <w:tc>
                <w:tcPr>
                  <w:tcW w:w="177" w:type="pct"/>
                  <w:tcBorders>
                    <w:tl2br w:val="nil"/>
                    <w:tr2bl w:val="nil"/>
                  </w:tcBorders>
                  <w:shd w:val="clear" w:color="auto" w:fill="auto"/>
                  <w:vAlign w:val="center"/>
                </w:tcPr>
                <w:p w14:paraId="1CE83D58">
                  <w:pPr>
                    <w:widowControl/>
                    <w:jc w:val="center"/>
                    <w:textAlignment w:val="center"/>
                    <w:rPr>
                      <w:rFonts w:hint="default" w:ascii="Times New Roman" w:hAnsi="Times New Roman" w:eastAsia="等线" w:cs="Times New Roman"/>
                      <w:color w:val="auto"/>
                      <w:kern w:val="0"/>
                      <w:sz w:val="21"/>
                      <w:szCs w:val="21"/>
                      <w:lang w:val="en-US" w:eastAsia="zh-CN" w:bidi="ar"/>
                    </w:rPr>
                  </w:pPr>
                  <w:r>
                    <w:rPr>
                      <w:rFonts w:hint="eastAsia" w:eastAsia="等线" w:cs="Times New Roman"/>
                      <w:color w:val="auto"/>
                      <w:kern w:val="0"/>
                      <w:sz w:val="21"/>
                      <w:szCs w:val="21"/>
                      <w:lang w:val="en-US" w:eastAsia="zh-CN" w:bidi="ar"/>
                    </w:rPr>
                    <w:t>-4</w:t>
                  </w:r>
                </w:p>
              </w:tc>
              <w:tc>
                <w:tcPr>
                  <w:tcW w:w="201" w:type="pct"/>
                  <w:tcBorders>
                    <w:tl2br w:val="nil"/>
                    <w:tr2bl w:val="nil"/>
                  </w:tcBorders>
                  <w:shd w:val="clear" w:color="auto" w:fill="auto"/>
                  <w:vAlign w:val="center"/>
                </w:tcPr>
                <w:p w14:paraId="0C045260">
                  <w:pPr>
                    <w:widowControl/>
                    <w:jc w:val="center"/>
                    <w:textAlignment w:val="center"/>
                    <w:rPr>
                      <w:rFonts w:hint="default" w:ascii="Times New Roman" w:hAnsi="Times New Roman" w:eastAsia="等线" w:cs="Times New Roman"/>
                      <w:color w:val="auto"/>
                      <w:kern w:val="0"/>
                      <w:sz w:val="21"/>
                      <w:szCs w:val="21"/>
                      <w:lang w:val="en-US" w:eastAsia="zh-CN" w:bidi="ar"/>
                    </w:rPr>
                  </w:pPr>
                  <w:r>
                    <w:rPr>
                      <w:rFonts w:hint="eastAsia" w:eastAsia="等线" w:cs="Times New Roman"/>
                      <w:color w:val="auto"/>
                      <w:kern w:val="0"/>
                      <w:sz w:val="21"/>
                      <w:szCs w:val="21"/>
                      <w:lang w:val="en-US" w:eastAsia="zh-CN" w:bidi="ar"/>
                    </w:rPr>
                    <w:t>108</w:t>
                  </w:r>
                </w:p>
              </w:tc>
              <w:tc>
                <w:tcPr>
                  <w:tcW w:w="116" w:type="pct"/>
                  <w:tcBorders>
                    <w:tl2br w:val="nil"/>
                    <w:tr2bl w:val="nil"/>
                  </w:tcBorders>
                  <w:vAlign w:val="center"/>
                </w:tcPr>
                <w:p w14:paraId="23280B99">
                  <w:pPr>
                    <w:widowControl/>
                    <w:jc w:val="center"/>
                    <w:textAlignment w:val="center"/>
                    <w:rPr>
                      <w:rFonts w:hint="eastAsia" w:eastAsia="宋体"/>
                      <w:color w:val="auto"/>
                      <w:sz w:val="21"/>
                      <w:szCs w:val="21"/>
                      <w:lang w:val="en-US" w:eastAsia="zh-CN"/>
                    </w:rPr>
                  </w:pPr>
                  <w:r>
                    <w:rPr>
                      <w:rFonts w:hint="eastAsia" w:eastAsia="宋体"/>
                      <w:color w:val="auto"/>
                      <w:sz w:val="21"/>
                      <w:szCs w:val="21"/>
                      <w:lang w:val="en-US" w:eastAsia="zh-CN"/>
                    </w:rPr>
                    <w:t>1</w:t>
                  </w:r>
                </w:p>
              </w:tc>
              <w:tc>
                <w:tcPr>
                  <w:tcW w:w="197" w:type="pct"/>
                  <w:tcBorders>
                    <w:tl2br w:val="nil"/>
                    <w:tr2bl w:val="nil"/>
                  </w:tcBorders>
                  <w:vAlign w:val="center"/>
                </w:tcPr>
                <w:p w14:paraId="3F4FE636">
                  <w:pPr>
                    <w:widowControl/>
                    <w:jc w:val="center"/>
                    <w:textAlignment w:val="center"/>
                    <w:rPr>
                      <w:rFonts w:hint="default" w:eastAsia="等线"/>
                      <w:color w:val="auto"/>
                      <w:kern w:val="0"/>
                      <w:sz w:val="21"/>
                      <w:szCs w:val="21"/>
                      <w:lang w:val="en-US" w:eastAsia="zh-CN"/>
                    </w:rPr>
                  </w:pPr>
                  <w:r>
                    <w:rPr>
                      <w:rFonts w:hint="eastAsia" w:eastAsia="等线"/>
                      <w:color w:val="auto"/>
                      <w:kern w:val="0"/>
                      <w:sz w:val="21"/>
                      <w:szCs w:val="21"/>
                      <w:lang w:val="en-US" w:eastAsia="zh-CN"/>
                    </w:rPr>
                    <w:t>40</w:t>
                  </w:r>
                </w:p>
              </w:tc>
              <w:tc>
                <w:tcPr>
                  <w:tcW w:w="237" w:type="pct"/>
                  <w:tcBorders>
                    <w:tl2br w:val="nil"/>
                    <w:tr2bl w:val="nil"/>
                  </w:tcBorders>
                  <w:vAlign w:val="center"/>
                </w:tcPr>
                <w:p w14:paraId="5552265A">
                  <w:pPr>
                    <w:keepNext w:val="0"/>
                    <w:keepLines w:val="0"/>
                    <w:widowControl/>
                    <w:suppressLineNumbers w:val="0"/>
                    <w:jc w:val="center"/>
                    <w:textAlignment w:val="center"/>
                    <w:rPr>
                      <w:rFonts w:hint="default" w:eastAsia="等线"/>
                      <w:color w:val="auto"/>
                      <w:kern w:val="0"/>
                      <w:sz w:val="21"/>
                      <w:szCs w:val="21"/>
                      <w:lang w:val="en-US" w:eastAsia="zh-CN"/>
                    </w:rPr>
                  </w:pPr>
                  <w:r>
                    <w:rPr>
                      <w:rFonts w:hint="eastAsia" w:eastAsia="等线"/>
                      <w:color w:val="auto"/>
                      <w:kern w:val="0"/>
                      <w:sz w:val="21"/>
                      <w:szCs w:val="21"/>
                      <w:lang w:val="en-US" w:eastAsia="zh-CN"/>
                    </w:rPr>
                    <w:t>106</w:t>
                  </w:r>
                </w:p>
              </w:tc>
              <w:tc>
                <w:tcPr>
                  <w:tcW w:w="181" w:type="pct"/>
                  <w:tcBorders>
                    <w:tl2br w:val="nil"/>
                    <w:tr2bl w:val="nil"/>
                  </w:tcBorders>
                  <w:vAlign w:val="center"/>
                </w:tcPr>
                <w:p w14:paraId="5ED29022">
                  <w:pPr>
                    <w:keepNext w:val="0"/>
                    <w:keepLines w:val="0"/>
                    <w:widowControl/>
                    <w:suppressLineNumbers w:val="0"/>
                    <w:jc w:val="center"/>
                    <w:textAlignment w:val="center"/>
                    <w:rPr>
                      <w:rFonts w:hint="default" w:eastAsia="等线"/>
                      <w:color w:val="auto"/>
                      <w:kern w:val="0"/>
                      <w:sz w:val="21"/>
                      <w:szCs w:val="21"/>
                      <w:lang w:val="en-US" w:eastAsia="zh-CN"/>
                    </w:rPr>
                  </w:pPr>
                  <w:r>
                    <w:rPr>
                      <w:rFonts w:hint="eastAsia" w:eastAsia="等线"/>
                      <w:color w:val="auto"/>
                      <w:kern w:val="0"/>
                      <w:sz w:val="21"/>
                      <w:szCs w:val="21"/>
                      <w:lang w:val="en-US" w:eastAsia="zh-CN"/>
                    </w:rPr>
                    <w:t>26</w:t>
                  </w:r>
                </w:p>
              </w:tc>
              <w:tc>
                <w:tcPr>
                  <w:tcW w:w="237" w:type="pct"/>
                  <w:tcBorders>
                    <w:tl2br w:val="nil"/>
                    <w:tr2bl w:val="nil"/>
                  </w:tcBorders>
                  <w:vAlign w:val="center"/>
                </w:tcPr>
                <w:p w14:paraId="6E4BC1C0">
                  <w:pPr>
                    <w:widowControl/>
                    <w:jc w:val="center"/>
                    <w:textAlignment w:val="center"/>
                    <w:rPr>
                      <w:rFonts w:hint="default" w:eastAsia="等线"/>
                      <w:color w:val="auto"/>
                      <w:kern w:val="0"/>
                      <w:sz w:val="21"/>
                      <w:szCs w:val="21"/>
                      <w:lang w:val="en-US" w:eastAsia="zh-CN"/>
                    </w:rPr>
                  </w:pPr>
                  <w:r>
                    <w:rPr>
                      <w:rFonts w:hint="eastAsia" w:eastAsia="等线"/>
                      <w:color w:val="auto"/>
                      <w:kern w:val="0"/>
                      <w:sz w:val="21"/>
                      <w:szCs w:val="21"/>
                      <w:lang w:val="en-US" w:eastAsia="zh-CN"/>
                    </w:rPr>
                    <w:t>3</w:t>
                  </w:r>
                </w:p>
              </w:tc>
              <w:tc>
                <w:tcPr>
                  <w:tcW w:w="241" w:type="pct"/>
                  <w:tcBorders>
                    <w:tl2br w:val="nil"/>
                    <w:tr2bl w:val="nil"/>
                  </w:tcBorders>
                  <w:vAlign w:val="center"/>
                </w:tcPr>
                <w:p w14:paraId="76935F8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51.4</w:t>
                  </w:r>
                </w:p>
              </w:tc>
              <w:tc>
                <w:tcPr>
                  <w:tcW w:w="241" w:type="pct"/>
                  <w:tcBorders>
                    <w:tl2br w:val="nil"/>
                    <w:tr2bl w:val="nil"/>
                  </w:tcBorders>
                  <w:vAlign w:val="center"/>
                </w:tcPr>
                <w:p w14:paraId="62152C0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51.3</w:t>
                  </w:r>
                </w:p>
              </w:tc>
              <w:tc>
                <w:tcPr>
                  <w:tcW w:w="206" w:type="pct"/>
                  <w:tcBorders>
                    <w:tl2br w:val="nil"/>
                    <w:tr2bl w:val="nil"/>
                  </w:tcBorders>
                  <w:vAlign w:val="center"/>
                </w:tcPr>
                <w:p w14:paraId="704789A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51.5</w:t>
                  </w:r>
                </w:p>
              </w:tc>
              <w:tc>
                <w:tcPr>
                  <w:tcW w:w="207" w:type="pct"/>
                  <w:tcBorders>
                    <w:tl2br w:val="nil"/>
                    <w:tr2bl w:val="nil"/>
                  </w:tcBorders>
                  <w:vAlign w:val="center"/>
                </w:tcPr>
                <w:p w14:paraId="7DCDD04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58.4</w:t>
                  </w:r>
                </w:p>
              </w:tc>
              <w:tc>
                <w:tcPr>
                  <w:tcW w:w="151" w:type="pct"/>
                  <w:vMerge w:val="continue"/>
                  <w:tcBorders>
                    <w:tl2br w:val="nil"/>
                    <w:tr2bl w:val="nil"/>
                  </w:tcBorders>
                  <w:vAlign w:val="center"/>
                </w:tcPr>
                <w:p w14:paraId="05E92EA0">
                  <w:pPr>
                    <w:pStyle w:val="22"/>
                    <w:widowControl w:val="0"/>
                    <w:adjustRightInd w:val="0"/>
                    <w:snapToGrid w:val="0"/>
                    <w:spacing w:before="0" w:beforeAutospacing="0" w:after="0" w:afterAutospacing="0"/>
                    <w:jc w:val="center"/>
                    <w:textAlignment w:val="baseline"/>
                    <w:rPr>
                      <w:rFonts w:ascii="Times New Roman" w:hAnsi="Times New Roman"/>
                      <w:color w:val="auto"/>
                      <w:spacing w:val="-10"/>
                      <w:sz w:val="21"/>
                      <w:szCs w:val="21"/>
                    </w:rPr>
                  </w:pPr>
                </w:p>
              </w:tc>
              <w:tc>
                <w:tcPr>
                  <w:tcW w:w="148" w:type="pct"/>
                  <w:vMerge w:val="continue"/>
                  <w:tcBorders>
                    <w:tl2br w:val="nil"/>
                    <w:tr2bl w:val="nil"/>
                  </w:tcBorders>
                  <w:vAlign w:val="center"/>
                </w:tcPr>
                <w:p w14:paraId="54A29D28">
                  <w:pPr>
                    <w:pStyle w:val="22"/>
                    <w:widowControl w:val="0"/>
                    <w:adjustRightInd w:val="0"/>
                    <w:snapToGrid w:val="0"/>
                    <w:spacing w:before="0" w:beforeAutospacing="0" w:after="0" w:afterAutospacing="0"/>
                    <w:jc w:val="center"/>
                    <w:textAlignment w:val="baseline"/>
                    <w:rPr>
                      <w:rFonts w:ascii="Times New Roman" w:hAnsi="Times New Roman"/>
                      <w:color w:val="auto"/>
                      <w:spacing w:val="-10"/>
                      <w:sz w:val="21"/>
                      <w:szCs w:val="21"/>
                    </w:rPr>
                  </w:pPr>
                </w:p>
              </w:tc>
              <w:tc>
                <w:tcPr>
                  <w:tcW w:w="126" w:type="pct"/>
                  <w:vMerge w:val="continue"/>
                  <w:tcBorders>
                    <w:tl2br w:val="nil"/>
                    <w:tr2bl w:val="nil"/>
                  </w:tcBorders>
                  <w:vAlign w:val="center"/>
                </w:tcPr>
                <w:p w14:paraId="4E866E4B">
                  <w:pPr>
                    <w:pStyle w:val="22"/>
                    <w:widowControl w:val="0"/>
                    <w:adjustRightInd w:val="0"/>
                    <w:snapToGrid w:val="0"/>
                    <w:spacing w:before="0" w:beforeAutospacing="0" w:after="0" w:afterAutospacing="0"/>
                    <w:jc w:val="center"/>
                    <w:textAlignment w:val="baseline"/>
                    <w:rPr>
                      <w:rFonts w:ascii="Times New Roman" w:hAnsi="Times New Roman"/>
                      <w:color w:val="auto"/>
                      <w:spacing w:val="-10"/>
                      <w:sz w:val="21"/>
                      <w:szCs w:val="21"/>
                    </w:rPr>
                  </w:pPr>
                </w:p>
              </w:tc>
              <w:tc>
                <w:tcPr>
                  <w:tcW w:w="120" w:type="pct"/>
                  <w:vMerge w:val="continue"/>
                  <w:tcBorders>
                    <w:tl2br w:val="nil"/>
                    <w:tr2bl w:val="nil"/>
                  </w:tcBorders>
                  <w:vAlign w:val="center"/>
                </w:tcPr>
                <w:p w14:paraId="2BA6CA67">
                  <w:pPr>
                    <w:pStyle w:val="22"/>
                    <w:widowControl w:val="0"/>
                    <w:adjustRightInd w:val="0"/>
                    <w:snapToGrid w:val="0"/>
                    <w:spacing w:before="0" w:beforeAutospacing="0" w:after="0" w:afterAutospacing="0"/>
                    <w:jc w:val="center"/>
                    <w:textAlignment w:val="baseline"/>
                    <w:rPr>
                      <w:rFonts w:ascii="Times New Roman" w:hAnsi="Times New Roman"/>
                      <w:color w:val="auto"/>
                      <w:spacing w:val="-10"/>
                      <w:sz w:val="21"/>
                      <w:szCs w:val="21"/>
                    </w:rPr>
                  </w:pPr>
                </w:p>
              </w:tc>
              <w:tc>
                <w:tcPr>
                  <w:tcW w:w="134" w:type="pct"/>
                  <w:vMerge w:val="continue"/>
                  <w:tcBorders>
                    <w:tl2br w:val="nil"/>
                    <w:tr2bl w:val="nil"/>
                  </w:tcBorders>
                  <w:vAlign w:val="center"/>
                </w:tcPr>
                <w:p w14:paraId="71233D2B">
                  <w:pPr>
                    <w:pStyle w:val="22"/>
                    <w:widowControl w:val="0"/>
                    <w:adjustRightInd w:val="0"/>
                    <w:snapToGrid w:val="0"/>
                    <w:spacing w:before="0" w:beforeAutospacing="0" w:after="0" w:afterAutospacing="0"/>
                    <w:jc w:val="center"/>
                    <w:textAlignment w:val="baseline"/>
                    <w:rPr>
                      <w:rFonts w:ascii="Times New Roman" w:hAnsi="Times New Roman"/>
                      <w:color w:val="auto"/>
                      <w:spacing w:val="-10"/>
                      <w:sz w:val="21"/>
                      <w:szCs w:val="21"/>
                    </w:rPr>
                  </w:pPr>
                </w:p>
              </w:tc>
              <w:tc>
                <w:tcPr>
                  <w:tcW w:w="115" w:type="pct"/>
                  <w:vMerge w:val="continue"/>
                  <w:tcBorders>
                    <w:tl2br w:val="nil"/>
                    <w:tr2bl w:val="nil"/>
                  </w:tcBorders>
                  <w:vAlign w:val="center"/>
                </w:tcPr>
                <w:p w14:paraId="546A7DA2">
                  <w:pPr>
                    <w:pStyle w:val="22"/>
                    <w:keepNext w:val="0"/>
                    <w:keepLines w:val="0"/>
                    <w:pageBreakBefore w:val="0"/>
                    <w:widowControl w:val="0"/>
                    <w:kinsoku/>
                    <w:wordWrap/>
                    <w:overflowPunct/>
                    <w:topLinePunct w:val="0"/>
                    <w:autoSpaceDE/>
                    <w:autoSpaceDN/>
                    <w:bidi w:val="0"/>
                    <w:adjustRightInd w:val="0"/>
                    <w:snapToGrid w:val="0"/>
                    <w:spacing w:before="0" w:beforeAutospacing="0" w:after="0" w:afterAutospacing="0"/>
                    <w:jc w:val="center"/>
                    <w:textAlignment w:val="baseline"/>
                    <w:rPr>
                      <w:rFonts w:hint="default" w:ascii="Times New Roman" w:hAnsi="Times New Roman" w:cs="Times New Roman"/>
                      <w:color w:val="auto"/>
                      <w:spacing w:val="-10"/>
                      <w:sz w:val="21"/>
                      <w:szCs w:val="21"/>
                    </w:rPr>
                  </w:pPr>
                </w:p>
              </w:tc>
              <w:tc>
                <w:tcPr>
                  <w:tcW w:w="117" w:type="pct"/>
                  <w:vMerge w:val="continue"/>
                  <w:tcBorders>
                    <w:tl2br w:val="nil"/>
                    <w:tr2bl w:val="nil"/>
                  </w:tcBorders>
                  <w:vAlign w:val="center"/>
                </w:tcPr>
                <w:p w14:paraId="1433999D">
                  <w:pPr>
                    <w:pStyle w:val="22"/>
                    <w:keepNext w:val="0"/>
                    <w:keepLines w:val="0"/>
                    <w:pageBreakBefore w:val="0"/>
                    <w:widowControl w:val="0"/>
                    <w:kinsoku/>
                    <w:wordWrap/>
                    <w:overflowPunct/>
                    <w:topLinePunct w:val="0"/>
                    <w:autoSpaceDE/>
                    <w:autoSpaceDN/>
                    <w:bidi w:val="0"/>
                    <w:adjustRightInd w:val="0"/>
                    <w:snapToGrid w:val="0"/>
                    <w:spacing w:before="0" w:beforeAutospacing="0" w:after="0" w:afterAutospacing="0"/>
                    <w:jc w:val="center"/>
                    <w:textAlignment w:val="baseline"/>
                    <w:rPr>
                      <w:rFonts w:hint="default" w:ascii="Times New Roman" w:hAnsi="Times New Roman" w:cs="Times New Roman"/>
                      <w:color w:val="auto"/>
                      <w:spacing w:val="-10"/>
                      <w:sz w:val="21"/>
                      <w:szCs w:val="21"/>
                    </w:rPr>
                  </w:pPr>
                </w:p>
              </w:tc>
              <w:tc>
                <w:tcPr>
                  <w:tcW w:w="117" w:type="pct"/>
                  <w:vMerge w:val="continue"/>
                  <w:tcBorders>
                    <w:tl2br w:val="nil"/>
                    <w:tr2bl w:val="nil"/>
                  </w:tcBorders>
                  <w:vAlign w:val="center"/>
                </w:tcPr>
                <w:p w14:paraId="1F13B894">
                  <w:pPr>
                    <w:pStyle w:val="22"/>
                    <w:keepNext w:val="0"/>
                    <w:keepLines w:val="0"/>
                    <w:pageBreakBefore w:val="0"/>
                    <w:widowControl w:val="0"/>
                    <w:kinsoku/>
                    <w:wordWrap/>
                    <w:overflowPunct/>
                    <w:topLinePunct w:val="0"/>
                    <w:autoSpaceDE/>
                    <w:autoSpaceDN/>
                    <w:bidi w:val="0"/>
                    <w:adjustRightInd w:val="0"/>
                    <w:snapToGrid w:val="0"/>
                    <w:spacing w:before="0" w:beforeAutospacing="0" w:after="0" w:afterAutospacing="0"/>
                    <w:jc w:val="center"/>
                    <w:textAlignment w:val="baseline"/>
                    <w:rPr>
                      <w:rFonts w:hint="default" w:ascii="Times New Roman" w:hAnsi="Times New Roman" w:cs="Times New Roman"/>
                      <w:color w:val="auto"/>
                      <w:spacing w:val="-10"/>
                      <w:sz w:val="21"/>
                      <w:szCs w:val="21"/>
                    </w:rPr>
                  </w:pPr>
                </w:p>
              </w:tc>
              <w:tc>
                <w:tcPr>
                  <w:tcW w:w="118" w:type="pct"/>
                  <w:vMerge w:val="continue"/>
                  <w:tcBorders>
                    <w:tl2br w:val="nil"/>
                    <w:tr2bl w:val="nil"/>
                  </w:tcBorders>
                  <w:vAlign w:val="center"/>
                </w:tcPr>
                <w:p w14:paraId="32D8EC6C">
                  <w:pPr>
                    <w:pStyle w:val="22"/>
                    <w:keepNext w:val="0"/>
                    <w:keepLines w:val="0"/>
                    <w:pageBreakBefore w:val="0"/>
                    <w:widowControl w:val="0"/>
                    <w:kinsoku/>
                    <w:wordWrap/>
                    <w:overflowPunct/>
                    <w:topLinePunct w:val="0"/>
                    <w:autoSpaceDE/>
                    <w:autoSpaceDN/>
                    <w:bidi w:val="0"/>
                    <w:adjustRightInd w:val="0"/>
                    <w:snapToGrid w:val="0"/>
                    <w:spacing w:before="0" w:beforeAutospacing="0" w:after="0" w:afterAutospacing="0"/>
                    <w:jc w:val="center"/>
                    <w:textAlignment w:val="baseline"/>
                    <w:rPr>
                      <w:rFonts w:hint="default" w:ascii="Times New Roman" w:hAnsi="Times New Roman" w:cs="Times New Roman"/>
                      <w:color w:val="auto"/>
                      <w:spacing w:val="-10"/>
                      <w:sz w:val="21"/>
                      <w:szCs w:val="21"/>
                    </w:rPr>
                  </w:pPr>
                </w:p>
              </w:tc>
              <w:tc>
                <w:tcPr>
                  <w:tcW w:w="282" w:type="pct"/>
                  <w:vMerge w:val="continue"/>
                  <w:tcBorders>
                    <w:tl2br w:val="nil"/>
                    <w:tr2bl w:val="nil"/>
                  </w:tcBorders>
                  <w:vAlign w:val="center"/>
                </w:tcPr>
                <w:p w14:paraId="44A1EFDA">
                  <w:pPr>
                    <w:pStyle w:val="22"/>
                    <w:widowControl w:val="0"/>
                    <w:adjustRightInd w:val="0"/>
                    <w:snapToGrid w:val="0"/>
                    <w:spacing w:before="0" w:beforeAutospacing="0" w:after="0" w:afterAutospacing="0"/>
                    <w:jc w:val="center"/>
                    <w:textAlignment w:val="baseline"/>
                    <w:rPr>
                      <w:rFonts w:ascii="Times New Roman" w:hAnsi="Times New Roman"/>
                      <w:color w:val="auto"/>
                      <w:spacing w:val="-10"/>
                      <w:sz w:val="21"/>
                      <w:szCs w:val="21"/>
                    </w:rPr>
                  </w:pPr>
                </w:p>
              </w:tc>
            </w:tr>
            <w:tr w14:paraId="3834726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41" w:type="pct"/>
                  <w:tcBorders>
                    <w:tl2br w:val="nil"/>
                    <w:tr2bl w:val="nil"/>
                  </w:tcBorders>
                  <w:vAlign w:val="center"/>
                </w:tcPr>
                <w:p w14:paraId="228156B6">
                  <w:pPr>
                    <w:pStyle w:val="22"/>
                    <w:widowControl w:val="0"/>
                    <w:numPr>
                      <w:ilvl w:val="0"/>
                      <w:numId w:val="11"/>
                    </w:numPr>
                    <w:adjustRightInd w:val="0"/>
                    <w:snapToGrid w:val="0"/>
                    <w:spacing w:before="0" w:beforeAutospacing="0" w:after="0" w:afterAutospacing="0"/>
                    <w:ind w:left="0" w:leftChars="0" w:firstLine="0" w:firstLineChars="0"/>
                    <w:jc w:val="center"/>
                    <w:textAlignment w:val="baseline"/>
                    <w:rPr>
                      <w:rFonts w:ascii="Times New Roman" w:hAnsi="Times New Roman"/>
                      <w:color w:val="auto"/>
                      <w:spacing w:val="-10"/>
                      <w:sz w:val="21"/>
                      <w:szCs w:val="21"/>
                    </w:rPr>
                  </w:pPr>
                </w:p>
              </w:tc>
              <w:tc>
                <w:tcPr>
                  <w:tcW w:w="162" w:type="pct"/>
                  <w:vMerge w:val="continue"/>
                  <w:tcBorders>
                    <w:tl2br w:val="nil"/>
                    <w:tr2bl w:val="nil"/>
                  </w:tcBorders>
                  <w:vAlign w:val="center"/>
                </w:tcPr>
                <w:p w14:paraId="4CA3B34A">
                  <w:pPr>
                    <w:pStyle w:val="22"/>
                    <w:widowControl w:val="0"/>
                    <w:adjustRightInd w:val="0"/>
                    <w:snapToGrid w:val="0"/>
                    <w:spacing w:before="0" w:beforeAutospacing="0" w:after="0" w:afterAutospacing="0"/>
                    <w:jc w:val="center"/>
                    <w:textAlignment w:val="baseline"/>
                    <w:rPr>
                      <w:rFonts w:ascii="Times New Roman" w:hAnsi="Times New Roman"/>
                      <w:color w:val="auto"/>
                      <w:spacing w:val="-10"/>
                      <w:sz w:val="21"/>
                      <w:szCs w:val="21"/>
                    </w:rPr>
                  </w:pPr>
                </w:p>
              </w:tc>
              <w:tc>
                <w:tcPr>
                  <w:tcW w:w="353" w:type="pct"/>
                  <w:tcBorders>
                    <w:tl2br w:val="nil"/>
                    <w:tr2bl w:val="nil"/>
                  </w:tcBorders>
                  <w:shd w:val="clear" w:color="auto" w:fill="auto"/>
                  <w:vAlign w:val="center"/>
                </w:tcPr>
                <w:p w14:paraId="68D4681D">
                  <w:pPr>
                    <w:keepNext w:val="0"/>
                    <w:keepLines w:val="0"/>
                    <w:pageBreakBefore w:val="0"/>
                    <w:widowControl/>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color w:val="auto"/>
                      <w:spacing w:val="4"/>
                      <w:kern w:val="0"/>
                      <w:sz w:val="21"/>
                      <w:szCs w:val="21"/>
                      <w:lang w:val="en-US" w:eastAsia="zh-CN" w:bidi="ar"/>
                    </w:rPr>
                  </w:pPr>
                  <w:r>
                    <w:rPr>
                      <w:rFonts w:hint="default" w:ascii="Times New Roman" w:hAnsi="Times New Roman" w:eastAsia="宋体" w:cs="Times New Roman"/>
                      <w:color w:val="auto"/>
                      <w:spacing w:val="4"/>
                      <w:kern w:val="0"/>
                      <w:sz w:val="21"/>
                      <w:szCs w:val="21"/>
                      <w:lang w:bidi="ar"/>
                    </w:rPr>
                    <w:t>空压机</w:t>
                  </w:r>
                </w:p>
              </w:tc>
              <w:tc>
                <w:tcPr>
                  <w:tcW w:w="190" w:type="pct"/>
                  <w:tcBorders>
                    <w:tl2br w:val="nil"/>
                    <w:tr2bl w:val="nil"/>
                  </w:tcBorders>
                  <w:shd w:val="clear" w:color="auto" w:fill="auto"/>
                  <w:vAlign w:val="center"/>
                </w:tcPr>
                <w:p w14:paraId="4E7970A5">
                  <w:pPr>
                    <w:widowControl/>
                    <w:spacing w:line="240" w:lineRule="auto"/>
                    <w:jc w:val="center"/>
                    <w:textAlignment w:val="center"/>
                    <w:rPr>
                      <w:rFonts w:hint="eastAsia" w:ascii="Times New Roman" w:hAnsi="Times New Roman" w:eastAsia="宋体" w:cs="Times New Roman"/>
                      <w:color w:val="auto"/>
                      <w:kern w:val="0"/>
                      <w:sz w:val="21"/>
                      <w:szCs w:val="21"/>
                      <w:lang w:val="en-US" w:eastAsia="zh-CN" w:bidi="ar"/>
                    </w:rPr>
                  </w:pPr>
                  <w:r>
                    <w:rPr>
                      <w:rFonts w:hint="eastAsia" w:cs="Times New Roman"/>
                      <w:color w:val="auto"/>
                      <w:kern w:val="0"/>
                      <w:sz w:val="21"/>
                      <w:szCs w:val="21"/>
                      <w:lang w:val="en-US" w:eastAsia="zh-CN" w:bidi="ar"/>
                    </w:rPr>
                    <w:t>/</w:t>
                  </w:r>
                </w:p>
              </w:tc>
              <w:tc>
                <w:tcPr>
                  <w:tcW w:w="302" w:type="pct"/>
                  <w:tcBorders>
                    <w:tl2br w:val="nil"/>
                    <w:tr2bl w:val="nil"/>
                  </w:tcBorders>
                  <w:shd w:val="clear" w:color="auto" w:fill="auto"/>
                  <w:vAlign w:val="center"/>
                </w:tcPr>
                <w:p w14:paraId="59780577">
                  <w:pPr>
                    <w:keepNext w:val="0"/>
                    <w:keepLines w:val="0"/>
                    <w:widowControl/>
                    <w:suppressLineNumbers w:val="0"/>
                    <w:jc w:val="center"/>
                    <w:textAlignment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等线" w:cs="Times New Roman"/>
                      <w:i w:val="0"/>
                      <w:iCs w:val="0"/>
                      <w:color w:val="auto"/>
                      <w:kern w:val="0"/>
                      <w:sz w:val="21"/>
                      <w:szCs w:val="21"/>
                      <w:u w:val="none"/>
                      <w:lang w:val="en-US" w:eastAsia="zh-CN" w:bidi="ar"/>
                    </w:rPr>
                    <w:t>90</w:t>
                  </w:r>
                </w:p>
              </w:tc>
              <w:tc>
                <w:tcPr>
                  <w:tcW w:w="169" w:type="pct"/>
                  <w:vMerge w:val="continue"/>
                  <w:tcBorders>
                    <w:tl2br w:val="nil"/>
                    <w:tr2bl w:val="nil"/>
                  </w:tcBorders>
                  <w:vAlign w:val="center"/>
                </w:tcPr>
                <w:p w14:paraId="6CEAA532">
                  <w:pPr>
                    <w:pStyle w:val="22"/>
                    <w:widowControl w:val="0"/>
                    <w:adjustRightInd w:val="0"/>
                    <w:snapToGrid w:val="0"/>
                    <w:spacing w:before="0" w:beforeAutospacing="0" w:after="0" w:afterAutospacing="0"/>
                    <w:jc w:val="center"/>
                    <w:textAlignment w:val="baseline"/>
                    <w:rPr>
                      <w:rFonts w:ascii="Times New Roman" w:hAnsi="Times New Roman"/>
                      <w:color w:val="auto"/>
                      <w:spacing w:val="-10"/>
                      <w:sz w:val="21"/>
                      <w:szCs w:val="21"/>
                    </w:rPr>
                  </w:pPr>
                </w:p>
              </w:tc>
              <w:tc>
                <w:tcPr>
                  <w:tcW w:w="177" w:type="pct"/>
                  <w:tcBorders>
                    <w:tl2br w:val="nil"/>
                    <w:tr2bl w:val="nil"/>
                  </w:tcBorders>
                  <w:shd w:val="clear" w:color="auto" w:fill="auto"/>
                  <w:vAlign w:val="center"/>
                </w:tcPr>
                <w:p w14:paraId="45D5D7EB">
                  <w:pPr>
                    <w:widowControl/>
                    <w:jc w:val="center"/>
                    <w:textAlignment w:val="center"/>
                    <w:rPr>
                      <w:rFonts w:hint="default" w:ascii="Times New Roman" w:hAnsi="Times New Roman" w:eastAsia="等线" w:cs="Times New Roman"/>
                      <w:color w:val="auto"/>
                      <w:kern w:val="0"/>
                      <w:sz w:val="21"/>
                      <w:szCs w:val="21"/>
                      <w:lang w:val="en-US" w:eastAsia="zh-CN" w:bidi="ar"/>
                    </w:rPr>
                  </w:pPr>
                  <w:r>
                    <w:rPr>
                      <w:rFonts w:hint="eastAsia" w:eastAsia="等线" w:cs="Times New Roman"/>
                      <w:color w:val="auto"/>
                      <w:kern w:val="0"/>
                      <w:sz w:val="21"/>
                      <w:szCs w:val="21"/>
                      <w:lang w:val="en-US" w:eastAsia="zh-CN" w:bidi="ar"/>
                    </w:rPr>
                    <w:t>-2</w:t>
                  </w:r>
                </w:p>
              </w:tc>
              <w:tc>
                <w:tcPr>
                  <w:tcW w:w="201" w:type="pct"/>
                  <w:tcBorders>
                    <w:tl2br w:val="nil"/>
                    <w:tr2bl w:val="nil"/>
                  </w:tcBorders>
                  <w:shd w:val="clear" w:color="auto" w:fill="auto"/>
                  <w:vAlign w:val="center"/>
                </w:tcPr>
                <w:p w14:paraId="392F64BB">
                  <w:pPr>
                    <w:widowControl/>
                    <w:jc w:val="center"/>
                    <w:textAlignment w:val="center"/>
                    <w:rPr>
                      <w:rFonts w:hint="default" w:ascii="Times New Roman" w:hAnsi="Times New Roman" w:eastAsia="等线" w:cs="Times New Roman"/>
                      <w:color w:val="auto"/>
                      <w:kern w:val="0"/>
                      <w:sz w:val="21"/>
                      <w:szCs w:val="21"/>
                      <w:lang w:val="en-US" w:eastAsia="zh-CN" w:bidi="ar"/>
                    </w:rPr>
                  </w:pPr>
                  <w:r>
                    <w:rPr>
                      <w:rFonts w:hint="eastAsia" w:eastAsia="等线" w:cs="Times New Roman"/>
                      <w:color w:val="auto"/>
                      <w:kern w:val="0"/>
                      <w:sz w:val="21"/>
                      <w:szCs w:val="21"/>
                      <w:lang w:val="en-US" w:eastAsia="zh-CN" w:bidi="ar"/>
                    </w:rPr>
                    <w:t>29</w:t>
                  </w:r>
                </w:p>
              </w:tc>
              <w:tc>
                <w:tcPr>
                  <w:tcW w:w="116" w:type="pct"/>
                  <w:tcBorders>
                    <w:tl2br w:val="nil"/>
                    <w:tr2bl w:val="nil"/>
                  </w:tcBorders>
                  <w:vAlign w:val="center"/>
                </w:tcPr>
                <w:p w14:paraId="406EA01C">
                  <w:pPr>
                    <w:widowControl/>
                    <w:jc w:val="center"/>
                    <w:textAlignment w:val="center"/>
                    <w:rPr>
                      <w:rFonts w:hint="eastAsia" w:eastAsia="宋体"/>
                      <w:color w:val="auto"/>
                      <w:sz w:val="21"/>
                      <w:szCs w:val="21"/>
                      <w:lang w:val="en-US" w:eastAsia="zh-CN"/>
                    </w:rPr>
                  </w:pPr>
                  <w:r>
                    <w:rPr>
                      <w:rFonts w:hint="eastAsia" w:eastAsia="宋体"/>
                      <w:color w:val="auto"/>
                      <w:sz w:val="21"/>
                      <w:szCs w:val="21"/>
                      <w:lang w:val="en-US" w:eastAsia="zh-CN"/>
                    </w:rPr>
                    <w:t>1</w:t>
                  </w:r>
                </w:p>
              </w:tc>
              <w:tc>
                <w:tcPr>
                  <w:tcW w:w="197" w:type="pct"/>
                  <w:tcBorders>
                    <w:tl2br w:val="nil"/>
                    <w:tr2bl w:val="nil"/>
                  </w:tcBorders>
                  <w:vAlign w:val="center"/>
                </w:tcPr>
                <w:p w14:paraId="328FAC34">
                  <w:pPr>
                    <w:widowControl/>
                    <w:jc w:val="center"/>
                    <w:textAlignment w:val="center"/>
                    <w:rPr>
                      <w:rFonts w:hint="default" w:eastAsia="等线"/>
                      <w:color w:val="auto"/>
                      <w:kern w:val="0"/>
                      <w:sz w:val="21"/>
                      <w:szCs w:val="21"/>
                      <w:lang w:val="en-US" w:eastAsia="zh-CN"/>
                    </w:rPr>
                  </w:pPr>
                  <w:r>
                    <w:rPr>
                      <w:rFonts w:hint="eastAsia" w:eastAsia="等线"/>
                      <w:color w:val="auto"/>
                      <w:kern w:val="0"/>
                      <w:sz w:val="21"/>
                      <w:szCs w:val="21"/>
                      <w:lang w:val="en-US" w:eastAsia="zh-CN"/>
                    </w:rPr>
                    <w:t>61</w:t>
                  </w:r>
                </w:p>
              </w:tc>
              <w:tc>
                <w:tcPr>
                  <w:tcW w:w="237" w:type="pct"/>
                  <w:tcBorders>
                    <w:tl2br w:val="nil"/>
                    <w:tr2bl w:val="nil"/>
                  </w:tcBorders>
                  <w:vAlign w:val="center"/>
                </w:tcPr>
                <w:p w14:paraId="43A26ADD">
                  <w:pPr>
                    <w:keepNext w:val="0"/>
                    <w:keepLines w:val="0"/>
                    <w:widowControl/>
                    <w:suppressLineNumbers w:val="0"/>
                    <w:jc w:val="center"/>
                    <w:textAlignment w:val="center"/>
                    <w:rPr>
                      <w:rFonts w:hint="default" w:eastAsia="等线"/>
                      <w:color w:val="auto"/>
                      <w:kern w:val="0"/>
                      <w:sz w:val="21"/>
                      <w:szCs w:val="21"/>
                      <w:lang w:val="en-US" w:eastAsia="zh-CN"/>
                    </w:rPr>
                  </w:pPr>
                  <w:r>
                    <w:rPr>
                      <w:rFonts w:hint="eastAsia" w:eastAsia="等线"/>
                      <w:color w:val="auto"/>
                      <w:kern w:val="0"/>
                      <w:sz w:val="21"/>
                      <w:szCs w:val="21"/>
                      <w:lang w:val="en-US" w:eastAsia="zh-CN"/>
                    </w:rPr>
                    <w:t>29</w:t>
                  </w:r>
                </w:p>
              </w:tc>
              <w:tc>
                <w:tcPr>
                  <w:tcW w:w="181" w:type="pct"/>
                  <w:tcBorders>
                    <w:tl2br w:val="nil"/>
                    <w:tr2bl w:val="nil"/>
                  </w:tcBorders>
                  <w:vAlign w:val="center"/>
                </w:tcPr>
                <w:p w14:paraId="11BC5371">
                  <w:pPr>
                    <w:keepNext w:val="0"/>
                    <w:keepLines w:val="0"/>
                    <w:widowControl/>
                    <w:suppressLineNumbers w:val="0"/>
                    <w:jc w:val="center"/>
                    <w:textAlignment w:val="center"/>
                    <w:rPr>
                      <w:rFonts w:hint="default" w:eastAsia="等线"/>
                      <w:color w:val="auto"/>
                      <w:kern w:val="0"/>
                      <w:sz w:val="21"/>
                      <w:szCs w:val="21"/>
                      <w:lang w:val="en-US" w:eastAsia="zh-CN"/>
                    </w:rPr>
                  </w:pPr>
                  <w:r>
                    <w:rPr>
                      <w:rFonts w:hint="eastAsia" w:eastAsia="等线"/>
                      <w:color w:val="auto"/>
                      <w:kern w:val="0"/>
                      <w:sz w:val="21"/>
                      <w:szCs w:val="21"/>
                      <w:lang w:val="en-US" w:eastAsia="zh-CN"/>
                    </w:rPr>
                    <w:t>5</w:t>
                  </w:r>
                </w:p>
              </w:tc>
              <w:tc>
                <w:tcPr>
                  <w:tcW w:w="237" w:type="pct"/>
                  <w:tcBorders>
                    <w:tl2br w:val="nil"/>
                    <w:tr2bl w:val="nil"/>
                  </w:tcBorders>
                  <w:vAlign w:val="center"/>
                </w:tcPr>
                <w:p w14:paraId="72FECC16">
                  <w:pPr>
                    <w:widowControl/>
                    <w:jc w:val="center"/>
                    <w:textAlignment w:val="center"/>
                    <w:rPr>
                      <w:rFonts w:hint="default" w:eastAsia="等线"/>
                      <w:color w:val="auto"/>
                      <w:kern w:val="0"/>
                      <w:sz w:val="21"/>
                      <w:szCs w:val="21"/>
                      <w:lang w:val="en-US" w:eastAsia="zh-CN"/>
                    </w:rPr>
                  </w:pPr>
                  <w:r>
                    <w:rPr>
                      <w:rFonts w:hint="eastAsia" w:eastAsia="等线"/>
                      <w:color w:val="auto"/>
                      <w:kern w:val="0"/>
                      <w:sz w:val="21"/>
                      <w:szCs w:val="21"/>
                      <w:lang w:val="en-US" w:eastAsia="zh-CN"/>
                    </w:rPr>
                    <w:t>80</w:t>
                  </w:r>
                </w:p>
              </w:tc>
              <w:tc>
                <w:tcPr>
                  <w:tcW w:w="241" w:type="pct"/>
                  <w:tcBorders>
                    <w:tl2br w:val="nil"/>
                    <w:tr2bl w:val="nil"/>
                  </w:tcBorders>
                  <w:vAlign w:val="center"/>
                </w:tcPr>
                <w:p w14:paraId="5D2B625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46.3</w:t>
                  </w:r>
                </w:p>
              </w:tc>
              <w:tc>
                <w:tcPr>
                  <w:tcW w:w="241" w:type="pct"/>
                  <w:tcBorders>
                    <w:tl2br w:val="nil"/>
                    <w:tr2bl w:val="nil"/>
                  </w:tcBorders>
                  <w:vAlign w:val="center"/>
                </w:tcPr>
                <w:p w14:paraId="0F14192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46.5</w:t>
                  </w:r>
                </w:p>
              </w:tc>
              <w:tc>
                <w:tcPr>
                  <w:tcW w:w="206" w:type="pct"/>
                  <w:tcBorders>
                    <w:tl2br w:val="nil"/>
                    <w:tr2bl w:val="nil"/>
                  </w:tcBorders>
                  <w:vAlign w:val="center"/>
                </w:tcPr>
                <w:p w14:paraId="6C31186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50.3</w:t>
                  </w:r>
                </w:p>
              </w:tc>
              <w:tc>
                <w:tcPr>
                  <w:tcW w:w="207" w:type="pct"/>
                  <w:tcBorders>
                    <w:tl2br w:val="nil"/>
                    <w:tr2bl w:val="nil"/>
                  </w:tcBorders>
                  <w:vAlign w:val="center"/>
                </w:tcPr>
                <w:p w14:paraId="055957E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46.3</w:t>
                  </w:r>
                </w:p>
              </w:tc>
              <w:tc>
                <w:tcPr>
                  <w:tcW w:w="151" w:type="pct"/>
                  <w:vMerge w:val="continue"/>
                  <w:tcBorders>
                    <w:tl2br w:val="nil"/>
                    <w:tr2bl w:val="nil"/>
                  </w:tcBorders>
                  <w:vAlign w:val="center"/>
                </w:tcPr>
                <w:p w14:paraId="655591CF">
                  <w:pPr>
                    <w:pStyle w:val="22"/>
                    <w:widowControl w:val="0"/>
                    <w:adjustRightInd w:val="0"/>
                    <w:snapToGrid w:val="0"/>
                    <w:spacing w:before="0" w:beforeAutospacing="0" w:after="0" w:afterAutospacing="0"/>
                    <w:jc w:val="center"/>
                    <w:textAlignment w:val="baseline"/>
                    <w:rPr>
                      <w:rFonts w:ascii="Times New Roman" w:hAnsi="Times New Roman"/>
                      <w:color w:val="auto"/>
                      <w:spacing w:val="-10"/>
                      <w:sz w:val="21"/>
                      <w:szCs w:val="21"/>
                    </w:rPr>
                  </w:pPr>
                </w:p>
              </w:tc>
              <w:tc>
                <w:tcPr>
                  <w:tcW w:w="148" w:type="pct"/>
                  <w:vMerge w:val="continue"/>
                  <w:tcBorders>
                    <w:tl2br w:val="nil"/>
                    <w:tr2bl w:val="nil"/>
                  </w:tcBorders>
                  <w:vAlign w:val="center"/>
                </w:tcPr>
                <w:p w14:paraId="21DF487B">
                  <w:pPr>
                    <w:pStyle w:val="22"/>
                    <w:widowControl w:val="0"/>
                    <w:adjustRightInd w:val="0"/>
                    <w:snapToGrid w:val="0"/>
                    <w:spacing w:before="0" w:beforeAutospacing="0" w:after="0" w:afterAutospacing="0"/>
                    <w:jc w:val="center"/>
                    <w:textAlignment w:val="baseline"/>
                    <w:rPr>
                      <w:rFonts w:ascii="Times New Roman" w:hAnsi="Times New Roman"/>
                      <w:color w:val="auto"/>
                      <w:spacing w:val="-10"/>
                      <w:sz w:val="21"/>
                      <w:szCs w:val="21"/>
                    </w:rPr>
                  </w:pPr>
                </w:p>
              </w:tc>
              <w:tc>
                <w:tcPr>
                  <w:tcW w:w="126" w:type="pct"/>
                  <w:vMerge w:val="continue"/>
                  <w:tcBorders>
                    <w:tl2br w:val="nil"/>
                    <w:tr2bl w:val="nil"/>
                  </w:tcBorders>
                  <w:vAlign w:val="center"/>
                </w:tcPr>
                <w:p w14:paraId="2388B8FF">
                  <w:pPr>
                    <w:pStyle w:val="22"/>
                    <w:widowControl w:val="0"/>
                    <w:adjustRightInd w:val="0"/>
                    <w:snapToGrid w:val="0"/>
                    <w:spacing w:before="0" w:beforeAutospacing="0" w:after="0" w:afterAutospacing="0"/>
                    <w:jc w:val="center"/>
                    <w:textAlignment w:val="baseline"/>
                    <w:rPr>
                      <w:rFonts w:ascii="Times New Roman" w:hAnsi="Times New Roman"/>
                      <w:color w:val="auto"/>
                      <w:spacing w:val="-10"/>
                      <w:sz w:val="21"/>
                      <w:szCs w:val="21"/>
                    </w:rPr>
                  </w:pPr>
                </w:p>
              </w:tc>
              <w:tc>
                <w:tcPr>
                  <w:tcW w:w="120" w:type="pct"/>
                  <w:vMerge w:val="continue"/>
                  <w:tcBorders>
                    <w:tl2br w:val="nil"/>
                    <w:tr2bl w:val="nil"/>
                  </w:tcBorders>
                  <w:vAlign w:val="center"/>
                </w:tcPr>
                <w:p w14:paraId="4A6D698B">
                  <w:pPr>
                    <w:pStyle w:val="22"/>
                    <w:widowControl w:val="0"/>
                    <w:adjustRightInd w:val="0"/>
                    <w:snapToGrid w:val="0"/>
                    <w:spacing w:before="0" w:beforeAutospacing="0" w:after="0" w:afterAutospacing="0"/>
                    <w:jc w:val="center"/>
                    <w:textAlignment w:val="baseline"/>
                    <w:rPr>
                      <w:rFonts w:ascii="Times New Roman" w:hAnsi="Times New Roman"/>
                      <w:color w:val="auto"/>
                      <w:spacing w:val="-10"/>
                      <w:sz w:val="21"/>
                      <w:szCs w:val="21"/>
                    </w:rPr>
                  </w:pPr>
                </w:p>
              </w:tc>
              <w:tc>
                <w:tcPr>
                  <w:tcW w:w="134" w:type="pct"/>
                  <w:vMerge w:val="continue"/>
                  <w:tcBorders>
                    <w:tl2br w:val="nil"/>
                    <w:tr2bl w:val="nil"/>
                  </w:tcBorders>
                  <w:vAlign w:val="center"/>
                </w:tcPr>
                <w:p w14:paraId="0C2AF310">
                  <w:pPr>
                    <w:pStyle w:val="22"/>
                    <w:widowControl w:val="0"/>
                    <w:adjustRightInd w:val="0"/>
                    <w:snapToGrid w:val="0"/>
                    <w:spacing w:before="0" w:beforeAutospacing="0" w:after="0" w:afterAutospacing="0"/>
                    <w:jc w:val="center"/>
                    <w:textAlignment w:val="baseline"/>
                    <w:rPr>
                      <w:rFonts w:ascii="Times New Roman" w:hAnsi="Times New Roman"/>
                      <w:color w:val="auto"/>
                      <w:spacing w:val="-10"/>
                      <w:sz w:val="21"/>
                      <w:szCs w:val="21"/>
                    </w:rPr>
                  </w:pPr>
                </w:p>
              </w:tc>
              <w:tc>
                <w:tcPr>
                  <w:tcW w:w="115" w:type="pct"/>
                  <w:vMerge w:val="continue"/>
                  <w:tcBorders>
                    <w:tl2br w:val="nil"/>
                    <w:tr2bl w:val="nil"/>
                  </w:tcBorders>
                  <w:vAlign w:val="center"/>
                </w:tcPr>
                <w:p w14:paraId="390E9537">
                  <w:pPr>
                    <w:pStyle w:val="22"/>
                    <w:keepNext w:val="0"/>
                    <w:keepLines w:val="0"/>
                    <w:pageBreakBefore w:val="0"/>
                    <w:widowControl w:val="0"/>
                    <w:kinsoku/>
                    <w:wordWrap/>
                    <w:overflowPunct/>
                    <w:topLinePunct w:val="0"/>
                    <w:autoSpaceDE/>
                    <w:autoSpaceDN/>
                    <w:bidi w:val="0"/>
                    <w:adjustRightInd w:val="0"/>
                    <w:snapToGrid w:val="0"/>
                    <w:spacing w:before="0" w:beforeAutospacing="0" w:after="0" w:afterAutospacing="0"/>
                    <w:jc w:val="center"/>
                    <w:textAlignment w:val="baseline"/>
                    <w:rPr>
                      <w:rFonts w:hint="default" w:ascii="Times New Roman" w:hAnsi="Times New Roman" w:cs="Times New Roman"/>
                      <w:color w:val="auto"/>
                      <w:spacing w:val="-10"/>
                      <w:sz w:val="21"/>
                      <w:szCs w:val="21"/>
                    </w:rPr>
                  </w:pPr>
                </w:p>
              </w:tc>
              <w:tc>
                <w:tcPr>
                  <w:tcW w:w="117" w:type="pct"/>
                  <w:vMerge w:val="continue"/>
                  <w:tcBorders>
                    <w:tl2br w:val="nil"/>
                    <w:tr2bl w:val="nil"/>
                  </w:tcBorders>
                  <w:vAlign w:val="center"/>
                </w:tcPr>
                <w:p w14:paraId="78FD7422">
                  <w:pPr>
                    <w:pStyle w:val="22"/>
                    <w:keepNext w:val="0"/>
                    <w:keepLines w:val="0"/>
                    <w:pageBreakBefore w:val="0"/>
                    <w:widowControl w:val="0"/>
                    <w:kinsoku/>
                    <w:wordWrap/>
                    <w:overflowPunct/>
                    <w:topLinePunct w:val="0"/>
                    <w:autoSpaceDE/>
                    <w:autoSpaceDN/>
                    <w:bidi w:val="0"/>
                    <w:adjustRightInd w:val="0"/>
                    <w:snapToGrid w:val="0"/>
                    <w:spacing w:before="0" w:beforeAutospacing="0" w:after="0" w:afterAutospacing="0"/>
                    <w:jc w:val="center"/>
                    <w:textAlignment w:val="baseline"/>
                    <w:rPr>
                      <w:rFonts w:hint="default" w:ascii="Times New Roman" w:hAnsi="Times New Roman" w:cs="Times New Roman"/>
                      <w:color w:val="auto"/>
                      <w:spacing w:val="-10"/>
                      <w:sz w:val="21"/>
                      <w:szCs w:val="21"/>
                    </w:rPr>
                  </w:pPr>
                </w:p>
              </w:tc>
              <w:tc>
                <w:tcPr>
                  <w:tcW w:w="117" w:type="pct"/>
                  <w:vMerge w:val="continue"/>
                  <w:tcBorders>
                    <w:tl2br w:val="nil"/>
                    <w:tr2bl w:val="nil"/>
                  </w:tcBorders>
                  <w:vAlign w:val="center"/>
                </w:tcPr>
                <w:p w14:paraId="14FFAA09">
                  <w:pPr>
                    <w:pStyle w:val="22"/>
                    <w:keepNext w:val="0"/>
                    <w:keepLines w:val="0"/>
                    <w:pageBreakBefore w:val="0"/>
                    <w:widowControl w:val="0"/>
                    <w:kinsoku/>
                    <w:wordWrap/>
                    <w:overflowPunct/>
                    <w:topLinePunct w:val="0"/>
                    <w:autoSpaceDE/>
                    <w:autoSpaceDN/>
                    <w:bidi w:val="0"/>
                    <w:adjustRightInd w:val="0"/>
                    <w:snapToGrid w:val="0"/>
                    <w:spacing w:before="0" w:beforeAutospacing="0" w:after="0" w:afterAutospacing="0"/>
                    <w:jc w:val="center"/>
                    <w:textAlignment w:val="baseline"/>
                    <w:rPr>
                      <w:rFonts w:hint="default" w:ascii="Times New Roman" w:hAnsi="Times New Roman" w:cs="Times New Roman"/>
                      <w:color w:val="auto"/>
                      <w:spacing w:val="-10"/>
                      <w:sz w:val="21"/>
                      <w:szCs w:val="21"/>
                    </w:rPr>
                  </w:pPr>
                </w:p>
              </w:tc>
              <w:tc>
                <w:tcPr>
                  <w:tcW w:w="118" w:type="pct"/>
                  <w:vMerge w:val="continue"/>
                  <w:tcBorders>
                    <w:tl2br w:val="nil"/>
                    <w:tr2bl w:val="nil"/>
                  </w:tcBorders>
                  <w:vAlign w:val="center"/>
                </w:tcPr>
                <w:p w14:paraId="095B8EA1">
                  <w:pPr>
                    <w:pStyle w:val="22"/>
                    <w:keepNext w:val="0"/>
                    <w:keepLines w:val="0"/>
                    <w:pageBreakBefore w:val="0"/>
                    <w:widowControl w:val="0"/>
                    <w:kinsoku/>
                    <w:wordWrap/>
                    <w:overflowPunct/>
                    <w:topLinePunct w:val="0"/>
                    <w:autoSpaceDE/>
                    <w:autoSpaceDN/>
                    <w:bidi w:val="0"/>
                    <w:adjustRightInd w:val="0"/>
                    <w:snapToGrid w:val="0"/>
                    <w:spacing w:before="0" w:beforeAutospacing="0" w:after="0" w:afterAutospacing="0"/>
                    <w:jc w:val="center"/>
                    <w:textAlignment w:val="baseline"/>
                    <w:rPr>
                      <w:rFonts w:hint="default" w:ascii="Times New Roman" w:hAnsi="Times New Roman" w:cs="Times New Roman"/>
                      <w:color w:val="auto"/>
                      <w:spacing w:val="-10"/>
                      <w:sz w:val="21"/>
                      <w:szCs w:val="21"/>
                    </w:rPr>
                  </w:pPr>
                </w:p>
              </w:tc>
              <w:tc>
                <w:tcPr>
                  <w:tcW w:w="282" w:type="pct"/>
                  <w:vMerge w:val="continue"/>
                  <w:tcBorders>
                    <w:tl2br w:val="nil"/>
                    <w:tr2bl w:val="nil"/>
                  </w:tcBorders>
                  <w:vAlign w:val="center"/>
                </w:tcPr>
                <w:p w14:paraId="262D2BFF">
                  <w:pPr>
                    <w:pStyle w:val="22"/>
                    <w:widowControl w:val="0"/>
                    <w:adjustRightInd w:val="0"/>
                    <w:snapToGrid w:val="0"/>
                    <w:spacing w:before="0" w:beforeAutospacing="0" w:after="0" w:afterAutospacing="0"/>
                    <w:jc w:val="center"/>
                    <w:textAlignment w:val="baseline"/>
                    <w:rPr>
                      <w:rFonts w:ascii="Times New Roman" w:hAnsi="Times New Roman"/>
                      <w:color w:val="auto"/>
                      <w:spacing w:val="-10"/>
                      <w:sz w:val="21"/>
                      <w:szCs w:val="21"/>
                    </w:rPr>
                  </w:pPr>
                </w:p>
              </w:tc>
            </w:tr>
            <w:tr w14:paraId="7AFF4F2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41" w:type="pct"/>
                  <w:tcBorders>
                    <w:tl2br w:val="nil"/>
                    <w:tr2bl w:val="nil"/>
                  </w:tcBorders>
                  <w:vAlign w:val="center"/>
                </w:tcPr>
                <w:p w14:paraId="31EF2D2E">
                  <w:pPr>
                    <w:pStyle w:val="22"/>
                    <w:widowControl w:val="0"/>
                    <w:numPr>
                      <w:ilvl w:val="0"/>
                      <w:numId w:val="11"/>
                    </w:numPr>
                    <w:adjustRightInd w:val="0"/>
                    <w:snapToGrid w:val="0"/>
                    <w:spacing w:before="0" w:beforeAutospacing="0" w:after="0" w:afterAutospacing="0"/>
                    <w:ind w:left="0" w:leftChars="0" w:firstLine="0" w:firstLineChars="0"/>
                    <w:jc w:val="center"/>
                    <w:textAlignment w:val="baseline"/>
                    <w:rPr>
                      <w:rFonts w:ascii="Times New Roman" w:hAnsi="Times New Roman"/>
                      <w:color w:val="auto"/>
                      <w:spacing w:val="-10"/>
                      <w:sz w:val="21"/>
                      <w:szCs w:val="21"/>
                    </w:rPr>
                  </w:pPr>
                </w:p>
              </w:tc>
              <w:tc>
                <w:tcPr>
                  <w:tcW w:w="162" w:type="pct"/>
                  <w:vMerge w:val="continue"/>
                  <w:tcBorders>
                    <w:tl2br w:val="nil"/>
                    <w:tr2bl w:val="nil"/>
                  </w:tcBorders>
                  <w:vAlign w:val="center"/>
                </w:tcPr>
                <w:p w14:paraId="457928D6">
                  <w:pPr>
                    <w:pStyle w:val="22"/>
                    <w:widowControl w:val="0"/>
                    <w:adjustRightInd w:val="0"/>
                    <w:snapToGrid w:val="0"/>
                    <w:spacing w:before="0" w:beforeAutospacing="0" w:after="0" w:afterAutospacing="0"/>
                    <w:jc w:val="center"/>
                    <w:textAlignment w:val="baseline"/>
                    <w:rPr>
                      <w:rFonts w:ascii="Times New Roman" w:hAnsi="Times New Roman"/>
                      <w:color w:val="auto"/>
                      <w:spacing w:val="-10"/>
                      <w:sz w:val="21"/>
                      <w:szCs w:val="21"/>
                    </w:rPr>
                  </w:pPr>
                </w:p>
              </w:tc>
              <w:tc>
                <w:tcPr>
                  <w:tcW w:w="353" w:type="pct"/>
                  <w:tcBorders>
                    <w:tl2br w:val="nil"/>
                    <w:tr2bl w:val="nil"/>
                  </w:tcBorders>
                  <w:shd w:val="clear" w:color="auto" w:fill="auto"/>
                  <w:vAlign w:val="center"/>
                </w:tcPr>
                <w:p w14:paraId="7D0B7EBF">
                  <w:pPr>
                    <w:keepNext w:val="0"/>
                    <w:keepLines w:val="0"/>
                    <w:pageBreakBefore w:val="0"/>
                    <w:widowControl/>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color w:val="auto"/>
                      <w:spacing w:val="4"/>
                      <w:kern w:val="0"/>
                      <w:sz w:val="21"/>
                      <w:szCs w:val="21"/>
                      <w:lang w:val="en-US" w:eastAsia="zh-CN" w:bidi="ar"/>
                    </w:rPr>
                  </w:pPr>
                  <w:r>
                    <w:rPr>
                      <w:rFonts w:hint="eastAsia" w:ascii="Times New Roman" w:hAnsi="Times New Roman" w:eastAsia="宋体" w:cs="Times New Roman"/>
                      <w:color w:val="auto"/>
                      <w:spacing w:val="4"/>
                      <w:kern w:val="0"/>
                      <w:sz w:val="21"/>
                      <w:szCs w:val="21"/>
                      <w:lang w:val="en-US" w:eastAsia="zh-CN" w:bidi="ar"/>
                    </w:rPr>
                    <w:t>废水处理设施</w:t>
                  </w:r>
                </w:p>
              </w:tc>
              <w:tc>
                <w:tcPr>
                  <w:tcW w:w="190" w:type="pct"/>
                  <w:tcBorders>
                    <w:tl2br w:val="nil"/>
                    <w:tr2bl w:val="nil"/>
                  </w:tcBorders>
                  <w:shd w:val="clear" w:color="auto" w:fill="auto"/>
                  <w:vAlign w:val="center"/>
                </w:tcPr>
                <w:p w14:paraId="6C07A5BA">
                  <w:pPr>
                    <w:widowControl/>
                    <w:spacing w:line="240" w:lineRule="auto"/>
                    <w:jc w:val="center"/>
                    <w:textAlignment w:val="center"/>
                    <w:rPr>
                      <w:rFonts w:hint="eastAsia" w:ascii="Times New Roman" w:hAnsi="Times New Roman" w:eastAsia="宋体" w:cs="Times New Roman"/>
                      <w:color w:val="auto"/>
                      <w:kern w:val="0"/>
                      <w:sz w:val="21"/>
                      <w:szCs w:val="21"/>
                      <w:lang w:val="en-US" w:eastAsia="zh-CN" w:bidi="ar"/>
                    </w:rPr>
                  </w:pPr>
                  <w:r>
                    <w:rPr>
                      <w:rFonts w:hint="eastAsia" w:cs="Times New Roman"/>
                      <w:color w:val="auto"/>
                      <w:kern w:val="0"/>
                      <w:sz w:val="21"/>
                      <w:szCs w:val="21"/>
                      <w:lang w:val="en-US" w:eastAsia="zh-CN" w:bidi="ar"/>
                    </w:rPr>
                    <w:t>/</w:t>
                  </w:r>
                </w:p>
              </w:tc>
              <w:tc>
                <w:tcPr>
                  <w:tcW w:w="302" w:type="pct"/>
                  <w:tcBorders>
                    <w:tl2br w:val="nil"/>
                    <w:tr2bl w:val="nil"/>
                  </w:tcBorders>
                  <w:shd w:val="clear" w:color="auto" w:fill="auto"/>
                  <w:vAlign w:val="center"/>
                </w:tcPr>
                <w:p w14:paraId="4E04F8E2">
                  <w:pPr>
                    <w:keepNext w:val="0"/>
                    <w:keepLines w:val="0"/>
                    <w:widowControl/>
                    <w:suppressLineNumbers w:val="0"/>
                    <w:jc w:val="center"/>
                    <w:textAlignment w:val="center"/>
                    <w:rPr>
                      <w:rFonts w:hint="default" w:ascii="Times New Roman" w:hAnsi="Times New Roman" w:eastAsia="宋体" w:cs="Times New Roman"/>
                      <w:color w:val="auto"/>
                      <w:kern w:val="0"/>
                      <w:sz w:val="21"/>
                      <w:szCs w:val="21"/>
                      <w:lang w:val="en-US" w:eastAsia="zh-CN" w:bidi="ar"/>
                    </w:rPr>
                  </w:pPr>
                  <w:r>
                    <w:rPr>
                      <w:rFonts w:hint="eastAsia" w:cs="Times New Roman"/>
                      <w:color w:val="auto"/>
                      <w:kern w:val="0"/>
                      <w:sz w:val="21"/>
                      <w:szCs w:val="21"/>
                      <w:lang w:val="en-US" w:eastAsia="zh-CN" w:bidi="ar"/>
                    </w:rPr>
                    <w:t>90</w:t>
                  </w:r>
                </w:p>
              </w:tc>
              <w:tc>
                <w:tcPr>
                  <w:tcW w:w="169" w:type="pct"/>
                  <w:vMerge w:val="continue"/>
                  <w:tcBorders>
                    <w:tl2br w:val="nil"/>
                    <w:tr2bl w:val="nil"/>
                  </w:tcBorders>
                  <w:vAlign w:val="center"/>
                </w:tcPr>
                <w:p w14:paraId="23BFA8AB">
                  <w:pPr>
                    <w:pStyle w:val="22"/>
                    <w:widowControl w:val="0"/>
                    <w:adjustRightInd w:val="0"/>
                    <w:snapToGrid w:val="0"/>
                    <w:spacing w:before="0" w:beforeAutospacing="0" w:after="0" w:afterAutospacing="0"/>
                    <w:jc w:val="center"/>
                    <w:textAlignment w:val="baseline"/>
                    <w:rPr>
                      <w:rFonts w:ascii="Times New Roman" w:hAnsi="Times New Roman"/>
                      <w:color w:val="auto"/>
                      <w:spacing w:val="-10"/>
                      <w:sz w:val="21"/>
                      <w:szCs w:val="21"/>
                    </w:rPr>
                  </w:pPr>
                </w:p>
              </w:tc>
              <w:tc>
                <w:tcPr>
                  <w:tcW w:w="177" w:type="pct"/>
                  <w:tcBorders>
                    <w:tl2br w:val="nil"/>
                    <w:tr2bl w:val="nil"/>
                  </w:tcBorders>
                  <w:shd w:val="clear" w:color="auto" w:fill="auto"/>
                  <w:vAlign w:val="center"/>
                </w:tcPr>
                <w:p w14:paraId="7791F441">
                  <w:pPr>
                    <w:widowControl/>
                    <w:jc w:val="center"/>
                    <w:textAlignment w:val="center"/>
                    <w:rPr>
                      <w:rFonts w:hint="default" w:ascii="Times New Roman" w:hAnsi="Times New Roman" w:eastAsia="等线" w:cs="Times New Roman"/>
                      <w:color w:val="auto"/>
                      <w:kern w:val="0"/>
                      <w:sz w:val="21"/>
                      <w:szCs w:val="21"/>
                      <w:lang w:val="en-US" w:eastAsia="zh-CN" w:bidi="ar"/>
                    </w:rPr>
                  </w:pPr>
                  <w:r>
                    <w:rPr>
                      <w:rFonts w:hint="eastAsia" w:eastAsia="等线" w:cs="Times New Roman"/>
                      <w:color w:val="auto"/>
                      <w:kern w:val="0"/>
                      <w:sz w:val="21"/>
                      <w:szCs w:val="21"/>
                      <w:lang w:val="en-US" w:eastAsia="zh-CN" w:bidi="ar"/>
                    </w:rPr>
                    <w:t>12</w:t>
                  </w:r>
                </w:p>
              </w:tc>
              <w:tc>
                <w:tcPr>
                  <w:tcW w:w="201" w:type="pct"/>
                  <w:tcBorders>
                    <w:tl2br w:val="nil"/>
                    <w:tr2bl w:val="nil"/>
                  </w:tcBorders>
                  <w:shd w:val="clear" w:color="auto" w:fill="auto"/>
                  <w:vAlign w:val="center"/>
                </w:tcPr>
                <w:p w14:paraId="23F5011B">
                  <w:pPr>
                    <w:widowControl/>
                    <w:jc w:val="center"/>
                    <w:textAlignment w:val="center"/>
                    <w:rPr>
                      <w:rFonts w:hint="default" w:ascii="Times New Roman" w:hAnsi="Times New Roman" w:eastAsia="等线" w:cs="Times New Roman"/>
                      <w:color w:val="auto"/>
                      <w:kern w:val="0"/>
                      <w:sz w:val="21"/>
                      <w:szCs w:val="21"/>
                      <w:lang w:val="en-US" w:eastAsia="zh-CN" w:bidi="ar"/>
                    </w:rPr>
                  </w:pPr>
                  <w:r>
                    <w:rPr>
                      <w:rFonts w:hint="eastAsia" w:eastAsia="等线" w:cs="Times New Roman"/>
                      <w:color w:val="auto"/>
                      <w:kern w:val="0"/>
                      <w:sz w:val="21"/>
                      <w:szCs w:val="21"/>
                      <w:lang w:val="en-US" w:eastAsia="zh-CN" w:bidi="ar"/>
                    </w:rPr>
                    <w:t>19</w:t>
                  </w:r>
                </w:p>
              </w:tc>
              <w:tc>
                <w:tcPr>
                  <w:tcW w:w="116" w:type="pct"/>
                  <w:tcBorders>
                    <w:tl2br w:val="nil"/>
                    <w:tr2bl w:val="nil"/>
                  </w:tcBorders>
                  <w:vAlign w:val="center"/>
                </w:tcPr>
                <w:p w14:paraId="41AD8850">
                  <w:pPr>
                    <w:widowControl/>
                    <w:jc w:val="center"/>
                    <w:textAlignment w:val="center"/>
                    <w:rPr>
                      <w:rFonts w:hint="eastAsia" w:eastAsia="宋体"/>
                      <w:color w:val="auto"/>
                      <w:sz w:val="21"/>
                      <w:szCs w:val="21"/>
                      <w:lang w:val="en-US" w:eastAsia="zh-CN"/>
                    </w:rPr>
                  </w:pPr>
                  <w:r>
                    <w:rPr>
                      <w:rFonts w:hint="eastAsia" w:eastAsia="宋体"/>
                      <w:color w:val="auto"/>
                      <w:sz w:val="21"/>
                      <w:szCs w:val="21"/>
                      <w:lang w:val="en-US" w:eastAsia="zh-CN"/>
                    </w:rPr>
                    <w:t>1</w:t>
                  </w:r>
                </w:p>
              </w:tc>
              <w:tc>
                <w:tcPr>
                  <w:tcW w:w="197" w:type="pct"/>
                  <w:tcBorders>
                    <w:tl2br w:val="nil"/>
                    <w:tr2bl w:val="nil"/>
                  </w:tcBorders>
                  <w:vAlign w:val="center"/>
                </w:tcPr>
                <w:p w14:paraId="46EF7437">
                  <w:pPr>
                    <w:widowControl/>
                    <w:jc w:val="center"/>
                    <w:textAlignment w:val="center"/>
                    <w:rPr>
                      <w:rFonts w:hint="default" w:eastAsia="等线"/>
                      <w:color w:val="auto"/>
                      <w:kern w:val="0"/>
                      <w:sz w:val="21"/>
                      <w:szCs w:val="21"/>
                      <w:lang w:val="en-US" w:eastAsia="zh-CN"/>
                    </w:rPr>
                  </w:pPr>
                  <w:r>
                    <w:rPr>
                      <w:rFonts w:hint="eastAsia" w:eastAsia="等线"/>
                      <w:color w:val="auto"/>
                      <w:kern w:val="0"/>
                      <w:sz w:val="21"/>
                      <w:szCs w:val="21"/>
                      <w:lang w:val="en-US" w:eastAsia="zh-CN"/>
                    </w:rPr>
                    <w:t>50</w:t>
                  </w:r>
                </w:p>
              </w:tc>
              <w:tc>
                <w:tcPr>
                  <w:tcW w:w="237" w:type="pct"/>
                  <w:tcBorders>
                    <w:tl2br w:val="nil"/>
                    <w:tr2bl w:val="nil"/>
                  </w:tcBorders>
                  <w:vAlign w:val="center"/>
                </w:tcPr>
                <w:p w14:paraId="7F08422F">
                  <w:pPr>
                    <w:keepNext w:val="0"/>
                    <w:keepLines w:val="0"/>
                    <w:widowControl/>
                    <w:suppressLineNumbers w:val="0"/>
                    <w:jc w:val="center"/>
                    <w:textAlignment w:val="center"/>
                    <w:rPr>
                      <w:rFonts w:hint="default" w:eastAsia="等线"/>
                      <w:color w:val="auto"/>
                      <w:kern w:val="0"/>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15</w:t>
                  </w:r>
                </w:p>
              </w:tc>
              <w:tc>
                <w:tcPr>
                  <w:tcW w:w="181" w:type="pct"/>
                  <w:tcBorders>
                    <w:tl2br w:val="nil"/>
                    <w:tr2bl w:val="nil"/>
                  </w:tcBorders>
                  <w:vAlign w:val="center"/>
                </w:tcPr>
                <w:p w14:paraId="0EBC9C64">
                  <w:pPr>
                    <w:keepNext w:val="0"/>
                    <w:keepLines w:val="0"/>
                    <w:widowControl/>
                    <w:suppressLineNumbers w:val="0"/>
                    <w:jc w:val="center"/>
                    <w:textAlignment w:val="center"/>
                    <w:rPr>
                      <w:rFonts w:hint="default" w:eastAsia="等线"/>
                      <w:color w:val="auto"/>
                      <w:kern w:val="0"/>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16</w:t>
                  </w:r>
                </w:p>
              </w:tc>
              <w:tc>
                <w:tcPr>
                  <w:tcW w:w="237" w:type="pct"/>
                  <w:tcBorders>
                    <w:tl2br w:val="nil"/>
                    <w:tr2bl w:val="nil"/>
                  </w:tcBorders>
                  <w:vAlign w:val="center"/>
                </w:tcPr>
                <w:p w14:paraId="4A4E7FC0">
                  <w:pPr>
                    <w:widowControl/>
                    <w:jc w:val="center"/>
                    <w:textAlignment w:val="center"/>
                    <w:rPr>
                      <w:rFonts w:hint="default" w:eastAsia="等线"/>
                      <w:color w:val="auto"/>
                      <w:kern w:val="0"/>
                      <w:sz w:val="21"/>
                      <w:szCs w:val="21"/>
                      <w:lang w:val="en-US" w:eastAsia="zh-CN"/>
                    </w:rPr>
                  </w:pPr>
                  <w:r>
                    <w:rPr>
                      <w:rFonts w:hint="eastAsia" w:eastAsia="等线"/>
                      <w:color w:val="auto"/>
                      <w:kern w:val="0"/>
                      <w:sz w:val="21"/>
                      <w:szCs w:val="21"/>
                      <w:lang w:val="en-US" w:eastAsia="zh-CN"/>
                    </w:rPr>
                    <w:t>94</w:t>
                  </w:r>
                </w:p>
              </w:tc>
              <w:tc>
                <w:tcPr>
                  <w:tcW w:w="241" w:type="pct"/>
                  <w:tcBorders>
                    <w:tl2br w:val="nil"/>
                    <w:tr2bl w:val="nil"/>
                  </w:tcBorders>
                  <w:vAlign w:val="center"/>
                </w:tcPr>
                <w:p w14:paraId="5AE1D99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等线" w:cs="Times New Roman"/>
                      <w:i w:val="0"/>
                      <w:iCs w:val="0"/>
                      <w:color w:val="auto"/>
                      <w:kern w:val="0"/>
                      <w:sz w:val="22"/>
                      <w:szCs w:val="22"/>
                      <w:u w:val="none"/>
                      <w:lang w:val="en-US" w:eastAsia="zh-CN" w:bidi="ar"/>
                    </w:rPr>
                    <w:t>46.3</w:t>
                  </w:r>
                </w:p>
              </w:tc>
              <w:tc>
                <w:tcPr>
                  <w:tcW w:w="241" w:type="pct"/>
                  <w:tcBorders>
                    <w:tl2br w:val="nil"/>
                    <w:tr2bl w:val="nil"/>
                  </w:tcBorders>
                  <w:vAlign w:val="center"/>
                </w:tcPr>
                <w:p w14:paraId="56C6FCB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等线" w:cs="Times New Roman"/>
                      <w:i w:val="0"/>
                      <w:iCs w:val="0"/>
                      <w:color w:val="auto"/>
                      <w:kern w:val="0"/>
                      <w:sz w:val="22"/>
                      <w:szCs w:val="22"/>
                      <w:u w:val="none"/>
                      <w:lang w:val="en-US" w:eastAsia="zh-CN" w:bidi="ar"/>
                    </w:rPr>
                    <w:t>47.0</w:t>
                  </w:r>
                </w:p>
              </w:tc>
              <w:tc>
                <w:tcPr>
                  <w:tcW w:w="206" w:type="pct"/>
                  <w:tcBorders>
                    <w:tl2br w:val="nil"/>
                    <w:tr2bl w:val="nil"/>
                  </w:tcBorders>
                  <w:vAlign w:val="center"/>
                </w:tcPr>
                <w:p w14:paraId="76993AD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等线" w:cs="Times New Roman"/>
                      <w:i w:val="0"/>
                      <w:iCs w:val="0"/>
                      <w:color w:val="auto"/>
                      <w:kern w:val="0"/>
                      <w:sz w:val="22"/>
                      <w:szCs w:val="22"/>
                      <w:u w:val="none"/>
                      <w:lang w:val="en-US" w:eastAsia="zh-CN" w:bidi="ar"/>
                    </w:rPr>
                    <w:t>46.9</w:t>
                  </w:r>
                </w:p>
              </w:tc>
              <w:tc>
                <w:tcPr>
                  <w:tcW w:w="207" w:type="pct"/>
                  <w:tcBorders>
                    <w:tl2br w:val="nil"/>
                    <w:tr2bl w:val="nil"/>
                  </w:tcBorders>
                  <w:vAlign w:val="center"/>
                </w:tcPr>
                <w:p w14:paraId="387C373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等线" w:cs="Times New Roman"/>
                      <w:i w:val="0"/>
                      <w:iCs w:val="0"/>
                      <w:color w:val="auto"/>
                      <w:kern w:val="0"/>
                      <w:sz w:val="22"/>
                      <w:szCs w:val="22"/>
                      <w:u w:val="none"/>
                      <w:lang w:val="en-US" w:eastAsia="zh-CN" w:bidi="ar"/>
                    </w:rPr>
                    <w:t>46.3</w:t>
                  </w:r>
                </w:p>
              </w:tc>
              <w:tc>
                <w:tcPr>
                  <w:tcW w:w="151" w:type="pct"/>
                  <w:vMerge w:val="continue"/>
                  <w:tcBorders>
                    <w:tl2br w:val="nil"/>
                    <w:tr2bl w:val="nil"/>
                  </w:tcBorders>
                  <w:vAlign w:val="center"/>
                </w:tcPr>
                <w:p w14:paraId="5AB53825">
                  <w:pPr>
                    <w:pStyle w:val="22"/>
                    <w:widowControl w:val="0"/>
                    <w:adjustRightInd w:val="0"/>
                    <w:snapToGrid w:val="0"/>
                    <w:spacing w:before="0" w:beforeAutospacing="0" w:after="0" w:afterAutospacing="0"/>
                    <w:jc w:val="center"/>
                    <w:textAlignment w:val="baseline"/>
                    <w:rPr>
                      <w:rFonts w:ascii="Times New Roman" w:hAnsi="Times New Roman"/>
                      <w:color w:val="auto"/>
                      <w:spacing w:val="-10"/>
                      <w:sz w:val="21"/>
                      <w:szCs w:val="21"/>
                    </w:rPr>
                  </w:pPr>
                </w:p>
              </w:tc>
              <w:tc>
                <w:tcPr>
                  <w:tcW w:w="148" w:type="pct"/>
                  <w:vMerge w:val="continue"/>
                  <w:tcBorders>
                    <w:tl2br w:val="nil"/>
                    <w:tr2bl w:val="nil"/>
                  </w:tcBorders>
                  <w:vAlign w:val="center"/>
                </w:tcPr>
                <w:p w14:paraId="641D2E79">
                  <w:pPr>
                    <w:pStyle w:val="22"/>
                    <w:widowControl w:val="0"/>
                    <w:adjustRightInd w:val="0"/>
                    <w:snapToGrid w:val="0"/>
                    <w:spacing w:before="0" w:beforeAutospacing="0" w:after="0" w:afterAutospacing="0"/>
                    <w:jc w:val="center"/>
                    <w:textAlignment w:val="baseline"/>
                    <w:rPr>
                      <w:rFonts w:ascii="Times New Roman" w:hAnsi="Times New Roman"/>
                      <w:color w:val="auto"/>
                      <w:spacing w:val="-10"/>
                      <w:sz w:val="21"/>
                      <w:szCs w:val="21"/>
                    </w:rPr>
                  </w:pPr>
                </w:p>
              </w:tc>
              <w:tc>
                <w:tcPr>
                  <w:tcW w:w="126" w:type="pct"/>
                  <w:vMerge w:val="continue"/>
                  <w:tcBorders>
                    <w:tl2br w:val="nil"/>
                    <w:tr2bl w:val="nil"/>
                  </w:tcBorders>
                  <w:vAlign w:val="center"/>
                </w:tcPr>
                <w:p w14:paraId="058FF1E4">
                  <w:pPr>
                    <w:pStyle w:val="22"/>
                    <w:widowControl w:val="0"/>
                    <w:adjustRightInd w:val="0"/>
                    <w:snapToGrid w:val="0"/>
                    <w:spacing w:before="0" w:beforeAutospacing="0" w:after="0" w:afterAutospacing="0"/>
                    <w:jc w:val="center"/>
                    <w:textAlignment w:val="baseline"/>
                    <w:rPr>
                      <w:rFonts w:ascii="Times New Roman" w:hAnsi="Times New Roman"/>
                      <w:color w:val="auto"/>
                      <w:spacing w:val="-10"/>
                      <w:sz w:val="21"/>
                      <w:szCs w:val="21"/>
                    </w:rPr>
                  </w:pPr>
                </w:p>
              </w:tc>
              <w:tc>
                <w:tcPr>
                  <w:tcW w:w="120" w:type="pct"/>
                  <w:vMerge w:val="continue"/>
                  <w:tcBorders>
                    <w:tl2br w:val="nil"/>
                    <w:tr2bl w:val="nil"/>
                  </w:tcBorders>
                  <w:vAlign w:val="center"/>
                </w:tcPr>
                <w:p w14:paraId="60C9EC12">
                  <w:pPr>
                    <w:pStyle w:val="22"/>
                    <w:widowControl w:val="0"/>
                    <w:adjustRightInd w:val="0"/>
                    <w:snapToGrid w:val="0"/>
                    <w:spacing w:before="0" w:beforeAutospacing="0" w:after="0" w:afterAutospacing="0"/>
                    <w:jc w:val="center"/>
                    <w:textAlignment w:val="baseline"/>
                    <w:rPr>
                      <w:rFonts w:ascii="Times New Roman" w:hAnsi="Times New Roman"/>
                      <w:color w:val="auto"/>
                      <w:spacing w:val="-10"/>
                      <w:sz w:val="21"/>
                      <w:szCs w:val="21"/>
                    </w:rPr>
                  </w:pPr>
                </w:p>
              </w:tc>
              <w:tc>
                <w:tcPr>
                  <w:tcW w:w="134" w:type="pct"/>
                  <w:vMerge w:val="continue"/>
                  <w:tcBorders>
                    <w:tl2br w:val="nil"/>
                    <w:tr2bl w:val="nil"/>
                  </w:tcBorders>
                  <w:vAlign w:val="center"/>
                </w:tcPr>
                <w:p w14:paraId="6547EF7C">
                  <w:pPr>
                    <w:pStyle w:val="22"/>
                    <w:widowControl w:val="0"/>
                    <w:adjustRightInd w:val="0"/>
                    <w:snapToGrid w:val="0"/>
                    <w:spacing w:before="0" w:beforeAutospacing="0" w:after="0" w:afterAutospacing="0"/>
                    <w:jc w:val="center"/>
                    <w:textAlignment w:val="baseline"/>
                    <w:rPr>
                      <w:rFonts w:ascii="Times New Roman" w:hAnsi="Times New Roman"/>
                      <w:color w:val="auto"/>
                      <w:spacing w:val="-10"/>
                      <w:sz w:val="21"/>
                      <w:szCs w:val="21"/>
                    </w:rPr>
                  </w:pPr>
                </w:p>
              </w:tc>
              <w:tc>
                <w:tcPr>
                  <w:tcW w:w="115" w:type="pct"/>
                  <w:vMerge w:val="continue"/>
                  <w:tcBorders>
                    <w:tl2br w:val="nil"/>
                    <w:tr2bl w:val="nil"/>
                  </w:tcBorders>
                  <w:vAlign w:val="center"/>
                </w:tcPr>
                <w:p w14:paraId="57A5C2E8">
                  <w:pPr>
                    <w:pStyle w:val="22"/>
                    <w:keepNext w:val="0"/>
                    <w:keepLines w:val="0"/>
                    <w:pageBreakBefore w:val="0"/>
                    <w:widowControl w:val="0"/>
                    <w:kinsoku/>
                    <w:wordWrap/>
                    <w:overflowPunct/>
                    <w:topLinePunct w:val="0"/>
                    <w:autoSpaceDE/>
                    <w:autoSpaceDN/>
                    <w:bidi w:val="0"/>
                    <w:adjustRightInd w:val="0"/>
                    <w:snapToGrid w:val="0"/>
                    <w:spacing w:before="0" w:beforeAutospacing="0" w:after="0" w:afterAutospacing="0"/>
                    <w:jc w:val="center"/>
                    <w:textAlignment w:val="baseline"/>
                    <w:rPr>
                      <w:rFonts w:hint="default" w:ascii="Times New Roman" w:hAnsi="Times New Roman" w:cs="Times New Roman"/>
                      <w:color w:val="auto"/>
                      <w:spacing w:val="-10"/>
                      <w:sz w:val="21"/>
                      <w:szCs w:val="21"/>
                    </w:rPr>
                  </w:pPr>
                </w:p>
              </w:tc>
              <w:tc>
                <w:tcPr>
                  <w:tcW w:w="117" w:type="pct"/>
                  <w:vMerge w:val="continue"/>
                  <w:tcBorders>
                    <w:tl2br w:val="nil"/>
                    <w:tr2bl w:val="nil"/>
                  </w:tcBorders>
                  <w:vAlign w:val="center"/>
                </w:tcPr>
                <w:p w14:paraId="05DB5E49">
                  <w:pPr>
                    <w:pStyle w:val="22"/>
                    <w:keepNext w:val="0"/>
                    <w:keepLines w:val="0"/>
                    <w:pageBreakBefore w:val="0"/>
                    <w:widowControl w:val="0"/>
                    <w:kinsoku/>
                    <w:wordWrap/>
                    <w:overflowPunct/>
                    <w:topLinePunct w:val="0"/>
                    <w:autoSpaceDE/>
                    <w:autoSpaceDN/>
                    <w:bidi w:val="0"/>
                    <w:adjustRightInd w:val="0"/>
                    <w:snapToGrid w:val="0"/>
                    <w:spacing w:before="0" w:beforeAutospacing="0" w:after="0" w:afterAutospacing="0"/>
                    <w:jc w:val="center"/>
                    <w:textAlignment w:val="baseline"/>
                    <w:rPr>
                      <w:rFonts w:hint="default" w:ascii="Times New Roman" w:hAnsi="Times New Roman" w:cs="Times New Roman"/>
                      <w:color w:val="auto"/>
                      <w:spacing w:val="-10"/>
                      <w:sz w:val="21"/>
                      <w:szCs w:val="21"/>
                    </w:rPr>
                  </w:pPr>
                </w:p>
              </w:tc>
              <w:tc>
                <w:tcPr>
                  <w:tcW w:w="117" w:type="pct"/>
                  <w:vMerge w:val="continue"/>
                  <w:tcBorders>
                    <w:tl2br w:val="nil"/>
                    <w:tr2bl w:val="nil"/>
                  </w:tcBorders>
                  <w:vAlign w:val="center"/>
                </w:tcPr>
                <w:p w14:paraId="5626960A">
                  <w:pPr>
                    <w:pStyle w:val="22"/>
                    <w:keepNext w:val="0"/>
                    <w:keepLines w:val="0"/>
                    <w:pageBreakBefore w:val="0"/>
                    <w:widowControl w:val="0"/>
                    <w:kinsoku/>
                    <w:wordWrap/>
                    <w:overflowPunct/>
                    <w:topLinePunct w:val="0"/>
                    <w:autoSpaceDE/>
                    <w:autoSpaceDN/>
                    <w:bidi w:val="0"/>
                    <w:adjustRightInd w:val="0"/>
                    <w:snapToGrid w:val="0"/>
                    <w:spacing w:before="0" w:beforeAutospacing="0" w:after="0" w:afterAutospacing="0"/>
                    <w:jc w:val="center"/>
                    <w:textAlignment w:val="baseline"/>
                    <w:rPr>
                      <w:rFonts w:hint="default" w:ascii="Times New Roman" w:hAnsi="Times New Roman" w:cs="Times New Roman"/>
                      <w:color w:val="auto"/>
                      <w:spacing w:val="-10"/>
                      <w:sz w:val="21"/>
                      <w:szCs w:val="21"/>
                    </w:rPr>
                  </w:pPr>
                </w:p>
              </w:tc>
              <w:tc>
                <w:tcPr>
                  <w:tcW w:w="118" w:type="pct"/>
                  <w:vMerge w:val="continue"/>
                  <w:tcBorders>
                    <w:tl2br w:val="nil"/>
                    <w:tr2bl w:val="nil"/>
                  </w:tcBorders>
                  <w:vAlign w:val="center"/>
                </w:tcPr>
                <w:p w14:paraId="05C409E4">
                  <w:pPr>
                    <w:pStyle w:val="22"/>
                    <w:keepNext w:val="0"/>
                    <w:keepLines w:val="0"/>
                    <w:pageBreakBefore w:val="0"/>
                    <w:widowControl w:val="0"/>
                    <w:kinsoku/>
                    <w:wordWrap/>
                    <w:overflowPunct/>
                    <w:topLinePunct w:val="0"/>
                    <w:autoSpaceDE/>
                    <w:autoSpaceDN/>
                    <w:bidi w:val="0"/>
                    <w:adjustRightInd w:val="0"/>
                    <w:snapToGrid w:val="0"/>
                    <w:spacing w:before="0" w:beforeAutospacing="0" w:after="0" w:afterAutospacing="0"/>
                    <w:jc w:val="center"/>
                    <w:textAlignment w:val="baseline"/>
                    <w:rPr>
                      <w:rFonts w:hint="default" w:ascii="Times New Roman" w:hAnsi="Times New Roman" w:cs="Times New Roman"/>
                      <w:color w:val="auto"/>
                      <w:spacing w:val="-10"/>
                      <w:sz w:val="21"/>
                      <w:szCs w:val="21"/>
                    </w:rPr>
                  </w:pPr>
                </w:p>
              </w:tc>
              <w:tc>
                <w:tcPr>
                  <w:tcW w:w="282" w:type="pct"/>
                  <w:vMerge w:val="continue"/>
                  <w:tcBorders>
                    <w:tl2br w:val="nil"/>
                    <w:tr2bl w:val="nil"/>
                  </w:tcBorders>
                  <w:vAlign w:val="center"/>
                </w:tcPr>
                <w:p w14:paraId="2F5DB454">
                  <w:pPr>
                    <w:pStyle w:val="22"/>
                    <w:widowControl w:val="0"/>
                    <w:adjustRightInd w:val="0"/>
                    <w:snapToGrid w:val="0"/>
                    <w:spacing w:before="0" w:beforeAutospacing="0" w:after="0" w:afterAutospacing="0"/>
                    <w:jc w:val="center"/>
                    <w:textAlignment w:val="baseline"/>
                    <w:rPr>
                      <w:rFonts w:ascii="Times New Roman" w:hAnsi="Times New Roman"/>
                      <w:color w:val="auto"/>
                      <w:spacing w:val="-10"/>
                      <w:sz w:val="21"/>
                      <w:szCs w:val="21"/>
                    </w:rPr>
                  </w:pPr>
                </w:p>
              </w:tc>
            </w:tr>
          </w:tbl>
          <w:p w14:paraId="1A499C7A">
            <w:pPr>
              <w:rPr>
                <w:b/>
                <w:bCs/>
                <w:color w:val="auto"/>
                <w:sz w:val="24"/>
                <w:szCs w:val="24"/>
              </w:rPr>
            </w:pPr>
            <w:r>
              <w:rPr>
                <w:rFonts w:hint="eastAsia"/>
                <w:b/>
                <w:bCs/>
                <w:color w:val="auto"/>
                <w:sz w:val="20"/>
                <w:szCs w:val="20"/>
              </w:rPr>
              <w:t>注：以</w:t>
            </w:r>
            <w:bookmarkStart w:id="33" w:name="OLE_LINK29"/>
            <w:r>
              <w:rPr>
                <w:rFonts w:hint="eastAsia"/>
                <w:b/>
                <w:bCs/>
                <w:color w:val="auto"/>
                <w:sz w:val="20"/>
                <w:szCs w:val="20"/>
              </w:rPr>
              <w:t>生产车间</w:t>
            </w:r>
            <w:r>
              <w:rPr>
                <w:rFonts w:hint="eastAsia"/>
                <w:b/>
                <w:bCs/>
                <w:color w:val="auto"/>
                <w:sz w:val="20"/>
                <w:szCs w:val="20"/>
                <w:lang w:val="en-US" w:eastAsia="zh-CN"/>
              </w:rPr>
              <w:t>西南角</w:t>
            </w:r>
            <w:bookmarkEnd w:id="33"/>
            <w:r>
              <w:rPr>
                <w:rFonts w:hint="eastAsia"/>
                <w:b/>
                <w:bCs/>
                <w:color w:val="auto"/>
                <w:sz w:val="20"/>
                <w:szCs w:val="20"/>
              </w:rPr>
              <w:t>为空间坐标原点（0,0,0），</w:t>
            </w:r>
            <w:r>
              <w:rPr>
                <w:b/>
                <w:bCs/>
                <w:snapToGrid w:val="0"/>
                <w:color w:val="auto"/>
                <w:sz w:val="20"/>
                <w:szCs w:val="20"/>
              </w:rPr>
              <w:t>XYZ为设备相对</w:t>
            </w:r>
            <w:r>
              <w:rPr>
                <w:rFonts w:hint="eastAsia"/>
                <w:b/>
                <w:bCs/>
                <w:snapToGrid w:val="0"/>
                <w:color w:val="auto"/>
                <w:sz w:val="20"/>
                <w:szCs w:val="20"/>
              </w:rPr>
              <w:t>坐标原</w:t>
            </w:r>
            <w:r>
              <w:rPr>
                <w:b/>
                <w:bCs/>
                <w:snapToGrid w:val="0"/>
                <w:color w:val="auto"/>
                <w:sz w:val="20"/>
                <w:szCs w:val="20"/>
              </w:rPr>
              <w:t>点位置</w:t>
            </w:r>
            <w:r>
              <w:rPr>
                <w:rFonts w:hint="eastAsia"/>
                <w:b/>
                <w:bCs/>
                <w:color w:val="auto"/>
                <w:sz w:val="20"/>
                <w:szCs w:val="20"/>
              </w:rPr>
              <w:t>。本项目为</w:t>
            </w:r>
            <w:r>
              <w:rPr>
                <w:rFonts w:hint="eastAsia"/>
                <w:b/>
                <w:bCs/>
                <w:color w:val="auto"/>
                <w:sz w:val="20"/>
                <w:szCs w:val="20"/>
                <w:lang w:val="en-US" w:eastAsia="zh-CN"/>
              </w:rPr>
              <w:t>砖</w:t>
            </w:r>
            <w:r>
              <w:rPr>
                <w:rFonts w:hint="eastAsia"/>
                <w:b/>
                <w:bCs/>
                <w:color w:val="auto"/>
                <w:sz w:val="20"/>
                <w:szCs w:val="20"/>
              </w:rPr>
              <w:t>混车间，则厂房隔声量为</w:t>
            </w:r>
            <w:r>
              <w:rPr>
                <w:rFonts w:hint="eastAsia"/>
                <w:b/>
                <w:bCs/>
                <w:color w:val="auto"/>
                <w:sz w:val="20"/>
                <w:szCs w:val="20"/>
                <w:lang w:val="en-US" w:eastAsia="zh-CN"/>
              </w:rPr>
              <w:t>20</w:t>
            </w:r>
            <w:r>
              <w:rPr>
                <w:rFonts w:hint="eastAsia"/>
                <w:b/>
                <w:bCs/>
                <w:color w:val="auto"/>
                <w:sz w:val="20"/>
                <w:szCs w:val="20"/>
              </w:rPr>
              <w:t>dB</w:t>
            </w:r>
            <w:r>
              <w:rPr>
                <w:rFonts w:hint="eastAsia"/>
                <w:b/>
                <w:bCs/>
                <w:snapToGrid w:val="0"/>
                <w:color w:val="auto"/>
                <w:sz w:val="20"/>
                <w:szCs w:val="20"/>
              </w:rPr>
              <w:t>。表中的声源源强为N个声源叠加的声功率级情况。</w:t>
            </w:r>
          </w:p>
          <w:p w14:paraId="1B243413">
            <w:pPr>
              <w:jc w:val="center"/>
              <w:rPr>
                <w:b/>
                <w:bCs/>
                <w:color w:val="auto"/>
                <w:sz w:val="24"/>
                <w:szCs w:val="24"/>
              </w:rPr>
            </w:pPr>
            <w:r>
              <w:rPr>
                <w:rFonts w:hint="eastAsia"/>
                <w:b/>
                <w:bCs/>
                <w:color w:val="auto"/>
                <w:sz w:val="24"/>
                <w:szCs w:val="24"/>
              </w:rPr>
              <w:t>表4-</w:t>
            </w:r>
            <w:r>
              <w:rPr>
                <w:rFonts w:hint="eastAsia"/>
                <w:b/>
                <w:bCs/>
                <w:color w:val="auto"/>
                <w:sz w:val="24"/>
                <w:szCs w:val="24"/>
                <w:lang w:val="en-US" w:eastAsia="zh-CN"/>
              </w:rPr>
              <w:t>17</w:t>
            </w:r>
            <w:r>
              <w:rPr>
                <w:rFonts w:hint="eastAsia"/>
                <w:b/>
                <w:bCs/>
                <w:color w:val="auto"/>
                <w:sz w:val="24"/>
                <w:szCs w:val="24"/>
              </w:rPr>
              <w:t xml:space="preserve"> </w:t>
            </w:r>
            <w:r>
              <w:rPr>
                <w:b/>
                <w:bCs/>
                <w:color w:val="auto"/>
                <w:sz w:val="24"/>
                <w:szCs w:val="24"/>
              </w:rPr>
              <w:t>工业企业噪声源强调查清单（室外声源）</w:t>
            </w:r>
          </w:p>
          <w:tbl>
            <w:tblPr>
              <w:tblStyle w:val="26"/>
              <w:tblW w:w="4997"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333"/>
              <w:gridCol w:w="904"/>
              <w:gridCol w:w="612"/>
              <w:gridCol w:w="746"/>
              <w:gridCol w:w="750"/>
              <w:gridCol w:w="688"/>
              <w:gridCol w:w="675"/>
              <w:gridCol w:w="1737"/>
              <w:gridCol w:w="4625"/>
              <w:gridCol w:w="1364"/>
            </w:tblGrid>
            <w:tr w14:paraId="075A959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33" w:type="pct"/>
                  <w:vMerge w:val="restart"/>
                  <w:tcBorders>
                    <w:tl2br w:val="nil"/>
                    <w:tr2bl w:val="nil"/>
                  </w:tcBorders>
                  <w:shd w:val="clear" w:color="auto" w:fill="auto"/>
                  <w:vAlign w:val="center"/>
                </w:tcPr>
                <w:p w14:paraId="5892B372">
                  <w:pPr>
                    <w:pStyle w:val="22"/>
                    <w:widowControl w:val="0"/>
                    <w:adjustRightInd w:val="0"/>
                    <w:snapToGrid w:val="0"/>
                    <w:spacing w:before="0" w:beforeAutospacing="0" w:after="0" w:afterAutospacing="0"/>
                    <w:jc w:val="center"/>
                    <w:textAlignment w:val="baseline"/>
                    <w:rPr>
                      <w:rFonts w:ascii="Times New Roman" w:hAnsi="Times New Roman"/>
                      <w:b/>
                      <w:color w:val="auto"/>
                      <w:spacing w:val="-10"/>
                      <w:sz w:val="21"/>
                      <w:szCs w:val="21"/>
                    </w:rPr>
                  </w:pPr>
                  <w:r>
                    <w:rPr>
                      <w:rFonts w:hint="eastAsia" w:cs="宋体"/>
                      <w:b/>
                      <w:color w:val="auto"/>
                      <w:spacing w:val="-10"/>
                      <w:sz w:val="21"/>
                      <w:szCs w:val="21"/>
                    </w:rPr>
                    <w:t>序号</w:t>
                  </w:r>
                </w:p>
              </w:tc>
              <w:tc>
                <w:tcPr>
                  <w:tcW w:w="363" w:type="pct"/>
                  <w:vMerge w:val="restart"/>
                  <w:tcBorders>
                    <w:tl2br w:val="nil"/>
                    <w:tr2bl w:val="nil"/>
                  </w:tcBorders>
                  <w:shd w:val="clear" w:color="auto" w:fill="auto"/>
                  <w:vAlign w:val="center"/>
                </w:tcPr>
                <w:p w14:paraId="1C6312BB">
                  <w:pPr>
                    <w:pStyle w:val="22"/>
                    <w:widowControl w:val="0"/>
                    <w:adjustRightInd w:val="0"/>
                    <w:snapToGrid w:val="0"/>
                    <w:spacing w:before="0" w:beforeAutospacing="0" w:after="0" w:afterAutospacing="0"/>
                    <w:jc w:val="center"/>
                    <w:textAlignment w:val="baseline"/>
                    <w:rPr>
                      <w:rFonts w:ascii="Times New Roman" w:hAnsi="Times New Roman"/>
                      <w:b/>
                      <w:color w:val="auto"/>
                      <w:spacing w:val="-10"/>
                      <w:sz w:val="21"/>
                      <w:szCs w:val="21"/>
                    </w:rPr>
                  </w:pPr>
                  <w:r>
                    <w:rPr>
                      <w:rFonts w:hint="eastAsia" w:cs="宋体"/>
                      <w:b/>
                      <w:color w:val="auto"/>
                      <w:spacing w:val="-10"/>
                      <w:sz w:val="21"/>
                      <w:szCs w:val="21"/>
                    </w:rPr>
                    <w:t>建筑物名称</w:t>
                  </w:r>
                </w:p>
              </w:tc>
              <w:tc>
                <w:tcPr>
                  <w:tcW w:w="246" w:type="pct"/>
                  <w:vMerge w:val="restart"/>
                  <w:tcBorders>
                    <w:tl2br w:val="nil"/>
                    <w:tr2bl w:val="nil"/>
                  </w:tcBorders>
                  <w:shd w:val="clear" w:color="auto" w:fill="auto"/>
                  <w:vAlign w:val="center"/>
                </w:tcPr>
                <w:p w14:paraId="1F81291F">
                  <w:pPr>
                    <w:pStyle w:val="22"/>
                    <w:widowControl w:val="0"/>
                    <w:adjustRightInd w:val="0"/>
                    <w:snapToGrid w:val="0"/>
                    <w:spacing w:before="0" w:beforeAutospacing="0" w:after="0" w:afterAutospacing="0"/>
                    <w:jc w:val="center"/>
                    <w:textAlignment w:val="baseline"/>
                    <w:rPr>
                      <w:rFonts w:ascii="Times New Roman" w:hAnsi="Times New Roman"/>
                      <w:b/>
                      <w:color w:val="auto"/>
                      <w:spacing w:val="-10"/>
                      <w:sz w:val="21"/>
                      <w:szCs w:val="21"/>
                    </w:rPr>
                  </w:pPr>
                  <w:r>
                    <w:rPr>
                      <w:rFonts w:hint="eastAsia" w:cs="宋体"/>
                      <w:b/>
                      <w:color w:val="auto"/>
                      <w:spacing w:val="-10"/>
                      <w:sz w:val="21"/>
                      <w:szCs w:val="21"/>
                    </w:rPr>
                    <w:t>声源名称</w:t>
                  </w:r>
                </w:p>
              </w:tc>
              <w:tc>
                <w:tcPr>
                  <w:tcW w:w="299" w:type="pct"/>
                  <w:vMerge w:val="restart"/>
                  <w:tcBorders>
                    <w:tl2br w:val="nil"/>
                    <w:tr2bl w:val="nil"/>
                  </w:tcBorders>
                  <w:shd w:val="clear" w:color="auto" w:fill="auto"/>
                  <w:vAlign w:val="center"/>
                </w:tcPr>
                <w:p w14:paraId="53632B5A">
                  <w:pPr>
                    <w:pStyle w:val="22"/>
                    <w:widowControl w:val="0"/>
                    <w:adjustRightInd w:val="0"/>
                    <w:snapToGrid w:val="0"/>
                    <w:spacing w:before="0" w:beforeAutospacing="0" w:after="0" w:afterAutospacing="0"/>
                    <w:jc w:val="center"/>
                    <w:textAlignment w:val="baseline"/>
                    <w:rPr>
                      <w:rFonts w:ascii="Times New Roman" w:hAnsi="Times New Roman"/>
                      <w:b/>
                      <w:color w:val="auto"/>
                      <w:spacing w:val="-10"/>
                      <w:sz w:val="21"/>
                      <w:szCs w:val="21"/>
                    </w:rPr>
                  </w:pPr>
                  <w:r>
                    <w:rPr>
                      <w:rFonts w:hint="eastAsia" w:cs="宋体"/>
                      <w:b/>
                      <w:color w:val="auto"/>
                      <w:spacing w:val="-10"/>
                      <w:sz w:val="21"/>
                      <w:szCs w:val="21"/>
                    </w:rPr>
                    <w:t>型号</w:t>
                  </w:r>
                </w:p>
              </w:tc>
              <w:tc>
                <w:tcPr>
                  <w:tcW w:w="849" w:type="pct"/>
                  <w:gridSpan w:val="3"/>
                  <w:tcBorders>
                    <w:tl2br w:val="nil"/>
                    <w:tr2bl w:val="nil"/>
                  </w:tcBorders>
                  <w:shd w:val="clear" w:color="auto" w:fill="auto"/>
                </w:tcPr>
                <w:p w14:paraId="74200502">
                  <w:pPr>
                    <w:pStyle w:val="22"/>
                    <w:widowControl w:val="0"/>
                    <w:adjustRightInd w:val="0"/>
                    <w:snapToGrid w:val="0"/>
                    <w:spacing w:before="0" w:beforeAutospacing="0" w:after="0" w:afterAutospacing="0"/>
                    <w:jc w:val="center"/>
                    <w:textAlignment w:val="baseline"/>
                    <w:rPr>
                      <w:rFonts w:ascii="Times New Roman" w:hAnsi="Times New Roman"/>
                      <w:b/>
                      <w:color w:val="auto"/>
                      <w:spacing w:val="-10"/>
                      <w:sz w:val="21"/>
                      <w:szCs w:val="21"/>
                    </w:rPr>
                  </w:pPr>
                  <w:r>
                    <w:rPr>
                      <w:rFonts w:hint="eastAsia" w:cs="宋体"/>
                      <w:b/>
                      <w:color w:val="auto"/>
                      <w:spacing w:val="-10"/>
                      <w:sz w:val="21"/>
                      <w:szCs w:val="21"/>
                    </w:rPr>
                    <w:t>空间相对位置</w:t>
                  </w:r>
                  <w:r>
                    <w:rPr>
                      <w:rFonts w:ascii="Times New Roman" w:hAnsi="Times New Roman"/>
                      <w:b/>
                      <w:color w:val="auto"/>
                      <w:spacing w:val="-10"/>
                      <w:sz w:val="21"/>
                      <w:szCs w:val="21"/>
                    </w:rPr>
                    <w:t>/m</w:t>
                  </w:r>
                </w:p>
              </w:tc>
              <w:tc>
                <w:tcPr>
                  <w:tcW w:w="698" w:type="pct"/>
                  <w:tcBorders>
                    <w:tl2br w:val="nil"/>
                    <w:tr2bl w:val="nil"/>
                  </w:tcBorders>
                  <w:shd w:val="clear" w:color="auto" w:fill="auto"/>
                  <w:vAlign w:val="center"/>
                </w:tcPr>
                <w:p w14:paraId="6082B578">
                  <w:pPr>
                    <w:pStyle w:val="22"/>
                    <w:widowControl w:val="0"/>
                    <w:adjustRightInd w:val="0"/>
                    <w:snapToGrid w:val="0"/>
                    <w:spacing w:before="0" w:beforeAutospacing="0" w:after="0" w:afterAutospacing="0"/>
                    <w:jc w:val="center"/>
                    <w:textAlignment w:val="baseline"/>
                    <w:rPr>
                      <w:rFonts w:ascii="Times New Roman" w:hAnsi="Times New Roman"/>
                      <w:b/>
                      <w:color w:val="auto"/>
                      <w:spacing w:val="-10"/>
                      <w:sz w:val="21"/>
                      <w:szCs w:val="21"/>
                    </w:rPr>
                  </w:pPr>
                  <w:r>
                    <w:rPr>
                      <w:rFonts w:hint="eastAsia" w:cs="宋体"/>
                      <w:b/>
                      <w:color w:val="auto"/>
                      <w:spacing w:val="-10"/>
                      <w:sz w:val="21"/>
                      <w:szCs w:val="21"/>
                    </w:rPr>
                    <w:t>声源源强</w:t>
                  </w:r>
                </w:p>
              </w:tc>
              <w:tc>
                <w:tcPr>
                  <w:tcW w:w="1859" w:type="pct"/>
                  <w:vMerge w:val="restart"/>
                  <w:tcBorders>
                    <w:tl2br w:val="nil"/>
                    <w:tr2bl w:val="nil"/>
                  </w:tcBorders>
                  <w:shd w:val="clear" w:color="auto" w:fill="auto"/>
                  <w:vAlign w:val="center"/>
                </w:tcPr>
                <w:p w14:paraId="0736E1F4">
                  <w:pPr>
                    <w:pStyle w:val="22"/>
                    <w:widowControl w:val="0"/>
                    <w:adjustRightInd w:val="0"/>
                    <w:snapToGrid w:val="0"/>
                    <w:spacing w:before="0" w:beforeAutospacing="0" w:after="0" w:afterAutospacing="0"/>
                    <w:jc w:val="center"/>
                    <w:textAlignment w:val="baseline"/>
                    <w:rPr>
                      <w:rFonts w:ascii="Times New Roman" w:hAnsi="Times New Roman"/>
                      <w:b/>
                      <w:color w:val="auto"/>
                      <w:spacing w:val="-10"/>
                      <w:sz w:val="21"/>
                      <w:szCs w:val="21"/>
                    </w:rPr>
                  </w:pPr>
                  <w:r>
                    <w:rPr>
                      <w:rFonts w:hint="eastAsia" w:cs="宋体"/>
                      <w:b/>
                      <w:color w:val="auto"/>
                      <w:spacing w:val="-10"/>
                      <w:sz w:val="21"/>
                      <w:szCs w:val="21"/>
                    </w:rPr>
                    <w:t>声源控制措施</w:t>
                  </w:r>
                </w:p>
              </w:tc>
              <w:tc>
                <w:tcPr>
                  <w:tcW w:w="548" w:type="pct"/>
                  <w:vMerge w:val="restart"/>
                  <w:tcBorders>
                    <w:tl2br w:val="nil"/>
                    <w:tr2bl w:val="nil"/>
                  </w:tcBorders>
                  <w:shd w:val="clear" w:color="auto" w:fill="auto"/>
                  <w:vAlign w:val="center"/>
                </w:tcPr>
                <w:p w14:paraId="6194AAB9">
                  <w:pPr>
                    <w:pStyle w:val="22"/>
                    <w:widowControl w:val="0"/>
                    <w:adjustRightInd w:val="0"/>
                    <w:snapToGrid w:val="0"/>
                    <w:spacing w:before="0" w:beforeAutospacing="0" w:after="0" w:afterAutospacing="0"/>
                    <w:jc w:val="center"/>
                    <w:textAlignment w:val="baseline"/>
                    <w:rPr>
                      <w:rFonts w:ascii="Times New Roman" w:hAnsi="Times New Roman"/>
                      <w:b/>
                      <w:color w:val="auto"/>
                      <w:spacing w:val="-10"/>
                      <w:sz w:val="21"/>
                      <w:szCs w:val="21"/>
                    </w:rPr>
                  </w:pPr>
                  <w:r>
                    <w:rPr>
                      <w:rFonts w:hint="eastAsia" w:cs="宋体"/>
                      <w:b/>
                      <w:color w:val="auto"/>
                      <w:spacing w:val="-10"/>
                      <w:sz w:val="21"/>
                      <w:szCs w:val="21"/>
                    </w:rPr>
                    <w:t>运行时段</w:t>
                  </w:r>
                </w:p>
              </w:tc>
            </w:tr>
            <w:tr w14:paraId="32F2A1A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33" w:type="pct"/>
                  <w:vMerge w:val="continue"/>
                  <w:tcBorders>
                    <w:tl2br w:val="nil"/>
                    <w:tr2bl w:val="nil"/>
                  </w:tcBorders>
                  <w:shd w:val="clear" w:color="auto" w:fill="auto"/>
                  <w:vAlign w:val="center"/>
                </w:tcPr>
                <w:p w14:paraId="69FE8797">
                  <w:pPr>
                    <w:jc w:val="center"/>
                    <w:rPr>
                      <w:color w:val="auto"/>
                      <w:sz w:val="21"/>
                      <w:szCs w:val="21"/>
                    </w:rPr>
                  </w:pPr>
                </w:p>
              </w:tc>
              <w:tc>
                <w:tcPr>
                  <w:tcW w:w="363" w:type="pct"/>
                  <w:vMerge w:val="continue"/>
                  <w:tcBorders>
                    <w:tl2br w:val="nil"/>
                    <w:tr2bl w:val="nil"/>
                  </w:tcBorders>
                  <w:shd w:val="clear" w:color="auto" w:fill="auto"/>
                  <w:vAlign w:val="center"/>
                </w:tcPr>
                <w:p w14:paraId="14B2E012">
                  <w:pPr>
                    <w:jc w:val="center"/>
                    <w:rPr>
                      <w:color w:val="auto"/>
                      <w:sz w:val="21"/>
                      <w:szCs w:val="21"/>
                    </w:rPr>
                  </w:pPr>
                </w:p>
              </w:tc>
              <w:tc>
                <w:tcPr>
                  <w:tcW w:w="246" w:type="pct"/>
                  <w:vMerge w:val="continue"/>
                  <w:tcBorders>
                    <w:tl2br w:val="nil"/>
                    <w:tr2bl w:val="nil"/>
                  </w:tcBorders>
                  <w:shd w:val="clear" w:color="auto" w:fill="auto"/>
                  <w:vAlign w:val="center"/>
                </w:tcPr>
                <w:p w14:paraId="026E1919">
                  <w:pPr>
                    <w:jc w:val="center"/>
                    <w:rPr>
                      <w:color w:val="auto"/>
                      <w:sz w:val="21"/>
                      <w:szCs w:val="21"/>
                    </w:rPr>
                  </w:pPr>
                </w:p>
              </w:tc>
              <w:tc>
                <w:tcPr>
                  <w:tcW w:w="299" w:type="pct"/>
                  <w:vMerge w:val="continue"/>
                  <w:tcBorders>
                    <w:tl2br w:val="nil"/>
                    <w:tr2bl w:val="nil"/>
                  </w:tcBorders>
                  <w:shd w:val="clear" w:color="auto" w:fill="auto"/>
                  <w:vAlign w:val="center"/>
                </w:tcPr>
                <w:p w14:paraId="4E2C7878">
                  <w:pPr>
                    <w:jc w:val="center"/>
                    <w:rPr>
                      <w:color w:val="auto"/>
                      <w:sz w:val="21"/>
                      <w:szCs w:val="21"/>
                    </w:rPr>
                  </w:pPr>
                </w:p>
              </w:tc>
              <w:tc>
                <w:tcPr>
                  <w:tcW w:w="301" w:type="pct"/>
                  <w:tcBorders>
                    <w:tl2br w:val="nil"/>
                    <w:tr2bl w:val="nil"/>
                  </w:tcBorders>
                  <w:shd w:val="clear" w:color="auto" w:fill="auto"/>
                  <w:vAlign w:val="center"/>
                </w:tcPr>
                <w:p w14:paraId="0A9777E9">
                  <w:pPr>
                    <w:pStyle w:val="22"/>
                    <w:widowControl w:val="0"/>
                    <w:adjustRightInd w:val="0"/>
                    <w:snapToGrid w:val="0"/>
                    <w:spacing w:before="0" w:beforeAutospacing="0" w:after="0" w:afterAutospacing="0"/>
                    <w:jc w:val="center"/>
                    <w:textAlignment w:val="baseline"/>
                    <w:rPr>
                      <w:rFonts w:ascii="Times New Roman" w:hAnsi="Times New Roman"/>
                      <w:b/>
                      <w:color w:val="auto"/>
                      <w:spacing w:val="-10"/>
                      <w:sz w:val="21"/>
                      <w:szCs w:val="21"/>
                    </w:rPr>
                  </w:pPr>
                  <w:r>
                    <w:rPr>
                      <w:rFonts w:ascii="Times New Roman" w:hAnsi="Times New Roman"/>
                      <w:b/>
                      <w:color w:val="auto"/>
                      <w:spacing w:val="-10"/>
                      <w:sz w:val="21"/>
                      <w:szCs w:val="21"/>
                    </w:rPr>
                    <w:t>X</w:t>
                  </w:r>
                </w:p>
              </w:tc>
              <w:tc>
                <w:tcPr>
                  <w:tcW w:w="276" w:type="pct"/>
                  <w:tcBorders>
                    <w:tl2br w:val="nil"/>
                    <w:tr2bl w:val="nil"/>
                  </w:tcBorders>
                  <w:shd w:val="clear" w:color="auto" w:fill="auto"/>
                  <w:vAlign w:val="center"/>
                </w:tcPr>
                <w:p w14:paraId="707A91EF">
                  <w:pPr>
                    <w:pStyle w:val="22"/>
                    <w:widowControl w:val="0"/>
                    <w:adjustRightInd w:val="0"/>
                    <w:snapToGrid w:val="0"/>
                    <w:spacing w:before="0" w:beforeAutospacing="0" w:after="0" w:afterAutospacing="0"/>
                    <w:jc w:val="center"/>
                    <w:textAlignment w:val="baseline"/>
                    <w:rPr>
                      <w:rFonts w:ascii="Times New Roman" w:hAnsi="Times New Roman"/>
                      <w:b/>
                      <w:color w:val="auto"/>
                      <w:spacing w:val="-10"/>
                      <w:sz w:val="21"/>
                      <w:szCs w:val="21"/>
                    </w:rPr>
                  </w:pPr>
                  <w:r>
                    <w:rPr>
                      <w:rFonts w:ascii="Times New Roman" w:hAnsi="Times New Roman"/>
                      <w:b/>
                      <w:color w:val="auto"/>
                      <w:spacing w:val="-10"/>
                      <w:sz w:val="21"/>
                      <w:szCs w:val="21"/>
                    </w:rPr>
                    <w:t>Y</w:t>
                  </w:r>
                </w:p>
              </w:tc>
              <w:tc>
                <w:tcPr>
                  <w:tcW w:w="271" w:type="pct"/>
                  <w:tcBorders>
                    <w:tl2br w:val="nil"/>
                    <w:tr2bl w:val="nil"/>
                  </w:tcBorders>
                  <w:shd w:val="clear" w:color="auto" w:fill="auto"/>
                  <w:vAlign w:val="center"/>
                </w:tcPr>
                <w:p w14:paraId="513CF75F">
                  <w:pPr>
                    <w:pStyle w:val="22"/>
                    <w:widowControl w:val="0"/>
                    <w:adjustRightInd w:val="0"/>
                    <w:snapToGrid w:val="0"/>
                    <w:spacing w:before="0" w:beforeAutospacing="0" w:after="0" w:afterAutospacing="0"/>
                    <w:jc w:val="center"/>
                    <w:textAlignment w:val="baseline"/>
                    <w:rPr>
                      <w:rFonts w:ascii="Times New Roman" w:hAnsi="Times New Roman"/>
                      <w:b/>
                      <w:color w:val="auto"/>
                      <w:spacing w:val="-10"/>
                      <w:sz w:val="21"/>
                      <w:szCs w:val="21"/>
                    </w:rPr>
                  </w:pPr>
                  <w:r>
                    <w:rPr>
                      <w:rFonts w:ascii="Times New Roman" w:hAnsi="Times New Roman"/>
                      <w:b/>
                      <w:color w:val="auto"/>
                      <w:spacing w:val="-10"/>
                      <w:sz w:val="21"/>
                      <w:szCs w:val="21"/>
                    </w:rPr>
                    <w:t>Z</w:t>
                  </w:r>
                </w:p>
              </w:tc>
              <w:tc>
                <w:tcPr>
                  <w:tcW w:w="698" w:type="pct"/>
                  <w:tcBorders>
                    <w:tl2br w:val="nil"/>
                    <w:tr2bl w:val="nil"/>
                  </w:tcBorders>
                  <w:shd w:val="clear" w:color="auto" w:fill="auto"/>
                  <w:vAlign w:val="center"/>
                </w:tcPr>
                <w:p w14:paraId="05AED85B">
                  <w:pPr>
                    <w:jc w:val="center"/>
                    <w:rPr>
                      <w:color w:val="auto"/>
                      <w:sz w:val="21"/>
                      <w:szCs w:val="21"/>
                    </w:rPr>
                  </w:pPr>
                  <w:r>
                    <w:rPr>
                      <w:rFonts w:hint="eastAsia"/>
                      <w:b/>
                      <w:color w:val="auto"/>
                      <w:spacing w:val="-10"/>
                      <w:kern w:val="0"/>
                      <w:sz w:val="21"/>
                      <w:szCs w:val="21"/>
                    </w:rPr>
                    <w:t>声功率级</w:t>
                  </w:r>
                  <w:r>
                    <w:rPr>
                      <w:b/>
                      <w:color w:val="auto"/>
                      <w:spacing w:val="-10"/>
                      <w:kern w:val="0"/>
                      <w:sz w:val="21"/>
                      <w:szCs w:val="21"/>
                    </w:rPr>
                    <w:t>/dB</w:t>
                  </w:r>
                  <w:r>
                    <w:rPr>
                      <w:rFonts w:hint="eastAsia" w:ascii="宋体" w:hAnsi="宋体" w:cs="宋体"/>
                      <w:b/>
                      <w:color w:val="auto"/>
                      <w:spacing w:val="-10"/>
                      <w:kern w:val="0"/>
                      <w:sz w:val="21"/>
                      <w:szCs w:val="21"/>
                    </w:rPr>
                    <w:t>（</w:t>
                  </w:r>
                  <w:r>
                    <w:rPr>
                      <w:b/>
                      <w:color w:val="auto"/>
                      <w:spacing w:val="-10"/>
                      <w:kern w:val="0"/>
                      <w:sz w:val="21"/>
                      <w:szCs w:val="21"/>
                    </w:rPr>
                    <w:t>A</w:t>
                  </w:r>
                  <w:r>
                    <w:rPr>
                      <w:rFonts w:hint="eastAsia" w:ascii="宋体" w:hAnsi="宋体" w:cs="宋体"/>
                      <w:b/>
                      <w:color w:val="auto"/>
                      <w:spacing w:val="-10"/>
                      <w:kern w:val="0"/>
                      <w:sz w:val="21"/>
                      <w:szCs w:val="21"/>
                    </w:rPr>
                    <w:t>）</w:t>
                  </w:r>
                </w:p>
              </w:tc>
              <w:tc>
                <w:tcPr>
                  <w:tcW w:w="1859" w:type="pct"/>
                  <w:vMerge w:val="continue"/>
                  <w:tcBorders>
                    <w:tl2br w:val="nil"/>
                    <w:tr2bl w:val="nil"/>
                  </w:tcBorders>
                  <w:shd w:val="clear" w:color="auto" w:fill="auto"/>
                  <w:vAlign w:val="center"/>
                </w:tcPr>
                <w:p w14:paraId="0A0D666E">
                  <w:pPr>
                    <w:jc w:val="center"/>
                    <w:rPr>
                      <w:color w:val="auto"/>
                      <w:sz w:val="21"/>
                      <w:szCs w:val="21"/>
                    </w:rPr>
                  </w:pPr>
                </w:p>
              </w:tc>
              <w:tc>
                <w:tcPr>
                  <w:tcW w:w="548" w:type="pct"/>
                  <w:vMerge w:val="continue"/>
                  <w:tcBorders>
                    <w:tl2br w:val="nil"/>
                    <w:tr2bl w:val="nil"/>
                  </w:tcBorders>
                  <w:shd w:val="clear" w:color="auto" w:fill="auto"/>
                  <w:vAlign w:val="center"/>
                </w:tcPr>
                <w:p w14:paraId="5702B776">
                  <w:pPr>
                    <w:jc w:val="center"/>
                    <w:rPr>
                      <w:color w:val="auto"/>
                      <w:sz w:val="21"/>
                      <w:szCs w:val="21"/>
                    </w:rPr>
                  </w:pPr>
                </w:p>
              </w:tc>
            </w:tr>
            <w:tr w14:paraId="4E1707E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33" w:type="pct"/>
                  <w:tcBorders>
                    <w:tl2br w:val="nil"/>
                    <w:tr2bl w:val="nil"/>
                  </w:tcBorders>
                  <w:shd w:val="clear" w:color="auto" w:fill="auto"/>
                  <w:vAlign w:val="center"/>
                </w:tcPr>
                <w:p w14:paraId="5805BBE3">
                  <w:pPr>
                    <w:pStyle w:val="22"/>
                    <w:widowControl w:val="0"/>
                    <w:adjustRightInd w:val="0"/>
                    <w:snapToGrid w:val="0"/>
                    <w:spacing w:before="0" w:beforeAutospacing="0" w:after="0" w:afterAutospacing="0"/>
                    <w:jc w:val="center"/>
                    <w:textAlignment w:val="baseline"/>
                    <w:rPr>
                      <w:rFonts w:ascii="Times New Roman" w:hAnsi="Times New Roman"/>
                      <w:color w:val="auto"/>
                      <w:spacing w:val="-10"/>
                      <w:sz w:val="21"/>
                      <w:szCs w:val="21"/>
                    </w:rPr>
                  </w:pPr>
                  <w:r>
                    <w:rPr>
                      <w:rFonts w:hint="eastAsia" w:ascii="Times New Roman" w:hAnsi="Times New Roman"/>
                      <w:color w:val="auto"/>
                      <w:spacing w:val="-10"/>
                      <w:sz w:val="21"/>
                      <w:szCs w:val="21"/>
                    </w:rPr>
                    <w:t>1</w:t>
                  </w:r>
                </w:p>
              </w:tc>
              <w:tc>
                <w:tcPr>
                  <w:tcW w:w="363" w:type="pct"/>
                  <w:tcBorders>
                    <w:tl2br w:val="nil"/>
                    <w:tr2bl w:val="nil"/>
                  </w:tcBorders>
                  <w:shd w:val="clear" w:color="auto" w:fill="auto"/>
                  <w:vAlign w:val="center"/>
                </w:tcPr>
                <w:p w14:paraId="313057AF">
                  <w:pPr>
                    <w:pStyle w:val="22"/>
                    <w:widowControl w:val="0"/>
                    <w:adjustRightInd w:val="0"/>
                    <w:snapToGrid w:val="0"/>
                    <w:spacing w:before="0" w:beforeAutospacing="0" w:after="0" w:afterAutospacing="0"/>
                    <w:jc w:val="center"/>
                    <w:textAlignment w:val="baseline"/>
                    <w:rPr>
                      <w:rFonts w:hint="eastAsia" w:ascii="Times New Roman" w:hAnsi="Times New Roman" w:eastAsia="宋体" w:cs="Times New Roman"/>
                      <w:color w:val="auto"/>
                      <w:spacing w:val="-10"/>
                      <w:kern w:val="0"/>
                      <w:sz w:val="21"/>
                      <w:szCs w:val="21"/>
                      <w:lang w:val="en-US" w:eastAsia="zh-CN" w:bidi="ar"/>
                    </w:rPr>
                  </w:pPr>
                  <w:r>
                    <w:rPr>
                      <w:rFonts w:hint="eastAsia" w:ascii="Times New Roman" w:hAnsi="Times New Roman"/>
                      <w:color w:val="auto"/>
                      <w:spacing w:val="-10"/>
                      <w:sz w:val="21"/>
                      <w:szCs w:val="21"/>
                      <w:lang w:val="en-US" w:eastAsia="zh-CN"/>
                    </w:rPr>
                    <w:t>/</w:t>
                  </w:r>
                </w:p>
              </w:tc>
              <w:tc>
                <w:tcPr>
                  <w:tcW w:w="246" w:type="pct"/>
                  <w:tcBorders>
                    <w:tl2br w:val="nil"/>
                    <w:tr2bl w:val="nil"/>
                  </w:tcBorders>
                  <w:shd w:val="clear" w:color="auto" w:fill="auto"/>
                  <w:vAlign w:val="center"/>
                </w:tcPr>
                <w:p w14:paraId="3EB1FD0C">
                  <w:pPr>
                    <w:spacing w:line="240" w:lineRule="auto"/>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冷却塔</w:t>
                  </w:r>
                </w:p>
              </w:tc>
              <w:tc>
                <w:tcPr>
                  <w:tcW w:w="299" w:type="pct"/>
                  <w:tcBorders>
                    <w:tl2br w:val="nil"/>
                    <w:tr2bl w:val="nil"/>
                  </w:tcBorders>
                  <w:shd w:val="clear" w:color="auto" w:fill="auto"/>
                  <w:vAlign w:val="center"/>
                </w:tcPr>
                <w:p w14:paraId="1F5FB4A5">
                  <w:pPr>
                    <w:pStyle w:val="22"/>
                    <w:widowControl w:val="0"/>
                    <w:adjustRightInd w:val="0"/>
                    <w:snapToGrid w:val="0"/>
                    <w:spacing w:before="0" w:beforeAutospacing="0" w:after="0" w:afterAutospacing="0"/>
                    <w:jc w:val="center"/>
                    <w:textAlignment w:val="baseline"/>
                    <w:rPr>
                      <w:rFonts w:hint="default" w:ascii="Times New Roman" w:hAnsi="Times New Roman" w:eastAsia="宋体" w:cs="Times New Roman"/>
                      <w:color w:val="auto"/>
                      <w:spacing w:val="-10"/>
                      <w:kern w:val="0"/>
                      <w:sz w:val="21"/>
                      <w:szCs w:val="21"/>
                      <w:lang w:val="en-US" w:eastAsia="zh-CN" w:bidi="ar"/>
                    </w:rPr>
                  </w:pPr>
                  <w:r>
                    <w:rPr>
                      <w:rFonts w:hint="eastAsia" w:ascii="Times New Roman" w:hAnsi="Times New Roman" w:cs="Times New Roman"/>
                      <w:color w:val="auto"/>
                      <w:spacing w:val="-10"/>
                      <w:kern w:val="0"/>
                      <w:sz w:val="21"/>
                      <w:szCs w:val="21"/>
                      <w:lang w:val="en-US" w:eastAsia="zh-CN" w:bidi="ar"/>
                    </w:rPr>
                    <w:t>/</w:t>
                  </w:r>
                </w:p>
              </w:tc>
              <w:tc>
                <w:tcPr>
                  <w:tcW w:w="301" w:type="pct"/>
                  <w:tcBorders>
                    <w:tl2br w:val="nil"/>
                    <w:tr2bl w:val="nil"/>
                  </w:tcBorders>
                  <w:shd w:val="clear" w:color="auto" w:fill="auto"/>
                  <w:vAlign w:val="center"/>
                </w:tcPr>
                <w:p w14:paraId="210DD056">
                  <w:pPr>
                    <w:keepNext w:val="0"/>
                    <w:keepLines w:val="0"/>
                    <w:widowControl/>
                    <w:suppressLineNumbers w:val="0"/>
                    <w:jc w:val="center"/>
                    <w:textAlignment w:val="center"/>
                    <w:rPr>
                      <w:rFonts w:hint="default"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bidi="ar-SA"/>
                    </w:rPr>
                    <w:t>15</w:t>
                  </w:r>
                </w:p>
              </w:tc>
              <w:tc>
                <w:tcPr>
                  <w:tcW w:w="276" w:type="pct"/>
                  <w:tcBorders>
                    <w:tl2br w:val="nil"/>
                    <w:tr2bl w:val="nil"/>
                  </w:tcBorders>
                  <w:shd w:val="clear" w:color="auto" w:fill="auto"/>
                  <w:vAlign w:val="center"/>
                </w:tcPr>
                <w:p w14:paraId="6F6FA6DA">
                  <w:pPr>
                    <w:jc w:val="center"/>
                    <w:rPr>
                      <w:rFonts w:hint="default" w:ascii="Times New Roman" w:hAnsi="Times New Roman" w:eastAsia="宋体" w:cs="Times New Roman"/>
                      <w:bCs/>
                      <w:color w:val="auto"/>
                      <w:kern w:val="2"/>
                      <w:sz w:val="21"/>
                      <w:szCs w:val="21"/>
                      <w:lang w:val="en-US" w:eastAsia="zh-CN" w:bidi="ar-SA"/>
                    </w:rPr>
                  </w:pPr>
                  <w:r>
                    <w:rPr>
                      <w:rFonts w:hint="eastAsia" w:cs="Times New Roman"/>
                      <w:bCs/>
                      <w:color w:val="auto"/>
                      <w:kern w:val="2"/>
                      <w:sz w:val="21"/>
                      <w:szCs w:val="21"/>
                      <w:lang w:val="en-US" w:eastAsia="zh-CN" w:bidi="ar-SA"/>
                    </w:rPr>
                    <w:t>44</w:t>
                  </w:r>
                </w:p>
              </w:tc>
              <w:tc>
                <w:tcPr>
                  <w:tcW w:w="271" w:type="pct"/>
                  <w:tcBorders>
                    <w:tl2br w:val="nil"/>
                    <w:tr2bl w:val="nil"/>
                  </w:tcBorders>
                  <w:shd w:val="clear" w:color="auto" w:fill="auto"/>
                  <w:vAlign w:val="center"/>
                </w:tcPr>
                <w:p w14:paraId="173FDEDE">
                  <w:pPr>
                    <w:pStyle w:val="22"/>
                    <w:widowControl w:val="0"/>
                    <w:adjustRightInd w:val="0"/>
                    <w:snapToGrid w:val="0"/>
                    <w:spacing w:before="0" w:beforeAutospacing="0" w:after="0" w:afterAutospacing="0"/>
                    <w:jc w:val="center"/>
                    <w:textAlignment w:val="baseline"/>
                    <w:rPr>
                      <w:rFonts w:hint="default" w:ascii="Times New Roman" w:hAnsi="Times New Roman" w:eastAsia="宋体" w:cs="Times New Roman"/>
                      <w:color w:val="auto"/>
                      <w:spacing w:val="-10"/>
                      <w:kern w:val="0"/>
                      <w:sz w:val="21"/>
                      <w:szCs w:val="21"/>
                      <w:lang w:val="en-US" w:eastAsia="zh-CN" w:bidi="ar"/>
                    </w:rPr>
                  </w:pPr>
                  <w:r>
                    <w:rPr>
                      <w:rFonts w:hint="eastAsia" w:ascii="Times New Roman" w:hAnsi="Times New Roman" w:cs="Times New Roman"/>
                      <w:color w:val="auto"/>
                      <w:spacing w:val="-10"/>
                      <w:kern w:val="0"/>
                      <w:sz w:val="21"/>
                      <w:szCs w:val="21"/>
                      <w:lang w:val="en-US" w:eastAsia="zh-CN" w:bidi="ar"/>
                    </w:rPr>
                    <w:t>1</w:t>
                  </w:r>
                </w:p>
              </w:tc>
              <w:tc>
                <w:tcPr>
                  <w:tcW w:w="698" w:type="pct"/>
                  <w:tcBorders>
                    <w:tl2br w:val="nil"/>
                    <w:tr2bl w:val="nil"/>
                  </w:tcBorders>
                  <w:shd w:val="clear" w:color="auto" w:fill="auto"/>
                  <w:vAlign w:val="center"/>
                </w:tcPr>
                <w:p w14:paraId="2A2D3866">
                  <w:pPr>
                    <w:widowControl/>
                    <w:jc w:val="center"/>
                    <w:textAlignment w:val="bottom"/>
                    <w:rPr>
                      <w:rFonts w:hint="default" w:ascii="Times New Roman" w:hAnsi="Times New Roman" w:eastAsia="等线" w:cs="Times New Roman"/>
                      <w:i w:val="0"/>
                      <w:iCs w:val="0"/>
                      <w:color w:val="auto"/>
                      <w:kern w:val="0"/>
                      <w:sz w:val="21"/>
                      <w:szCs w:val="21"/>
                      <w:u w:val="none"/>
                      <w:lang w:val="en-US" w:eastAsia="zh-CN" w:bidi="ar"/>
                    </w:rPr>
                  </w:pPr>
                  <w:r>
                    <w:rPr>
                      <w:rFonts w:hint="eastAsia"/>
                      <w:color w:val="auto"/>
                      <w:kern w:val="0"/>
                      <w:sz w:val="21"/>
                      <w:szCs w:val="21"/>
                      <w:lang w:val="en-US" w:eastAsia="zh-CN"/>
                    </w:rPr>
                    <w:t>85</w:t>
                  </w:r>
                </w:p>
              </w:tc>
              <w:tc>
                <w:tcPr>
                  <w:tcW w:w="1859" w:type="pct"/>
                  <w:tcBorders>
                    <w:tl2br w:val="nil"/>
                    <w:tr2bl w:val="nil"/>
                  </w:tcBorders>
                  <w:shd w:val="clear" w:color="auto" w:fill="auto"/>
                  <w:vAlign w:val="center"/>
                </w:tcPr>
                <w:p w14:paraId="791BAA3F">
                  <w:pPr>
                    <w:pStyle w:val="22"/>
                    <w:widowControl w:val="0"/>
                    <w:spacing w:before="0" w:beforeAutospacing="0" w:after="0" w:afterAutospacing="0"/>
                    <w:jc w:val="center"/>
                    <w:rPr>
                      <w:rFonts w:hint="eastAsia" w:ascii="Times New Roman" w:hAnsi="Times New Roman" w:eastAsia="宋体" w:cs="Times New Roman"/>
                      <w:bCs/>
                      <w:color w:val="auto"/>
                      <w:kern w:val="2"/>
                      <w:sz w:val="21"/>
                      <w:szCs w:val="21"/>
                      <w:lang w:val="en-US" w:eastAsia="zh-CN" w:bidi="ar-SA"/>
                    </w:rPr>
                  </w:pPr>
                  <w:r>
                    <w:rPr>
                      <w:rFonts w:hint="eastAsia" w:ascii="Times New Roman" w:hAnsi="Times New Roman"/>
                      <w:bCs/>
                      <w:color w:val="auto"/>
                      <w:kern w:val="2"/>
                      <w:sz w:val="21"/>
                      <w:szCs w:val="21"/>
                      <w:lang w:val="en-US" w:eastAsia="zh-CN"/>
                    </w:rPr>
                    <w:t>/</w:t>
                  </w:r>
                </w:p>
              </w:tc>
              <w:tc>
                <w:tcPr>
                  <w:tcW w:w="548" w:type="pct"/>
                  <w:tcBorders>
                    <w:tl2br w:val="nil"/>
                    <w:tr2bl w:val="nil"/>
                  </w:tcBorders>
                  <w:shd w:val="clear" w:color="auto" w:fill="auto"/>
                  <w:vAlign w:val="center"/>
                </w:tcPr>
                <w:p w14:paraId="7A0ACD2B">
                  <w:pPr>
                    <w:pStyle w:val="22"/>
                    <w:widowControl w:val="0"/>
                    <w:adjustRightInd w:val="0"/>
                    <w:snapToGrid w:val="0"/>
                    <w:spacing w:before="0" w:beforeAutospacing="0" w:after="0" w:afterAutospacing="0"/>
                    <w:jc w:val="center"/>
                    <w:textAlignment w:val="baseline"/>
                    <w:rPr>
                      <w:rFonts w:ascii="Times New Roman" w:hAnsi="Times New Roman"/>
                      <w:color w:val="auto"/>
                      <w:spacing w:val="-10"/>
                      <w:sz w:val="21"/>
                      <w:szCs w:val="21"/>
                    </w:rPr>
                  </w:pPr>
                  <w:r>
                    <w:rPr>
                      <w:rFonts w:hint="eastAsia" w:ascii="Times New Roman" w:hAnsi="Times New Roman"/>
                      <w:color w:val="auto"/>
                      <w:spacing w:val="-10"/>
                      <w:sz w:val="21"/>
                      <w:szCs w:val="21"/>
                      <w:lang w:val="en-US" w:eastAsia="zh-CN"/>
                    </w:rPr>
                    <w:t>0</w:t>
                  </w:r>
                  <w:r>
                    <w:rPr>
                      <w:rFonts w:hint="eastAsia" w:ascii="Times New Roman" w:hAnsi="Times New Roman"/>
                      <w:color w:val="auto"/>
                      <w:spacing w:val="-10"/>
                      <w:sz w:val="21"/>
                      <w:szCs w:val="21"/>
                    </w:rPr>
                    <w:t>：</w:t>
                  </w:r>
                  <w:r>
                    <w:rPr>
                      <w:rFonts w:hint="eastAsia" w:ascii="Times New Roman" w:hAnsi="Times New Roman"/>
                      <w:color w:val="auto"/>
                      <w:spacing w:val="-10"/>
                      <w:sz w:val="21"/>
                      <w:szCs w:val="21"/>
                      <w:lang w:val="en-US" w:eastAsia="zh-CN"/>
                    </w:rPr>
                    <w:t>0</w:t>
                  </w:r>
                  <w:r>
                    <w:rPr>
                      <w:rFonts w:hint="eastAsia" w:ascii="Times New Roman" w:hAnsi="Times New Roman"/>
                      <w:color w:val="auto"/>
                      <w:spacing w:val="-10"/>
                      <w:sz w:val="21"/>
                      <w:szCs w:val="21"/>
                    </w:rPr>
                    <w:t>0-</w:t>
                  </w:r>
                  <w:r>
                    <w:rPr>
                      <w:rFonts w:hint="eastAsia" w:ascii="Times New Roman" w:hAnsi="Times New Roman"/>
                      <w:color w:val="auto"/>
                      <w:spacing w:val="-10"/>
                      <w:sz w:val="21"/>
                      <w:szCs w:val="21"/>
                      <w:lang w:val="en-US" w:eastAsia="zh-CN"/>
                    </w:rPr>
                    <w:t>24</w:t>
                  </w:r>
                  <w:r>
                    <w:rPr>
                      <w:rFonts w:hint="eastAsia" w:ascii="Times New Roman" w:hAnsi="Times New Roman"/>
                      <w:color w:val="auto"/>
                      <w:spacing w:val="-10"/>
                      <w:sz w:val="21"/>
                      <w:szCs w:val="21"/>
                    </w:rPr>
                    <w:t>：00</w:t>
                  </w:r>
                </w:p>
              </w:tc>
            </w:tr>
            <w:tr w14:paraId="6BE8DAA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33" w:type="pct"/>
                  <w:tcBorders>
                    <w:tl2br w:val="nil"/>
                    <w:tr2bl w:val="nil"/>
                  </w:tcBorders>
                  <w:shd w:val="clear" w:color="auto" w:fill="auto"/>
                  <w:vAlign w:val="center"/>
                </w:tcPr>
                <w:p w14:paraId="1EEE7006">
                  <w:pPr>
                    <w:pStyle w:val="22"/>
                    <w:widowControl w:val="0"/>
                    <w:adjustRightInd w:val="0"/>
                    <w:snapToGrid w:val="0"/>
                    <w:spacing w:before="0" w:beforeAutospacing="0" w:after="0" w:afterAutospacing="0"/>
                    <w:jc w:val="center"/>
                    <w:textAlignment w:val="baseline"/>
                    <w:rPr>
                      <w:rFonts w:hint="eastAsia" w:ascii="Times New Roman" w:hAnsi="Times New Roman" w:eastAsia="宋体"/>
                      <w:color w:val="auto"/>
                      <w:spacing w:val="-10"/>
                      <w:sz w:val="21"/>
                      <w:szCs w:val="21"/>
                      <w:lang w:val="en-US" w:eastAsia="zh-CN"/>
                    </w:rPr>
                  </w:pPr>
                  <w:r>
                    <w:rPr>
                      <w:rFonts w:hint="eastAsia" w:ascii="Times New Roman" w:hAnsi="Times New Roman"/>
                      <w:color w:val="auto"/>
                      <w:spacing w:val="-10"/>
                      <w:sz w:val="21"/>
                      <w:szCs w:val="21"/>
                      <w:lang w:val="en-US" w:eastAsia="zh-CN"/>
                    </w:rPr>
                    <w:t>2</w:t>
                  </w:r>
                </w:p>
              </w:tc>
              <w:tc>
                <w:tcPr>
                  <w:tcW w:w="363" w:type="pct"/>
                  <w:tcBorders>
                    <w:tl2br w:val="nil"/>
                    <w:tr2bl w:val="nil"/>
                  </w:tcBorders>
                  <w:shd w:val="clear" w:color="auto" w:fill="auto"/>
                  <w:vAlign w:val="center"/>
                </w:tcPr>
                <w:p w14:paraId="7B2E42CF">
                  <w:pPr>
                    <w:pStyle w:val="22"/>
                    <w:widowControl w:val="0"/>
                    <w:adjustRightInd w:val="0"/>
                    <w:snapToGrid w:val="0"/>
                    <w:spacing w:before="0" w:beforeAutospacing="0" w:after="0" w:afterAutospacing="0"/>
                    <w:jc w:val="center"/>
                    <w:textAlignment w:val="baseline"/>
                    <w:rPr>
                      <w:rFonts w:hint="default" w:ascii="Times New Roman" w:hAnsi="Times New Roman"/>
                      <w:color w:val="auto"/>
                      <w:spacing w:val="-10"/>
                      <w:sz w:val="21"/>
                      <w:szCs w:val="21"/>
                      <w:lang w:val="en-US" w:eastAsia="zh-CN"/>
                    </w:rPr>
                  </w:pPr>
                  <w:r>
                    <w:rPr>
                      <w:rFonts w:hint="eastAsia" w:ascii="Times New Roman" w:hAnsi="Times New Roman"/>
                      <w:color w:val="auto"/>
                      <w:spacing w:val="-10"/>
                      <w:sz w:val="21"/>
                      <w:szCs w:val="21"/>
                      <w:lang w:val="en-US" w:eastAsia="zh-CN"/>
                    </w:rPr>
                    <w:t>/</w:t>
                  </w:r>
                </w:p>
              </w:tc>
              <w:tc>
                <w:tcPr>
                  <w:tcW w:w="246" w:type="pct"/>
                  <w:tcBorders>
                    <w:tl2br w:val="nil"/>
                    <w:tr2bl w:val="nil"/>
                  </w:tcBorders>
                  <w:shd w:val="clear" w:color="auto" w:fill="auto"/>
                  <w:vAlign w:val="center"/>
                </w:tcPr>
                <w:p w14:paraId="0D519747">
                  <w:pPr>
                    <w:spacing w:line="240" w:lineRule="auto"/>
                    <w:jc w:val="center"/>
                    <w:rPr>
                      <w:rFonts w:hint="default" w:cs="Times New Roman"/>
                      <w:color w:val="auto"/>
                      <w:kern w:val="2"/>
                      <w:sz w:val="21"/>
                      <w:szCs w:val="21"/>
                      <w:lang w:val="en-US" w:eastAsia="zh-CN" w:bidi="ar-SA"/>
                    </w:rPr>
                  </w:pPr>
                  <w:r>
                    <w:rPr>
                      <w:rFonts w:hint="eastAsia" w:cs="Times New Roman"/>
                      <w:color w:val="auto"/>
                      <w:kern w:val="2"/>
                      <w:sz w:val="21"/>
                      <w:szCs w:val="21"/>
                      <w:lang w:val="en-US" w:eastAsia="zh-CN" w:bidi="ar-SA"/>
                    </w:rPr>
                    <w:t>风机</w:t>
                  </w:r>
                </w:p>
              </w:tc>
              <w:tc>
                <w:tcPr>
                  <w:tcW w:w="299" w:type="pct"/>
                  <w:tcBorders>
                    <w:tl2br w:val="nil"/>
                    <w:tr2bl w:val="nil"/>
                  </w:tcBorders>
                  <w:shd w:val="clear" w:color="auto" w:fill="auto"/>
                  <w:vAlign w:val="center"/>
                </w:tcPr>
                <w:p w14:paraId="11919484">
                  <w:pPr>
                    <w:pStyle w:val="22"/>
                    <w:widowControl w:val="0"/>
                    <w:adjustRightInd w:val="0"/>
                    <w:snapToGrid w:val="0"/>
                    <w:spacing w:before="0" w:beforeAutospacing="0" w:after="0" w:afterAutospacing="0"/>
                    <w:jc w:val="center"/>
                    <w:textAlignment w:val="baseline"/>
                    <w:rPr>
                      <w:rFonts w:hint="default" w:ascii="Times New Roman" w:hAnsi="Times New Roman" w:cs="Times New Roman"/>
                      <w:color w:val="auto"/>
                      <w:spacing w:val="-10"/>
                      <w:kern w:val="0"/>
                      <w:sz w:val="21"/>
                      <w:szCs w:val="21"/>
                      <w:lang w:val="en-US" w:eastAsia="zh-CN" w:bidi="ar"/>
                    </w:rPr>
                  </w:pPr>
                  <w:r>
                    <w:rPr>
                      <w:rFonts w:hint="eastAsia" w:ascii="Times New Roman" w:hAnsi="Times New Roman" w:cs="Times New Roman"/>
                      <w:color w:val="auto"/>
                      <w:spacing w:val="-10"/>
                      <w:kern w:val="0"/>
                      <w:sz w:val="21"/>
                      <w:szCs w:val="21"/>
                      <w:lang w:val="en-US" w:eastAsia="zh-CN" w:bidi="ar"/>
                    </w:rPr>
                    <w:t>/</w:t>
                  </w:r>
                </w:p>
              </w:tc>
              <w:tc>
                <w:tcPr>
                  <w:tcW w:w="301" w:type="pct"/>
                  <w:tcBorders>
                    <w:tl2br w:val="nil"/>
                    <w:tr2bl w:val="nil"/>
                  </w:tcBorders>
                  <w:shd w:val="clear" w:color="auto" w:fill="auto"/>
                  <w:vAlign w:val="center"/>
                </w:tcPr>
                <w:p w14:paraId="7722115A">
                  <w:pPr>
                    <w:keepNext w:val="0"/>
                    <w:keepLines w:val="0"/>
                    <w:widowControl/>
                    <w:suppressLineNumbers w:val="0"/>
                    <w:jc w:val="center"/>
                    <w:textAlignment w:val="center"/>
                    <w:rPr>
                      <w:rFonts w:hint="default" w:cs="Times New Roman"/>
                      <w:color w:val="auto"/>
                      <w:kern w:val="0"/>
                      <w:sz w:val="21"/>
                      <w:szCs w:val="21"/>
                      <w:lang w:val="en-US" w:eastAsia="zh-CN" w:bidi="ar-SA"/>
                    </w:rPr>
                  </w:pPr>
                  <w:r>
                    <w:rPr>
                      <w:rFonts w:hint="eastAsia" w:cs="Times New Roman"/>
                      <w:color w:val="auto"/>
                      <w:kern w:val="0"/>
                      <w:sz w:val="21"/>
                      <w:szCs w:val="21"/>
                      <w:lang w:val="en-US" w:eastAsia="zh-CN" w:bidi="ar-SA"/>
                    </w:rPr>
                    <w:t>-27</w:t>
                  </w:r>
                </w:p>
              </w:tc>
              <w:tc>
                <w:tcPr>
                  <w:tcW w:w="276" w:type="pct"/>
                  <w:tcBorders>
                    <w:tl2br w:val="nil"/>
                    <w:tr2bl w:val="nil"/>
                  </w:tcBorders>
                  <w:shd w:val="clear" w:color="auto" w:fill="auto"/>
                  <w:vAlign w:val="center"/>
                </w:tcPr>
                <w:p w14:paraId="63883605">
                  <w:pPr>
                    <w:jc w:val="center"/>
                    <w:rPr>
                      <w:rFonts w:hint="default" w:cs="Times New Roman"/>
                      <w:bCs/>
                      <w:color w:val="auto"/>
                      <w:kern w:val="2"/>
                      <w:sz w:val="21"/>
                      <w:szCs w:val="21"/>
                      <w:lang w:val="en-US" w:eastAsia="zh-CN" w:bidi="ar-SA"/>
                    </w:rPr>
                  </w:pPr>
                  <w:r>
                    <w:rPr>
                      <w:rFonts w:hint="eastAsia" w:cs="Times New Roman"/>
                      <w:bCs/>
                      <w:color w:val="auto"/>
                      <w:kern w:val="2"/>
                      <w:sz w:val="21"/>
                      <w:szCs w:val="21"/>
                      <w:lang w:val="en-US" w:eastAsia="zh-CN" w:bidi="ar-SA"/>
                    </w:rPr>
                    <w:t>88</w:t>
                  </w:r>
                </w:p>
              </w:tc>
              <w:tc>
                <w:tcPr>
                  <w:tcW w:w="271" w:type="pct"/>
                  <w:tcBorders>
                    <w:tl2br w:val="nil"/>
                    <w:tr2bl w:val="nil"/>
                  </w:tcBorders>
                  <w:shd w:val="clear" w:color="auto" w:fill="auto"/>
                  <w:vAlign w:val="center"/>
                </w:tcPr>
                <w:p w14:paraId="050B48D2">
                  <w:pPr>
                    <w:pStyle w:val="22"/>
                    <w:widowControl w:val="0"/>
                    <w:adjustRightInd w:val="0"/>
                    <w:snapToGrid w:val="0"/>
                    <w:spacing w:before="0" w:beforeAutospacing="0" w:after="0" w:afterAutospacing="0"/>
                    <w:jc w:val="center"/>
                    <w:textAlignment w:val="baseline"/>
                    <w:rPr>
                      <w:rFonts w:hint="default" w:ascii="Times New Roman" w:hAnsi="Times New Roman" w:cs="Times New Roman"/>
                      <w:color w:val="auto"/>
                      <w:spacing w:val="-10"/>
                      <w:kern w:val="0"/>
                      <w:sz w:val="21"/>
                      <w:szCs w:val="21"/>
                      <w:lang w:val="en-US" w:eastAsia="zh-CN" w:bidi="ar"/>
                    </w:rPr>
                  </w:pPr>
                  <w:r>
                    <w:rPr>
                      <w:rFonts w:hint="eastAsia" w:ascii="Times New Roman" w:hAnsi="Times New Roman" w:cs="Times New Roman"/>
                      <w:color w:val="auto"/>
                      <w:spacing w:val="-10"/>
                      <w:kern w:val="0"/>
                      <w:sz w:val="21"/>
                      <w:szCs w:val="21"/>
                      <w:lang w:val="en-US" w:eastAsia="zh-CN" w:bidi="ar"/>
                    </w:rPr>
                    <w:t>1</w:t>
                  </w:r>
                </w:p>
              </w:tc>
              <w:tc>
                <w:tcPr>
                  <w:tcW w:w="698" w:type="pct"/>
                  <w:tcBorders>
                    <w:tl2br w:val="nil"/>
                    <w:tr2bl w:val="nil"/>
                  </w:tcBorders>
                  <w:shd w:val="clear" w:color="auto" w:fill="auto"/>
                  <w:vAlign w:val="center"/>
                </w:tcPr>
                <w:p w14:paraId="6B4C536E">
                  <w:pPr>
                    <w:widowControl/>
                    <w:jc w:val="center"/>
                    <w:textAlignment w:val="bottom"/>
                    <w:rPr>
                      <w:rFonts w:hint="default"/>
                      <w:color w:val="auto"/>
                      <w:kern w:val="0"/>
                      <w:sz w:val="21"/>
                      <w:szCs w:val="21"/>
                      <w:lang w:val="en-US" w:eastAsia="zh-CN"/>
                    </w:rPr>
                  </w:pPr>
                  <w:r>
                    <w:rPr>
                      <w:rFonts w:hint="eastAsia"/>
                      <w:color w:val="auto"/>
                      <w:kern w:val="0"/>
                      <w:sz w:val="21"/>
                      <w:szCs w:val="21"/>
                      <w:lang w:val="en-US" w:eastAsia="zh-CN"/>
                    </w:rPr>
                    <w:t>85</w:t>
                  </w:r>
                </w:p>
              </w:tc>
              <w:tc>
                <w:tcPr>
                  <w:tcW w:w="1859" w:type="pct"/>
                  <w:tcBorders>
                    <w:tl2br w:val="nil"/>
                    <w:tr2bl w:val="nil"/>
                  </w:tcBorders>
                  <w:shd w:val="clear" w:color="auto" w:fill="auto"/>
                  <w:vAlign w:val="center"/>
                </w:tcPr>
                <w:p w14:paraId="15A4383D">
                  <w:pPr>
                    <w:pStyle w:val="22"/>
                    <w:widowControl w:val="0"/>
                    <w:spacing w:before="0" w:beforeAutospacing="0" w:after="0" w:afterAutospacing="0"/>
                    <w:jc w:val="center"/>
                    <w:rPr>
                      <w:rFonts w:hint="eastAsia" w:ascii="Times New Roman" w:hAnsi="Times New Roman"/>
                      <w:bCs/>
                      <w:color w:val="auto"/>
                      <w:kern w:val="2"/>
                      <w:sz w:val="21"/>
                      <w:szCs w:val="21"/>
                      <w:lang w:val="en-US" w:eastAsia="zh-CN"/>
                    </w:rPr>
                  </w:pPr>
                  <w:r>
                    <w:rPr>
                      <w:rFonts w:hint="default" w:ascii="Times New Roman" w:hAnsi="Times New Roman"/>
                      <w:bCs/>
                      <w:color w:val="auto"/>
                      <w:kern w:val="2"/>
                      <w:sz w:val="21"/>
                      <w:szCs w:val="21"/>
                    </w:rPr>
                    <w:t>电机隔声，减振底座、消音器、软接头、隔声罩</w:t>
                  </w:r>
                </w:p>
              </w:tc>
              <w:tc>
                <w:tcPr>
                  <w:tcW w:w="548" w:type="pct"/>
                  <w:tcBorders>
                    <w:tl2br w:val="nil"/>
                    <w:tr2bl w:val="nil"/>
                  </w:tcBorders>
                  <w:shd w:val="clear" w:color="auto" w:fill="auto"/>
                  <w:vAlign w:val="center"/>
                </w:tcPr>
                <w:p w14:paraId="2CB1C069">
                  <w:pPr>
                    <w:pStyle w:val="22"/>
                    <w:widowControl w:val="0"/>
                    <w:adjustRightInd w:val="0"/>
                    <w:snapToGrid w:val="0"/>
                    <w:spacing w:before="0" w:beforeAutospacing="0" w:after="0" w:afterAutospacing="0"/>
                    <w:jc w:val="center"/>
                    <w:textAlignment w:val="baseline"/>
                    <w:rPr>
                      <w:rFonts w:hint="eastAsia" w:ascii="Times New Roman" w:hAnsi="Times New Roman"/>
                      <w:color w:val="auto"/>
                      <w:spacing w:val="-10"/>
                      <w:sz w:val="21"/>
                      <w:szCs w:val="21"/>
                      <w:lang w:val="en-US" w:eastAsia="zh-CN"/>
                    </w:rPr>
                  </w:pPr>
                  <w:r>
                    <w:rPr>
                      <w:rFonts w:hint="eastAsia" w:ascii="Times New Roman" w:hAnsi="Times New Roman"/>
                      <w:color w:val="auto"/>
                      <w:spacing w:val="-10"/>
                      <w:sz w:val="21"/>
                      <w:szCs w:val="21"/>
                      <w:lang w:val="en-US" w:eastAsia="zh-CN"/>
                    </w:rPr>
                    <w:t>0</w:t>
                  </w:r>
                  <w:r>
                    <w:rPr>
                      <w:rFonts w:hint="eastAsia" w:ascii="Times New Roman" w:hAnsi="Times New Roman"/>
                      <w:color w:val="auto"/>
                      <w:spacing w:val="-10"/>
                      <w:sz w:val="21"/>
                      <w:szCs w:val="21"/>
                    </w:rPr>
                    <w:t>：</w:t>
                  </w:r>
                  <w:r>
                    <w:rPr>
                      <w:rFonts w:hint="eastAsia" w:ascii="Times New Roman" w:hAnsi="Times New Roman"/>
                      <w:color w:val="auto"/>
                      <w:spacing w:val="-10"/>
                      <w:sz w:val="21"/>
                      <w:szCs w:val="21"/>
                      <w:lang w:val="en-US" w:eastAsia="zh-CN"/>
                    </w:rPr>
                    <w:t>0</w:t>
                  </w:r>
                  <w:r>
                    <w:rPr>
                      <w:rFonts w:hint="eastAsia" w:ascii="Times New Roman" w:hAnsi="Times New Roman"/>
                      <w:color w:val="auto"/>
                      <w:spacing w:val="-10"/>
                      <w:sz w:val="21"/>
                      <w:szCs w:val="21"/>
                    </w:rPr>
                    <w:t>0-</w:t>
                  </w:r>
                  <w:r>
                    <w:rPr>
                      <w:rFonts w:hint="eastAsia" w:ascii="Times New Roman" w:hAnsi="Times New Roman"/>
                      <w:color w:val="auto"/>
                      <w:spacing w:val="-10"/>
                      <w:sz w:val="21"/>
                      <w:szCs w:val="21"/>
                      <w:lang w:val="en-US" w:eastAsia="zh-CN"/>
                    </w:rPr>
                    <w:t>24</w:t>
                  </w:r>
                  <w:r>
                    <w:rPr>
                      <w:rFonts w:hint="eastAsia" w:ascii="Times New Roman" w:hAnsi="Times New Roman"/>
                      <w:color w:val="auto"/>
                      <w:spacing w:val="-10"/>
                      <w:sz w:val="21"/>
                      <w:szCs w:val="21"/>
                    </w:rPr>
                    <w:t>：00</w:t>
                  </w:r>
                </w:p>
              </w:tc>
            </w:tr>
          </w:tbl>
          <w:p w14:paraId="00BFD094">
            <w:pPr>
              <w:keepNext w:val="0"/>
              <w:keepLines w:val="0"/>
              <w:pageBreakBefore w:val="0"/>
              <w:widowControl w:val="0"/>
              <w:kinsoku/>
              <w:wordWrap/>
              <w:overflowPunct/>
              <w:topLinePunct w:val="0"/>
              <w:autoSpaceDE/>
              <w:autoSpaceDN/>
              <w:bidi w:val="0"/>
              <w:adjustRightInd/>
              <w:snapToGrid/>
              <w:textAlignment w:val="auto"/>
              <w:rPr>
                <w:b/>
                <w:bCs/>
                <w:color w:val="auto"/>
                <w:sz w:val="20"/>
                <w:szCs w:val="20"/>
              </w:rPr>
            </w:pPr>
            <w:r>
              <w:rPr>
                <w:rFonts w:hint="eastAsia"/>
                <w:b/>
                <w:bCs/>
                <w:color w:val="auto"/>
                <w:sz w:val="20"/>
                <w:szCs w:val="20"/>
              </w:rPr>
              <w:t>注：以生产车间西南角为空间坐标原点（0，0，0）。</w:t>
            </w:r>
          </w:p>
          <w:p w14:paraId="7B4C6EA1">
            <w:pPr>
              <w:pStyle w:val="3"/>
              <w:rPr>
                <w:rFonts w:eastAsia="宋体"/>
                <w:bCs w:val="0"/>
                <w:color w:val="auto"/>
                <w:spacing w:val="-10"/>
                <w:kern w:val="2"/>
                <w:sz w:val="24"/>
                <w:szCs w:val="24"/>
              </w:rPr>
            </w:pPr>
            <w:r>
              <w:rPr>
                <w:rFonts w:eastAsia="宋体"/>
                <w:bCs w:val="0"/>
                <w:color w:val="auto"/>
                <w:spacing w:val="-10"/>
                <w:kern w:val="2"/>
                <w:sz w:val="24"/>
                <w:szCs w:val="24"/>
              </w:rPr>
              <w:t>3.2噪声达标性分析</w:t>
            </w:r>
          </w:p>
          <w:p w14:paraId="473EECB7">
            <w:pPr>
              <w:spacing w:line="360" w:lineRule="auto"/>
              <w:ind w:firstLine="480" w:firstLineChars="200"/>
              <w:rPr>
                <w:color w:val="auto"/>
                <w:sz w:val="24"/>
                <w:szCs w:val="24"/>
              </w:rPr>
            </w:pPr>
            <w:r>
              <w:rPr>
                <w:rFonts w:hint="eastAsia"/>
                <w:bCs/>
                <w:color w:val="auto"/>
                <w:sz w:val="24"/>
                <w:szCs w:val="24"/>
              </w:rPr>
              <w:t>主</w:t>
            </w:r>
            <w:r>
              <w:rPr>
                <w:bCs/>
                <w:color w:val="auto"/>
                <w:sz w:val="24"/>
                <w:szCs w:val="24"/>
              </w:rPr>
              <w:t>要噪声源是</w:t>
            </w:r>
            <w:r>
              <w:rPr>
                <w:rFonts w:hint="eastAsia"/>
                <w:bCs/>
                <w:color w:val="auto"/>
                <w:sz w:val="24"/>
                <w:szCs w:val="24"/>
              </w:rPr>
              <w:t>8轴数控枪钻、减压钻、风机</w:t>
            </w:r>
            <w:r>
              <w:rPr>
                <w:color w:val="auto"/>
                <w:sz w:val="24"/>
                <w:szCs w:val="24"/>
              </w:rPr>
              <w:t>等</w:t>
            </w:r>
            <w:r>
              <w:rPr>
                <w:bCs/>
                <w:color w:val="auto"/>
                <w:sz w:val="24"/>
                <w:szCs w:val="24"/>
              </w:rPr>
              <w:t>设备的运行噪声</w:t>
            </w:r>
            <w:r>
              <w:rPr>
                <w:rFonts w:hint="eastAsia"/>
                <w:color w:val="auto"/>
                <w:sz w:val="24"/>
                <w:szCs w:val="24"/>
              </w:rPr>
              <w:t>，其噪声源强约</w:t>
            </w:r>
            <w:r>
              <w:rPr>
                <w:rFonts w:hint="eastAsia"/>
                <w:color w:val="auto"/>
                <w:sz w:val="24"/>
                <w:szCs w:val="24"/>
                <w:lang w:val="en-US" w:eastAsia="zh-CN"/>
              </w:rPr>
              <w:t>75</w:t>
            </w:r>
            <w:r>
              <w:rPr>
                <w:rFonts w:hint="eastAsia"/>
                <w:color w:val="auto"/>
                <w:sz w:val="24"/>
                <w:szCs w:val="24"/>
              </w:rPr>
              <w:t>~</w:t>
            </w:r>
            <w:r>
              <w:rPr>
                <w:rFonts w:hint="eastAsia"/>
                <w:color w:val="auto"/>
                <w:sz w:val="24"/>
                <w:szCs w:val="24"/>
                <w:lang w:val="en-US" w:eastAsia="zh-CN"/>
              </w:rPr>
              <w:t>90</w:t>
            </w:r>
            <w:r>
              <w:rPr>
                <w:color w:val="auto"/>
                <w:sz w:val="24"/>
                <w:szCs w:val="24"/>
              </w:rPr>
              <w:t>dB</w:t>
            </w:r>
            <w:r>
              <w:rPr>
                <w:rFonts w:hint="eastAsia"/>
                <w:color w:val="auto"/>
                <w:sz w:val="24"/>
                <w:szCs w:val="24"/>
              </w:rPr>
              <w:t>（</w:t>
            </w:r>
            <w:r>
              <w:rPr>
                <w:color w:val="auto"/>
                <w:sz w:val="24"/>
                <w:szCs w:val="24"/>
              </w:rPr>
              <w:t>A</w:t>
            </w:r>
            <w:r>
              <w:rPr>
                <w:rFonts w:hint="eastAsia"/>
                <w:color w:val="auto"/>
                <w:sz w:val="24"/>
                <w:szCs w:val="24"/>
              </w:rPr>
              <w:t>）。</w:t>
            </w:r>
            <w:r>
              <w:rPr>
                <w:color w:val="auto"/>
                <w:sz w:val="24"/>
                <w:szCs w:val="24"/>
              </w:rPr>
              <w:t>经过对</w:t>
            </w:r>
            <w:r>
              <w:rPr>
                <w:rFonts w:hint="eastAsia"/>
                <w:color w:val="auto"/>
                <w:sz w:val="24"/>
                <w:szCs w:val="24"/>
              </w:rPr>
              <w:t>噪声</w:t>
            </w:r>
            <w:r>
              <w:rPr>
                <w:color w:val="auto"/>
                <w:sz w:val="24"/>
                <w:szCs w:val="24"/>
              </w:rPr>
              <w:t>设备</w:t>
            </w:r>
            <w:r>
              <w:rPr>
                <w:rFonts w:hint="eastAsia"/>
                <w:color w:val="auto"/>
                <w:sz w:val="24"/>
                <w:szCs w:val="24"/>
              </w:rPr>
              <w:t>合理布局，采取</w:t>
            </w:r>
            <w:r>
              <w:rPr>
                <w:color w:val="auto"/>
                <w:sz w:val="24"/>
                <w:szCs w:val="24"/>
              </w:rPr>
              <w:t>减振垫、隔声等降噪措施，考虑噪声在传播途径上产生衰减。</w:t>
            </w:r>
          </w:p>
          <w:p w14:paraId="1BF5222B">
            <w:pPr>
              <w:jc w:val="center"/>
              <w:rPr>
                <w:b/>
                <w:bCs/>
                <w:color w:val="auto"/>
                <w:sz w:val="24"/>
                <w:szCs w:val="24"/>
              </w:rPr>
            </w:pPr>
            <w:r>
              <w:rPr>
                <w:rFonts w:hint="eastAsia"/>
                <w:b/>
                <w:bCs/>
                <w:color w:val="auto"/>
                <w:sz w:val="24"/>
                <w:szCs w:val="24"/>
              </w:rPr>
              <w:t>表4-</w:t>
            </w:r>
            <w:r>
              <w:rPr>
                <w:rFonts w:hint="eastAsia"/>
                <w:b/>
                <w:bCs/>
                <w:color w:val="auto"/>
                <w:sz w:val="24"/>
                <w:szCs w:val="24"/>
                <w:lang w:val="en-US" w:eastAsia="zh-CN"/>
              </w:rPr>
              <w:t>18</w:t>
            </w:r>
            <w:r>
              <w:rPr>
                <w:rFonts w:hint="eastAsia"/>
                <w:b/>
                <w:bCs/>
                <w:color w:val="auto"/>
                <w:sz w:val="24"/>
                <w:szCs w:val="24"/>
              </w:rPr>
              <w:t xml:space="preserve"> </w:t>
            </w:r>
            <w:r>
              <w:rPr>
                <w:rFonts w:hint="eastAsia"/>
                <w:b/>
                <w:color w:val="auto"/>
                <w:sz w:val="24"/>
                <w:szCs w:val="24"/>
              </w:rPr>
              <w:t>噪</w:t>
            </w:r>
            <w:r>
              <w:rPr>
                <w:b/>
                <w:bCs/>
                <w:color w:val="auto"/>
                <w:sz w:val="24"/>
                <w:szCs w:val="24"/>
              </w:rPr>
              <w:t>声预测结果一览表（单位：dB（A））</w:t>
            </w:r>
          </w:p>
          <w:tbl>
            <w:tblPr>
              <w:tblStyle w:val="26"/>
              <w:tblW w:w="4997" w:type="pct"/>
              <w:tblInd w:w="0" w:type="dxa"/>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Layout w:type="fixed"/>
              <w:tblCellMar>
                <w:top w:w="0" w:type="dxa"/>
                <w:left w:w="108" w:type="dxa"/>
                <w:bottom w:w="0" w:type="dxa"/>
                <w:right w:w="108" w:type="dxa"/>
              </w:tblCellMar>
            </w:tblPr>
            <w:tblGrid>
              <w:gridCol w:w="622"/>
              <w:gridCol w:w="1488"/>
              <w:gridCol w:w="657"/>
              <w:gridCol w:w="777"/>
              <w:gridCol w:w="769"/>
              <w:gridCol w:w="772"/>
              <w:gridCol w:w="647"/>
              <w:gridCol w:w="652"/>
              <w:gridCol w:w="938"/>
              <w:gridCol w:w="772"/>
              <w:gridCol w:w="764"/>
              <w:gridCol w:w="665"/>
              <w:gridCol w:w="704"/>
              <w:gridCol w:w="611"/>
              <w:gridCol w:w="879"/>
              <w:gridCol w:w="717"/>
            </w:tblGrid>
            <w:tr w14:paraId="6F6DBDE1">
              <w:tblPrEx>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CellMar>
                  <w:top w:w="0" w:type="dxa"/>
                  <w:left w:w="108" w:type="dxa"/>
                  <w:bottom w:w="0" w:type="dxa"/>
                  <w:right w:w="108" w:type="dxa"/>
                </w:tblCellMar>
              </w:tblPrEx>
              <w:trPr>
                <w:trHeight w:val="123" w:hRule="atLeast"/>
              </w:trPr>
              <w:tc>
                <w:tcPr>
                  <w:tcW w:w="250" w:type="pct"/>
                  <w:vMerge w:val="restart"/>
                  <w:tcBorders>
                    <w:tl2br w:val="nil"/>
                    <w:tr2bl w:val="nil"/>
                  </w:tcBorders>
                  <w:shd w:val="clear" w:color="auto" w:fill="auto"/>
                  <w:vAlign w:val="center"/>
                </w:tcPr>
                <w:p w14:paraId="2880B972">
                  <w:pPr>
                    <w:pStyle w:val="22"/>
                    <w:widowControl w:val="0"/>
                    <w:adjustRightInd w:val="0"/>
                    <w:snapToGrid w:val="0"/>
                    <w:spacing w:before="0" w:beforeAutospacing="0" w:after="0" w:afterAutospacing="0" w:line="256" w:lineRule="auto"/>
                    <w:jc w:val="center"/>
                    <w:textAlignment w:val="baseline"/>
                    <w:rPr>
                      <w:rFonts w:ascii="Times New Roman" w:hAnsi="Times New Roman"/>
                      <w:b/>
                      <w:bCs/>
                      <w:color w:val="auto"/>
                      <w:spacing w:val="-10"/>
                      <w:sz w:val="21"/>
                      <w:szCs w:val="21"/>
                    </w:rPr>
                  </w:pPr>
                  <w:r>
                    <w:rPr>
                      <w:rFonts w:hint="eastAsia" w:cs="宋体"/>
                      <w:b/>
                      <w:bCs/>
                      <w:color w:val="auto"/>
                      <w:spacing w:val="-10"/>
                      <w:sz w:val="21"/>
                      <w:szCs w:val="21"/>
                    </w:rPr>
                    <w:t>序号</w:t>
                  </w:r>
                </w:p>
              </w:tc>
              <w:tc>
                <w:tcPr>
                  <w:tcW w:w="598" w:type="pct"/>
                  <w:vMerge w:val="restart"/>
                  <w:tcBorders>
                    <w:tl2br w:val="nil"/>
                    <w:tr2bl w:val="nil"/>
                  </w:tcBorders>
                  <w:shd w:val="clear" w:color="auto" w:fill="auto"/>
                  <w:vAlign w:val="center"/>
                </w:tcPr>
                <w:p w14:paraId="25C42C4E">
                  <w:pPr>
                    <w:pStyle w:val="22"/>
                    <w:widowControl w:val="0"/>
                    <w:adjustRightInd w:val="0"/>
                    <w:snapToGrid w:val="0"/>
                    <w:spacing w:before="0" w:beforeAutospacing="0" w:after="0" w:afterAutospacing="0" w:line="256" w:lineRule="auto"/>
                    <w:jc w:val="center"/>
                    <w:textAlignment w:val="baseline"/>
                    <w:rPr>
                      <w:rFonts w:ascii="Times New Roman" w:hAnsi="Times New Roman"/>
                      <w:b/>
                      <w:bCs/>
                      <w:color w:val="auto"/>
                      <w:spacing w:val="-10"/>
                      <w:sz w:val="21"/>
                      <w:szCs w:val="21"/>
                    </w:rPr>
                  </w:pPr>
                  <w:r>
                    <w:rPr>
                      <w:rFonts w:hint="eastAsia" w:cs="宋体"/>
                      <w:b/>
                      <w:bCs/>
                      <w:color w:val="auto"/>
                      <w:spacing w:val="-10"/>
                      <w:sz w:val="21"/>
                      <w:szCs w:val="21"/>
                    </w:rPr>
                    <w:t>声环境保护目标名称方位</w:t>
                  </w:r>
                </w:p>
              </w:tc>
              <w:tc>
                <w:tcPr>
                  <w:tcW w:w="576" w:type="pct"/>
                  <w:gridSpan w:val="2"/>
                  <w:tcBorders>
                    <w:tl2br w:val="nil"/>
                    <w:tr2bl w:val="nil"/>
                  </w:tcBorders>
                  <w:shd w:val="clear" w:color="auto" w:fill="auto"/>
                  <w:vAlign w:val="center"/>
                </w:tcPr>
                <w:p w14:paraId="57BD0FA3">
                  <w:pPr>
                    <w:pStyle w:val="22"/>
                    <w:widowControl w:val="0"/>
                    <w:adjustRightInd w:val="0"/>
                    <w:snapToGrid w:val="0"/>
                    <w:spacing w:before="0" w:beforeAutospacing="0" w:after="0" w:afterAutospacing="0" w:line="256" w:lineRule="auto"/>
                    <w:jc w:val="center"/>
                    <w:textAlignment w:val="baseline"/>
                    <w:rPr>
                      <w:rFonts w:ascii="Times New Roman" w:hAnsi="Times New Roman"/>
                      <w:b/>
                      <w:color w:val="auto"/>
                      <w:spacing w:val="-10"/>
                      <w:sz w:val="21"/>
                      <w:szCs w:val="21"/>
                    </w:rPr>
                  </w:pPr>
                  <w:r>
                    <w:rPr>
                      <w:rFonts w:hint="eastAsia" w:cs="宋体"/>
                      <w:b/>
                      <w:color w:val="auto"/>
                      <w:spacing w:val="-10"/>
                      <w:sz w:val="21"/>
                      <w:szCs w:val="21"/>
                    </w:rPr>
                    <w:t>噪声背景值</w:t>
                  </w:r>
                </w:p>
              </w:tc>
              <w:tc>
                <w:tcPr>
                  <w:tcW w:w="619" w:type="pct"/>
                  <w:gridSpan w:val="2"/>
                  <w:tcBorders>
                    <w:tl2br w:val="nil"/>
                    <w:tr2bl w:val="nil"/>
                  </w:tcBorders>
                  <w:shd w:val="clear" w:color="auto" w:fill="auto"/>
                  <w:vAlign w:val="center"/>
                </w:tcPr>
                <w:p w14:paraId="2DC52E5C">
                  <w:pPr>
                    <w:pStyle w:val="22"/>
                    <w:widowControl w:val="0"/>
                    <w:adjustRightInd w:val="0"/>
                    <w:snapToGrid w:val="0"/>
                    <w:spacing w:before="0" w:beforeAutospacing="0" w:after="0" w:afterAutospacing="0" w:line="256" w:lineRule="auto"/>
                    <w:jc w:val="center"/>
                    <w:textAlignment w:val="baseline"/>
                    <w:rPr>
                      <w:rFonts w:ascii="Times New Roman" w:hAnsi="Times New Roman"/>
                      <w:b/>
                      <w:color w:val="auto"/>
                      <w:spacing w:val="-10"/>
                      <w:sz w:val="21"/>
                      <w:szCs w:val="21"/>
                    </w:rPr>
                  </w:pPr>
                  <w:r>
                    <w:rPr>
                      <w:rFonts w:hint="eastAsia" w:cs="宋体"/>
                      <w:b/>
                      <w:color w:val="auto"/>
                      <w:spacing w:val="-10"/>
                      <w:sz w:val="21"/>
                      <w:szCs w:val="21"/>
                    </w:rPr>
                    <w:t>噪声现状值</w:t>
                  </w:r>
                </w:p>
              </w:tc>
              <w:tc>
                <w:tcPr>
                  <w:tcW w:w="522" w:type="pct"/>
                  <w:gridSpan w:val="2"/>
                  <w:tcBorders>
                    <w:tl2br w:val="nil"/>
                    <w:tr2bl w:val="nil"/>
                  </w:tcBorders>
                  <w:shd w:val="clear" w:color="auto" w:fill="auto"/>
                  <w:vAlign w:val="center"/>
                </w:tcPr>
                <w:p w14:paraId="0BEB232B">
                  <w:pPr>
                    <w:pStyle w:val="22"/>
                    <w:widowControl w:val="0"/>
                    <w:adjustRightInd w:val="0"/>
                    <w:snapToGrid w:val="0"/>
                    <w:spacing w:before="0" w:beforeAutospacing="0" w:after="0" w:afterAutospacing="0" w:line="256" w:lineRule="auto"/>
                    <w:jc w:val="center"/>
                    <w:textAlignment w:val="baseline"/>
                    <w:rPr>
                      <w:rFonts w:ascii="Times New Roman" w:hAnsi="Times New Roman"/>
                      <w:b/>
                      <w:color w:val="auto"/>
                      <w:spacing w:val="-10"/>
                      <w:sz w:val="21"/>
                      <w:szCs w:val="21"/>
                    </w:rPr>
                  </w:pPr>
                  <w:r>
                    <w:rPr>
                      <w:rFonts w:hint="eastAsia" w:cs="宋体"/>
                      <w:b/>
                      <w:color w:val="auto"/>
                      <w:spacing w:val="-10"/>
                      <w:sz w:val="21"/>
                      <w:szCs w:val="21"/>
                    </w:rPr>
                    <w:t>噪声标准</w:t>
                  </w:r>
                </w:p>
              </w:tc>
              <w:tc>
                <w:tcPr>
                  <w:tcW w:w="687" w:type="pct"/>
                  <w:gridSpan w:val="2"/>
                  <w:tcBorders>
                    <w:tl2br w:val="nil"/>
                    <w:tr2bl w:val="nil"/>
                  </w:tcBorders>
                  <w:shd w:val="clear" w:color="auto" w:fill="auto"/>
                  <w:vAlign w:val="center"/>
                </w:tcPr>
                <w:p w14:paraId="0B3B00D6">
                  <w:pPr>
                    <w:pStyle w:val="22"/>
                    <w:widowControl w:val="0"/>
                    <w:adjustRightInd w:val="0"/>
                    <w:snapToGrid w:val="0"/>
                    <w:spacing w:before="0" w:beforeAutospacing="0" w:after="0" w:afterAutospacing="0" w:line="256" w:lineRule="auto"/>
                    <w:jc w:val="center"/>
                    <w:textAlignment w:val="baseline"/>
                    <w:rPr>
                      <w:rFonts w:ascii="Times New Roman" w:hAnsi="Times New Roman"/>
                      <w:b/>
                      <w:color w:val="auto"/>
                      <w:spacing w:val="-10"/>
                      <w:sz w:val="21"/>
                      <w:szCs w:val="21"/>
                    </w:rPr>
                  </w:pPr>
                  <w:r>
                    <w:rPr>
                      <w:rFonts w:hint="eastAsia" w:cs="宋体"/>
                      <w:b/>
                      <w:color w:val="auto"/>
                      <w:spacing w:val="-10"/>
                      <w:sz w:val="21"/>
                      <w:szCs w:val="21"/>
                    </w:rPr>
                    <w:t>噪声贡献值</w:t>
                  </w:r>
                </w:p>
              </w:tc>
              <w:tc>
                <w:tcPr>
                  <w:tcW w:w="574" w:type="pct"/>
                  <w:gridSpan w:val="2"/>
                  <w:tcBorders>
                    <w:tl2br w:val="nil"/>
                    <w:tr2bl w:val="nil"/>
                  </w:tcBorders>
                  <w:shd w:val="clear" w:color="auto" w:fill="auto"/>
                  <w:vAlign w:val="center"/>
                </w:tcPr>
                <w:p w14:paraId="39E60DF3">
                  <w:pPr>
                    <w:pStyle w:val="22"/>
                    <w:widowControl w:val="0"/>
                    <w:adjustRightInd w:val="0"/>
                    <w:snapToGrid w:val="0"/>
                    <w:spacing w:before="0" w:beforeAutospacing="0" w:after="0" w:afterAutospacing="0" w:line="256" w:lineRule="auto"/>
                    <w:jc w:val="center"/>
                    <w:textAlignment w:val="baseline"/>
                    <w:rPr>
                      <w:rFonts w:ascii="Times New Roman" w:hAnsi="Times New Roman"/>
                      <w:b/>
                      <w:color w:val="auto"/>
                      <w:spacing w:val="-10"/>
                      <w:sz w:val="21"/>
                      <w:szCs w:val="21"/>
                    </w:rPr>
                  </w:pPr>
                  <w:r>
                    <w:rPr>
                      <w:rFonts w:hint="eastAsia" w:cs="宋体"/>
                      <w:b/>
                      <w:color w:val="auto"/>
                      <w:spacing w:val="-10"/>
                      <w:sz w:val="21"/>
                      <w:szCs w:val="21"/>
                    </w:rPr>
                    <w:t>噪声预测值</w:t>
                  </w:r>
                </w:p>
              </w:tc>
              <w:tc>
                <w:tcPr>
                  <w:tcW w:w="528" w:type="pct"/>
                  <w:gridSpan w:val="2"/>
                  <w:tcBorders>
                    <w:tl2br w:val="nil"/>
                    <w:tr2bl w:val="nil"/>
                  </w:tcBorders>
                  <w:shd w:val="clear" w:color="auto" w:fill="auto"/>
                  <w:vAlign w:val="center"/>
                </w:tcPr>
                <w:p w14:paraId="0C58B2D0">
                  <w:pPr>
                    <w:pStyle w:val="22"/>
                    <w:widowControl w:val="0"/>
                    <w:adjustRightInd w:val="0"/>
                    <w:snapToGrid w:val="0"/>
                    <w:spacing w:before="0" w:beforeAutospacing="0" w:after="0" w:afterAutospacing="0" w:line="256" w:lineRule="auto"/>
                    <w:jc w:val="center"/>
                    <w:textAlignment w:val="baseline"/>
                    <w:rPr>
                      <w:rFonts w:ascii="Times New Roman" w:hAnsi="Times New Roman"/>
                      <w:b/>
                      <w:color w:val="auto"/>
                      <w:spacing w:val="-10"/>
                      <w:sz w:val="21"/>
                      <w:szCs w:val="21"/>
                    </w:rPr>
                  </w:pPr>
                  <w:r>
                    <w:rPr>
                      <w:rFonts w:hint="eastAsia" w:cs="宋体"/>
                      <w:b/>
                      <w:color w:val="auto"/>
                      <w:spacing w:val="-10"/>
                      <w:sz w:val="21"/>
                      <w:szCs w:val="21"/>
                    </w:rPr>
                    <w:t>较现状增量</w:t>
                  </w:r>
                </w:p>
              </w:tc>
              <w:tc>
                <w:tcPr>
                  <w:tcW w:w="641" w:type="pct"/>
                  <w:gridSpan w:val="2"/>
                  <w:tcBorders>
                    <w:tl2br w:val="nil"/>
                    <w:tr2bl w:val="nil"/>
                  </w:tcBorders>
                  <w:shd w:val="clear" w:color="auto" w:fill="auto"/>
                  <w:vAlign w:val="center"/>
                </w:tcPr>
                <w:p w14:paraId="40D74766">
                  <w:pPr>
                    <w:pStyle w:val="22"/>
                    <w:widowControl w:val="0"/>
                    <w:adjustRightInd w:val="0"/>
                    <w:snapToGrid w:val="0"/>
                    <w:spacing w:before="0" w:beforeAutospacing="0" w:after="0" w:afterAutospacing="0" w:line="256" w:lineRule="auto"/>
                    <w:jc w:val="center"/>
                    <w:textAlignment w:val="baseline"/>
                    <w:rPr>
                      <w:rFonts w:ascii="Times New Roman" w:hAnsi="Times New Roman"/>
                      <w:b/>
                      <w:color w:val="auto"/>
                      <w:spacing w:val="-10"/>
                      <w:sz w:val="21"/>
                      <w:szCs w:val="21"/>
                    </w:rPr>
                  </w:pPr>
                  <w:r>
                    <w:rPr>
                      <w:rFonts w:hint="eastAsia" w:cs="宋体"/>
                      <w:b/>
                      <w:color w:val="auto"/>
                      <w:spacing w:val="-10"/>
                      <w:sz w:val="21"/>
                      <w:szCs w:val="21"/>
                    </w:rPr>
                    <w:t>超标和达标情况</w:t>
                  </w:r>
                </w:p>
              </w:tc>
            </w:tr>
            <w:tr w14:paraId="36A3C276">
              <w:tblPrEx>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CellMar>
                  <w:top w:w="0" w:type="dxa"/>
                  <w:left w:w="108" w:type="dxa"/>
                  <w:bottom w:w="0" w:type="dxa"/>
                  <w:right w:w="108" w:type="dxa"/>
                </w:tblCellMar>
              </w:tblPrEx>
              <w:trPr>
                <w:trHeight w:val="23" w:hRule="atLeast"/>
              </w:trPr>
              <w:tc>
                <w:tcPr>
                  <w:tcW w:w="250" w:type="pct"/>
                  <w:vMerge w:val="continue"/>
                  <w:tcBorders>
                    <w:tl2br w:val="nil"/>
                    <w:tr2bl w:val="nil"/>
                  </w:tcBorders>
                  <w:shd w:val="clear" w:color="auto" w:fill="auto"/>
                  <w:vAlign w:val="center"/>
                </w:tcPr>
                <w:p w14:paraId="07F34D1E">
                  <w:pPr>
                    <w:rPr>
                      <w:color w:val="auto"/>
                      <w:sz w:val="21"/>
                      <w:szCs w:val="21"/>
                    </w:rPr>
                  </w:pPr>
                </w:p>
              </w:tc>
              <w:tc>
                <w:tcPr>
                  <w:tcW w:w="598" w:type="pct"/>
                  <w:vMerge w:val="continue"/>
                  <w:tcBorders>
                    <w:tl2br w:val="nil"/>
                    <w:tr2bl w:val="nil"/>
                  </w:tcBorders>
                  <w:shd w:val="clear" w:color="auto" w:fill="auto"/>
                  <w:vAlign w:val="center"/>
                </w:tcPr>
                <w:p w14:paraId="679C99B2">
                  <w:pPr>
                    <w:rPr>
                      <w:color w:val="auto"/>
                      <w:sz w:val="21"/>
                      <w:szCs w:val="21"/>
                    </w:rPr>
                  </w:pPr>
                </w:p>
              </w:tc>
              <w:tc>
                <w:tcPr>
                  <w:tcW w:w="264" w:type="pct"/>
                  <w:tcBorders>
                    <w:tl2br w:val="nil"/>
                    <w:tr2bl w:val="nil"/>
                  </w:tcBorders>
                  <w:shd w:val="clear" w:color="auto" w:fill="auto"/>
                  <w:vAlign w:val="center"/>
                </w:tcPr>
                <w:p w14:paraId="79E205A6">
                  <w:pPr>
                    <w:pStyle w:val="22"/>
                    <w:widowControl w:val="0"/>
                    <w:adjustRightInd w:val="0"/>
                    <w:snapToGrid w:val="0"/>
                    <w:spacing w:before="0" w:beforeAutospacing="0" w:after="0" w:afterAutospacing="0" w:line="256" w:lineRule="auto"/>
                    <w:jc w:val="center"/>
                    <w:textAlignment w:val="baseline"/>
                    <w:rPr>
                      <w:rFonts w:ascii="Times New Roman" w:hAnsi="Times New Roman"/>
                      <w:b/>
                      <w:color w:val="auto"/>
                      <w:spacing w:val="-10"/>
                      <w:sz w:val="21"/>
                      <w:szCs w:val="21"/>
                    </w:rPr>
                  </w:pPr>
                  <w:r>
                    <w:rPr>
                      <w:rFonts w:hint="eastAsia" w:cs="宋体"/>
                      <w:b/>
                      <w:color w:val="auto"/>
                      <w:spacing w:val="-10"/>
                      <w:sz w:val="21"/>
                      <w:szCs w:val="21"/>
                    </w:rPr>
                    <w:t>昼间</w:t>
                  </w:r>
                </w:p>
              </w:tc>
              <w:tc>
                <w:tcPr>
                  <w:tcW w:w="312" w:type="pct"/>
                  <w:tcBorders>
                    <w:tl2br w:val="nil"/>
                    <w:tr2bl w:val="nil"/>
                  </w:tcBorders>
                  <w:shd w:val="clear" w:color="auto" w:fill="auto"/>
                  <w:vAlign w:val="center"/>
                </w:tcPr>
                <w:p w14:paraId="4562EBA3">
                  <w:pPr>
                    <w:pStyle w:val="22"/>
                    <w:widowControl w:val="0"/>
                    <w:adjustRightInd w:val="0"/>
                    <w:snapToGrid w:val="0"/>
                    <w:spacing w:before="0" w:beforeAutospacing="0" w:after="0" w:afterAutospacing="0" w:line="256" w:lineRule="auto"/>
                    <w:jc w:val="center"/>
                    <w:textAlignment w:val="baseline"/>
                    <w:rPr>
                      <w:rFonts w:ascii="Times New Roman" w:hAnsi="Times New Roman"/>
                      <w:b/>
                      <w:color w:val="auto"/>
                      <w:spacing w:val="-10"/>
                      <w:sz w:val="21"/>
                      <w:szCs w:val="21"/>
                    </w:rPr>
                  </w:pPr>
                  <w:r>
                    <w:rPr>
                      <w:rFonts w:hint="eastAsia" w:cs="宋体"/>
                      <w:b/>
                      <w:color w:val="auto"/>
                      <w:spacing w:val="-10"/>
                      <w:sz w:val="21"/>
                      <w:szCs w:val="21"/>
                    </w:rPr>
                    <w:t>夜间</w:t>
                  </w:r>
                </w:p>
              </w:tc>
              <w:tc>
                <w:tcPr>
                  <w:tcW w:w="309" w:type="pct"/>
                  <w:tcBorders>
                    <w:tl2br w:val="nil"/>
                    <w:tr2bl w:val="nil"/>
                  </w:tcBorders>
                  <w:shd w:val="clear" w:color="auto" w:fill="auto"/>
                  <w:vAlign w:val="center"/>
                </w:tcPr>
                <w:p w14:paraId="0AE8C620">
                  <w:pPr>
                    <w:pStyle w:val="22"/>
                    <w:widowControl w:val="0"/>
                    <w:adjustRightInd w:val="0"/>
                    <w:snapToGrid w:val="0"/>
                    <w:spacing w:before="0" w:beforeAutospacing="0" w:after="0" w:afterAutospacing="0" w:line="256" w:lineRule="auto"/>
                    <w:jc w:val="center"/>
                    <w:textAlignment w:val="baseline"/>
                    <w:rPr>
                      <w:rFonts w:ascii="Times New Roman" w:hAnsi="Times New Roman"/>
                      <w:b/>
                      <w:color w:val="auto"/>
                      <w:spacing w:val="-10"/>
                      <w:sz w:val="21"/>
                      <w:szCs w:val="21"/>
                    </w:rPr>
                  </w:pPr>
                  <w:r>
                    <w:rPr>
                      <w:rFonts w:hint="eastAsia" w:cs="宋体"/>
                      <w:b/>
                      <w:color w:val="auto"/>
                      <w:spacing w:val="-10"/>
                      <w:sz w:val="21"/>
                      <w:szCs w:val="21"/>
                    </w:rPr>
                    <w:t>昼间</w:t>
                  </w:r>
                </w:p>
              </w:tc>
              <w:tc>
                <w:tcPr>
                  <w:tcW w:w="310" w:type="pct"/>
                  <w:tcBorders>
                    <w:tl2br w:val="nil"/>
                    <w:tr2bl w:val="nil"/>
                  </w:tcBorders>
                  <w:shd w:val="clear" w:color="auto" w:fill="auto"/>
                  <w:vAlign w:val="center"/>
                </w:tcPr>
                <w:p w14:paraId="508D6BD6">
                  <w:pPr>
                    <w:pStyle w:val="22"/>
                    <w:widowControl w:val="0"/>
                    <w:adjustRightInd w:val="0"/>
                    <w:snapToGrid w:val="0"/>
                    <w:spacing w:before="0" w:beforeAutospacing="0" w:after="0" w:afterAutospacing="0" w:line="256" w:lineRule="auto"/>
                    <w:jc w:val="center"/>
                    <w:textAlignment w:val="baseline"/>
                    <w:rPr>
                      <w:rFonts w:ascii="Times New Roman" w:hAnsi="Times New Roman"/>
                      <w:b/>
                      <w:color w:val="auto"/>
                      <w:spacing w:val="-10"/>
                      <w:sz w:val="21"/>
                      <w:szCs w:val="21"/>
                    </w:rPr>
                  </w:pPr>
                  <w:r>
                    <w:rPr>
                      <w:rFonts w:hint="eastAsia" w:cs="宋体"/>
                      <w:b/>
                      <w:color w:val="auto"/>
                      <w:spacing w:val="-10"/>
                      <w:sz w:val="21"/>
                      <w:szCs w:val="21"/>
                    </w:rPr>
                    <w:t>夜间</w:t>
                  </w:r>
                </w:p>
              </w:tc>
              <w:tc>
                <w:tcPr>
                  <w:tcW w:w="260" w:type="pct"/>
                  <w:tcBorders>
                    <w:tl2br w:val="nil"/>
                    <w:tr2bl w:val="nil"/>
                  </w:tcBorders>
                  <w:shd w:val="clear" w:color="auto" w:fill="auto"/>
                  <w:vAlign w:val="center"/>
                </w:tcPr>
                <w:p w14:paraId="69AE7F6D">
                  <w:pPr>
                    <w:pStyle w:val="22"/>
                    <w:widowControl w:val="0"/>
                    <w:adjustRightInd w:val="0"/>
                    <w:snapToGrid w:val="0"/>
                    <w:spacing w:before="0" w:beforeAutospacing="0" w:after="0" w:afterAutospacing="0" w:line="256" w:lineRule="auto"/>
                    <w:jc w:val="center"/>
                    <w:textAlignment w:val="baseline"/>
                    <w:rPr>
                      <w:rFonts w:ascii="Times New Roman" w:hAnsi="Times New Roman"/>
                      <w:b/>
                      <w:color w:val="auto"/>
                      <w:spacing w:val="-10"/>
                      <w:sz w:val="21"/>
                      <w:szCs w:val="21"/>
                    </w:rPr>
                  </w:pPr>
                  <w:r>
                    <w:rPr>
                      <w:rFonts w:hint="eastAsia" w:cs="宋体"/>
                      <w:b/>
                      <w:color w:val="auto"/>
                      <w:spacing w:val="-10"/>
                      <w:sz w:val="21"/>
                      <w:szCs w:val="21"/>
                    </w:rPr>
                    <w:t>昼间</w:t>
                  </w:r>
                </w:p>
              </w:tc>
              <w:tc>
                <w:tcPr>
                  <w:tcW w:w="262" w:type="pct"/>
                  <w:tcBorders>
                    <w:tl2br w:val="nil"/>
                    <w:tr2bl w:val="nil"/>
                  </w:tcBorders>
                  <w:shd w:val="clear" w:color="auto" w:fill="auto"/>
                  <w:vAlign w:val="center"/>
                </w:tcPr>
                <w:p w14:paraId="5E28B9D6">
                  <w:pPr>
                    <w:pStyle w:val="22"/>
                    <w:widowControl w:val="0"/>
                    <w:adjustRightInd w:val="0"/>
                    <w:snapToGrid w:val="0"/>
                    <w:spacing w:before="0" w:beforeAutospacing="0" w:after="0" w:afterAutospacing="0" w:line="256" w:lineRule="auto"/>
                    <w:jc w:val="center"/>
                    <w:textAlignment w:val="baseline"/>
                    <w:rPr>
                      <w:rFonts w:ascii="Times New Roman" w:hAnsi="Times New Roman"/>
                      <w:b/>
                      <w:color w:val="auto"/>
                      <w:spacing w:val="-10"/>
                      <w:sz w:val="21"/>
                      <w:szCs w:val="21"/>
                    </w:rPr>
                  </w:pPr>
                  <w:r>
                    <w:rPr>
                      <w:rFonts w:hint="eastAsia" w:cs="宋体"/>
                      <w:b/>
                      <w:color w:val="auto"/>
                      <w:spacing w:val="-10"/>
                      <w:sz w:val="21"/>
                      <w:szCs w:val="21"/>
                    </w:rPr>
                    <w:t>夜间</w:t>
                  </w:r>
                </w:p>
              </w:tc>
              <w:tc>
                <w:tcPr>
                  <w:tcW w:w="377" w:type="pct"/>
                  <w:tcBorders>
                    <w:tl2br w:val="nil"/>
                    <w:tr2bl w:val="nil"/>
                  </w:tcBorders>
                  <w:shd w:val="clear" w:color="auto" w:fill="auto"/>
                  <w:vAlign w:val="center"/>
                </w:tcPr>
                <w:p w14:paraId="40215194">
                  <w:pPr>
                    <w:pStyle w:val="22"/>
                    <w:widowControl w:val="0"/>
                    <w:adjustRightInd w:val="0"/>
                    <w:snapToGrid w:val="0"/>
                    <w:spacing w:before="0" w:beforeAutospacing="0" w:after="0" w:afterAutospacing="0" w:line="256" w:lineRule="auto"/>
                    <w:jc w:val="center"/>
                    <w:textAlignment w:val="baseline"/>
                    <w:rPr>
                      <w:rFonts w:ascii="Times New Roman" w:hAnsi="Times New Roman"/>
                      <w:b/>
                      <w:color w:val="auto"/>
                      <w:spacing w:val="-10"/>
                      <w:sz w:val="21"/>
                      <w:szCs w:val="21"/>
                    </w:rPr>
                  </w:pPr>
                  <w:r>
                    <w:rPr>
                      <w:rFonts w:hint="eastAsia" w:cs="宋体"/>
                      <w:b/>
                      <w:color w:val="auto"/>
                      <w:spacing w:val="-10"/>
                      <w:sz w:val="21"/>
                      <w:szCs w:val="21"/>
                    </w:rPr>
                    <w:t>昼间</w:t>
                  </w:r>
                </w:p>
              </w:tc>
              <w:tc>
                <w:tcPr>
                  <w:tcW w:w="310" w:type="pct"/>
                  <w:tcBorders>
                    <w:tl2br w:val="nil"/>
                    <w:tr2bl w:val="nil"/>
                  </w:tcBorders>
                  <w:shd w:val="clear" w:color="auto" w:fill="auto"/>
                  <w:vAlign w:val="center"/>
                </w:tcPr>
                <w:p w14:paraId="23210D35">
                  <w:pPr>
                    <w:pStyle w:val="22"/>
                    <w:widowControl w:val="0"/>
                    <w:adjustRightInd w:val="0"/>
                    <w:snapToGrid w:val="0"/>
                    <w:spacing w:before="0" w:beforeAutospacing="0" w:after="0" w:afterAutospacing="0" w:line="256" w:lineRule="auto"/>
                    <w:jc w:val="center"/>
                    <w:textAlignment w:val="baseline"/>
                    <w:rPr>
                      <w:rFonts w:ascii="Times New Roman" w:hAnsi="Times New Roman"/>
                      <w:b/>
                      <w:color w:val="auto"/>
                      <w:spacing w:val="-10"/>
                      <w:sz w:val="21"/>
                      <w:szCs w:val="21"/>
                    </w:rPr>
                  </w:pPr>
                  <w:r>
                    <w:rPr>
                      <w:rFonts w:hint="eastAsia" w:cs="宋体"/>
                      <w:b/>
                      <w:color w:val="auto"/>
                      <w:spacing w:val="-10"/>
                      <w:sz w:val="21"/>
                      <w:szCs w:val="21"/>
                    </w:rPr>
                    <w:t>夜间</w:t>
                  </w:r>
                </w:p>
              </w:tc>
              <w:tc>
                <w:tcPr>
                  <w:tcW w:w="307" w:type="pct"/>
                  <w:tcBorders>
                    <w:tl2br w:val="nil"/>
                    <w:tr2bl w:val="nil"/>
                  </w:tcBorders>
                  <w:shd w:val="clear" w:color="auto" w:fill="auto"/>
                  <w:vAlign w:val="center"/>
                </w:tcPr>
                <w:p w14:paraId="24BF6B86">
                  <w:pPr>
                    <w:pStyle w:val="22"/>
                    <w:widowControl w:val="0"/>
                    <w:adjustRightInd w:val="0"/>
                    <w:snapToGrid w:val="0"/>
                    <w:spacing w:before="0" w:beforeAutospacing="0" w:after="0" w:afterAutospacing="0" w:line="256" w:lineRule="auto"/>
                    <w:jc w:val="center"/>
                    <w:textAlignment w:val="baseline"/>
                    <w:rPr>
                      <w:rFonts w:ascii="Times New Roman" w:hAnsi="Times New Roman"/>
                      <w:b/>
                      <w:color w:val="auto"/>
                      <w:spacing w:val="-10"/>
                      <w:sz w:val="21"/>
                      <w:szCs w:val="21"/>
                    </w:rPr>
                  </w:pPr>
                  <w:r>
                    <w:rPr>
                      <w:rFonts w:hint="eastAsia" w:cs="宋体"/>
                      <w:b/>
                      <w:color w:val="auto"/>
                      <w:spacing w:val="-10"/>
                      <w:sz w:val="21"/>
                      <w:szCs w:val="21"/>
                    </w:rPr>
                    <w:t>昼间</w:t>
                  </w:r>
                </w:p>
              </w:tc>
              <w:tc>
                <w:tcPr>
                  <w:tcW w:w="267" w:type="pct"/>
                  <w:tcBorders>
                    <w:tl2br w:val="nil"/>
                    <w:tr2bl w:val="nil"/>
                  </w:tcBorders>
                  <w:shd w:val="clear" w:color="auto" w:fill="auto"/>
                  <w:vAlign w:val="center"/>
                </w:tcPr>
                <w:p w14:paraId="4324F1AA">
                  <w:pPr>
                    <w:pStyle w:val="22"/>
                    <w:widowControl w:val="0"/>
                    <w:adjustRightInd w:val="0"/>
                    <w:snapToGrid w:val="0"/>
                    <w:spacing w:before="0" w:beforeAutospacing="0" w:after="0" w:afterAutospacing="0" w:line="256" w:lineRule="auto"/>
                    <w:jc w:val="center"/>
                    <w:textAlignment w:val="baseline"/>
                    <w:rPr>
                      <w:rFonts w:ascii="Times New Roman" w:hAnsi="Times New Roman"/>
                      <w:b/>
                      <w:color w:val="auto"/>
                      <w:spacing w:val="-10"/>
                      <w:sz w:val="21"/>
                      <w:szCs w:val="21"/>
                    </w:rPr>
                  </w:pPr>
                  <w:r>
                    <w:rPr>
                      <w:rFonts w:hint="eastAsia" w:cs="宋体"/>
                      <w:b/>
                      <w:color w:val="auto"/>
                      <w:spacing w:val="-10"/>
                      <w:sz w:val="21"/>
                      <w:szCs w:val="21"/>
                    </w:rPr>
                    <w:t>夜间</w:t>
                  </w:r>
                </w:p>
              </w:tc>
              <w:tc>
                <w:tcPr>
                  <w:tcW w:w="283" w:type="pct"/>
                  <w:tcBorders>
                    <w:tl2br w:val="nil"/>
                    <w:tr2bl w:val="nil"/>
                  </w:tcBorders>
                  <w:shd w:val="clear" w:color="auto" w:fill="auto"/>
                  <w:vAlign w:val="center"/>
                </w:tcPr>
                <w:p w14:paraId="26B523A8">
                  <w:pPr>
                    <w:pStyle w:val="22"/>
                    <w:widowControl w:val="0"/>
                    <w:adjustRightInd w:val="0"/>
                    <w:snapToGrid w:val="0"/>
                    <w:spacing w:before="0" w:beforeAutospacing="0" w:after="0" w:afterAutospacing="0" w:line="256" w:lineRule="auto"/>
                    <w:jc w:val="center"/>
                    <w:textAlignment w:val="baseline"/>
                    <w:rPr>
                      <w:rFonts w:ascii="Times New Roman" w:hAnsi="Times New Roman"/>
                      <w:b/>
                      <w:color w:val="auto"/>
                      <w:spacing w:val="-10"/>
                      <w:sz w:val="21"/>
                      <w:szCs w:val="21"/>
                    </w:rPr>
                  </w:pPr>
                  <w:r>
                    <w:rPr>
                      <w:rFonts w:hint="eastAsia" w:cs="宋体"/>
                      <w:b/>
                      <w:color w:val="auto"/>
                      <w:spacing w:val="-10"/>
                      <w:sz w:val="21"/>
                      <w:szCs w:val="21"/>
                    </w:rPr>
                    <w:t>昼间</w:t>
                  </w:r>
                </w:p>
              </w:tc>
              <w:tc>
                <w:tcPr>
                  <w:tcW w:w="245" w:type="pct"/>
                  <w:tcBorders>
                    <w:tl2br w:val="nil"/>
                    <w:tr2bl w:val="nil"/>
                  </w:tcBorders>
                  <w:shd w:val="clear" w:color="auto" w:fill="auto"/>
                  <w:vAlign w:val="center"/>
                </w:tcPr>
                <w:p w14:paraId="31EAF3D3">
                  <w:pPr>
                    <w:pStyle w:val="22"/>
                    <w:widowControl w:val="0"/>
                    <w:adjustRightInd w:val="0"/>
                    <w:snapToGrid w:val="0"/>
                    <w:spacing w:before="0" w:beforeAutospacing="0" w:after="0" w:afterAutospacing="0" w:line="256" w:lineRule="auto"/>
                    <w:jc w:val="center"/>
                    <w:textAlignment w:val="baseline"/>
                    <w:rPr>
                      <w:rFonts w:ascii="Times New Roman" w:hAnsi="Times New Roman"/>
                      <w:b/>
                      <w:color w:val="auto"/>
                      <w:spacing w:val="-10"/>
                      <w:sz w:val="21"/>
                      <w:szCs w:val="21"/>
                    </w:rPr>
                  </w:pPr>
                  <w:r>
                    <w:rPr>
                      <w:rFonts w:hint="eastAsia" w:cs="宋体"/>
                      <w:b/>
                      <w:color w:val="auto"/>
                      <w:spacing w:val="-10"/>
                      <w:sz w:val="21"/>
                      <w:szCs w:val="21"/>
                    </w:rPr>
                    <w:t>夜间</w:t>
                  </w:r>
                </w:p>
              </w:tc>
              <w:tc>
                <w:tcPr>
                  <w:tcW w:w="353" w:type="pct"/>
                  <w:tcBorders>
                    <w:tl2br w:val="nil"/>
                    <w:tr2bl w:val="nil"/>
                  </w:tcBorders>
                  <w:shd w:val="clear" w:color="auto" w:fill="auto"/>
                  <w:vAlign w:val="center"/>
                </w:tcPr>
                <w:p w14:paraId="416E3364">
                  <w:pPr>
                    <w:pStyle w:val="22"/>
                    <w:widowControl w:val="0"/>
                    <w:adjustRightInd w:val="0"/>
                    <w:snapToGrid w:val="0"/>
                    <w:spacing w:before="0" w:beforeAutospacing="0" w:after="0" w:afterAutospacing="0" w:line="256" w:lineRule="auto"/>
                    <w:jc w:val="center"/>
                    <w:textAlignment w:val="baseline"/>
                    <w:rPr>
                      <w:rFonts w:ascii="Times New Roman" w:hAnsi="Times New Roman"/>
                      <w:b/>
                      <w:color w:val="auto"/>
                      <w:spacing w:val="-10"/>
                      <w:sz w:val="21"/>
                      <w:szCs w:val="21"/>
                    </w:rPr>
                  </w:pPr>
                  <w:r>
                    <w:rPr>
                      <w:rFonts w:hint="eastAsia" w:cs="宋体"/>
                      <w:b/>
                      <w:color w:val="auto"/>
                      <w:spacing w:val="-10"/>
                      <w:sz w:val="21"/>
                      <w:szCs w:val="21"/>
                    </w:rPr>
                    <w:t>昼间</w:t>
                  </w:r>
                </w:p>
              </w:tc>
              <w:tc>
                <w:tcPr>
                  <w:tcW w:w="288" w:type="pct"/>
                  <w:tcBorders>
                    <w:tl2br w:val="nil"/>
                    <w:tr2bl w:val="nil"/>
                  </w:tcBorders>
                  <w:shd w:val="clear" w:color="auto" w:fill="auto"/>
                  <w:vAlign w:val="center"/>
                </w:tcPr>
                <w:p w14:paraId="2477BF84">
                  <w:pPr>
                    <w:pStyle w:val="22"/>
                    <w:widowControl w:val="0"/>
                    <w:adjustRightInd w:val="0"/>
                    <w:snapToGrid w:val="0"/>
                    <w:spacing w:before="0" w:beforeAutospacing="0" w:after="0" w:afterAutospacing="0" w:line="256" w:lineRule="auto"/>
                    <w:jc w:val="center"/>
                    <w:textAlignment w:val="baseline"/>
                    <w:rPr>
                      <w:rFonts w:ascii="Times New Roman" w:hAnsi="Times New Roman"/>
                      <w:b/>
                      <w:color w:val="auto"/>
                      <w:spacing w:val="-10"/>
                      <w:sz w:val="21"/>
                      <w:szCs w:val="21"/>
                    </w:rPr>
                  </w:pPr>
                  <w:r>
                    <w:rPr>
                      <w:rFonts w:hint="eastAsia" w:cs="宋体"/>
                      <w:b/>
                      <w:color w:val="auto"/>
                      <w:spacing w:val="-10"/>
                      <w:sz w:val="21"/>
                      <w:szCs w:val="21"/>
                    </w:rPr>
                    <w:t>夜间</w:t>
                  </w:r>
                </w:p>
              </w:tc>
            </w:tr>
            <w:tr w14:paraId="58DC5226">
              <w:tblPrEx>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CellMar>
                  <w:top w:w="0" w:type="dxa"/>
                  <w:left w:w="108" w:type="dxa"/>
                  <w:bottom w:w="0" w:type="dxa"/>
                  <w:right w:w="108" w:type="dxa"/>
                </w:tblCellMar>
              </w:tblPrEx>
              <w:trPr>
                <w:trHeight w:val="23" w:hRule="atLeast"/>
              </w:trPr>
              <w:tc>
                <w:tcPr>
                  <w:tcW w:w="250" w:type="pct"/>
                  <w:tcBorders>
                    <w:tl2br w:val="nil"/>
                    <w:tr2bl w:val="nil"/>
                  </w:tcBorders>
                  <w:shd w:val="clear" w:color="auto" w:fill="auto"/>
                  <w:vAlign w:val="center"/>
                </w:tcPr>
                <w:p w14:paraId="17199EFE">
                  <w:pPr>
                    <w:pStyle w:val="22"/>
                    <w:widowControl w:val="0"/>
                    <w:adjustRightInd w:val="0"/>
                    <w:snapToGrid w:val="0"/>
                    <w:spacing w:before="0" w:beforeAutospacing="0" w:after="0" w:afterAutospacing="0" w:line="256" w:lineRule="auto"/>
                    <w:jc w:val="center"/>
                    <w:textAlignment w:val="baseline"/>
                    <w:rPr>
                      <w:rFonts w:ascii="Times New Roman" w:hAnsi="Times New Roman"/>
                      <w:color w:val="auto"/>
                      <w:spacing w:val="-10"/>
                      <w:sz w:val="21"/>
                      <w:szCs w:val="21"/>
                    </w:rPr>
                  </w:pPr>
                  <w:r>
                    <w:rPr>
                      <w:rFonts w:ascii="Times New Roman" w:hAnsi="Times New Roman"/>
                      <w:color w:val="auto"/>
                      <w:spacing w:val="-10"/>
                      <w:sz w:val="21"/>
                      <w:szCs w:val="21"/>
                    </w:rPr>
                    <w:t>1</w:t>
                  </w:r>
                </w:p>
              </w:tc>
              <w:tc>
                <w:tcPr>
                  <w:tcW w:w="598" w:type="pct"/>
                  <w:tcBorders>
                    <w:tl2br w:val="nil"/>
                    <w:tr2bl w:val="nil"/>
                  </w:tcBorders>
                  <w:shd w:val="clear" w:color="auto" w:fill="auto"/>
                  <w:vAlign w:val="center"/>
                </w:tcPr>
                <w:p w14:paraId="1961E5D7">
                  <w:pPr>
                    <w:pStyle w:val="22"/>
                    <w:adjustRightInd w:val="0"/>
                    <w:snapToGrid w:val="0"/>
                    <w:spacing w:before="0" w:beforeAutospacing="0" w:after="0"/>
                    <w:jc w:val="center"/>
                    <w:rPr>
                      <w:rFonts w:ascii="Times New Roman" w:hAnsi="Times New Roman"/>
                      <w:bCs/>
                      <w:color w:val="auto"/>
                      <w:kern w:val="2"/>
                      <w:sz w:val="21"/>
                      <w:szCs w:val="21"/>
                    </w:rPr>
                  </w:pPr>
                  <w:r>
                    <w:rPr>
                      <w:rFonts w:hint="eastAsia" w:cs="宋体"/>
                      <w:bCs/>
                      <w:color w:val="auto"/>
                      <w:kern w:val="2"/>
                      <w:sz w:val="21"/>
                      <w:szCs w:val="21"/>
                    </w:rPr>
                    <w:t>东厂界</w:t>
                  </w:r>
                </w:p>
              </w:tc>
              <w:tc>
                <w:tcPr>
                  <w:tcW w:w="264" w:type="pct"/>
                  <w:tcBorders>
                    <w:tl2br w:val="nil"/>
                    <w:tr2bl w:val="nil"/>
                  </w:tcBorders>
                  <w:shd w:val="clear" w:color="auto" w:fill="auto"/>
                  <w:vAlign w:val="center"/>
                </w:tcPr>
                <w:p w14:paraId="61A57758">
                  <w:pPr>
                    <w:widowControl/>
                    <w:jc w:val="center"/>
                    <w:textAlignment w:val="center"/>
                    <w:rPr>
                      <w:color w:val="auto"/>
                      <w:sz w:val="21"/>
                      <w:szCs w:val="21"/>
                    </w:rPr>
                  </w:pPr>
                  <w:r>
                    <w:rPr>
                      <w:rFonts w:hint="eastAsia"/>
                      <w:color w:val="auto"/>
                      <w:sz w:val="21"/>
                      <w:szCs w:val="21"/>
                    </w:rPr>
                    <w:t>/</w:t>
                  </w:r>
                </w:p>
              </w:tc>
              <w:tc>
                <w:tcPr>
                  <w:tcW w:w="312" w:type="pct"/>
                  <w:tcBorders>
                    <w:tl2br w:val="nil"/>
                    <w:tr2bl w:val="nil"/>
                  </w:tcBorders>
                  <w:shd w:val="clear" w:color="auto" w:fill="auto"/>
                  <w:vAlign w:val="center"/>
                </w:tcPr>
                <w:p w14:paraId="66C6150C">
                  <w:pPr>
                    <w:widowControl/>
                    <w:jc w:val="center"/>
                    <w:textAlignment w:val="center"/>
                    <w:rPr>
                      <w:color w:val="auto"/>
                      <w:sz w:val="21"/>
                      <w:szCs w:val="21"/>
                    </w:rPr>
                  </w:pPr>
                  <w:r>
                    <w:rPr>
                      <w:rFonts w:hint="eastAsia"/>
                      <w:color w:val="auto"/>
                      <w:sz w:val="21"/>
                      <w:szCs w:val="21"/>
                    </w:rPr>
                    <w:t>/</w:t>
                  </w:r>
                </w:p>
              </w:tc>
              <w:tc>
                <w:tcPr>
                  <w:tcW w:w="309" w:type="pct"/>
                  <w:tcBorders>
                    <w:tl2br w:val="nil"/>
                    <w:tr2bl w:val="nil"/>
                  </w:tcBorders>
                  <w:shd w:val="clear" w:color="auto" w:fill="auto"/>
                  <w:vAlign w:val="center"/>
                </w:tcPr>
                <w:p w14:paraId="377347CF">
                  <w:pPr>
                    <w:pStyle w:val="108"/>
                    <w:keepNext w:val="0"/>
                    <w:keepLines w:val="0"/>
                    <w:pageBreakBefore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color w:val="auto"/>
                      <w:kern w:val="18"/>
                      <w:sz w:val="21"/>
                      <w:szCs w:val="21"/>
                      <w:highlight w:val="none"/>
                      <w:lang w:val="en-US" w:eastAsia="zh-CN" w:bidi="ar"/>
                    </w:rPr>
                  </w:pPr>
                  <w:r>
                    <w:rPr>
                      <w:rFonts w:hint="eastAsia" w:ascii="Times New Roman" w:hAnsi="Times New Roman" w:cs="Times New Roman"/>
                      <w:color w:val="auto"/>
                      <w:sz w:val="21"/>
                      <w:szCs w:val="21"/>
                      <w:highlight w:val="none"/>
                      <w:lang w:val="en-US" w:eastAsia="zh-CN"/>
                    </w:rPr>
                    <w:t>57</w:t>
                  </w:r>
                </w:p>
              </w:tc>
              <w:tc>
                <w:tcPr>
                  <w:tcW w:w="310" w:type="pct"/>
                  <w:tcBorders>
                    <w:tl2br w:val="nil"/>
                    <w:tr2bl w:val="nil"/>
                  </w:tcBorders>
                  <w:shd w:val="clear" w:color="auto" w:fill="auto"/>
                  <w:vAlign w:val="center"/>
                </w:tcPr>
                <w:p w14:paraId="1C6A586D">
                  <w:pPr>
                    <w:pStyle w:val="34"/>
                    <w:spacing w:before="24" w:after="24" w:line="240" w:lineRule="auto"/>
                    <w:ind w:firstLine="0" w:firstLineChars="0"/>
                    <w:rPr>
                      <w:rFonts w:hint="default" w:ascii="Times New Roman" w:hAnsi="宋体" w:eastAsia="宋体" w:cs="Times New Roman"/>
                      <w:color w:val="auto"/>
                      <w:spacing w:val="-10"/>
                      <w:kern w:val="0"/>
                      <w:sz w:val="21"/>
                      <w:szCs w:val="21"/>
                      <w:lang w:val="en-US" w:eastAsia="zh-CN" w:bidi="ar"/>
                    </w:rPr>
                  </w:pPr>
                  <w:r>
                    <w:rPr>
                      <w:rFonts w:hint="eastAsia" w:ascii="Times New Roman" w:hAnsi="宋体" w:eastAsia="宋体" w:cs="Times New Roman"/>
                      <w:color w:val="auto"/>
                      <w:spacing w:val="-10"/>
                      <w:kern w:val="0"/>
                      <w:sz w:val="21"/>
                      <w:szCs w:val="21"/>
                      <w:lang w:val="en-US" w:eastAsia="zh-CN" w:bidi="ar"/>
                    </w:rPr>
                    <w:t>48</w:t>
                  </w:r>
                </w:p>
              </w:tc>
              <w:tc>
                <w:tcPr>
                  <w:tcW w:w="260" w:type="pct"/>
                  <w:tcBorders>
                    <w:tl2br w:val="nil"/>
                    <w:tr2bl w:val="nil"/>
                  </w:tcBorders>
                  <w:shd w:val="clear" w:color="auto" w:fill="auto"/>
                  <w:vAlign w:val="center"/>
                </w:tcPr>
                <w:p w14:paraId="24A32692">
                  <w:pPr>
                    <w:pStyle w:val="34"/>
                    <w:spacing w:before="24" w:after="24" w:line="240" w:lineRule="auto"/>
                    <w:ind w:firstLine="0" w:firstLineChars="0"/>
                    <w:rPr>
                      <w:rFonts w:hint="default" w:ascii="Times New Roman" w:hAnsi="宋体" w:eastAsia="宋体" w:cs="Times New Roman"/>
                      <w:color w:val="auto"/>
                      <w:spacing w:val="-10"/>
                      <w:kern w:val="0"/>
                      <w:sz w:val="21"/>
                      <w:szCs w:val="21"/>
                      <w:lang w:val="en-US" w:eastAsia="zh-CN" w:bidi="ar"/>
                    </w:rPr>
                  </w:pPr>
                  <w:r>
                    <w:rPr>
                      <w:rFonts w:hint="eastAsia" w:ascii="Times New Roman" w:eastAsia="宋体" w:cs="Times New Roman"/>
                      <w:color w:val="auto"/>
                      <w:spacing w:val="-10"/>
                      <w:kern w:val="0"/>
                      <w:sz w:val="21"/>
                      <w:szCs w:val="21"/>
                      <w:lang w:val="en-US" w:eastAsia="zh-CN" w:bidi="ar-SA"/>
                    </w:rPr>
                    <w:t>65</w:t>
                  </w:r>
                </w:p>
              </w:tc>
              <w:tc>
                <w:tcPr>
                  <w:tcW w:w="262" w:type="pct"/>
                  <w:tcBorders>
                    <w:tl2br w:val="nil"/>
                    <w:tr2bl w:val="nil"/>
                  </w:tcBorders>
                  <w:shd w:val="clear" w:color="auto" w:fill="auto"/>
                  <w:vAlign w:val="center"/>
                </w:tcPr>
                <w:p w14:paraId="12E843CE">
                  <w:pPr>
                    <w:pStyle w:val="34"/>
                    <w:spacing w:before="24" w:after="24" w:line="240" w:lineRule="auto"/>
                    <w:ind w:firstLine="0" w:firstLineChars="0"/>
                    <w:rPr>
                      <w:rFonts w:hint="default" w:ascii="Times New Roman" w:hAnsi="宋体" w:eastAsia="宋体" w:cs="Times New Roman"/>
                      <w:color w:val="auto"/>
                      <w:spacing w:val="-10"/>
                      <w:kern w:val="0"/>
                      <w:sz w:val="21"/>
                      <w:szCs w:val="21"/>
                      <w:lang w:val="en-US" w:eastAsia="zh-CN" w:bidi="ar"/>
                    </w:rPr>
                  </w:pPr>
                  <w:r>
                    <w:rPr>
                      <w:rFonts w:hint="eastAsia" w:ascii="Times New Roman" w:eastAsia="宋体"/>
                      <w:color w:val="auto"/>
                      <w:szCs w:val="21"/>
                    </w:rPr>
                    <w:t>55</w:t>
                  </w:r>
                </w:p>
              </w:tc>
              <w:tc>
                <w:tcPr>
                  <w:tcW w:w="377" w:type="pct"/>
                  <w:tcBorders>
                    <w:tl2br w:val="nil"/>
                    <w:tr2bl w:val="nil"/>
                  </w:tcBorders>
                  <w:shd w:val="clear" w:color="auto" w:fill="auto"/>
                  <w:vAlign w:val="center"/>
                </w:tcPr>
                <w:p w14:paraId="46049573">
                  <w:pPr>
                    <w:keepNext w:val="0"/>
                    <w:keepLines w:val="0"/>
                    <w:widowControl/>
                    <w:suppressLineNumbers w:val="0"/>
                    <w:jc w:val="center"/>
                    <w:textAlignment w:val="center"/>
                    <w:rPr>
                      <w:rFonts w:hint="default" w:ascii="Times New Roman" w:hAnsi="Times New Roman" w:eastAsia="等线" w:cs="Times New Roman"/>
                      <w:i w:val="0"/>
                      <w:iCs w:val="0"/>
                      <w:color w:val="auto"/>
                      <w:kern w:val="2"/>
                      <w:sz w:val="21"/>
                      <w:szCs w:val="21"/>
                      <w:u w:val="none"/>
                      <w:lang w:val="en-US" w:eastAsia="zh-CN" w:bidi="ar-SA"/>
                    </w:rPr>
                  </w:pPr>
                  <w:r>
                    <w:rPr>
                      <w:rFonts w:hint="eastAsia" w:eastAsia="等线" w:cs="Times New Roman"/>
                      <w:i w:val="0"/>
                      <w:iCs w:val="0"/>
                      <w:color w:val="auto"/>
                      <w:kern w:val="2"/>
                      <w:sz w:val="21"/>
                      <w:szCs w:val="21"/>
                      <w:u w:val="none"/>
                      <w:lang w:val="en-US" w:eastAsia="zh-CN" w:bidi="ar-SA"/>
                    </w:rPr>
                    <w:t>35.4</w:t>
                  </w:r>
                </w:p>
              </w:tc>
              <w:tc>
                <w:tcPr>
                  <w:tcW w:w="310" w:type="pct"/>
                  <w:tcBorders>
                    <w:tl2br w:val="nil"/>
                    <w:tr2bl w:val="nil"/>
                  </w:tcBorders>
                  <w:shd w:val="clear" w:color="auto" w:fill="auto"/>
                  <w:vAlign w:val="center"/>
                </w:tcPr>
                <w:p w14:paraId="03555D5F">
                  <w:pPr>
                    <w:adjustRightInd w:val="0"/>
                    <w:snapToGrid w:val="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35.4</w:t>
                  </w:r>
                </w:p>
              </w:tc>
              <w:tc>
                <w:tcPr>
                  <w:tcW w:w="307" w:type="pct"/>
                  <w:tcBorders>
                    <w:tl2br w:val="nil"/>
                    <w:tr2bl w:val="nil"/>
                  </w:tcBorders>
                  <w:shd w:val="clear" w:color="auto" w:fill="auto"/>
                  <w:vAlign w:val="center"/>
                </w:tcPr>
                <w:p w14:paraId="481FFA6C">
                  <w:pPr>
                    <w:widowControl/>
                    <w:jc w:val="center"/>
                    <w:textAlignment w:val="center"/>
                    <w:rPr>
                      <w:rFonts w:hint="default" w:eastAsia="宋体"/>
                      <w:color w:val="auto"/>
                      <w:sz w:val="21"/>
                      <w:szCs w:val="21"/>
                      <w:lang w:val="en-US" w:eastAsia="zh-CN"/>
                    </w:rPr>
                  </w:pPr>
                  <w:r>
                    <w:rPr>
                      <w:rFonts w:hint="eastAsia"/>
                      <w:color w:val="auto"/>
                      <w:sz w:val="21"/>
                      <w:szCs w:val="21"/>
                      <w:lang w:val="en-US" w:eastAsia="zh-CN"/>
                    </w:rPr>
                    <w:t>57</w:t>
                  </w:r>
                </w:p>
              </w:tc>
              <w:tc>
                <w:tcPr>
                  <w:tcW w:w="267" w:type="pct"/>
                  <w:tcBorders>
                    <w:tl2br w:val="nil"/>
                    <w:tr2bl w:val="nil"/>
                  </w:tcBorders>
                  <w:shd w:val="clear" w:color="auto" w:fill="auto"/>
                  <w:vAlign w:val="center"/>
                </w:tcPr>
                <w:p w14:paraId="35617494">
                  <w:pPr>
                    <w:widowControl/>
                    <w:jc w:val="center"/>
                    <w:textAlignment w:val="center"/>
                    <w:rPr>
                      <w:rFonts w:hint="default" w:eastAsia="宋体"/>
                      <w:color w:val="auto"/>
                      <w:sz w:val="21"/>
                      <w:szCs w:val="21"/>
                      <w:lang w:val="en-US" w:eastAsia="zh-CN"/>
                    </w:rPr>
                  </w:pPr>
                  <w:r>
                    <w:rPr>
                      <w:rFonts w:hint="eastAsia"/>
                      <w:color w:val="auto"/>
                      <w:sz w:val="21"/>
                      <w:szCs w:val="21"/>
                      <w:lang w:val="en-US" w:eastAsia="zh-CN"/>
                    </w:rPr>
                    <w:t>48.2</w:t>
                  </w:r>
                </w:p>
              </w:tc>
              <w:tc>
                <w:tcPr>
                  <w:tcW w:w="283" w:type="pct"/>
                  <w:tcBorders>
                    <w:tl2br w:val="nil"/>
                    <w:tr2bl w:val="nil"/>
                  </w:tcBorders>
                  <w:shd w:val="clear" w:color="auto" w:fill="auto"/>
                  <w:vAlign w:val="center"/>
                </w:tcPr>
                <w:p w14:paraId="34E2A840">
                  <w:pPr>
                    <w:widowControl/>
                    <w:jc w:val="center"/>
                    <w:textAlignment w:val="center"/>
                    <w:rPr>
                      <w:rFonts w:hint="default" w:eastAsia="宋体"/>
                      <w:color w:val="auto"/>
                      <w:sz w:val="21"/>
                      <w:szCs w:val="21"/>
                      <w:lang w:val="en-US" w:eastAsia="zh-CN"/>
                    </w:rPr>
                  </w:pPr>
                  <w:r>
                    <w:rPr>
                      <w:rFonts w:hint="eastAsia"/>
                      <w:color w:val="auto"/>
                      <w:sz w:val="21"/>
                      <w:szCs w:val="21"/>
                      <w:lang w:val="en-US" w:eastAsia="zh-CN"/>
                    </w:rPr>
                    <w:t>0</w:t>
                  </w:r>
                </w:p>
              </w:tc>
              <w:tc>
                <w:tcPr>
                  <w:tcW w:w="245" w:type="pct"/>
                  <w:tcBorders>
                    <w:tl2br w:val="nil"/>
                    <w:tr2bl w:val="nil"/>
                  </w:tcBorders>
                  <w:shd w:val="clear" w:color="auto" w:fill="auto"/>
                  <w:vAlign w:val="center"/>
                </w:tcPr>
                <w:p w14:paraId="6E5E4EE4">
                  <w:pPr>
                    <w:widowControl/>
                    <w:jc w:val="center"/>
                    <w:textAlignment w:val="center"/>
                    <w:rPr>
                      <w:rFonts w:hint="default" w:eastAsia="宋体"/>
                      <w:color w:val="auto"/>
                      <w:sz w:val="21"/>
                      <w:szCs w:val="21"/>
                      <w:lang w:val="en-US" w:eastAsia="zh-CN"/>
                    </w:rPr>
                  </w:pPr>
                  <w:r>
                    <w:rPr>
                      <w:rFonts w:hint="eastAsia"/>
                      <w:color w:val="auto"/>
                      <w:sz w:val="21"/>
                      <w:szCs w:val="21"/>
                      <w:lang w:val="en-US" w:eastAsia="zh-CN"/>
                    </w:rPr>
                    <w:t>+0.2</w:t>
                  </w:r>
                </w:p>
              </w:tc>
              <w:tc>
                <w:tcPr>
                  <w:tcW w:w="353" w:type="pct"/>
                  <w:tcBorders>
                    <w:tl2br w:val="nil"/>
                    <w:tr2bl w:val="nil"/>
                  </w:tcBorders>
                  <w:shd w:val="clear" w:color="auto" w:fill="auto"/>
                  <w:vAlign w:val="center"/>
                </w:tcPr>
                <w:p w14:paraId="08DA5CB0">
                  <w:pPr>
                    <w:pStyle w:val="22"/>
                    <w:adjustRightInd w:val="0"/>
                    <w:snapToGrid w:val="0"/>
                    <w:spacing w:before="0" w:beforeAutospacing="0" w:after="0"/>
                    <w:jc w:val="center"/>
                    <w:rPr>
                      <w:rFonts w:ascii="Times New Roman" w:hAnsi="Times New Roman"/>
                      <w:bCs/>
                      <w:color w:val="auto"/>
                      <w:kern w:val="2"/>
                      <w:sz w:val="21"/>
                      <w:szCs w:val="21"/>
                    </w:rPr>
                  </w:pPr>
                  <w:r>
                    <w:rPr>
                      <w:rFonts w:hint="eastAsia" w:cs="宋体"/>
                      <w:bCs/>
                      <w:color w:val="auto"/>
                      <w:kern w:val="2"/>
                      <w:sz w:val="21"/>
                      <w:szCs w:val="21"/>
                    </w:rPr>
                    <w:t>达标</w:t>
                  </w:r>
                </w:p>
              </w:tc>
              <w:tc>
                <w:tcPr>
                  <w:tcW w:w="288" w:type="pct"/>
                  <w:tcBorders>
                    <w:tl2br w:val="nil"/>
                    <w:tr2bl w:val="nil"/>
                  </w:tcBorders>
                  <w:shd w:val="clear" w:color="auto" w:fill="auto"/>
                  <w:vAlign w:val="center"/>
                </w:tcPr>
                <w:p w14:paraId="2DA68EAB">
                  <w:pPr>
                    <w:widowControl/>
                    <w:jc w:val="center"/>
                    <w:textAlignment w:val="center"/>
                    <w:rPr>
                      <w:rFonts w:hint="eastAsia" w:ascii="Times New Roman" w:hAnsi="Times New Roman" w:eastAsia="宋体" w:cs="Times New Roman"/>
                      <w:color w:val="auto"/>
                      <w:kern w:val="2"/>
                      <w:sz w:val="21"/>
                      <w:szCs w:val="21"/>
                      <w:lang w:val="en-US" w:eastAsia="zh-CN" w:bidi="ar"/>
                    </w:rPr>
                  </w:pPr>
                  <w:r>
                    <w:rPr>
                      <w:rFonts w:hint="eastAsia" w:cs="宋体"/>
                      <w:bCs/>
                      <w:color w:val="auto"/>
                      <w:kern w:val="2"/>
                      <w:sz w:val="21"/>
                      <w:szCs w:val="21"/>
                    </w:rPr>
                    <w:t>达标</w:t>
                  </w:r>
                </w:p>
              </w:tc>
            </w:tr>
            <w:tr w14:paraId="7EE42250">
              <w:tblPrEx>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CellMar>
                  <w:top w:w="0" w:type="dxa"/>
                  <w:left w:w="108" w:type="dxa"/>
                  <w:bottom w:w="0" w:type="dxa"/>
                  <w:right w:w="108" w:type="dxa"/>
                </w:tblCellMar>
              </w:tblPrEx>
              <w:trPr>
                <w:trHeight w:val="23" w:hRule="atLeast"/>
              </w:trPr>
              <w:tc>
                <w:tcPr>
                  <w:tcW w:w="250" w:type="pct"/>
                  <w:tcBorders>
                    <w:tl2br w:val="nil"/>
                    <w:tr2bl w:val="nil"/>
                  </w:tcBorders>
                  <w:shd w:val="clear" w:color="auto" w:fill="auto"/>
                  <w:vAlign w:val="center"/>
                </w:tcPr>
                <w:p w14:paraId="29CB524C">
                  <w:pPr>
                    <w:pStyle w:val="22"/>
                    <w:widowControl w:val="0"/>
                    <w:adjustRightInd w:val="0"/>
                    <w:snapToGrid w:val="0"/>
                    <w:spacing w:before="0" w:beforeAutospacing="0" w:after="0" w:afterAutospacing="0" w:line="256" w:lineRule="auto"/>
                    <w:jc w:val="center"/>
                    <w:textAlignment w:val="baseline"/>
                    <w:rPr>
                      <w:rFonts w:ascii="Times New Roman" w:hAnsi="Times New Roman"/>
                      <w:color w:val="auto"/>
                      <w:spacing w:val="-10"/>
                      <w:sz w:val="21"/>
                      <w:szCs w:val="21"/>
                    </w:rPr>
                  </w:pPr>
                  <w:r>
                    <w:rPr>
                      <w:rFonts w:ascii="Times New Roman" w:hAnsi="Times New Roman"/>
                      <w:color w:val="auto"/>
                      <w:spacing w:val="-10"/>
                      <w:sz w:val="21"/>
                      <w:szCs w:val="21"/>
                    </w:rPr>
                    <w:t>2</w:t>
                  </w:r>
                </w:p>
              </w:tc>
              <w:tc>
                <w:tcPr>
                  <w:tcW w:w="598" w:type="pct"/>
                  <w:tcBorders>
                    <w:tl2br w:val="nil"/>
                    <w:tr2bl w:val="nil"/>
                  </w:tcBorders>
                  <w:shd w:val="clear" w:color="auto" w:fill="auto"/>
                  <w:vAlign w:val="center"/>
                </w:tcPr>
                <w:p w14:paraId="5A9291AC">
                  <w:pPr>
                    <w:pStyle w:val="22"/>
                    <w:adjustRightInd w:val="0"/>
                    <w:snapToGrid w:val="0"/>
                    <w:spacing w:before="0" w:beforeAutospacing="0" w:after="0"/>
                    <w:jc w:val="center"/>
                    <w:rPr>
                      <w:rFonts w:ascii="Times New Roman" w:hAnsi="Times New Roman"/>
                      <w:bCs/>
                      <w:color w:val="auto"/>
                      <w:kern w:val="2"/>
                      <w:sz w:val="21"/>
                      <w:szCs w:val="21"/>
                    </w:rPr>
                  </w:pPr>
                  <w:r>
                    <w:rPr>
                      <w:rFonts w:hint="eastAsia" w:cs="宋体"/>
                      <w:bCs/>
                      <w:color w:val="auto"/>
                      <w:kern w:val="2"/>
                      <w:sz w:val="21"/>
                      <w:szCs w:val="21"/>
                    </w:rPr>
                    <w:t>南厂界</w:t>
                  </w:r>
                </w:p>
              </w:tc>
              <w:tc>
                <w:tcPr>
                  <w:tcW w:w="264" w:type="pct"/>
                  <w:tcBorders>
                    <w:tl2br w:val="nil"/>
                    <w:tr2bl w:val="nil"/>
                  </w:tcBorders>
                  <w:shd w:val="clear" w:color="auto" w:fill="auto"/>
                  <w:vAlign w:val="center"/>
                </w:tcPr>
                <w:p w14:paraId="55533617">
                  <w:pPr>
                    <w:widowControl/>
                    <w:jc w:val="center"/>
                    <w:textAlignment w:val="center"/>
                    <w:rPr>
                      <w:color w:val="auto"/>
                      <w:sz w:val="21"/>
                      <w:szCs w:val="21"/>
                    </w:rPr>
                  </w:pPr>
                  <w:r>
                    <w:rPr>
                      <w:rFonts w:hint="eastAsia"/>
                      <w:color w:val="auto"/>
                      <w:sz w:val="21"/>
                      <w:szCs w:val="21"/>
                    </w:rPr>
                    <w:t>/</w:t>
                  </w:r>
                </w:p>
              </w:tc>
              <w:tc>
                <w:tcPr>
                  <w:tcW w:w="312" w:type="pct"/>
                  <w:tcBorders>
                    <w:tl2br w:val="nil"/>
                    <w:tr2bl w:val="nil"/>
                  </w:tcBorders>
                  <w:shd w:val="clear" w:color="auto" w:fill="auto"/>
                  <w:vAlign w:val="center"/>
                </w:tcPr>
                <w:p w14:paraId="780D8107">
                  <w:pPr>
                    <w:widowControl/>
                    <w:jc w:val="center"/>
                    <w:textAlignment w:val="center"/>
                    <w:rPr>
                      <w:color w:val="auto"/>
                      <w:sz w:val="21"/>
                      <w:szCs w:val="21"/>
                    </w:rPr>
                  </w:pPr>
                  <w:r>
                    <w:rPr>
                      <w:rFonts w:hint="eastAsia"/>
                      <w:color w:val="auto"/>
                      <w:sz w:val="21"/>
                      <w:szCs w:val="21"/>
                    </w:rPr>
                    <w:t>/</w:t>
                  </w:r>
                </w:p>
              </w:tc>
              <w:tc>
                <w:tcPr>
                  <w:tcW w:w="309" w:type="pct"/>
                  <w:tcBorders>
                    <w:tl2br w:val="nil"/>
                    <w:tr2bl w:val="nil"/>
                  </w:tcBorders>
                  <w:shd w:val="clear" w:color="auto" w:fill="auto"/>
                  <w:vAlign w:val="center"/>
                </w:tcPr>
                <w:p w14:paraId="118EA483">
                  <w:pPr>
                    <w:pStyle w:val="108"/>
                    <w:keepNext w:val="0"/>
                    <w:keepLines w:val="0"/>
                    <w:pageBreakBefore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color w:val="auto"/>
                      <w:kern w:val="18"/>
                      <w:sz w:val="21"/>
                      <w:szCs w:val="21"/>
                      <w:highlight w:val="none"/>
                      <w:lang w:val="en-US" w:eastAsia="zh-CN" w:bidi="ar"/>
                    </w:rPr>
                  </w:pPr>
                  <w:r>
                    <w:rPr>
                      <w:rFonts w:hint="eastAsia" w:ascii="Times New Roman" w:hAnsi="Times New Roman" w:cs="Times New Roman"/>
                      <w:color w:val="auto"/>
                      <w:sz w:val="21"/>
                      <w:szCs w:val="21"/>
                      <w:highlight w:val="none"/>
                      <w:lang w:val="en-US" w:eastAsia="zh-CN"/>
                    </w:rPr>
                    <w:t>58</w:t>
                  </w:r>
                </w:p>
              </w:tc>
              <w:tc>
                <w:tcPr>
                  <w:tcW w:w="310" w:type="pct"/>
                  <w:tcBorders>
                    <w:tl2br w:val="nil"/>
                    <w:tr2bl w:val="nil"/>
                  </w:tcBorders>
                  <w:shd w:val="clear" w:color="auto" w:fill="auto"/>
                  <w:vAlign w:val="center"/>
                </w:tcPr>
                <w:p w14:paraId="794DB31D">
                  <w:pPr>
                    <w:pStyle w:val="34"/>
                    <w:spacing w:before="24" w:after="24" w:line="240" w:lineRule="auto"/>
                    <w:ind w:firstLine="0" w:firstLineChars="0"/>
                    <w:rPr>
                      <w:rFonts w:hint="default" w:ascii="Times New Roman" w:hAnsi="Times New Roman" w:eastAsia="宋体" w:cs="Times New Roman"/>
                      <w:color w:val="auto"/>
                      <w:spacing w:val="-10"/>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47</w:t>
                  </w:r>
                </w:p>
              </w:tc>
              <w:tc>
                <w:tcPr>
                  <w:tcW w:w="260" w:type="pct"/>
                  <w:tcBorders>
                    <w:tl2br w:val="nil"/>
                    <w:tr2bl w:val="nil"/>
                  </w:tcBorders>
                  <w:shd w:val="clear" w:color="auto" w:fill="auto"/>
                  <w:vAlign w:val="center"/>
                </w:tcPr>
                <w:p w14:paraId="171254E1">
                  <w:pPr>
                    <w:pStyle w:val="34"/>
                    <w:spacing w:before="24" w:after="24" w:line="240" w:lineRule="auto"/>
                    <w:ind w:firstLine="0" w:firstLineChars="0"/>
                    <w:rPr>
                      <w:rFonts w:hint="default" w:ascii="Times New Roman" w:hAnsi="Times New Roman" w:eastAsia="宋体" w:cs="Times New Roman"/>
                      <w:color w:val="auto"/>
                      <w:spacing w:val="-10"/>
                      <w:kern w:val="0"/>
                      <w:sz w:val="21"/>
                      <w:szCs w:val="21"/>
                      <w:highlight w:val="none"/>
                      <w:lang w:val="en-US" w:eastAsia="zh-CN" w:bidi="ar"/>
                    </w:rPr>
                  </w:pPr>
                  <w:r>
                    <w:rPr>
                      <w:rFonts w:hint="eastAsia" w:ascii="Times New Roman" w:eastAsia="宋体" w:cs="Times New Roman"/>
                      <w:color w:val="auto"/>
                      <w:spacing w:val="-10"/>
                      <w:kern w:val="0"/>
                      <w:sz w:val="21"/>
                      <w:szCs w:val="21"/>
                      <w:lang w:val="en-US" w:eastAsia="zh-CN" w:bidi="ar-SA"/>
                    </w:rPr>
                    <w:t>65</w:t>
                  </w:r>
                </w:p>
              </w:tc>
              <w:tc>
                <w:tcPr>
                  <w:tcW w:w="262" w:type="pct"/>
                  <w:tcBorders>
                    <w:tl2br w:val="nil"/>
                    <w:tr2bl w:val="nil"/>
                  </w:tcBorders>
                  <w:shd w:val="clear" w:color="auto" w:fill="auto"/>
                  <w:vAlign w:val="center"/>
                </w:tcPr>
                <w:p w14:paraId="47FED985">
                  <w:pPr>
                    <w:pStyle w:val="34"/>
                    <w:spacing w:before="24" w:after="24" w:line="240" w:lineRule="auto"/>
                    <w:ind w:firstLine="0" w:firstLineChars="0"/>
                    <w:rPr>
                      <w:rFonts w:hint="default" w:ascii="Times New Roman" w:hAnsi="Times New Roman" w:eastAsia="宋体" w:cs="Times New Roman"/>
                      <w:color w:val="auto"/>
                      <w:spacing w:val="-10"/>
                      <w:kern w:val="0"/>
                      <w:sz w:val="21"/>
                      <w:szCs w:val="21"/>
                      <w:lang w:val="en-US" w:eastAsia="zh-CN" w:bidi="ar-SA"/>
                    </w:rPr>
                  </w:pPr>
                  <w:r>
                    <w:rPr>
                      <w:rFonts w:hint="eastAsia" w:ascii="Times New Roman" w:eastAsia="宋体"/>
                      <w:color w:val="auto"/>
                      <w:szCs w:val="21"/>
                    </w:rPr>
                    <w:t>55</w:t>
                  </w:r>
                </w:p>
              </w:tc>
              <w:tc>
                <w:tcPr>
                  <w:tcW w:w="377" w:type="pct"/>
                  <w:tcBorders>
                    <w:tl2br w:val="nil"/>
                    <w:tr2bl w:val="nil"/>
                  </w:tcBorders>
                  <w:shd w:val="clear" w:color="auto" w:fill="auto"/>
                  <w:vAlign w:val="center"/>
                </w:tcPr>
                <w:p w14:paraId="3F98596F">
                  <w:pPr>
                    <w:keepNext w:val="0"/>
                    <w:keepLines w:val="0"/>
                    <w:widowControl/>
                    <w:suppressLineNumbers w:val="0"/>
                    <w:jc w:val="center"/>
                    <w:textAlignment w:val="center"/>
                    <w:rPr>
                      <w:rFonts w:hint="default" w:ascii="Times New Roman" w:hAnsi="Times New Roman" w:eastAsia="等线" w:cs="Times New Roman"/>
                      <w:i w:val="0"/>
                      <w:iCs w:val="0"/>
                      <w:color w:val="auto"/>
                      <w:kern w:val="2"/>
                      <w:sz w:val="21"/>
                      <w:szCs w:val="21"/>
                      <w:u w:val="none"/>
                      <w:lang w:val="en-US" w:eastAsia="zh-CN" w:bidi="ar-SA"/>
                    </w:rPr>
                  </w:pPr>
                  <w:r>
                    <w:rPr>
                      <w:rFonts w:hint="eastAsia" w:eastAsia="等线" w:cs="Times New Roman"/>
                      <w:i w:val="0"/>
                      <w:iCs w:val="0"/>
                      <w:color w:val="auto"/>
                      <w:kern w:val="2"/>
                      <w:sz w:val="21"/>
                      <w:szCs w:val="21"/>
                      <w:u w:val="none"/>
                      <w:lang w:val="en-US" w:eastAsia="zh-CN" w:bidi="ar-SA"/>
                    </w:rPr>
                    <w:t>27.5</w:t>
                  </w:r>
                </w:p>
              </w:tc>
              <w:tc>
                <w:tcPr>
                  <w:tcW w:w="310" w:type="pct"/>
                  <w:tcBorders>
                    <w:tl2br w:val="nil"/>
                    <w:tr2bl w:val="nil"/>
                  </w:tcBorders>
                  <w:shd w:val="clear" w:color="auto" w:fill="auto"/>
                  <w:vAlign w:val="center"/>
                </w:tcPr>
                <w:p w14:paraId="0789F88A">
                  <w:pPr>
                    <w:adjustRightInd w:val="0"/>
                    <w:snapToGrid w:val="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27.5</w:t>
                  </w:r>
                </w:p>
              </w:tc>
              <w:tc>
                <w:tcPr>
                  <w:tcW w:w="307" w:type="pct"/>
                  <w:tcBorders>
                    <w:tl2br w:val="nil"/>
                    <w:tr2bl w:val="nil"/>
                  </w:tcBorders>
                  <w:shd w:val="clear" w:color="auto" w:fill="auto"/>
                  <w:vAlign w:val="center"/>
                </w:tcPr>
                <w:p w14:paraId="75F0FCA4">
                  <w:pPr>
                    <w:widowControl/>
                    <w:jc w:val="center"/>
                    <w:textAlignment w:val="center"/>
                    <w:rPr>
                      <w:rFonts w:hint="default" w:eastAsia="宋体"/>
                      <w:color w:val="auto"/>
                      <w:sz w:val="21"/>
                      <w:szCs w:val="21"/>
                      <w:lang w:val="en-US" w:eastAsia="zh-CN"/>
                    </w:rPr>
                  </w:pPr>
                  <w:r>
                    <w:rPr>
                      <w:rFonts w:hint="eastAsia"/>
                      <w:color w:val="auto"/>
                      <w:sz w:val="21"/>
                      <w:szCs w:val="21"/>
                      <w:lang w:val="en-US" w:eastAsia="zh-CN"/>
                    </w:rPr>
                    <w:t>58</w:t>
                  </w:r>
                </w:p>
              </w:tc>
              <w:tc>
                <w:tcPr>
                  <w:tcW w:w="267" w:type="pct"/>
                  <w:tcBorders>
                    <w:tl2br w:val="nil"/>
                    <w:tr2bl w:val="nil"/>
                  </w:tcBorders>
                  <w:shd w:val="clear" w:color="auto" w:fill="auto"/>
                  <w:vAlign w:val="center"/>
                </w:tcPr>
                <w:p w14:paraId="217DACBA">
                  <w:pPr>
                    <w:widowControl/>
                    <w:jc w:val="center"/>
                    <w:textAlignment w:val="center"/>
                    <w:rPr>
                      <w:rFonts w:hint="default" w:eastAsia="宋体"/>
                      <w:color w:val="auto"/>
                      <w:sz w:val="21"/>
                      <w:szCs w:val="21"/>
                      <w:lang w:val="en-US" w:eastAsia="zh-CN"/>
                    </w:rPr>
                  </w:pPr>
                  <w:r>
                    <w:rPr>
                      <w:rFonts w:hint="eastAsia"/>
                      <w:color w:val="auto"/>
                      <w:sz w:val="21"/>
                      <w:szCs w:val="21"/>
                      <w:lang w:val="en-US" w:eastAsia="zh-CN"/>
                    </w:rPr>
                    <w:t>47</w:t>
                  </w:r>
                </w:p>
              </w:tc>
              <w:tc>
                <w:tcPr>
                  <w:tcW w:w="283" w:type="pct"/>
                  <w:tcBorders>
                    <w:tl2br w:val="nil"/>
                    <w:tr2bl w:val="nil"/>
                  </w:tcBorders>
                  <w:shd w:val="clear" w:color="auto" w:fill="auto"/>
                  <w:vAlign w:val="center"/>
                </w:tcPr>
                <w:p w14:paraId="6BA4B8AA">
                  <w:pPr>
                    <w:widowControl/>
                    <w:jc w:val="center"/>
                    <w:textAlignment w:val="center"/>
                    <w:rPr>
                      <w:rFonts w:hint="default" w:eastAsia="宋体"/>
                      <w:color w:val="auto"/>
                      <w:sz w:val="21"/>
                      <w:szCs w:val="21"/>
                      <w:lang w:val="en-US" w:eastAsia="zh-CN"/>
                    </w:rPr>
                  </w:pPr>
                  <w:r>
                    <w:rPr>
                      <w:rFonts w:hint="eastAsia"/>
                      <w:color w:val="auto"/>
                      <w:sz w:val="21"/>
                      <w:szCs w:val="21"/>
                      <w:lang w:val="en-US" w:eastAsia="zh-CN"/>
                    </w:rPr>
                    <w:t>0</w:t>
                  </w:r>
                </w:p>
              </w:tc>
              <w:tc>
                <w:tcPr>
                  <w:tcW w:w="245" w:type="pct"/>
                  <w:tcBorders>
                    <w:tl2br w:val="nil"/>
                    <w:tr2bl w:val="nil"/>
                  </w:tcBorders>
                  <w:shd w:val="clear" w:color="auto" w:fill="auto"/>
                  <w:vAlign w:val="center"/>
                </w:tcPr>
                <w:p w14:paraId="03DA78FB">
                  <w:pPr>
                    <w:widowControl/>
                    <w:jc w:val="center"/>
                    <w:textAlignment w:val="center"/>
                    <w:rPr>
                      <w:rFonts w:hint="default" w:eastAsia="宋体"/>
                      <w:color w:val="auto"/>
                      <w:sz w:val="21"/>
                      <w:szCs w:val="21"/>
                      <w:lang w:val="en-US" w:eastAsia="zh-CN"/>
                    </w:rPr>
                  </w:pPr>
                  <w:r>
                    <w:rPr>
                      <w:rFonts w:hint="eastAsia"/>
                      <w:color w:val="auto"/>
                      <w:sz w:val="21"/>
                      <w:szCs w:val="21"/>
                      <w:lang w:val="en-US" w:eastAsia="zh-CN"/>
                    </w:rPr>
                    <w:t>0</w:t>
                  </w:r>
                </w:p>
              </w:tc>
              <w:tc>
                <w:tcPr>
                  <w:tcW w:w="353" w:type="pct"/>
                  <w:tcBorders>
                    <w:tl2br w:val="nil"/>
                    <w:tr2bl w:val="nil"/>
                  </w:tcBorders>
                  <w:shd w:val="clear" w:color="auto" w:fill="auto"/>
                  <w:vAlign w:val="center"/>
                </w:tcPr>
                <w:p w14:paraId="3A2423DC">
                  <w:pPr>
                    <w:pStyle w:val="22"/>
                    <w:adjustRightInd w:val="0"/>
                    <w:snapToGrid w:val="0"/>
                    <w:spacing w:before="0" w:beforeAutospacing="0" w:after="0"/>
                    <w:jc w:val="center"/>
                    <w:rPr>
                      <w:rFonts w:ascii="Times New Roman" w:hAnsi="Times New Roman"/>
                      <w:bCs/>
                      <w:color w:val="auto"/>
                      <w:kern w:val="2"/>
                      <w:sz w:val="21"/>
                      <w:szCs w:val="21"/>
                    </w:rPr>
                  </w:pPr>
                  <w:r>
                    <w:rPr>
                      <w:rFonts w:hint="eastAsia" w:cs="宋体"/>
                      <w:bCs/>
                      <w:color w:val="auto"/>
                      <w:kern w:val="2"/>
                      <w:sz w:val="21"/>
                      <w:szCs w:val="21"/>
                    </w:rPr>
                    <w:t>达标</w:t>
                  </w:r>
                </w:p>
              </w:tc>
              <w:tc>
                <w:tcPr>
                  <w:tcW w:w="288" w:type="pct"/>
                  <w:tcBorders>
                    <w:tl2br w:val="nil"/>
                    <w:tr2bl w:val="nil"/>
                  </w:tcBorders>
                  <w:shd w:val="clear" w:color="auto" w:fill="auto"/>
                  <w:vAlign w:val="center"/>
                </w:tcPr>
                <w:p w14:paraId="35F7D26B">
                  <w:pPr>
                    <w:widowControl/>
                    <w:jc w:val="center"/>
                    <w:textAlignment w:val="center"/>
                    <w:rPr>
                      <w:rFonts w:hint="eastAsia" w:ascii="Times New Roman" w:hAnsi="Times New Roman" w:eastAsia="宋体" w:cs="Times New Roman"/>
                      <w:color w:val="auto"/>
                      <w:kern w:val="2"/>
                      <w:sz w:val="21"/>
                      <w:szCs w:val="21"/>
                      <w:lang w:val="en-US" w:eastAsia="zh-CN" w:bidi="ar"/>
                    </w:rPr>
                  </w:pPr>
                  <w:r>
                    <w:rPr>
                      <w:rFonts w:hint="eastAsia" w:cs="宋体"/>
                      <w:bCs/>
                      <w:color w:val="auto"/>
                      <w:kern w:val="2"/>
                      <w:sz w:val="21"/>
                      <w:szCs w:val="21"/>
                    </w:rPr>
                    <w:t>达标</w:t>
                  </w:r>
                </w:p>
              </w:tc>
            </w:tr>
            <w:tr w14:paraId="2DD77A6F">
              <w:tblPrEx>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CellMar>
                  <w:top w:w="0" w:type="dxa"/>
                  <w:left w:w="108" w:type="dxa"/>
                  <w:bottom w:w="0" w:type="dxa"/>
                  <w:right w:w="108" w:type="dxa"/>
                </w:tblCellMar>
              </w:tblPrEx>
              <w:trPr>
                <w:trHeight w:val="23" w:hRule="atLeast"/>
              </w:trPr>
              <w:tc>
                <w:tcPr>
                  <w:tcW w:w="250" w:type="pct"/>
                  <w:tcBorders>
                    <w:tl2br w:val="nil"/>
                    <w:tr2bl w:val="nil"/>
                  </w:tcBorders>
                  <w:shd w:val="clear" w:color="auto" w:fill="auto"/>
                  <w:vAlign w:val="center"/>
                </w:tcPr>
                <w:p w14:paraId="547204BF">
                  <w:pPr>
                    <w:pStyle w:val="22"/>
                    <w:widowControl w:val="0"/>
                    <w:adjustRightInd w:val="0"/>
                    <w:snapToGrid w:val="0"/>
                    <w:spacing w:before="0" w:beforeAutospacing="0" w:after="0" w:afterAutospacing="0" w:line="256" w:lineRule="auto"/>
                    <w:jc w:val="center"/>
                    <w:textAlignment w:val="baseline"/>
                    <w:rPr>
                      <w:rFonts w:ascii="Times New Roman" w:hAnsi="Times New Roman"/>
                      <w:color w:val="auto"/>
                      <w:spacing w:val="-10"/>
                      <w:sz w:val="21"/>
                      <w:szCs w:val="21"/>
                    </w:rPr>
                  </w:pPr>
                  <w:r>
                    <w:rPr>
                      <w:rFonts w:ascii="Times New Roman" w:hAnsi="Times New Roman"/>
                      <w:color w:val="auto"/>
                      <w:spacing w:val="-10"/>
                      <w:sz w:val="21"/>
                      <w:szCs w:val="21"/>
                    </w:rPr>
                    <w:t>3</w:t>
                  </w:r>
                </w:p>
              </w:tc>
              <w:tc>
                <w:tcPr>
                  <w:tcW w:w="598" w:type="pct"/>
                  <w:tcBorders>
                    <w:tl2br w:val="nil"/>
                    <w:tr2bl w:val="nil"/>
                  </w:tcBorders>
                  <w:shd w:val="clear" w:color="auto" w:fill="auto"/>
                  <w:vAlign w:val="center"/>
                </w:tcPr>
                <w:p w14:paraId="56CFFF97">
                  <w:pPr>
                    <w:pStyle w:val="22"/>
                    <w:adjustRightInd w:val="0"/>
                    <w:snapToGrid w:val="0"/>
                    <w:spacing w:before="0" w:beforeAutospacing="0" w:after="0"/>
                    <w:jc w:val="center"/>
                    <w:rPr>
                      <w:rFonts w:ascii="Times New Roman" w:hAnsi="Times New Roman"/>
                      <w:bCs/>
                      <w:color w:val="auto"/>
                      <w:kern w:val="2"/>
                      <w:sz w:val="21"/>
                      <w:szCs w:val="21"/>
                    </w:rPr>
                  </w:pPr>
                  <w:r>
                    <w:rPr>
                      <w:rFonts w:hint="eastAsia" w:cs="宋体"/>
                      <w:bCs/>
                      <w:color w:val="auto"/>
                      <w:kern w:val="2"/>
                      <w:sz w:val="21"/>
                      <w:szCs w:val="21"/>
                    </w:rPr>
                    <w:t>西厂界</w:t>
                  </w:r>
                </w:p>
              </w:tc>
              <w:tc>
                <w:tcPr>
                  <w:tcW w:w="264" w:type="pct"/>
                  <w:tcBorders>
                    <w:tl2br w:val="nil"/>
                    <w:tr2bl w:val="nil"/>
                  </w:tcBorders>
                  <w:shd w:val="clear" w:color="auto" w:fill="auto"/>
                  <w:vAlign w:val="center"/>
                </w:tcPr>
                <w:p w14:paraId="18F9E726">
                  <w:pPr>
                    <w:widowControl/>
                    <w:jc w:val="center"/>
                    <w:textAlignment w:val="center"/>
                    <w:rPr>
                      <w:color w:val="auto"/>
                      <w:sz w:val="21"/>
                      <w:szCs w:val="21"/>
                    </w:rPr>
                  </w:pPr>
                  <w:r>
                    <w:rPr>
                      <w:rFonts w:hint="eastAsia"/>
                      <w:color w:val="auto"/>
                      <w:sz w:val="21"/>
                      <w:szCs w:val="21"/>
                    </w:rPr>
                    <w:t>/</w:t>
                  </w:r>
                </w:p>
              </w:tc>
              <w:tc>
                <w:tcPr>
                  <w:tcW w:w="312" w:type="pct"/>
                  <w:tcBorders>
                    <w:tl2br w:val="nil"/>
                    <w:tr2bl w:val="nil"/>
                  </w:tcBorders>
                  <w:shd w:val="clear" w:color="auto" w:fill="auto"/>
                  <w:vAlign w:val="center"/>
                </w:tcPr>
                <w:p w14:paraId="2D63984A">
                  <w:pPr>
                    <w:widowControl/>
                    <w:jc w:val="center"/>
                    <w:textAlignment w:val="center"/>
                    <w:rPr>
                      <w:color w:val="auto"/>
                      <w:sz w:val="21"/>
                      <w:szCs w:val="21"/>
                    </w:rPr>
                  </w:pPr>
                  <w:r>
                    <w:rPr>
                      <w:rFonts w:hint="eastAsia"/>
                      <w:color w:val="auto"/>
                      <w:sz w:val="21"/>
                      <w:szCs w:val="21"/>
                    </w:rPr>
                    <w:t>/</w:t>
                  </w:r>
                </w:p>
              </w:tc>
              <w:tc>
                <w:tcPr>
                  <w:tcW w:w="309" w:type="pct"/>
                  <w:tcBorders>
                    <w:tl2br w:val="nil"/>
                    <w:tr2bl w:val="nil"/>
                  </w:tcBorders>
                  <w:shd w:val="clear" w:color="auto" w:fill="auto"/>
                  <w:vAlign w:val="center"/>
                </w:tcPr>
                <w:p w14:paraId="49240491">
                  <w:pPr>
                    <w:pStyle w:val="108"/>
                    <w:keepNext w:val="0"/>
                    <w:keepLines w:val="0"/>
                    <w:pageBreakBefore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color w:val="auto"/>
                      <w:kern w:val="18"/>
                      <w:sz w:val="21"/>
                      <w:szCs w:val="21"/>
                      <w:highlight w:val="none"/>
                      <w:lang w:val="en-US" w:eastAsia="zh-CN" w:bidi="ar"/>
                    </w:rPr>
                  </w:pPr>
                  <w:r>
                    <w:rPr>
                      <w:rFonts w:hint="eastAsia" w:ascii="Times New Roman" w:hAnsi="Times New Roman" w:cs="Times New Roman"/>
                      <w:color w:val="auto"/>
                      <w:sz w:val="21"/>
                      <w:szCs w:val="21"/>
                      <w:highlight w:val="none"/>
                      <w:lang w:val="en-US" w:eastAsia="zh-CN"/>
                    </w:rPr>
                    <w:t>59</w:t>
                  </w:r>
                </w:p>
              </w:tc>
              <w:tc>
                <w:tcPr>
                  <w:tcW w:w="310" w:type="pct"/>
                  <w:tcBorders>
                    <w:tl2br w:val="nil"/>
                    <w:tr2bl w:val="nil"/>
                  </w:tcBorders>
                  <w:shd w:val="clear" w:color="auto" w:fill="auto"/>
                  <w:vAlign w:val="center"/>
                </w:tcPr>
                <w:p w14:paraId="11F5D959">
                  <w:pPr>
                    <w:pStyle w:val="34"/>
                    <w:spacing w:before="24" w:after="24" w:line="240" w:lineRule="auto"/>
                    <w:ind w:firstLine="0" w:firstLineChars="0"/>
                    <w:rPr>
                      <w:rFonts w:hint="default" w:ascii="Times New Roman" w:hAnsi="Times New Roman" w:eastAsia="宋体" w:cs="Times New Roman"/>
                      <w:color w:val="auto"/>
                      <w:spacing w:val="-10"/>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49</w:t>
                  </w:r>
                </w:p>
              </w:tc>
              <w:tc>
                <w:tcPr>
                  <w:tcW w:w="260" w:type="pct"/>
                  <w:tcBorders>
                    <w:tl2br w:val="nil"/>
                    <w:tr2bl w:val="nil"/>
                  </w:tcBorders>
                  <w:shd w:val="clear" w:color="auto" w:fill="auto"/>
                  <w:vAlign w:val="center"/>
                </w:tcPr>
                <w:p w14:paraId="7E42F730">
                  <w:pPr>
                    <w:pStyle w:val="34"/>
                    <w:spacing w:before="24" w:after="24" w:line="240" w:lineRule="auto"/>
                    <w:ind w:firstLine="0" w:firstLineChars="0"/>
                    <w:rPr>
                      <w:rFonts w:hint="default" w:ascii="Times New Roman" w:hAnsi="Times New Roman" w:eastAsia="宋体" w:cs="Times New Roman"/>
                      <w:color w:val="auto"/>
                      <w:spacing w:val="-10"/>
                      <w:kern w:val="0"/>
                      <w:sz w:val="21"/>
                      <w:szCs w:val="21"/>
                      <w:highlight w:val="none"/>
                      <w:lang w:val="en-US" w:eastAsia="zh-CN" w:bidi="ar"/>
                    </w:rPr>
                  </w:pPr>
                  <w:r>
                    <w:rPr>
                      <w:rFonts w:hint="eastAsia" w:ascii="Times New Roman" w:eastAsia="宋体" w:cs="Times New Roman"/>
                      <w:color w:val="auto"/>
                      <w:spacing w:val="-10"/>
                      <w:kern w:val="0"/>
                      <w:sz w:val="21"/>
                      <w:szCs w:val="21"/>
                      <w:lang w:val="en-US" w:eastAsia="zh-CN" w:bidi="ar-SA"/>
                    </w:rPr>
                    <w:t>70</w:t>
                  </w:r>
                </w:p>
              </w:tc>
              <w:tc>
                <w:tcPr>
                  <w:tcW w:w="262" w:type="pct"/>
                  <w:tcBorders>
                    <w:tl2br w:val="nil"/>
                    <w:tr2bl w:val="nil"/>
                  </w:tcBorders>
                  <w:shd w:val="clear" w:color="auto" w:fill="auto"/>
                  <w:vAlign w:val="center"/>
                </w:tcPr>
                <w:p w14:paraId="19FCC73E">
                  <w:pPr>
                    <w:pStyle w:val="34"/>
                    <w:spacing w:before="24" w:after="24" w:line="240" w:lineRule="auto"/>
                    <w:ind w:firstLine="0" w:firstLineChars="0"/>
                    <w:rPr>
                      <w:rFonts w:hint="default" w:ascii="Times New Roman" w:hAnsi="Times New Roman" w:eastAsia="宋体" w:cs="Times New Roman"/>
                      <w:color w:val="auto"/>
                      <w:spacing w:val="-10"/>
                      <w:kern w:val="0"/>
                      <w:sz w:val="21"/>
                      <w:szCs w:val="21"/>
                      <w:lang w:val="en-US" w:eastAsia="zh-CN" w:bidi="ar-SA"/>
                    </w:rPr>
                  </w:pPr>
                  <w:r>
                    <w:rPr>
                      <w:rFonts w:hint="eastAsia" w:ascii="Times New Roman" w:eastAsia="宋体"/>
                      <w:color w:val="auto"/>
                      <w:szCs w:val="21"/>
                    </w:rPr>
                    <w:t>55</w:t>
                  </w:r>
                </w:p>
              </w:tc>
              <w:tc>
                <w:tcPr>
                  <w:tcW w:w="377" w:type="pct"/>
                  <w:tcBorders>
                    <w:tl2br w:val="nil"/>
                    <w:tr2bl w:val="nil"/>
                  </w:tcBorders>
                  <w:shd w:val="clear" w:color="auto" w:fill="auto"/>
                  <w:vAlign w:val="center"/>
                </w:tcPr>
                <w:p w14:paraId="1E9D3120">
                  <w:pPr>
                    <w:keepNext w:val="0"/>
                    <w:keepLines w:val="0"/>
                    <w:widowControl/>
                    <w:suppressLineNumbers w:val="0"/>
                    <w:jc w:val="center"/>
                    <w:textAlignment w:val="center"/>
                    <w:rPr>
                      <w:rFonts w:hint="default" w:ascii="Times New Roman" w:hAnsi="Times New Roman" w:eastAsia="等线" w:cs="Times New Roman"/>
                      <w:i w:val="0"/>
                      <w:iCs w:val="0"/>
                      <w:color w:val="auto"/>
                      <w:kern w:val="2"/>
                      <w:sz w:val="21"/>
                      <w:szCs w:val="21"/>
                      <w:u w:val="none"/>
                      <w:lang w:val="en-US" w:eastAsia="zh-CN" w:bidi="ar-SA"/>
                    </w:rPr>
                  </w:pPr>
                  <w:r>
                    <w:rPr>
                      <w:rFonts w:hint="eastAsia" w:eastAsia="等线" w:cs="Times New Roman"/>
                      <w:i w:val="0"/>
                      <w:iCs w:val="0"/>
                      <w:color w:val="auto"/>
                      <w:kern w:val="2"/>
                      <w:sz w:val="21"/>
                      <w:szCs w:val="21"/>
                      <w:u w:val="none"/>
                      <w:lang w:val="en-US" w:eastAsia="zh-CN" w:bidi="ar-SA"/>
                    </w:rPr>
                    <w:t>30.1</w:t>
                  </w:r>
                </w:p>
              </w:tc>
              <w:tc>
                <w:tcPr>
                  <w:tcW w:w="310" w:type="pct"/>
                  <w:tcBorders>
                    <w:tl2br w:val="nil"/>
                    <w:tr2bl w:val="nil"/>
                  </w:tcBorders>
                  <w:shd w:val="clear" w:color="auto" w:fill="auto"/>
                  <w:vAlign w:val="center"/>
                </w:tcPr>
                <w:p w14:paraId="4CEE5428">
                  <w:pPr>
                    <w:adjustRightInd w:val="0"/>
                    <w:snapToGrid w:val="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30.1</w:t>
                  </w:r>
                </w:p>
              </w:tc>
              <w:tc>
                <w:tcPr>
                  <w:tcW w:w="307" w:type="pct"/>
                  <w:tcBorders>
                    <w:tl2br w:val="nil"/>
                    <w:tr2bl w:val="nil"/>
                  </w:tcBorders>
                  <w:shd w:val="clear" w:color="auto" w:fill="auto"/>
                  <w:vAlign w:val="center"/>
                </w:tcPr>
                <w:p w14:paraId="5E4A411D">
                  <w:pPr>
                    <w:widowControl/>
                    <w:jc w:val="center"/>
                    <w:textAlignment w:val="center"/>
                    <w:rPr>
                      <w:rFonts w:hint="default" w:eastAsia="宋体"/>
                      <w:color w:val="auto"/>
                      <w:sz w:val="21"/>
                      <w:szCs w:val="21"/>
                      <w:lang w:val="en-US" w:eastAsia="zh-CN"/>
                    </w:rPr>
                  </w:pPr>
                  <w:r>
                    <w:rPr>
                      <w:rFonts w:hint="eastAsia"/>
                      <w:color w:val="auto"/>
                      <w:sz w:val="21"/>
                      <w:szCs w:val="21"/>
                      <w:lang w:val="en-US" w:eastAsia="zh-CN"/>
                    </w:rPr>
                    <w:t>59</w:t>
                  </w:r>
                </w:p>
              </w:tc>
              <w:tc>
                <w:tcPr>
                  <w:tcW w:w="267" w:type="pct"/>
                  <w:tcBorders>
                    <w:tl2br w:val="nil"/>
                    <w:tr2bl w:val="nil"/>
                  </w:tcBorders>
                  <w:shd w:val="clear" w:color="auto" w:fill="auto"/>
                  <w:vAlign w:val="center"/>
                </w:tcPr>
                <w:p w14:paraId="0F30B1DD">
                  <w:pPr>
                    <w:widowControl/>
                    <w:jc w:val="center"/>
                    <w:textAlignment w:val="center"/>
                    <w:rPr>
                      <w:rFonts w:hint="default" w:eastAsia="宋体"/>
                      <w:color w:val="auto"/>
                      <w:sz w:val="21"/>
                      <w:szCs w:val="21"/>
                      <w:lang w:val="en-US" w:eastAsia="zh-CN"/>
                    </w:rPr>
                  </w:pPr>
                  <w:r>
                    <w:rPr>
                      <w:rFonts w:hint="eastAsia"/>
                      <w:color w:val="auto"/>
                      <w:sz w:val="21"/>
                      <w:szCs w:val="21"/>
                      <w:lang w:val="en-US" w:eastAsia="zh-CN"/>
                    </w:rPr>
                    <w:t>49.1</w:t>
                  </w:r>
                </w:p>
              </w:tc>
              <w:tc>
                <w:tcPr>
                  <w:tcW w:w="283" w:type="pct"/>
                  <w:tcBorders>
                    <w:tl2br w:val="nil"/>
                    <w:tr2bl w:val="nil"/>
                  </w:tcBorders>
                  <w:shd w:val="clear" w:color="auto" w:fill="auto"/>
                  <w:vAlign w:val="center"/>
                </w:tcPr>
                <w:p w14:paraId="668CB410">
                  <w:pPr>
                    <w:widowControl/>
                    <w:jc w:val="center"/>
                    <w:textAlignment w:val="center"/>
                    <w:rPr>
                      <w:rFonts w:hint="default" w:eastAsia="宋体"/>
                      <w:color w:val="auto"/>
                      <w:sz w:val="21"/>
                      <w:szCs w:val="21"/>
                      <w:lang w:val="en-US" w:eastAsia="zh-CN"/>
                    </w:rPr>
                  </w:pPr>
                  <w:r>
                    <w:rPr>
                      <w:rFonts w:hint="eastAsia"/>
                      <w:color w:val="auto"/>
                      <w:sz w:val="21"/>
                      <w:szCs w:val="21"/>
                      <w:lang w:val="en-US" w:eastAsia="zh-CN"/>
                    </w:rPr>
                    <w:t>0</w:t>
                  </w:r>
                </w:p>
              </w:tc>
              <w:tc>
                <w:tcPr>
                  <w:tcW w:w="245" w:type="pct"/>
                  <w:tcBorders>
                    <w:tl2br w:val="nil"/>
                    <w:tr2bl w:val="nil"/>
                  </w:tcBorders>
                  <w:shd w:val="clear" w:color="auto" w:fill="auto"/>
                  <w:vAlign w:val="center"/>
                </w:tcPr>
                <w:p w14:paraId="5B374A6C">
                  <w:pPr>
                    <w:widowControl/>
                    <w:jc w:val="center"/>
                    <w:textAlignment w:val="center"/>
                    <w:rPr>
                      <w:rFonts w:hint="default" w:eastAsia="宋体"/>
                      <w:color w:val="auto"/>
                      <w:sz w:val="21"/>
                      <w:szCs w:val="21"/>
                      <w:lang w:val="en-US" w:eastAsia="zh-CN"/>
                    </w:rPr>
                  </w:pPr>
                  <w:r>
                    <w:rPr>
                      <w:rFonts w:hint="eastAsia"/>
                      <w:color w:val="auto"/>
                      <w:sz w:val="21"/>
                      <w:szCs w:val="21"/>
                      <w:lang w:val="en-US" w:eastAsia="zh-CN"/>
                    </w:rPr>
                    <w:t>+0.1</w:t>
                  </w:r>
                </w:p>
              </w:tc>
              <w:tc>
                <w:tcPr>
                  <w:tcW w:w="353" w:type="pct"/>
                  <w:tcBorders>
                    <w:tl2br w:val="nil"/>
                    <w:tr2bl w:val="nil"/>
                  </w:tcBorders>
                  <w:shd w:val="clear" w:color="auto" w:fill="auto"/>
                  <w:vAlign w:val="center"/>
                </w:tcPr>
                <w:p w14:paraId="4BBF4EA7">
                  <w:pPr>
                    <w:pStyle w:val="22"/>
                    <w:adjustRightInd w:val="0"/>
                    <w:snapToGrid w:val="0"/>
                    <w:spacing w:before="0" w:beforeAutospacing="0" w:after="0"/>
                    <w:jc w:val="center"/>
                    <w:rPr>
                      <w:rFonts w:ascii="Times New Roman" w:hAnsi="Times New Roman"/>
                      <w:bCs/>
                      <w:color w:val="auto"/>
                      <w:kern w:val="2"/>
                      <w:sz w:val="21"/>
                      <w:szCs w:val="21"/>
                    </w:rPr>
                  </w:pPr>
                  <w:r>
                    <w:rPr>
                      <w:rFonts w:hint="eastAsia" w:cs="宋体"/>
                      <w:bCs/>
                      <w:color w:val="auto"/>
                      <w:kern w:val="2"/>
                      <w:sz w:val="21"/>
                      <w:szCs w:val="21"/>
                    </w:rPr>
                    <w:t>达标</w:t>
                  </w:r>
                </w:p>
              </w:tc>
              <w:tc>
                <w:tcPr>
                  <w:tcW w:w="288" w:type="pct"/>
                  <w:tcBorders>
                    <w:tl2br w:val="nil"/>
                    <w:tr2bl w:val="nil"/>
                  </w:tcBorders>
                  <w:shd w:val="clear" w:color="auto" w:fill="auto"/>
                  <w:vAlign w:val="center"/>
                </w:tcPr>
                <w:p w14:paraId="4B26CAF6">
                  <w:pPr>
                    <w:widowControl/>
                    <w:jc w:val="center"/>
                    <w:textAlignment w:val="center"/>
                    <w:rPr>
                      <w:rFonts w:hint="eastAsia" w:ascii="Times New Roman" w:hAnsi="Times New Roman" w:eastAsia="宋体" w:cs="Times New Roman"/>
                      <w:color w:val="auto"/>
                      <w:kern w:val="2"/>
                      <w:sz w:val="21"/>
                      <w:szCs w:val="21"/>
                      <w:lang w:val="en-US" w:eastAsia="zh-CN" w:bidi="ar"/>
                    </w:rPr>
                  </w:pPr>
                  <w:r>
                    <w:rPr>
                      <w:rFonts w:hint="eastAsia" w:cs="宋体"/>
                      <w:bCs/>
                      <w:color w:val="auto"/>
                      <w:kern w:val="2"/>
                      <w:sz w:val="21"/>
                      <w:szCs w:val="21"/>
                    </w:rPr>
                    <w:t>达标</w:t>
                  </w:r>
                </w:p>
              </w:tc>
            </w:tr>
            <w:tr w14:paraId="156041D8">
              <w:tblPrEx>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CellMar>
                  <w:top w:w="0" w:type="dxa"/>
                  <w:left w:w="108" w:type="dxa"/>
                  <w:bottom w:w="0" w:type="dxa"/>
                  <w:right w:w="108" w:type="dxa"/>
                </w:tblCellMar>
              </w:tblPrEx>
              <w:trPr>
                <w:trHeight w:val="23" w:hRule="atLeast"/>
              </w:trPr>
              <w:tc>
                <w:tcPr>
                  <w:tcW w:w="250" w:type="pct"/>
                  <w:tcBorders>
                    <w:tl2br w:val="nil"/>
                    <w:tr2bl w:val="nil"/>
                  </w:tcBorders>
                  <w:shd w:val="clear" w:color="auto" w:fill="auto"/>
                  <w:vAlign w:val="center"/>
                </w:tcPr>
                <w:p w14:paraId="79376508">
                  <w:pPr>
                    <w:pStyle w:val="22"/>
                    <w:widowControl w:val="0"/>
                    <w:adjustRightInd w:val="0"/>
                    <w:snapToGrid w:val="0"/>
                    <w:spacing w:before="0" w:beforeAutospacing="0" w:after="0" w:afterAutospacing="0" w:line="256" w:lineRule="auto"/>
                    <w:jc w:val="center"/>
                    <w:textAlignment w:val="baseline"/>
                    <w:rPr>
                      <w:rFonts w:hint="eastAsia" w:ascii="Times New Roman" w:hAnsi="Times New Roman" w:eastAsia="宋体"/>
                      <w:color w:val="auto"/>
                      <w:spacing w:val="-10"/>
                      <w:sz w:val="21"/>
                      <w:szCs w:val="21"/>
                      <w:lang w:val="en-US" w:eastAsia="zh-CN"/>
                    </w:rPr>
                  </w:pPr>
                  <w:bookmarkStart w:id="34" w:name="OLE_LINK30" w:colFirst="14" w:colLast="15"/>
                  <w:r>
                    <w:rPr>
                      <w:rFonts w:hint="eastAsia" w:ascii="Times New Roman" w:hAnsi="Times New Roman"/>
                      <w:color w:val="auto"/>
                      <w:spacing w:val="-10"/>
                      <w:sz w:val="21"/>
                      <w:szCs w:val="21"/>
                      <w:lang w:val="en-US" w:eastAsia="zh-CN"/>
                    </w:rPr>
                    <w:t>4</w:t>
                  </w:r>
                </w:p>
              </w:tc>
              <w:tc>
                <w:tcPr>
                  <w:tcW w:w="598" w:type="pct"/>
                  <w:tcBorders>
                    <w:tl2br w:val="nil"/>
                    <w:tr2bl w:val="nil"/>
                  </w:tcBorders>
                  <w:shd w:val="clear" w:color="auto" w:fill="auto"/>
                  <w:vAlign w:val="center"/>
                </w:tcPr>
                <w:p w14:paraId="2A980BA9">
                  <w:pPr>
                    <w:pStyle w:val="22"/>
                    <w:adjustRightInd w:val="0"/>
                    <w:snapToGrid w:val="0"/>
                    <w:spacing w:before="0" w:beforeAutospacing="0" w:after="0"/>
                    <w:jc w:val="center"/>
                    <w:rPr>
                      <w:rFonts w:ascii="Times New Roman" w:hAnsi="Times New Roman"/>
                      <w:bCs/>
                      <w:color w:val="auto"/>
                      <w:kern w:val="2"/>
                      <w:sz w:val="21"/>
                      <w:szCs w:val="21"/>
                    </w:rPr>
                  </w:pPr>
                  <w:r>
                    <w:rPr>
                      <w:rFonts w:hint="eastAsia" w:cs="宋体"/>
                      <w:bCs/>
                      <w:color w:val="auto"/>
                      <w:kern w:val="2"/>
                      <w:sz w:val="21"/>
                      <w:szCs w:val="21"/>
                    </w:rPr>
                    <w:t>北厂界</w:t>
                  </w:r>
                </w:p>
              </w:tc>
              <w:tc>
                <w:tcPr>
                  <w:tcW w:w="264" w:type="pct"/>
                  <w:tcBorders>
                    <w:tl2br w:val="nil"/>
                    <w:tr2bl w:val="nil"/>
                  </w:tcBorders>
                  <w:shd w:val="clear" w:color="auto" w:fill="auto"/>
                  <w:vAlign w:val="center"/>
                </w:tcPr>
                <w:p w14:paraId="4324A383">
                  <w:pPr>
                    <w:widowControl/>
                    <w:jc w:val="center"/>
                    <w:textAlignment w:val="center"/>
                    <w:rPr>
                      <w:color w:val="auto"/>
                      <w:sz w:val="21"/>
                      <w:szCs w:val="21"/>
                    </w:rPr>
                  </w:pPr>
                  <w:r>
                    <w:rPr>
                      <w:rFonts w:hint="eastAsia"/>
                      <w:color w:val="auto"/>
                      <w:sz w:val="21"/>
                      <w:szCs w:val="21"/>
                    </w:rPr>
                    <w:t>/</w:t>
                  </w:r>
                </w:p>
              </w:tc>
              <w:tc>
                <w:tcPr>
                  <w:tcW w:w="312" w:type="pct"/>
                  <w:tcBorders>
                    <w:tl2br w:val="nil"/>
                    <w:tr2bl w:val="nil"/>
                  </w:tcBorders>
                  <w:shd w:val="clear" w:color="auto" w:fill="auto"/>
                  <w:vAlign w:val="center"/>
                </w:tcPr>
                <w:p w14:paraId="6C1EB11C">
                  <w:pPr>
                    <w:widowControl/>
                    <w:jc w:val="center"/>
                    <w:textAlignment w:val="center"/>
                    <w:rPr>
                      <w:color w:val="auto"/>
                      <w:sz w:val="21"/>
                      <w:szCs w:val="21"/>
                    </w:rPr>
                  </w:pPr>
                  <w:r>
                    <w:rPr>
                      <w:rFonts w:hint="eastAsia"/>
                      <w:color w:val="auto"/>
                      <w:sz w:val="21"/>
                      <w:szCs w:val="21"/>
                    </w:rPr>
                    <w:t>/</w:t>
                  </w:r>
                </w:p>
              </w:tc>
              <w:tc>
                <w:tcPr>
                  <w:tcW w:w="309" w:type="pct"/>
                  <w:tcBorders>
                    <w:tl2br w:val="nil"/>
                    <w:tr2bl w:val="nil"/>
                  </w:tcBorders>
                  <w:shd w:val="clear" w:color="auto" w:fill="auto"/>
                  <w:vAlign w:val="center"/>
                </w:tcPr>
                <w:p w14:paraId="77666893">
                  <w:pPr>
                    <w:pStyle w:val="108"/>
                    <w:keepNext w:val="0"/>
                    <w:keepLines w:val="0"/>
                    <w:pageBreakBefore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color w:val="auto"/>
                      <w:kern w:val="18"/>
                      <w:sz w:val="21"/>
                      <w:szCs w:val="21"/>
                      <w:highlight w:val="none"/>
                      <w:lang w:val="en-US" w:eastAsia="zh-CN" w:bidi="ar"/>
                    </w:rPr>
                  </w:pPr>
                  <w:r>
                    <w:rPr>
                      <w:rFonts w:hint="eastAsia" w:ascii="Times New Roman" w:hAnsi="Times New Roman" w:cs="Times New Roman"/>
                      <w:color w:val="auto"/>
                      <w:sz w:val="21"/>
                      <w:szCs w:val="21"/>
                      <w:highlight w:val="none"/>
                      <w:lang w:val="en-US" w:eastAsia="zh-CN"/>
                    </w:rPr>
                    <w:t>58</w:t>
                  </w:r>
                </w:p>
              </w:tc>
              <w:tc>
                <w:tcPr>
                  <w:tcW w:w="310" w:type="pct"/>
                  <w:tcBorders>
                    <w:tl2br w:val="nil"/>
                    <w:tr2bl w:val="nil"/>
                  </w:tcBorders>
                  <w:shd w:val="clear" w:color="auto" w:fill="auto"/>
                  <w:vAlign w:val="center"/>
                </w:tcPr>
                <w:p w14:paraId="3ED5CBD6">
                  <w:pPr>
                    <w:pStyle w:val="34"/>
                    <w:spacing w:before="24" w:after="24" w:line="240" w:lineRule="auto"/>
                    <w:ind w:firstLine="0" w:firstLineChars="0"/>
                    <w:rPr>
                      <w:rFonts w:hint="default" w:ascii="Times New Roman" w:hAnsi="Times New Roman" w:eastAsia="宋体" w:cs="Times New Roman"/>
                      <w:color w:val="auto"/>
                      <w:spacing w:val="-10"/>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48</w:t>
                  </w:r>
                </w:p>
              </w:tc>
              <w:tc>
                <w:tcPr>
                  <w:tcW w:w="260" w:type="pct"/>
                  <w:tcBorders>
                    <w:tl2br w:val="nil"/>
                    <w:tr2bl w:val="nil"/>
                  </w:tcBorders>
                  <w:shd w:val="clear" w:color="auto" w:fill="auto"/>
                  <w:vAlign w:val="center"/>
                </w:tcPr>
                <w:p w14:paraId="10E4C58C">
                  <w:pPr>
                    <w:pStyle w:val="34"/>
                    <w:spacing w:before="24" w:after="24" w:line="240" w:lineRule="auto"/>
                    <w:ind w:firstLine="0" w:firstLineChars="0"/>
                    <w:rPr>
                      <w:rFonts w:hint="default" w:ascii="Times New Roman" w:hAnsi="Times New Roman" w:eastAsia="宋体" w:cs="Times New Roman"/>
                      <w:color w:val="auto"/>
                      <w:spacing w:val="-10"/>
                      <w:kern w:val="0"/>
                      <w:sz w:val="21"/>
                      <w:szCs w:val="21"/>
                      <w:highlight w:val="none"/>
                      <w:lang w:val="en-US" w:eastAsia="zh-CN" w:bidi="ar"/>
                    </w:rPr>
                  </w:pPr>
                  <w:r>
                    <w:rPr>
                      <w:rFonts w:hint="eastAsia" w:ascii="Times New Roman" w:eastAsia="宋体" w:cs="Times New Roman"/>
                      <w:color w:val="auto"/>
                      <w:spacing w:val="-10"/>
                      <w:kern w:val="0"/>
                      <w:sz w:val="21"/>
                      <w:szCs w:val="21"/>
                      <w:lang w:val="en-US" w:eastAsia="zh-CN" w:bidi="ar-SA"/>
                    </w:rPr>
                    <w:t>65</w:t>
                  </w:r>
                </w:p>
              </w:tc>
              <w:tc>
                <w:tcPr>
                  <w:tcW w:w="262" w:type="pct"/>
                  <w:tcBorders>
                    <w:tl2br w:val="nil"/>
                    <w:tr2bl w:val="nil"/>
                  </w:tcBorders>
                  <w:shd w:val="clear" w:color="auto" w:fill="auto"/>
                  <w:vAlign w:val="center"/>
                </w:tcPr>
                <w:p w14:paraId="1153C8C6">
                  <w:pPr>
                    <w:pStyle w:val="34"/>
                    <w:spacing w:before="24" w:after="24" w:line="240" w:lineRule="auto"/>
                    <w:ind w:firstLine="0" w:firstLineChars="0"/>
                    <w:rPr>
                      <w:rFonts w:hint="default" w:ascii="Times New Roman" w:hAnsi="Times New Roman" w:eastAsia="宋体" w:cs="Times New Roman"/>
                      <w:color w:val="auto"/>
                      <w:spacing w:val="-10"/>
                      <w:kern w:val="0"/>
                      <w:sz w:val="21"/>
                      <w:szCs w:val="21"/>
                      <w:lang w:val="en-US" w:eastAsia="zh-CN" w:bidi="ar-SA"/>
                    </w:rPr>
                  </w:pPr>
                  <w:r>
                    <w:rPr>
                      <w:rFonts w:hint="eastAsia" w:ascii="Times New Roman" w:eastAsia="宋体"/>
                      <w:color w:val="auto"/>
                      <w:szCs w:val="21"/>
                    </w:rPr>
                    <w:t>55</w:t>
                  </w:r>
                </w:p>
              </w:tc>
              <w:tc>
                <w:tcPr>
                  <w:tcW w:w="377" w:type="pct"/>
                  <w:tcBorders>
                    <w:tl2br w:val="nil"/>
                    <w:tr2bl w:val="nil"/>
                  </w:tcBorders>
                  <w:shd w:val="clear" w:color="auto" w:fill="auto"/>
                  <w:vAlign w:val="center"/>
                </w:tcPr>
                <w:p w14:paraId="32BD6433">
                  <w:pPr>
                    <w:keepNext w:val="0"/>
                    <w:keepLines w:val="0"/>
                    <w:widowControl/>
                    <w:suppressLineNumbers w:val="0"/>
                    <w:jc w:val="center"/>
                    <w:textAlignment w:val="center"/>
                    <w:rPr>
                      <w:rFonts w:hint="default" w:ascii="Times New Roman" w:hAnsi="Times New Roman" w:eastAsia="等线" w:cs="Times New Roman"/>
                      <w:i w:val="0"/>
                      <w:iCs w:val="0"/>
                      <w:color w:val="auto"/>
                      <w:kern w:val="2"/>
                      <w:sz w:val="21"/>
                      <w:szCs w:val="21"/>
                      <w:u w:val="none"/>
                      <w:lang w:val="en-US" w:eastAsia="zh-CN" w:bidi="ar-SA"/>
                    </w:rPr>
                  </w:pPr>
                  <w:r>
                    <w:rPr>
                      <w:rFonts w:hint="eastAsia" w:eastAsia="等线" w:cs="Times New Roman"/>
                      <w:i w:val="0"/>
                      <w:iCs w:val="0"/>
                      <w:color w:val="auto"/>
                      <w:kern w:val="2"/>
                      <w:sz w:val="21"/>
                      <w:szCs w:val="21"/>
                      <w:u w:val="none"/>
                      <w:lang w:val="en-US" w:eastAsia="zh-CN" w:bidi="ar-SA"/>
                    </w:rPr>
                    <w:t>24.1</w:t>
                  </w:r>
                </w:p>
              </w:tc>
              <w:tc>
                <w:tcPr>
                  <w:tcW w:w="310" w:type="pct"/>
                  <w:tcBorders>
                    <w:tl2br w:val="nil"/>
                    <w:tr2bl w:val="nil"/>
                  </w:tcBorders>
                  <w:shd w:val="clear" w:color="auto" w:fill="auto"/>
                  <w:vAlign w:val="center"/>
                </w:tcPr>
                <w:p w14:paraId="1532EADE">
                  <w:pPr>
                    <w:adjustRightInd w:val="0"/>
                    <w:snapToGrid w:val="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24.1</w:t>
                  </w:r>
                </w:p>
              </w:tc>
              <w:tc>
                <w:tcPr>
                  <w:tcW w:w="307" w:type="pct"/>
                  <w:tcBorders>
                    <w:tl2br w:val="nil"/>
                    <w:tr2bl w:val="nil"/>
                  </w:tcBorders>
                  <w:shd w:val="clear" w:color="auto" w:fill="auto"/>
                  <w:vAlign w:val="center"/>
                </w:tcPr>
                <w:p w14:paraId="5A51BC99">
                  <w:pPr>
                    <w:widowControl/>
                    <w:jc w:val="center"/>
                    <w:textAlignment w:val="center"/>
                    <w:rPr>
                      <w:rFonts w:hint="default" w:eastAsia="宋体"/>
                      <w:color w:val="auto"/>
                      <w:sz w:val="21"/>
                      <w:szCs w:val="21"/>
                      <w:lang w:val="en-US" w:eastAsia="zh-CN"/>
                    </w:rPr>
                  </w:pPr>
                  <w:r>
                    <w:rPr>
                      <w:rFonts w:hint="eastAsia"/>
                      <w:color w:val="auto"/>
                      <w:sz w:val="21"/>
                      <w:szCs w:val="21"/>
                      <w:lang w:val="en-US" w:eastAsia="zh-CN"/>
                    </w:rPr>
                    <w:t>58</w:t>
                  </w:r>
                </w:p>
              </w:tc>
              <w:tc>
                <w:tcPr>
                  <w:tcW w:w="267" w:type="pct"/>
                  <w:tcBorders>
                    <w:tl2br w:val="nil"/>
                    <w:tr2bl w:val="nil"/>
                  </w:tcBorders>
                  <w:shd w:val="clear" w:color="auto" w:fill="auto"/>
                  <w:vAlign w:val="center"/>
                </w:tcPr>
                <w:p w14:paraId="414B9BEB">
                  <w:pPr>
                    <w:widowControl/>
                    <w:jc w:val="center"/>
                    <w:textAlignment w:val="center"/>
                    <w:rPr>
                      <w:rFonts w:hint="default" w:eastAsia="宋体"/>
                      <w:color w:val="auto"/>
                      <w:sz w:val="21"/>
                      <w:szCs w:val="21"/>
                      <w:lang w:val="en-US" w:eastAsia="zh-CN"/>
                    </w:rPr>
                  </w:pPr>
                  <w:r>
                    <w:rPr>
                      <w:rFonts w:hint="eastAsia"/>
                      <w:color w:val="auto"/>
                      <w:sz w:val="21"/>
                      <w:szCs w:val="21"/>
                      <w:lang w:val="en-US" w:eastAsia="zh-CN"/>
                    </w:rPr>
                    <w:t>48</w:t>
                  </w:r>
                </w:p>
              </w:tc>
              <w:tc>
                <w:tcPr>
                  <w:tcW w:w="283" w:type="pct"/>
                  <w:tcBorders>
                    <w:tl2br w:val="nil"/>
                    <w:tr2bl w:val="nil"/>
                  </w:tcBorders>
                  <w:shd w:val="clear" w:color="auto" w:fill="auto"/>
                  <w:vAlign w:val="center"/>
                </w:tcPr>
                <w:p w14:paraId="48ADD8A4">
                  <w:pPr>
                    <w:widowControl/>
                    <w:jc w:val="center"/>
                    <w:textAlignment w:val="center"/>
                    <w:rPr>
                      <w:rFonts w:hint="default" w:eastAsia="宋体"/>
                      <w:color w:val="auto"/>
                      <w:sz w:val="21"/>
                      <w:szCs w:val="21"/>
                      <w:lang w:val="en-US" w:eastAsia="zh-CN"/>
                    </w:rPr>
                  </w:pPr>
                  <w:r>
                    <w:rPr>
                      <w:rFonts w:hint="eastAsia"/>
                      <w:color w:val="auto"/>
                      <w:sz w:val="21"/>
                      <w:szCs w:val="21"/>
                      <w:lang w:val="en-US" w:eastAsia="zh-CN"/>
                    </w:rPr>
                    <w:t>0</w:t>
                  </w:r>
                </w:p>
              </w:tc>
              <w:tc>
                <w:tcPr>
                  <w:tcW w:w="245" w:type="pct"/>
                  <w:tcBorders>
                    <w:tl2br w:val="nil"/>
                    <w:tr2bl w:val="nil"/>
                  </w:tcBorders>
                  <w:shd w:val="clear" w:color="auto" w:fill="auto"/>
                  <w:vAlign w:val="center"/>
                </w:tcPr>
                <w:p w14:paraId="3CC8E659">
                  <w:pPr>
                    <w:widowControl/>
                    <w:jc w:val="center"/>
                    <w:textAlignment w:val="center"/>
                    <w:rPr>
                      <w:rFonts w:hint="default" w:eastAsia="宋体"/>
                      <w:color w:val="auto"/>
                      <w:sz w:val="21"/>
                      <w:szCs w:val="21"/>
                      <w:lang w:val="en-US" w:eastAsia="zh-CN"/>
                    </w:rPr>
                  </w:pPr>
                  <w:r>
                    <w:rPr>
                      <w:rFonts w:hint="eastAsia"/>
                      <w:color w:val="auto"/>
                      <w:sz w:val="21"/>
                      <w:szCs w:val="21"/>
                      <w:lang w:val="en-US" w:eastAsia="zh-CN"/>
                    </w:rPr>
                    <w:t>0</w:t>
                  </w:r>
                </w:p>
              </w:tc>
              <w:tc>
                <w:tcPr>
                  <w:tcW w:w="353" w:type="pct"/>
                  <w:tcBorders>
                    <w:tl2br w:val="nil"/>
                    <w:tr2bl w:val="nil"/>
                  </w:tcBorders>
                  <w:shd w:val="clear" w:color="auto" w:fill="auto"/>
                  <w:vAlign w:val="center"/>
                </w:tcPr>
                <w:p w14:paraId="21F228B7">
                  <w:pPr>
                    <w:pStyle w:val="22"/>
                    <w:adjustRightInd w:val="0"/>
                    <w:snapToGrid w:val="0"/>
                    <w:spacing w:before="0" w:beforeAutospacing="0" w:after="0"/>
                    <w:jc w:val="center"/>
                    <w:rPr>
                      <w:rFonts w:ascii="Times New Roman" w:hAnsi="Times New Roman"/>
                      <w:bCs/>
                      <w:color w:val="auto"/>
                      <w:kern w:val="2"/>
                      <w:sz w:val="21"/>
                      <w:szCs w:val="21"/>
                    </w:rPr>
                  </w:pPr>
                  <w:r>
                    <w:rPr>
                      <w:rFonts w:hint="eastAsia" w:cs="宋体"/>
                      <w:bCs/>
                      <w:color w:val="auto"/>
                      <w:kern w:val="2"/>
                      <w:sz w:val="21"/>
                      <w:szCs w:val="21"/>
                    </w:rPr>
                    <w:t>达标</w:t>
                  </w:r>
                </w:p>
              </w:tc>
              <w:tc>
                <w:tcPr>
                  <w:tcW w:w="288" w:type="pct"/>
                  <w:tcBorders>
                    <w:tl2br w:val="nil"/>
                    <w:tr2bl w:val="nil"/>
                  </w:tcBorders>
                  <w:shd w:val="clear" w:color="auto" w:fill="auto"/>
                  <w:vAlign w:val="center"/>
                </w:tcPr>
                <w:p w14:paraId="5EBECB37">
                  <w:pPr>
                    <w:widowControl/>
                    <w:jc w:val="center"/>
                    <w:textAlignment w:val="center"/>
                    <w:rPr>
                      <w:rFonts w:hint="eastAsia" w:ascii="Times New Roman" w:hAnsi="Times New Roman" w:eastAsia="宋体" w:cs="Times New Roman"/>
                      <w:color w:val="auto"/>
                      <w:kern w:val="2"/>
                      <w:sz w:val="21"/>
                      <w:szCs w:val="21"/>
                      <w:lang w:val="en-US" w:eastAsia="zh-CN" w:bidi="ar"/>
                    </w:rPr>
                  </w:pPr>
                  <w:r>
                    <w:rPr>
                      <w:rFonts w:hint="eastAsia" w:cs="宋体"/>
                      <w:bCs/>
                      <w:color w:val="auto"/>
                      <w:kern w:val="2"/>
                      <w:sz w:val="21"/>
                      <w:szCs w:val="21"/>
                    </w:rPr>
                    <w:t>达标</w:t>
                  </w:r>
                </w:p>
              </w:tc>
            </w:tr>
            <w:tr w14:paraId="22CA45B3">
              <w:tblPrEx>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CellMar>
                  <w:top w:w="0" w:type="dxa"/>
                  <w:left w:w="108" w:type="dxa"/>
                  <w:bottom w:w="0" w:type="dxa"/>
                  <w:right w:w="108" w:type="dxa"/>
                </w:tblCellMar>
              </w:tblPrEx>
              <w:trPr>
                <w:trHeight w:val="262" w:hRule="atLeast"/>
              </w:trPr>
              <w:tc>
                <w:tcPr>
                  <w:tcW w:w="250" w:type="pct"/>
                  <w:tcBorders>
                    <w:tl2br w:val="nil"/>
                    <w:tr2bl w:val="nil"/>
                  </w:tcBorders>
                  <w:shd w:val="clear" w:color="auto" w:fill="auto"/>
                  <w:vAlign w:val="center"/>
                </w:tcPr>
                <w:p w14:paraId="5E70AB49">
                  <w:pPr>
                    <w:pStyle w:val="22"/>
                    <w:widowControl w:val="0"/>
                    <w:adjustRightInd w:val="0"/>
                    <w:snapToGrid w:val="0"/>
                    <w:spacing w:before="0" w:beforeAutospacing="0" w:after="0" w:afterAutospacing="0" w:line="256" w:lineRule="auto"/>
                    <w:jc w:val="center"/>
                    <w:textAlignment w:val="baseline"/>
                    <w:rPr>
                      <w:rFonts w:hint="default" w:ascii="Times New Roman" w:hAnsi="Times New Roman"/>
                      <w:color w:val="auto"/>
                      <w:spacing w:val="-10"/>
                      <w:sz w:val="21"/>
                      <w:szCs w:val="21"/>
                      <w:lang w:val="en-US" w:eastAsia="zh-CN"/>
                    </w:rPr>
                  </w:pPr>
                  <w:r>
                    <w:rPr>
                      <w:rFonts w:hint="eastAsia" w:ascii="Times New Roman" w:hAnsi="Times New Roman"/>
                      <w:color w:val="auto"/>
                      <w:spacing w:val="-10"/>
                      <w:sz w:val="21"/>
                      <w:szCs w:val="21"/>
                      <w:lang w:val="en-US" w:eastAsia="zh-CN"/>
                    </w:rPr>
                    <w:t>5</w:t>
                  </w:r>
                </w:p>
              </w:tc>
              <w:tc>
                <w:tcPr>
                  <w:tcW w:w="598" w:type="pct"/>
                  <w:tcBorders>
                    <w:tl2br w:val="nil"/>
                    <w:tr2bl w:val="nil"/>
                  </w:tcBorders>
                  <w:shd w:val="clear" w:color="auto" w:fill="auto"/>
                  <w:vAlign w:val="center"/>
                </w:tcPr>
                <w:p w14:paraId="31D34EC7">
                  <w:pPr>
                    <w:pStyle w:val="22"/>
                    <w:adjustRightInd w:val="0"/>
                    <w:snapToGrid w:val="0"/>
                    <w:spacing w:before="0" w:beforeAutospacing="0" w:after="0"/>
                    <w:jc w:val="center"/>
                    <w:rPr>
                      <w:rFonts w:hint="eastAsia" w:cs="宋体"/>
                      <w:bCs/>
                      <w:color w:val="auto"/>
                      <w:kern w:val="2"/>
                      <w:sz w:val="21"/>
                      <w:szCs w:val="21"/>
                    </w:rPr>
                  </w:pPr>
                  <w:r>
                    <w:rPr>
                      <w:rFonts w:hint="eastAsia" w:ascii="宋体" w:hAnsi="宋体" w:eastAsia="宋体" w:cs="宋体"/>
                      <w:color w:val="auto"/>
                      <w:kern w:val="18"/>
                      <w:sz w:val="21"/>
                      <w:szCs w:val="21"/>
                      <w:vertAlign w:val="baseline"/>
                      <w:lang w:val="en-US" w:eastAsia="zh-CN" w:bidi="ar-SA"/>
                    </w:rPr>
                    <w:t>西北侧居民</w:t>
                  </w:r>
                </w:p>
              </w:tc>
              <w:tc>
                <w:tcPr>
                  <w:tcW w:w="264" w:type="pct"/>
                  <w:tcBorders>
                    <w:tl2br w:val="nil"/>
                    <w:tr2bl w:val="nil"/>
                  </w:tcBorders>
                  <w:shd w:val="clear" w:color="auto" w:fill="auto"/>
                  <w:vAlign w:val="center"/>
                </w:tcPr>
                <w:p w14:paraId="57597241">
                  <w:pPr>
                    <w:widowControl/>
                    <w:jc w:val="center"/>
                    <w:textAlignment w:val="center"/>
                    <w:rPr>
                      <w:rFonts w:hint="eastAsia" w:ascii="Times New Roman" w:hAnsi="Times New Roman" w:eastAsia="宋体" w:cs="Times New Roman"/>
                      <w:color w:val="auto"/>
                      <w:kern w:val="2"/>
                      <w:sz w:val="21"/>
                      <w:szCs w:val="21"/>
                      <w:lang w:val="en-US" w:eastAsia="zh-CN" w:bidi="ar"/>
                    </w:rPr>
                  </w:pPr>
                  <w:r>
                    <w:rPr>
                      <w:rFonts w:hint="eastAsia"/>
                      <w:color w:val="auto"/>
                      <w:sz w:val="21"/>
                      <w:szCs w:val="21"/>
                    </w:rPr>
                    <w:t>/</w:t>
                  </w:r>
                </w:p>
              </w:tc>
              <w:tc>
                <w:tcPr>
                  <w:tcW w:w="312" w:type="pct"/>
                  <w:tcBorders>
                    <w:tl2br w:val="nil"/>
                    <w:tr2bl w:val="nil"/>
                  </w:tcBorders>
                  <w:shd w:val="clear" w:color="auto" w:fill="auto"/>
                  <w:vAlign w:val="center"/>
                </w:tcPr>
                <w:p w14:paraId="10A4983B">
                  <w:pPr>
                    <w:widowControl/>
                    <w:jc w:val="center"/>
                    <w:textAlignment w:val="center"/>
                    <w:rPr>
                      <w:rFonts w:hint="eastAsia" w:ascii="Times New Roman" w:hAnsi="Times New Roman" w:eastAsia="宋体" w:cs="Times New Roman"/>
                      <w:color w:val="auto"/>
                      <w:kern w:val="2"/>
                      <w:sz w:val="21"/>
                      <w:szCs w:val="21"/>
                      <w:lang w:val="en-US" w:eastAsia="zh-CN" w:bidi="ar"/>
                    </w:rPr>
                  </w:pPr>
                  <w:r>
                    <w:rPr>
                      <w:rFonts w:hint="eastAsia"/>
                      <w:color w:val="auto"/>
                      <w:sz w:val="21"/>
                      <w:szCs w:val="21"/>
                    </w:rPr>
                    <w:t>/</w:t>
                  </w:r>
                </w:p>
              </w:tc>
              <w:tc>
                <w:tcPr>
                  <w:tcW w:w="309" w:type="pct"/>
                  <w:tcBorders>
                    <w:tl2br w:val="nil"/>
                    <w:tr2bl w:val="nil"/>
                  </w:tcBorders>
                  <w:shd w:val="clear" w:color="auto" w:fill="auto"/>
                  <w:vAlign w:val="center"/>
                </w:tcPr>
                <w:p w14:paraId="1AD5E3C6">
                  <w:pPr>
                    <w:pStyle w:val="108"/>
                    <w:keepNext w:val="0"/>
                    <w:keepLines w:val="0"/>
                    <w:pageBreakBefore w:val="0"/>
                    <w:kinsoku/>
                    <w:wordWrap/>
                    <w:overflowPunct/>
                    <w:topLinePunct w:val="0"/>
                    <w:autoSpaceDE/>
                    <w:autoSpaceDN/>
                    <w:bidi w:val="0"/>
                    <w:spacing w:line="240" w:lineRule="auto"/>
                    <w:ind w:firstLine="0" w:firstLineChars="0"/>
                    <w:jc w:val="center"/>
                    <w:textAlignment w:val="auto"/>
                    <w:rPr>
                      <w:rFonts w:hint="eastAsia" w:ascii="Times New Roman" w:hAnsi="Times New Roman" w:eastAsia="宋体" w:cs="Times New Roman"/>
                      <w:color w:val="auto"/>
                      <w:kern w:val="18"/>
                      <w:sz w:val="21"/>
                      <w:szCs w:val="21"/>
                      <w:highlight w:val="none"/>
                      <w:lang w:val="en-US" w:eastAsia="zh-CN" w:bidi="ar"/>
                    </w:rPr>
                  </w:pPr>
                  <w:r>
                    <w:rPr>
                      <w:rFonts w:hint="eastAsia" w:ascii="Times New Roman" w:hAnsi="Times New Roman" w:cs="Times New Roman"/>
                      <w:color w:val="auto"/>
                      <w:sz w:val="21"/>
                      <w:szCs w:val="21"/>
                      <w:highlight w:val="none"/>
                      <w:lang w:val="en-US" w:eastAsia="zh-CN"/>
                    </w:rPr>
                    <w:t>54</w:t>
                  </w:r>
                </w:p>
              </w:tc>
              <w:tc>
                <w:tcPr>
                  <w:tcW w:w="310" w:type="pct"/>
                  <w:tcBorders>
                    <w:tl2br w:val="nil"/>
                    <w:tr2bl w:val="nil"/>
                  </w:tcBorders>
                  <w:shd w:val="clear" w:color="auto" w:fill="auto"/>
                  <w:vAlign w:val="center"/>
                </w:tcPr>
                <w:p w14:paraId="744F88AA">
                  <w:pPr>
                    <w:pStyle w:val="34"/>
                    <w:spacing w:before="24" w:after="24" w:line="240" w:lineRule="auto"/>
                    <w:ind w:firstLine="0" w:firstLineChars="0"/>
                    <w:rPr>
                      <w:rFonts w:hint="eastAsia" w:ascii="Times New Roman" w:hAnsi="Times New Roman" w:eastAsia="宋体" w:cs="Times New Roman"/>
                      <w:color w:val="auto"/>
                      <w:spacing w:val="-10"/>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45</w:t>
                  </w:r>
                </w:p>
              </w:tc>
              <w:tc>
                <w:tcPr>
                  <w:tcW w:w="260" w:type="pct"/>
                  <w:tcBorders>
                    <w:tl2br w:val="nil"/>
                    <w:tr2bl w:val="nil"/>
                  </w:tcBorders>
                  <w:shd w:val="clear" w:color="auto" w:fill="auto"/>
                  <w:vAlign w:val="center"/>
                </w:tcPr>
                <w:p w14:paraId="042F2319">
                  <w:pPr>
                    <w:pStyle w:val="34"/>
                    <w:spacing w:before="24" w:after="24" w:line="240" w:lineRule="auto"/>
                    <w:ind w:firstLine="0" w:firstLineChars="0"/>
                    <w:rPr>
                      <w:rFonts w:hint="eastAsia" w:ascii="Times New Roman" w:hAnsi="Times New Roman" w:eastAsia="宋体" w:cs="Times New Roman"/>
                      <w:color w:val="auto"/>
                      <w:spacing w:val="-10"/>
                      <w:kern w:val="0"/>
                      <w:sz w:val="21"/>
                      <w:szCs w:val="21"/>
                      <w:highlight w:val="none"/>
                      <w:lang w:val="en-US" w:eastAsia="zh-CN" w:bidi="ar"/>
                    </w:rPr>
                  </w:pPr>
                  <w:r>
                    <w:rPr>
                      <w:rFonts w:hint="eastAsia" w:ascii="Times New Roman" w:eastAsia="宋体" w:cs="Times New Roman"/>
                      <w:color w:val="auto"/>
                      <w:spacing w:val="-10"/>
                      <w:kern w:val="0"/>
                      <w:sz w:val="21"/>
                      <w:szCs w:val="21"/>
                      <w:lang w:val="en-US" w:eastAsia="zh-CN" w:bidi="ar-SA"/>
                    </w:rPr>
                    <w:t>60</w:t>
                  </w:r>
                </w:p>
              </w:tc>
              <w:tc>
                <w:tcPr>
                  <w:tcW w:w="262" w:type="pct"/>
                  <w:tcBorders>
                    <w:tl2br w:val="nil"/>
                    <w:tr2bl w:val="nil"/>
                  </w:tcBorders>
                  <w:shd w:val="clear" w:color="auto" w:fill="auto"/>
                  <w:vAlign w:val="center"/>
                </w:tcPr>
                <w:p w14:paraId="06CA12BB">
                  <w:pPr>
                    <w:pStyle w:val="34"/>
                    <w:spacing w:before="24" w:after="24" w:line="240" w:lineRule="auto"/>
                    <w:ind w:firstLine="0" w:firstLineChars="0"/>
                    <w:rPr>
                      <w:rFonts w:hint="eastAsia" w:ascii="Times New Roman" w:hAnsi="Times New Roman" w:eastAsia="宋体" w:cs="Times New Roman"/>
                      <w:color w:val="auto"/>
                      <w:spacing w:val="-10"/>
                      <w:kern w:val="0"/>
                      <w:sz w:val="21"/>
                      <w:szCs w:val="21"/>
                      <w:lang w:val="en-US" w:eastAsia="zh-CN" w:bidi="ar-SA"/>
                    </w:rPr>
                  </w:pPr>
                  <w:r>
                    <w:rPr>
                      <w:rFonts w:hint="eastAsia" w:ascii="Times New Roman" w:eastAsia="宋体"/>
                      <w:color w:val="auto"/>
                      <w:szCs w:val="21"/>
                    </w:rPr>
                    <w:t>5</w:t>
                  </w:r>
                  <w:r>
                    <w:rPr>
                      <w:rFonts w:hint="eastAsia" w:ascii="Times New Roman" w:eastAsia="宋体"/>
                      <w:color w:val="auto"/>
                      <w:szCs w:val="21"/>
                      <w:lang w:val="en-US" w:eastAsia="zh-CN"/>
                    </w:rPr>
                    <w:t>0</w:t>
                  </w:r>
                </w:p>
              </w:tc>
              <w:tc>
                <w:tcPr>
                  <w:tcW w:w="377" w:type="pct"/>
                  <w:tcBorders>
                    <w:tl2br w:val="nil"/>
                    <w:tr2bl w:val="nil"/>
                  </w:tcBorders>
                  <w:shd w:val="clear" w:color="auto" w:fill="auto"/>
                  <w:vAlign w:val="center"/>
                </w:tcPr>
                <w:p w14:paraId="026BE0FF">
                  <w:pPr>
                    <w:keepNext w:val="0"/>
                    <w:keepLines w:val="0"/>
                    <w:widowControl/>
                    <w:suppressLineNumbers w:val="0"/>
                    <w:jc w:val="center"/>
                    <w:textAlignment w:val="center"/>
                    <w:rPr>
                      <w:rFonts w:hint="default" w:eastAsia="等线" w:cs="Times New Roman"/>
                      <w:i w:val="0"/>
                      <w:iCs w:val="0"/>
                      <w:color w:val="auto"/>
                      <w:kern w:val="2"/>
                      <w:sz w:val="21"/>
                      <w:szCs w:val="21"/>
                      <w:u w:val="none"/>
                      <w:lang w:val="en-US" w:eastAsia="zh-CN" w:bidi="ar-SA"/>
                    </w:rPr>
                  </w:pPr>
                  <w:r>
                    <w:rPr>
                      <w:rFonts w:hint="eastAsia" w:eastAsia="等线" w:cs="Times New Roman"/>
                      <w:i w:val="0"/>
                      <w:iCs w:val="0"/>
                      <w:color w:val="auto"/>
                      <w:kern w:val="2"/>
                      <w:sz w:val="21"/>
                      <w:szCs w:val="21"/>
                      <w:u w:val="none"/>
                      <w:lang w:val="en-US" w:eastAsia="zh-CN" w:bidi="ar-SA"/>
                    </w:rPr>
                    <w:t>23.2</w:t>
                  </w:r>
                </w:p>
              </w:tc>
              <w:tc>
                <w:tcPr>
                  <w:tcW w:w="310" w:type="pct"/>
                  <w:tcBorders>
                    <w:tl2br w:val="nil"/>
                    <w:tr2bl w:val="nil"/>
                  </w:tcBorders>
                  <w:shd w:val="clear" w:color="auto" w:fill="auto"/>
                  <w:vAlign w:val="center"/>
                </w:tcPr>
                <w:p w14:paraId="40E63C69">
                  <w:pPr>
                    <w:adjustRightInd w:val="0"/>
                    <w:snapToGrid w:val="0"/>
                    <w:jc w:val="center"/>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23.2</w:t>
                  </w:r>
                </w:p>
              </w:tc>
              <w:tc>
                <w:tcPr>
                  <w:tcW w:w="307" w:type="pct"/>
                  <w:tcBorders>
                    <w:tl2br w:val="nil"/>
                    <w:tr2bl w:val="nil"/>
                  </w:tcBorders>
                  <w:shd w:val="clear" w:color="auto" w:fill="auto"/>
                  <w:vAlign w:val="center"/>
                </w:tcPr>
                <w:p w14:paraId="4EF0AFAE">
                  <w:pPr>
                    <w:widowControl/>
                    <w:jc w:val="center"/>
                    <w:textAlignment w:val="center"/>
                    <w:rPr>
                      <w:rFonts w:hint="default" w:eastAsia="宋体"/>
                      <w:color w:val="auto"/>
                      <w:sz w:val="21"/>
                      <w:szCs w:val="21"/>
                      <w:lang w:val="en-US" w:eastAsia="zh-CN"/>
                    </w:rPr>
                  </w:pPr>
                  <w:r>
                    <w:rPr>
                      <w:rFonts w:hint="eastAsia"/>
                      <w:color w:val="auto"/>
                      <w:sz w:val="21"/>
                      <w:szCs w:val="21"/>
                      <w:lang w:val="en-US" w:eastAsia="zh-CN"/>
                    </w:rPr>
                    <w:t>54</w:t>
                  </w:r>
                </w:p>
              </w:tc>
              <w:tc>
                <w:tcPr>
                  <w:tcW w:w="267" w:type="pct"/>
                  <w:tcBorders>
                    <w:tl2br w:val="nil"/>
                    <w:tr2bl w:val="nil"/>
                  </w:tcBorders>
                  <w:shd w:val="clear" w:color="auto" w:fill="auto"/>
                  <w:vAlign w:val="center"/>
                </w:tcPr>
                <w:p w14:paraId="49E21349">
                  <w:pPr>
                    <w:widowControl/>
                    <w:jc w:val="center"/>
                    <w:textAlignment w:val="center"/>
                    <w:rPr>
                      <w:rFonts w:hint="default" w:eastAsia="宋体"/>
                      <w:color w:val="auto"/>
                      <w:sz w:val="21"/>
                      <w:szCs w:val="21"/>
                      <w:lang w:val="en-US" w:eastAsia="zh-CN"/>
                    </w:rPr>
                  </w:pPr>
                  <w:r>
                    <w:rPr>
                      <w:rFonts w:hint="eastAsia"/>
                      <w:color w:val="auto"/>
                      <w:sz w:val="21"/>
                      <w:szCs w:val="21"/>
                      <w:lang w:val="en-US" w:eastAsia="zh-CN"/>
                    </w:rPr>
                    <w:t>45</w:t>
                  </w:r>
                </w:p>
              </w:tc>
              <w:tc>
                <w:tcPr>
                  <w:tcW w:w="283" w:type="pct"/>
                  <w:tcBorders>
                    <w:tl2br w:val="nil"/>
                    <w:tr2bl w:val="nil"/>
                  </w:tcBorders>
                  <w:shd w:val="clear" w:color="auto" w:fill="auto"/>
                  <w:vAlign w:val="center"/>
                </w:tcPr>
                <w:p w14:paraId="3B207557">
                  <w:pPr>
                    <w:widowControl/>
                    <w:jc w:val="center"/>
                    <w:textAlignment w:val="center"/>
                    <w:rPr>
                      <w:rFonts w:hint="default" w:eastAsia="宋体"/>
                      <w:color w:val="auto"/>
                      <w:sz w:val="21"/>
                      <w:szCs w:val="21"/>
                      <w:lang w:val="en-US" w:eastAsia="zh-CN"/>
                    </w:rPr>
                  </w:pPr>
                  <w:r>
                    <w:rPr>
                      <w:rFonts w:hint="eastAsia"/>
                      <w:color w:val="auto"/>
                      <w:sz w:val="21"/>
                      <w:szCs w:val="21"/>
                      <w:lang w:val="en-US" w:eastAsia="zh-CN"/>
                    </w:rPr>
                    <w:t>0</w:t>
                  </w:r>
                </w:p>
              </w:tc>
              <w:tc>
                <w:tcPr>
                  <w:tcW w:w="245" w:type="pct"/>
                  <w:tcBorders>
                    <w:tl2br w:val="nil"/>
                    <w:tr2bl w:val="nil"/>
                  </w:tcBorders>
                  <w:shd w:val="clear" w:color="auto" w:fill="auto"/>
                  <w:vAlign w:val="center"/>
                </w:tcPr>
                <w:p w14:paraId="5C6331C7">
                  <w:pPr>
                    <w:widowControl/>
                    <w:jc w:val="center"/>
                    <w:textAlignment w:val="center"/>
                    <w:rPr>
                      <w:rFonts w:hint="default" w:eastAsia="宋体"/>
                      <w:color w:val="auto"/>
                      <w:sz w:val="21"/>
                      <w:szCs w:val="21"/>
                      <w:lang w:val="en-US" w:eastAsia="zh-CN"/>
                    </w:rPr>
                  </w:pPr>
                  <w:r>
                    <w:rPr>
                      <w:rFonts w:hint="eastAsia"/>
                      <w:color w:val="auto"/>
                      <w:sz w:val="21"/>
                      <w:szCs w:val="21"/>
                      <w:lang w:val="en-US" w:eastAsia="zh-CN"/>
                    </w:rPr>
                    <w:t>0</w:t>
                  </w:r>
                </w:p>
              </w:tc>
              <w:tc>
                <w:tcPr>
                  <w:tcW w:w="353" w:type="pct"/>
                  <w:tcBorders>
                    <w:tl2br w:val="nil"/>
                    <w:tr2bl w:val="nil"/>
                  </w:tcBorders>
                  <w:shd w:val="clear" w:color="auto" w:fill="auto"/>
                  <w:vAlign w:val="center"/>
                </w:tcPr>
                <w:p w14:paraId="6F5EC85F">
                  <w:pPr>
                    <w:pStyle w:val="22"/>
                    <w:adjustRightInd w:val="0"/>
                    <w:snapToGrid w:val="0"/>
                    <w:spacing w:before="0" w:beforeAutospacing="0" w:after="0"/>
                    <w:jc w:val="center"/>
                    <w:rPr>
                      <w:rFonts w:hint="eastAsia" w:ascii="Times New Roman" w:hAnsi="Times New Roman" w:eastAsia="宋体" w:cs="Times New Roman"/>
                      <w:bCs/>
                      <w:color w:val="auto"/>
                      <w:kern w:val="2"/>
                      <w:sz w:val="21"/>
                      <w:szCs w:val="21"/>
                      <w:lang w:val="en-US" w:eastAsia="zh-CN" w:bidi="ar"/>
                    </w:rPr>
                  </w:pPr>
                  <w:r>
                    <w:rPr>
                      <w:rFonts w:hint="eastAsia" w:cs="宋体"/>
                      <w:bCs/>
                      <w:color w:val="auto"/>
                      <w:kern w:val="2"/>
                      <w:sz w:val="21"/>
                      <w:szCs w:val="21"/>
                    </w:rPr>
                    <w:t>达标</w:t>
                  </w:r>
                </w:p>
              </w:tc>
              <w:tc>
                <w:tcPr>
                  <w:tcW w:w="288" w:type="pct"/>
                  <w:tcBorders>
                    <w:tl2br w:val="nil"/>
                    <w:tr2bl w:val="nil"/>
                  </w:tcBorders>
                  <w:shd w:val="clear" w:color="auto" w:fill="auto"/>
                  <w:vAlign w:val="center"/>
                </w:tcPr>
                <w:p w14:paraId="25AA5865">
                  <w:pPr>
                    <w:widowControl/>
                    <w:jc w:val="center"/>
                    <w:textAlignment w:val="center"/>
                    <w:rPr>
                      <w:rFonts w:hint="eastAsia" w:ascii="Times New Roman" w:hAnsi="Times New Roman" w:eastAsia="宋体" w:cs="Times New Roman"/>
                      <w:color w:val="auto"/>
                      <w:kern w:val="2"/>
                      <w:sz w:val="21"/>
                      <w:szCs w:val="21"/>
                      <w:lang w:val="en-US" w:eastAsia="zh-CN" w:bidi="ar"/>
                    </w:rPr>
                  </w:pPr>
                  <w:r>
                    <w:rPr>
                      <w:rFonts w:hint="eastAsia" w:cs="宋体"/>
                      <w:bCs/>
                      <w:color w:val="auto"/>
                      <w:kern w:val="2"/>
                      <w:sz w:val="21"/>
                      <w:szCs w:val="21"/>
                    </w:rPr>
                    <w:t>达标</w:t>
                  </w:r>
                </w:p>
              </w:tc>
            </w:tr>
            <w:bookmarkEnd w:id="34"/>
          </w:tbl>
          <w:p w14:paraId="21A7CBE8">
            <w:pPr>
              <w:autoSpaceDE w:val="0"/>
              <w:autoSpaceDN w:val="0"/>
              <w:spacing w:line="360" w:lineRule="auto"/>
              <w:ind w:firstLine="480" w:firstLineChars="200"/>
              <w:rPr>
                <w:rFonts w:hint="eastAsia" w:eastAsia="宋体"/>
                <w:color w:val="auto"/>
                <w:sz w:val="24"/>
                <w:szCs w:val="24"/>
                <w:lang w:eastAsia="zh-CN"/>
              </w:rPr>
            </w:pPr>
            <w:r>
              <w:rPr>
                <w:rFonts w:hint="eastAsia"/>
                <w:color w:val="auto"/>
                <w:sz w:val="24"/>
                <w:szCs w:val="24"/>
                <w:lang w:val="en-US" w:eastAsia="zh-CN"/>
              </w:rPr>
              <w:t>本项目</w:t>
            </w:r>
            <w:r>
              <w:rPr>
                <w:rFonts w:hint="eastAsia"/>
                <w:color w:val="auto"/>
                <w:sz w:val="24"/>
                <w:szCs w:val="24"/>
              </w:rPr>
              <w:t>设备产生的噪声经厂房隔声和距离衰减后，项目东、南、北厂界昼夜噪声贡献值满足《工业企业厂界环境噪声排放标准》（GB12348-2008）</w:t>
            </w:r>
            <w:r>
              <w:rPr>
                <w:rFonts w:hint="eastAsia"/>
                <w:color w:val="auto"/>
                <w:sz w:val="24"/>
                <w:szCs w:val="24"/>
                <w:lang w:val="en-US" w:eastAsia="zh-CN"/>
              </w:rPr>
              <w:t>3</w:t>
            </w:r>
            <w:r>
              <w:rPr>
                <w:rFonts w:hint="eastAsia"/>
                <w:color w:val="auto"/>
                <w:sz w:val="24"/>
                <w:szCs w:val="24"/>
              </w:rPr>
              <w:t>类标准要求，西厂界昼</w:t>
            </w:r>
            <w:r>
              <w:rPr>
                <w:rFonts w:hint="eastAsia"/>
                <w:color w:val="auto"/>
                <w:sz w:val="24"/>
                <w:szCs w:val="24"/>
                <w:lang w:val="en-US" w:eastAsia="zh-CN"/>
              </w:rPr>
              <w:t>夜</w:t>
            </w:r>
            <w:r>
              <w:rPr>
                <w:rFonts w:hint="eastAsia"/>
                <w:color w:val="auto"/>
                <w:sz w:val="24"/>
                <w:szCs w:val="24"/>
              </w:rPr>
              <w:t>噪声贡献值满足《工业企业厂界环境噪声排放标准》（GB12348-2008）</w:t>
            </w:r>
            <w:r>
              <w:rPr>
                <w:rFonts w:hint="eastAsia"/>
                <w:color w:val="auto"/>
                <w:sz w:val="24"/>
                <w:szCs w:val="24"/>
                <w:lang w:val="en-US" w:eastAsia="zh-CN"/>
              </w:rPr>
              <w:t>4</w:t>
            </w:r>
            <w:r>
              <w:rPr>
                <w:rFonts w:hint="eastAsia"/>
                <w:color w:val="auto"/>
                <w:sz w:val="24"/>
                <w:szCs w:val="24"/>
              </w:rPr>
              <w:t>类标准要求</w:t>
            </w:r>
            <w:r>
              <w:rPr>
                <w:rFonts w:hint="eastAsia"/>
                <w:color w:val="auto"/>
                <w:sz w:val="24"/>
                <w:szCs w:val="24"/>
                <w:lang w:eastAsia="zh-CN"/>
              </w:rPr>
              <w:t>，西北侧居民满足《声环境质量标准》（GB3096-2008）2类标准要求。</w:t>
            </w:r>
          </w:p>
          <w:p w14:paraId="0370FFCF">
            <w:pPr>
              <w:autoSpaceDE w:val="0"/>
              <w:autoSpaceDN w:val="0"/>
              <w:spacing w:line="360" w:lineRule="auto"/>
              <w:ind w:firstLine="480" w:firstLineChars="200"/>
              <w:rPr>
                <w:color w:val="auto"/>
                <w:sz w:val="24"/>
                <w:szCs w:val="24"/>
              </w:rPr>
            </w:pPr>
            <w:r>
              <w:rPr>
                <w:rFonts w:hint="eastAsia"/>
                <w:color w:val="auto"/>
                <w:sz w:val="24"/>
                <w:szCs w:val="24"/>
              </w:rPr>
              <w:t>本项目正常工况下，厂界噪声能够满足相关标准，因此，应合理安排生产时间；加强设备的日常维护与保养，保证设备的正常运转，建立设备定期维护、保养的管理制度，以防止设备故障形成的非正常生产噪声；加强员工环保意识，提倡文明生产，防止人为噪声。</w:t>
            </w:r>
          </w:p>
          <w:p w14:paraId="149907FD">
            <w:pPr>
              <w:keepNext w:val="0"/>
              <w:keepLines w:val="0"/>
              <w:pageBreakBefore w:val="0"/>
              <w:widowControl w:val="0"/>
              <w:kinsoku/>
              <w:wordWrap/>
              <w:overflowPunct/>
              <w:topLinePunct w:val="0"/>
              <w:autoSpaceDE w:val="0"/>
              <w:autoSpaceDN w:val="0"/>
              <w:bidi w:val="0"/>
              <w:adjustRightInd/>
              <w:snapToGrid/>
              <w:spacing w:line="240" w:lineRule="auto"/>
              <w:ind w:firstLine="480" w:firstLineChars="200"/>
              <w:textAlignment w:val="auto"/>
              <w:rPr>
                <w:color w:val="auto"/>
                <w:sz w:val="24"/>
                <w:szCs w:val="24"/>
              </w:rPr>
            </w:pPr>
            <w:r>
              <w:rPr>
                <w:rFonts w:hint="eastAsia"/>
                <w:color w:val="auto"/>
                <w:sz w:val="24"/>
                <w:szCs w:val="24"/>
              </w:rPr>
              <w:t>综上所述，本项目在严格采取本次评价所要求的噪声防治措施后，对周围声环境影响较小，不会产生噪声扰民现象</w:t>
            </w:r>
            <w:r>
              <w:rPr>
                <w:color w:val="auto"/>
                <w:sz w:val="24"/>
                <w:szCs w:val="24"/>
              </w:rPr>
              <w:t>。</w:t>
            </w:r>
          </w:p>
        </w:tc>
      </w:tr>
    </w:tbl>
    <w:p w14:paraId="0B5FB47F">
      <w:pPr>
        <w:pStyle w:val="38"/>
        <w:spacing w:line="240" w:lineRule="auto"/>
        <w:jc w:val="both"/>
        <w:rPr>
          <w:color w:val="auto"/>
        </w:rPr>
        <w:sectPr>
          <w:pgSz w:w="16838" w:h="11906" w:orient="landscape"/>
          <w:pgMar w:top="1531" w:right="1701" w:bottom="1531" w:left="1701" w:header="851" w:footer="851" w:gutter="0"/>
          <w:pgBorders>
            <w:top w:val="none" w:sz="0" w:space="0"/>
            <w:left w:val="none" w:sz="0" w:space="0"/>
            <w:bottom w:val="none" w:sz="0" w:space="0"/>
            <w:right w:val="none" w:sz="0" w:space="0"/>
          </w:pgBorders>
          <w:cols w:space="720" w:num="1"/>
          <w:docGrid w:linePitch="312" w:charSpace="0"/>
        </w:sectPr>
      </w:pPr>
      <w:bookmarkStart w:id="35" w:name="PageNo100610060"/>
    </w:p>
    <w:bookmarkEnd w:id="35"/>
    <w:tbl>
      <w:tblPr>
        <w:tblStyle w:val="26"/>
        <w:tblpPr w:leftFromText="180" w:rightFromText="180" w:vertAnchor="text" w:tblpXSpec="center" w:tblpY="1"/>
        <w:tblOverlap w:val="never"/>
        <w:tblW w:w="898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04"/>
        <w:gridCol w:w="8377"/>
      </w:tblGrid>
      <w:tr w14:paraId="0B9865A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433" w:hRule="atLeast"/>
          <w:jc w:val="center"/>
        </w:trPr>
        <w:tc>
          <w:tcPr>
            <w:tcW w:w="604" w:type="dxa"/>
            <w:tcMar>
              <w:left w:w="28" w:type="dxa"/>
              <w:right w:w="28" w:type="dxa"/>
            </w:tcMar>
            <w:vAlign w:val="center"/>
          </w:tcPr>
          <w:p w14:paraId="35177B8B">
            <w:pPr>
              <w:pStyle w:val="43"/>
              <w:numPr>
                <w:ilvl w:val="4"/>
                <w:numId w:val="0"/>
              </w:numPr>
              <w:spacing w:before="120" w:after="120"/>
              <w:ind w:left="720" w:firstLine="567"/>
              <w:rPr>
                <w:color w:val="auto"/>
                <w:sz w:val="24"/>
                <w:szCs w:val="24"/>
              </w:rPr>
            </w:pPr>
            <w:r>
              <w:rPr>
                <w:rFonts w:ascii="Times New Roman" w:hAnsi="Times New Roman" w:eastAsia="宋体"/>
                <w:color w:val="auto"/>
                <w:sz w:val="24"/>
                <w:szCs w:val="24"/>
              </w:rPr>
              <w:t>图1.1-1</w:t>
            </w:r>
          </w:p>
        </w:tc>
        <w:tc>
          <w:tcPr>
            <w:tcW w:w="8377" w:type="dxa"/>
            <w:vAlign w:val="center"/>
          </w:tcPr>
          <w:p w14:paraId="6C4972F7">
            <w:pPr>
              <w:autoSpaceDE w:val="0"/>
              <w:autoSpaceDN w:val="0"/>
              <w:spacing w:line="360" w:lineRule="auto"/>
              <w:ind w:firstLine="482" w:firstLineChars="200"/>
              <w:rPr>
                <w:b/>
                <w:bCs/>
                <w:snapToGrid w:val="0"/>
                <w:color w:val="auto"/>
                <w:kern w:val="0"/>
                <w:sz w:val="24"/>
                <w:szCs w:val="24"/>
              </w:rPr>
            </w:pPr>
            <w:r>
              <w:rPr>
                <w:b/>
                <w:bCs/>
                <w:snapToGrid w:val="0"/>
                <w:color w:val="auto"/>
                <w:kern w:val="0"/>
                <w:sz w:val="24"/>
                <w:szCs w:val="24"/>
              </w:rPr>
              <w:t>3.3噪声自行监测要求</w:t>
            </w:r>
          </w:p>
          <w:p w14:paraId="409E87E4">
            <w:pPr>
              <w:spacing w:line="360" w:lineRule="auto"/>
              <w:ind w:firstLine="480" w:firstLineChars="200"/>
              <w:rPr>
                <w:b/>
                <w:bCs/>
                <w:color w:val="auto"/>
                <w:sz w:val="24"/>
                <w:szCs w:val="24"/>
              </w:rPr>
            </w:pPr>
            <w:r>
              <w:rPr>
                <w:color w:val="auto"/>
                <w:sz w:val="24"/>
                <w:szCs w:val="24"/>
              </w:rPr>
              <w:t>根据《排污单位自行监测技术指南 总则》（HJ 819-2017）</w:t>
            </w:r>
            <w:r>
              <w:rPr>
                <w:rFonts w:hint="eastAsia"/>
                <w:color w:val="auto"/>
                <w:sz w:val="24"/>
                <w:szCs w:val="24"/>
              </w:rPr>
              <w:t>、</w:t>
            </w:r>
            <w:r>
              <w:rPr>
                <w:rFonts w:hint="eastAsia"/>
                <w:color w:val="auto"/>
                <w:sz w:val="24"/>
                <w:szCs w:val="24"/>
                <w:highlight w:val="none"/>
                <w:lang w:eastAsia="zh-CN"/>
              </w:rPr>
              <w:t>《排污许可证申请与核发技术规范 工业噪声》（</w:t>
            </w:r>
            <w:r>
              <w:rPr>
                <w:color w:val="auto"/>
                <w:sz w:val="24"/>
                <w:szCs w:val="24"/>
                <w:highlight w:val="none"/>
              </w:rPr>
              <w:t>HJ1301-2023</w:t>
            </w:r>
            <w:r>
              <w:rPr>
                <w:rFonts w:hint="eastAsia"/>
                <w:color w:val="auto"/>
                <w:sz w:val="24"/>
                <w:szCs w:val="24"/>
                <w:highlight w:val="none"/>
                <w:lang w:eastAsia="zh-CN"/>
              </w:rPr>
              <w:t>）</w:t>
            </w:r>
            <w:r>
              <w:rPr>
                <w:rFonts w:hint="eastAsia"/>
                <w:color w:val="auto"/>
                <w:sz w:val="24"/>
                <w:szCs w:val="24"/>
              </w:rPr>
              <w:t>等</w:t>
            </w:r>
            <w:r>
              <w:rPr>
                <w:rFonts w:hint="eastAsia"/>
                <w:color w:val="auto"/>
                <w:sz w:val="24"/>
                <w:szCs w:val="24"/>
                <w:lang w:val="en-US" w:eastAsia="zh-CN"/>
              </w:rPr>
              <w:t>文件</w:t>
            </w:r>
            <w:r>
              <w:rPr>
                <w:color w:val="auto"/>
                <w:sz w:val="24"/>
                <w:szCs w:val="24"/>
              </w:rPr>
              <w:t>要求，对建设项目厂界噪声定期进行监测，每季度开展一次。</w:t>
            </w:r>
          </w:p>
          <w:p w14:paraId="33B25A5E">
            <w:pPr>
              <w:jc w:val="center"/>
              <w:rPr>
                <w:b/>
                <w:bCs/>
                <w:color w:val="auto"/>
                <w:sz w:val="24"/>
                <w:szCs w:val="24"/>
              </w:rPr>
            </w:pPr>
            <w:r>
              <w:rPr>
                <w:rFonts w:hint="eastAsia"/>
                <w:b/>
                <w:bCs/>
                <w:color w:val="auto"/>
                <w:sz w:val="24"/>
                <w:szCs w:val="24"/>
              </w:rPr>
              <w:t>表4-</w:t>
            </w:r>
            <w:r>
              <w:rPr>
                <w:rFonts w:hint="eastAsia"/>
                <w:b/>
                <w:bCs/>
                <w:color w:val="auto"/>
                <w:sz w:val="24"/>
                <w:szCs w:val="24"/>
                <w:lang w:val="en-US" w:eastAsia="zh-CN"/>
              </w:rPr>
              <w:t>19</w:t>
            </w:r>
            <w:r>
              <w:rPr>
                <w:rFonts w:hint="eastAsia"/>
                <w:b/>
                <w:bCs/>
                <w:color w:val="auto"/>
                <w:sz w:val="24"/>
                <w:szCs w:val="24"/>
              </w:rPr>
              <w:t xml:space="preserve"> </w:t>
            </w:r>
            <w:r>
              <w:rPr>
                <w:b/>
                <w:bCs/>
                <w:color w:val="auto"/>
                <w:sz w:val="24"/>
                <w:szCs w:val="24"/>
              </w:rPr>
              <w:t>噪声污染源监测计划</w:t>
            </w:r>
          </w:p>
          <w:tbl>
            <w:tblPr>
              <w:tblStyle w:val="26"/>
              <w:tblW w:w="5000"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1955"/>
              <w:gridCol w:w="1234"/>
              <w:gridCol w:w="1600"/>
              <w:gridCol w:w="3372"/>
            </w:tblGrid>
            <w:tr w14:paraId="4A1AA9E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1197" w:type="pct"/>
                  <w:vAlign w:val="center"/>
                </w:tcPr>
                <w:p w14:paraId="649266F5">
                  <w:pPr>
                    <w:keepNext/>
                    <w:widowControl/>
                    <w:jc w:val="center"/>
                    <w:rPr>
                      <w:b/>
                      <w:color w:val="auto"/>
                      <w:sz w:val="21"/>
                      <w:szCs w:val="21"/>
                    </w:rPr>
                  </w:pPr>
                  <w:r>
                    <w:rPr>
                      <w:b/>
                      <w:color w:val="auto"/>
                      <w:sz w:val="21"/>
                      <w:szCs w:val="21"/>
                    </w:rPr>
                    <w:t>监测点位</w:t>
                  </w:r>
                </w:p>
              </w:tc>
              <w:tc>
                <w:tcPr>
                  <w:tcW w:w="756" w:type="pct"/>
                  <w:vAlign w:val="center"/>
                </w:tcPr>
                <w:p w14:paraId="149A9591">
                  <w:pPr>
                    <w:keepNext/>
                    <w:widowControl/>
                    <w:jc w:val="center"/>
                    <w:rPr>
                      <w:b/>
                      <w:color w:val="auto"/>
                      <w:sz w:val="21"/>
                      <w:szCs w:val="21"/>
                    </w:rPr>
                  </w:pPr>
                  <w:r>
                    <w:rPr>
                      <w:b/>
                      <w:color w:val="auto"/>
                      <w:sz w:val="21"/>
                      <w:szCs w:val="21"/>
                    </w:rPr>
                    <w:t>监测项目</w:t>
                  </w:r>
                </w:p>
              </w:tc>
              <w:tc>
                <w:tcPr>
                  <w:tcW w:w="980" w:type="pct"/>
                  <w:vAlign w:val="center"/>
                </w:tcPr>
                <w:p w14:paraId="384AF504">
                  <w:pPr>
                    <w:keepNext/>
                    <w:widowControl/>
                    <w:jc w:val="center"/>
                    <w:rPr>
                      <w:b/>
                      <w:color w:val="auto"/>
                      <w:sz w:val="21"/>
                      <w:szCs w:val="21"/>
                    </w:rPr>
                  </w:pPr>
                  <w:r>
                    <w:rPr>
                      <w:b/>
                      <w:color w:val="auto"/>
                      <w:sz w:val="21"/>
                      <w:szCs w:val="21"/>
                    </w:rPr>
                    <w:t>监测频率</w:t>
                  </w:r>
                </w:p>
              </w:tc>
              <w:tc>
                <w:tcPr>
                  <w:tcW w:w="2065" w:type="pct"/>
                  <w:vAlign w:val="center"/>
                </w:tcPr>
                <w:p w14:paraId="20E21407">
                  <w:pPr>
                    <w:keepNext/>
                    <w:widowControl/>
                    <w:snapToGrid w:val="0"/>
                    <w:jc w:val="center"/>
                    <w:rPr>
                      <w:b/>
                      <w:color w:val="auto"/>
                      <w:sz w:val="21"/>
                      <w:szCs w:val="21"/>
                    </w:rPr>
                  </w:pPr>
                  <w:r>
                    <w:rPr>
                      <w:b/>
                      <w:color w:val="auto"/>
                      <w:sz w:val="21"/>
                      <w:szCs w:val="21"/>
                    </w:rPr>
                    <w:t>执行排放标准</w:t>
                  </w:r>
                </w:p>
              </w:tc>
            </w:tr>
            <w:tr w14:paraId="67BB85A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1197" w:type="pct"/>
                  <w:vAlign w:val="center"/>
                </w:tcPr>
                <w:p w14:paraId="1508A13D">
                  <w:pPr>
                    <w:keepNext/>
                    <w:widowControl/>
                    <w:jc w:val="center"/>
                    <w:rPr>
                      <w:color w:val="auto"/>
                      <w:sz w:val="21"/>
                      <w:szCs w:val="21"/>
                    </w:rPr>
                  </w:pPr>
                  <w:r>
                    <w:rPr>
                      <w:rFonts w:hint="eastAsia"/>
                      <w:color w:val="auto"/>
                      <w:sz w:val="21"/>
                      <w:szCs w:val="21"/>
                    </w:rPr>
                    <w:t>东</w:t>
                  </w:r>
                  <w:r>
                    <w:rPr>
                      <w:rFonts w:hint="eastAsia"/>
                      <w:color w:val="auto"/>
                      <w:sz w:val="21"/>
                      <w:szCs w:val="21"/>
                      <w:lang w:val="en-US" w:eastAsia="zh-CN"/>
                    </w:rPr>
                    <w:t>、南</w:t>
                  </w:r>
                  <w:r>
                    <w:rPr>
                      <w:rFonts w:hint="eastAsia"/>
                      <w:color w:val="auto"/>
                      <w:sz w:val="21"/>
                      <w:szCs w:val="21"/>
                    </w:rPr>
                    <w:t>、北厂界外1m处</w:t>
                  </w:r>
                </w:p>
              </w:tc>
              <w:tc>
                <w:tcPr>
                  <w:tcW w:w="756" w:type="pct"/>
                  <w:vMerge w:val="restart"/>
                  <w:vAlign w:val="center"/>
                </w:tcPr>
                <w:p w14:paraId="1DC8967D">
                  <w:pPr>
                    <w:keepNext/>
                    <w:widowControl/>
                    <w:jc w:val="center"/>
                    <w:rPr>
                      <w:color w:val="auto"/>
                      <w:sz w:val="21"/>
                      <w:szCs w:val="21"/>
                    </w:rPr>
                  </w:pPr>
                  <w:r>
                    <w:rPr>
                      <w:color w:val="auto"/>
                      <w:sz w:val="21"/>
                      <w:szCs w:val="21"/>
                    </w:rPr>
                    <w:t>等效连续A声级</w:t>
                  </w:r>
                </w:p>
              </w:tc>
              <w:tc>
                <w:tcPr>
                  <w:tcW w:w="980" w:type="pct"/>
                  <w:vMerge w:val="restart"/>
                  <w:vAlign w:val="center"/>
                </w:tcPr>
                <w:p w14:paraId="695E0E21">
                  <w:pPr>
                    <w:keepNext/>
                    <w:widowControl/>
                    <w:jc w:val="center"/>
                    <w:rPr>
                      <w:color w:val="auto"/>
                      <w:sz w:val="21"/>
                      <w:szCs w:val="21"/>
                    </w:rPr>
                  </w:pPr>
                  <w:r>
                    <w:rPr>
                      <w:color w:val="auto"/>
                      <w:sz w:val="21"/>
                      <w:szCs w:val="21"/>
                    </w:rPr>
                    <w:t>每季度一次，昼</w:t>
                  </w:r>
                  <w:r>
                    <w:rPr>
                      <w:rFonts w:hint="eastAsia"/>
                      <w:color w:val="auto"/>
                      <w:sz w:val="21"/>
                      <w:szCs w:val="21"/>
                      <w:lang w:val="en-US" w:eastAsia="zh-CN"/>
                    </w:rPr>
                    <w:t>夜</w:t>
                  </w:r>
                  <w:r>
                    <w:rPr>
                      <w:color w:val="auto"/>
                      <w:sz w:val="21"/>
                      <w:szCs w:val="21"/>
                    </w:rPr>
                    <w:t>监测</w:t>
                  </w:r>
                </w:p>
              </w:tc>
              <w:tc>
                <w:tcPr>
                  <w:tcW w:w="2065" w:type="pct"/>
                  <w:vAlign w:val="center"/>
                </w:tcPr>
                <w:p w14:paraId="5B82A2C0">
                  <w:pPr>
                    <w:keepNext/>
                    <w:widowControl/>
                    <w:jc w:val="center"/>
                    <w:rPr>
                      <w:color w:val="auto"/>
                      <w:sz w:val="21"/>
                      <w:szCs w:val="21"/>
                    </w:rPr>
                  </w:pPr>
                  <w:r>
                    <w:rPr>
                      <w:color w:val="auto"/>
                      <w:sz w:val="21"/>
                      <w:szCs w:val="21"/>
                    </w:rPr>
                    <w:t>《工业企业厂界环境噪声排放标准》（GB12348-2008）</w:t>
                  </w:r>
                  <w:r>
                    <w:rPr>
                      <w:rFonts w:hint="eastAsia"/>
                      <w:color w:val="auto"/>
                      <w:sz w:val="21"/>
                      <w:szCs w:val="21"/>
                      <w:lang w:val="en-US" w:eastAsia="zh-CN"/>
                    </w:rPr>
                    <w:t>3</w:t>
                  </w:r>
                  <w:r>
                    <w:rPr>
                      <w:color w:val="auto"/>
                      <w:sz w:val="21"/>
                      <w:szCs w:val="21"/>
                    </w:rPr>
                    <w:t>类标准</w:t>
                  </w:r>
                </w:p>
              </w:tc>
            </w:tr>
            <w:tr w14:paraId="4DEB906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1197" w:type="pct"/>
                  <w:vAlign w:val="center"/>
                </w:tcPr>
                <w:p w14:paraId="690A9061">
                  <w:pPr>
                    <w:keepNext/>
                    <w:widowControl/>
                    <w:jc w:val="center"/>
                    <w:rPr>
                      <w:rFonts w:hint="eastAsia"/>
                      <w:color w:val="auto"/>
                      <w:sz w:val="21"/>
                      <w:szCs w:val="21"/>
                      <w:lang w:val="en-US" w:eastAsia="zh-CN"/>
                    </w:rPr>
                  </w:pPr>
                  <w:r>
                    <w:rPr>
                      <w:rFonts w:hint="eastAsia"/>
                      <w:color w:val="auto"/>
                      <w:sz w:val="21"/>
                      <w:szCs w:val="21"/>
                      <w:lang w:val="en-US" w:eastAsia="zh-CN"/>
                    </w:rPr>
                    <w:t>西厂界</w:t>
                  </w:r>
                  <w:r>
                    <w:rPr>
                      <w:rFonts w:hint="eastAsia"/>
                      <w:color w:val="auto"/>
                      <w:sz w:val="21"/>
                      <w:szCs w:val="21"/>
                    </w:rPr>
                    <w:t>外1m处</w:t>
                  </w:r>
                </w:p>
              </w:tc>
              <w:tc>
                <w:tcPr>
                  <w:tcW w:w="756" w:type="pct"/>
                  <w:vMerge w:val="continue"/>
                  <w:vAlign w:val="center"/>
                </w:tcPr>
                <w:p w14:paraId="0AA17ADC">
                  <w:pPr>
                    <w:keepNext/>
                    <w:widowControl/>
                    <w:jc w:val="center"/>
                    <w:rPr>
                      <w:color w:val="auto"/>
                      <w:sz w:val="21"/>
                      <w:szCs w:val="21"/>
                    </w:rPr>
                  </w:pPr>
                </w:p>
              </w:tc>
              <w:tc>
                <w:tcPr>
                  <w:tcW w:w="980" w:type="pct"/>
                  <w:vMerge w:val="continue"/>
                  <w:vAlign w:val="center"/>
                </w:tcPr>
                <w:p w14:paraId="25B319FB">
                  <w:pPr>
                    <w:keepNext/>
                    <w:widowControl/>
                    <w:jc w:val="center"/>
                    <w:rPr>
                      <w:color w:val="auto"/>
                      <w:sz w:val="21"/>
                      <w:szCs w:val="21"/>
                    </w:rPr>
                  </w:pPr>
                </w:p>
              </w:tc>
              <w:tc>
                <w:tcPr>
                  <w:tcW w:w="2065" w:type="pct"/>
                  <w:vAlign w:val="center"/>
                </w:tcPr>
                <w:p w14:paraId="7AA92279">
                  <w:pPr>
                    <w:keepNext/>
                    <w:widowControl/>
                    <w:jc w:val="center"/>
                    <w:rPr>
                      <w:color w:val="auto"/>
                      <w:sz w:val="21"/>
                      <w:szCs w:val="21"/>
                    </w:rPr>
                  </w:pPr>
                  <w:r>
                    <w:rPr>
                      <w:color w:val="auto"/>
                      <w:sz w:val="21"/>
                      <w:szCs w:val="21"/>
                    </w:rPr>
                    <w:t>《工业企业厂界环境噪声排放标准》（GB12348-2008）</w:t>
                  </w:r>
                  <w:r>
                    <w:rPr>
                      <w:rFonts w:hint="eastAsia"/>
                      <w:color w:val="auto"/>
                      <w:sz w:val="21"/>
                      <w:szCs w:val="21"/>
                      <w:lang w:val="en-US" w:eastAsia="zh-CN"/>
                    </w:rPr>
                    <w:t>4</w:t>
                  </w:r>
                  <w:r>
                    <w:rPr>
                      <w:color w:val="auto"/>
                      <w:sz w:val="21"/>
                      <w:szCs w:val="21"/>
                    </w:rPr>
                    <w:t>类标准</w:t>
                  </w:r>
                </w:p>
              </w:tc>
            </w:tr>
          </w:tbl>
          <w:p w14:paraId="2D6FD700">
            <w:pPr>
              <w:adjustRightInd w:val="0"/>
              <w:snapToGrid w:val="0"/>
              <w:spacing w:before="120" w:beforeLines="50" w:line="360" w:lineRule="auto"/>
              <w:ind w:firstLine="482" w:firstLineChars="200"/>
              <w:rPr>
                <w:b/>
                <w:color w:val="auto"/>
                <w:sz w:val="24"/>
                <w:szCs w:val="24"/>
              </w:rPr>
            </w:pPr>
            <w:r>
              <w:rPr>
                <w:b/>
                <w:color w:val="auto"/>
                <w:sz w:val="24"/>
                <w:szCs w:val="24"/>
              </w:rPr>
              <w:t>4</w:t>
            </w:r>
            <w:r>
              <w:rPr>
                <w:rFonts w:hint="eastAsia"/>
                <w:b/>
                <w:color w:val="auto"/>
                <w:sz w:val="24"/>
                <w:szCs w:val="24"/>
              </w:rPr>
              <w:t>、</w:t>
            </w:r>
            <w:r>
              <w:rPr>
                <w:b/>
                <w:color w:val="auto"/>
                <w:sz w:val="24"/>
                <w:szCs w:val="24"/>
              </w:rPr>
              <w:t>固废</w:t>
            </w:r>
            <w:r>
              <w:rPr>
                <w:b/>
                <w:color w:val="auto"/>
                <w:spacing w:val="-10"/>
                <w:sz w:val="24"/>
                <w:szCs w:val="24"/>
              </w:rPr>
              <w:t>环境影响及保护措施</w:t>
            </w:r>
          </w:p>
          <w:p w14:paraId="1D8C8210">
            <w:pPr>
              <w:adjustRightInd w:val="0"/>
              <w:snapToGrid w:val="0"/>
              <w:spacing w:line="360" w:lineRule="auto"/>
              <w:ind w:firstLine="482" w:firstLineChars="200"/>
              <w:rPr>
                <w:b/>
                <w:color w:val="auto"/>
                <w:sz w:val="24"/>
                <w:szCs w:val="24"/>
              </w:rPr>
            </w:pPr>
            <w:r>
              <w:rPr>
                <w:b/>
                <w:color w:val="auto"/>
                <w:sz w:val="24"/>
                <w:szCs w:val="24"/>
              </w:rPr>
              <w:t>4.1固废产生及处置情况</w:t>
            </w:r>
          </w:p>
          <w:p w14:paraId="584A13F3">
            <w:pPr>
              <w:spacing w:line="360" w:lineRule="auto"/>
              <w:ind w:firstLine="480" w:firstLineChars="200"/>
              <w:rPr>
                <w:color w:val="auto"/>
                <w:sz w:val="24"/>
                <w:szCs w:val="24"/>
              </w:rPr>
            </w:pPr>
            <w:r>
              <w:rPr>
                <w:rFonts w:hint="eastAsia"/>
                <w:color w:val="auto"/>
                <w:sz w:val="24"/>
                <w:szCs w:val="24"/>
                <w:lang w:val="en-US" w:eastAsia="zh-CN"/>
              </w:rPr>
              <w:t>本</w:t>
            </w:r>
            <w:r>
              <w:rPr>
                <w:rFonts w:hint="eastAsia"/>
                <w:color w:val="auto"/>
                <w:sz w:val="24"/>
                <w:szCs w:val="24"/>
              </w:rPr>
              <w:t>项目产生的固废主要为生活垃圾</w:t>
            </w:r>
            <w:r>
              <w:rPr>
                <w:rFonts w:hint="eastAsia"/>
                <w:color w:val="auto"/>
                <w:sz w:val="24"/>
                <w:szCs w:val="24"/>
                <w:lang w:eastAsia="zh-CN"/>
              </w:rPr>
              <w:t>、边角料、抛光废料、废布袋、收集尘、废包装材料、废耐火材料、废深孔钻油、废切削液、废刷子、废抹布及手套、废包装桶、废油桶、废润滑油、废液压油、浓液、过滤材料、空压机含油废水、废电池、废油、金属屑</w:t>
            </w:r>
            <w:r>
              <w:rPr>
                <w:rFonts w:hint="eastAsia"/>
                <w:color w:val="auto"/>
                <w:sz w:val="24"/>
                <w:szCs w:val="24"/>
              </w:rPr>
              <w:t>。</w:t>
            </w:r>
          </w:p>
          <w:p w14:paraId="1F849313">
            <w:pPr>
              <w:keepNext w:val="0"/>
              <w:keepLines w:val="0"/>
              <w:pageBreakBefore w:val="0"/>
              <w:widowControl w:val="0"/>
              <w:numPr>
                <w:ilvl w:val="0"/>
                <w:numId w:val="12"/>
              </w:numPr>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eastAsia="宋体" w:cs="Times New Roman"/>
                <w:bCs/>
                <w:color w:val="auto"/>
                <w:sz w:val="24"/>
                <w:szCs w:val="24"/>
              </w:rPr>
            </w:pPr>
            <w:r>
              <w:rPr>
                <w:rFonts w:hint="default" w:ascii="Times New Roman" w:hAnsi="Times New Roman" w:eastAsia="宋体" w:cs="Times New Roman"/>
                <w:color w:val="auto"/>
                <w:sz w:val="24"/>
                <w:szCs w:val="24"/>
                <w:lang w:eastAsia="zh-CN"/>
              </w:rPr>
              <w:t>生活垃圾</w:t>
            </w:r>
          </w:p>
          <w:p w14:paraId="5526E6FA">
            <w:pPr>
              <w:spacing w:line="360" w:lineRule="auto"/>
              <w:ind w:firstLine="480" w:firstLineChars="200"/>
              <w:rPr>
                <w:rFonts w:hint="default" w:ascii="Times New Roman" w:hAnsi="Times New Roman" w:eastAsia="宋体" w:cs="Times New Roman"/>
                <w:bCs/>
                <w:color w:val="auto"/>
                <w:sz w:val="24"/>
                <w:szCs w:val="24"/>
              </w:rPr>
            </w:pPr>
            <w:r>
              <w:rPr>
                <w:rFonts w:hint="eastAsia" w:cs="Times New Roman"/>
                <w:bCs/>
                <w:color w:val="auto"/>
                <w:sz w:val="24"/>
                <w:szCs w:val="24"/>
                <w:lang w:val="en-US" w:eastAsia="zh-CN"/>
              </w:rPr>
              <w:t>扩建项目新增员工</w:t>
            </w:r>
            <w:r>
              <w:rPr>
                <w:rFonts w:hint="default" w:ascii="Times New Roman" w:hAnsi="Times New Roman" w:eastAsia="宋体" w:cs="Times New Roman"/>
                <w:bCs/>
                <w:color w:val="auto"/>
                <w:sz w:val="24"/>
                <w:szCs w:val="24"/>
              </w:rPr>
              <w:t>35人，一般生活垃圾按每人每天1.0kg计算，年工作时间为354天，则产生量为</w:t>
            </w:r>
            <w:r>
              <w:rPr>
                <w:rFonts w:hint="eastAsia" w:cs="Times New Roman"/>
                <w:bCs/>
                <w:color w:val="auto"/>
                <w:sz w:val="24"/>
                <w:szCs w:val="24"/>
                <w:lang w:val="en-US" w:eastAsia="zh-CN"/>
              </w:rPr>
              <w:t>12.39</w:t>
            </w:r>
            <w:r>
              <w:rPr>
                <w:rFonts w:hint="default" w:ascii="Times New Roman" w:hAnsi="Times New Roman" w:eastAsia="宋体" w:cs="Times New Roman"/>
                <w:bCs/>
                <w:color w:val="auto"/>
                <w:sz w:val="24"/>
                <w:szCs w:val="24"/>
              </w:rPr>
              <w:t>t/a，由环卫部门清运。</w:t>
            </w:r>
          </w:p>
          <w:p w14:paraId="411F7FD9">
            <w:pPr>
              <w:keepNext w:val="0"/>
              <w:keepLines w:val="0"/>
              <w:pageBreakBefore w:val="0"/>
              <w:widowControl w:val="0"/>
              <w:numPr>
                <w:ilvl w:val="0"/>
                <w:numId w:val="12"/>
              </w:numPr>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eastAsia="宋体" w:cs="Times New Roman"/>
                <w:bCs/>
                <w:color w:val="auto"/>
                <w:sz w:val="24"/>
                <w:szCs w:val="24"/>
              </w:rPr>
            </w:pPr>
            <w:r>
              <w:rPr>
                <w:rFonts w:hint="eastAsia"/>
                <w:color w:val="auto"/>
                <w:sz w:val="24"/>
                <w:szCs w:val="24"/>
                <w:lang w:eastAsia="zh-CN"/>
              </w:rPr>
              <w:t>边角料</w:t>
            </w:r>
          </w:p>
          <w:p w14:paraId="663E6D8D">
            <w:pPr>
              <w:spacing w:line="360" w:lineRule="auto"/>
              <w:ind w:firstLine="480" w:firstLineChars="200"/>
              <w:rPr>
                <w:rFonts w:hint="eastAsia"/>
                <w:bCs/>
                <w:color w:val="auto"/>
                <w:sz w:val="24"/>
                <w:szCs w:val="24"/>
              </w:rPr>
            </w:pPr>
            <w:r>
              <w:rPr>
                <w:rFonts w:hint="eastAsia"/>
                <w:bCs/>
                <w:color w:val="auto"/>
                <w:sz w:val="24"/>
                <w:szCs w:val="24"/>
                <w:lang w:val="en-US" w:eastAsia="zh-CN"/>
              </w:rPr>
              <w:t>本项目精加工</w:t>
            </w:r>
            <w:r>
              <w:rPr>
                <w:rFonts w:hint="eastAsia"/>
                <w:bCs/>
                <w:color w:val="auto"/>
                <w:sz w:val="24"/>
                <w:szCs w:val="24"/>
              </w:rPr>
              <w:t>工序会产生边角料，根据</w:t>
            </w:r>
            <w:r>
              <w:rPr>
                <w:rFonts w:hint="eastAsia"/>
                <w:bCs/>
                <w:color w:val="auto"/>
                <w:sz w:val="24"/>
                <w:szCs w:val="24"/>
                <w:lang w:val="en-US" w:eastAsia="zh-CN"/>
              </w:rPr>
              <w:t>建设单位提供资料</w:t>
            </w:r>
            <w:r>
              <w:rPr>
                <w:rFonts w:hint="eastAsia"/>
                <w:bCs/>
                <w:color w:val="auto"/>
                <w:sz w:val="24"/>
                <w:szCs w:val="24"/>
              </w:rPr>
              <w:t>，本项目边角料产生量约为</w:t>
            </w:r>
            <w:r>
              <w:rPr>
                <w:rFonts w:hint="eastAsia"/>
                <w:bCs/>
                <w:color w:val="auto"/>
                <w:sz w:val="24"/>
                <w:szCs w:val="24"/>
                <w:lang w:val="en-US" w:eastAsia="zh-CN"/>
              </w:rPr>
              <w:t>100</w:t>
            </w:r>
            <w:r>
              <w:rPr>
                <w:rFonts w:hint="eastAsia"/>
                <w:bCs/>
                <w:color w:val="auto"/>
                <w:sz w:val="24"/>
                <w:szCs w:val="24"/>
              </w:rPr>
              <w:t>t/a，集中收集后外售综合利用。</w:t>
            </w:r>
          </w:p>
          <w:p w14:paraId="0C0C9D36">
            <w:pPr>
              <w:keepNext w:val="0"/>
              <w:keepLines w:val="0"/>
              <w:pageBreakBefore w:val="0"/>
              <w:widowControl w:val="0"/>
              <w:numPr>
                <w:ilvl w:val="0"/>
                <w:numId w:val="12"/>
              </w:numPr>
              <w:kinsoku/>
              <w:wordWrap/>
              <w:overflowPunct/>
              <w:topLinePunct w:val="0"/>
              <w:autoSpaceDE/>
              <w:autoSpaceDN/>
              <w:bidi w:val="0"/>
              <w:adjustRightInd/>
              <w:snapToGrid/>
              <w:spacing w:line="360" w:lineRule="auto"/>
              <w:ind w:left="0" w:leftChars="0" w:firstLine="480" w:firstLineChars="200"/>
              <w:textAlignment w:val="auto"/>
              <w:rPr>
                <w:rFonts w:hint="eastAsia" w:ascii="Times New Roman" w:hAnsi="Times New Roman" w:eastAsia="宋体" w:cs="Times New Roman"/>
                <w:bCs/>
                <w:color w:val="auto"/>
                <w:sz w:val="24"/>
                <w:szCs w:val="24"/>
                <w:lang w:eastAsia="zh-CN"/>
              </w:rPr>
            </w:pPr>
            <w:r>
              <w:rPr>
                <w:rFonts w:hint="eastAsia" w:ascii="Times New Roman" w:hAnsi="Times New Roman" w:eastAsia="宋体" w:cs="Times New Roman"/>
                <w:bCs/>
                <w:color w:val="auto"/>
                <w:sz w:val="24"/>
                <w:szCs w:val="24"/>
                <w:lang w:eastAsia="zh-CN"/>
              </w:rPr>
              <w:t>废布袋</w:t>
            </w:r>
          </w:p>
          <w:p w14:paraId="6B292DE8">
            <w:pPr>
              <w:spacing w:line="360" w:lineRule="auto"/>
              <w:ind w:firstLine="480" w:firstLineChars="200"/>
              <w:rPr>
                <w:rFonts w:hint="eastAsia"/>
                <w:bCs/>
                <w:color w:val="auto"/>
                <w:sz w:val="24"/>
                <w:szCs w:val="24"/>
              </w:rPr>
            </w:pPr>
            <w:r>
              <w:rPr>
                <w:rFonts w:hint="eastAsia"/>
                <w:bCs/>
                <w:color w:val="auto"/>
                <w:sz w:val="24"/>
                <w:szCs w:val="24"/>
              </w:rPr>
              <w:t>本项目移动式布袋除尘器、布袋除尘器处理废气过程</w:t>
            </w:r>
            <w:r>
              <w:rPr>
                <w:rFonts w:hint="eastAsia"/>
                <w:bCs/>
                <w:color w:val="auto"/>
                <w:sz w:val="24"/>
                <w:szCs w:val="24"/>
                <w:lang w:val="en-US" w:eastAsia="zh-CN"/>
              </w:rPr>
              <w:t>布袋</w:t>
            </w:r>
            <w:r>
              <w:rPr>
                <w:rFonts w:hint="eastAsia"/>
                <w:bCs/>
                <w:color w:val="auto"/>
                <w:sz w:val="24"/>
                <w:szCs w:val="24"/>
              </w:rPr>
              <w:t>定期更换会产生废</w:t>
            </w:r>
            <w:r>
              <w:rPr>
                <w:rFonts w:hint="eastAsia"/>
                <w:bCs/>
                <w:color w:val="auto"/>
                <w:sz w:val="24"/>
                <w:szCs w:val="24"/>
                <w:lang w:val="en-US" w:eastAsia="zh-CN"/>
              </w:rPr>
              <w:t>布袋</w:t>
            </w:r>
            <w:r>
              <w:rPr>
                <w:rFonts w:hint="eastAsia"/>
                <w:bCs/>
                <w:color w:val="auto"/>
                <w:sz w:val="24"/>
                <w:szCs w:val="24"/>
              </w:rPr>
              <w:t>，根据建设单位提供资料，废布袋产生量约为0.</w:t>
            </w:r>
            <w:r>
              <w:rPr>
                <w:rFonts w:hint="eastAsia"/>
                <w:bCs/>
                <w:color w:val="auto"/>
                <w:sz w:val="24"/>
                <w:szCs w:val="24"/>
                <w:lang w:val="en-US" w:eastAsia="zh-CN"/>
              </w:rPr>
              <w:t>05</w:t>
            </w:r>
            <w:r>
              <w:rPr>
                <w:rFonts w:hint="eastAsia"/>
                <w:bCs/>
                <w:color w:val="auto"/>
                <w:sz w:val="24"/>
                <w:szCs w:val="24"/>
              </w:rPr>
              <w:t>t/a，属于一般固废，集中收集后外售综合利用。</w:t>
            </w:r>
          </w:p>
          <w:p w14:paraId="68D5E2BA">
            <w:pPr>
              <w:keepNext w:val="0"/>
              <w:keepLines w:val="0"/>
              <w:pageBreakBefore w:val="0"/>
              <w:widowControl w:val="0"/>
              <w:numPr>
                <w:ilvl w:val="0"/>
                <w:numId w:val="12"/>
              </w:numPr>
              <w:kinsoku/>
              <w:wordWrap/>
              <w:overflowPunct/>
              <w:topLinePunct w:val="0"/>
              <w:autoSpaceDE/>
              <w:autoSpaceDN/>
              <w:bidi w:val="0"/>
              <w:adjustRightInd/>
              <w:snapToGrid/>
              <w:spacing w:line="360" w:lineRule="auto"/>
              <w:ind w:left="0" w:leftChars="0" w:firstLine="480" w:firstLineChars="200"/>
              <w:textAlignment w:val="auto"/>
              <w:rPr>
                <w:rFonts w:hint="eastAsia" w:ascii="Times New Roman" w:hAnsi="Times New Roman" w:eastAsia="宋体" w:cs="Times New Roman"/>
                <w:color w:val="auto"/>
                <w:sz w:val="24"/>
                <w:szCs w:val="24"/>
                <w:lang w:eastAsia="zh-CN"/>
              </w:rPr>
            </w:pPr>
            <w:r>
              <w:rPr>
                <w:rFonts w:hint="eastAsia"/>
                <w:color w:val="auto"/>
                <w:sz w:val="24"/>
                <w:szCs w:val="24"/>
                <w:lang w:eastAsia="zh-CN"/>
              </w:rPr>
              <w:t>收集尘</w:t>
            </w:r>
          </w:p>
          <w:p w14:paraId="2F459804">
            <w:pPr>
              <w:spacing w:line="360" w:lineRule="auto"/>
              <w:ind w:firstLine="480" w:firstLineChars="200"/>
              <w:rPr>
                <w:rFonts w:hint="default" w:ascii="Times New Roman" w:hAnsi="Times New Roman" w:eastAsia="宋体" w:cs="Times New Roman"/>
                <w:bCs/>
                <w:color w:val="auto"/>
                <w:sz w:val="24"/>
                <w:szCs w:val="24"/>
                <w:lang w:val="en-US" w:eastAsia="zh-CN"/>
              </w:rPr>
            </w:pPr>
            <w:r>
              <w:rPr>
                <w:rFonts w:hint="default" w:ascii="Times New Roman" w:hAnsi="Times New Roman" w:eastAsia="宋体" w:cs="Times New Roman"/>
                <w:bCs/>
                <w:color w:val="auto"/>
                <w:sz w:val="24"/>
                <w:szCs w:val="24"/>
              </w:rPr>
              <w:t>本项目移动式布袋除尘器、布袋除尘器处理颗粒物过程产生收集尘。根据废气章节计算，收集尘产生量约为</w:t>
            </w:r>
            <w:r>
              <w:rPr>
                <w:rFonts w:hint="eastAsia" w:cs="Times New Roman"/>
                <w:bCs/>
                <w:color w:val="auto"/>
                <w:sz w:val="24"/>
                <w:szCs w:val="24"/>
                <w:lang w:val="en-US" w:eastAsia="zh-CN"/>
              </w:rPr>
              <w:t>0.1637</w:t>
            </w:r>
            <w:r>
              <w:rPr>
                <w:rFonts w:hint="default" w:ascii="Times New Roman" w:hAnsi="Times New Roman" w:eastAsia="宋体" w:cs="Times New Roman"/>
                <w:bCs/>
                <w:color w:val="auto"/>
                <w:sz w:val="24"/>
                <w:szCs w:val="24"/>
              </w:rPr>
              <w:t>t/a，集中收集后外售综合利用。</w:t>
            </w:r>
          </w:p>
          <w:p w14:paraId="2CB5824D">
            <w:pPr>
              <w:numPr>
                <w:ilvl w:val="0"/>
                <w:numId w:val="12"/>
              </w:numPr>
              <w:spacing w:line="360" w:lineRule="auto"/>
              <w:ind w:left="0" w:leftChars="0" w:firstLine="480" w:firstLineChars="200"/>
              <w:rPr>
                <w:rFonts w:hint="eastAsia"/>
                <w:color w:val="auto"/>
                <w:sz w:val="24"/>
                <w:szCs w:val="24"/>
                <w:lang w:eastAsia="zh-CN"/>
              </w:rPr>
            </w:pPr>
            <w:r>
              <w:rPr>
                <w:rFonts w:hint="eastAsia"/>
                <w:color w:val="auto"/>
                <w:sz w:val="24"/>
                <w:szCs w:val="24"/>
                <w:lang w:eastAsia="zh-CN"/>
              </w:rPr>
              <w:t>废包装材料</w:t>
            </w:r>
          </w:p>
          <w:p w14:paraId="66420163">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leftChars="0" w:firstLine="480" w:firstLineChars="200"/>
              <w:textAlignment w:val="auto"/>
              <w:rPr>
                <w:rFonts w:hint="eastAsia" w:eastAsia="宋体"/>
                <w:bCs/>
                <w:color w:val="auto"/>
                <w:sz w:val="24"/>
                <w:szCs w:val="24"/>
                <w:lang w:eastAsia="zh-CN"/>
              </w:rPr>
            </w:pPr>
            <w:r>
              <w:rPr>
                <w:rFonts w:hint="eastAsia"/>
                <w:bCs/>
                <w:color w:val="auto"/>
                <w:sz w:val="24"/>
                <w:szCs w:val="24"/>
              </w:rPr>
              <w:t>本项目原辅料使用产生废包装材料，根据建设单位提供资料，废包装材料产生量为0.</w:t>
            </w:r>
            <w:r>
              <w:rPr>
                <w:rFonts w:hint="eastAsia"/>
                <w:bCs/>
                <w:color w:val="auto"/>
                <w:sz w:val="24"/>
                <w:szCs w:val="24"/>
                <w:lang w:val="en-US" w:eastAsia="zh-CN"/>
              </w:rPr>
              <w:t>5</w:t>
            </w:r>
            <w:r>
              <w:rPr>
                <w:rFonts w:hint="eastAsia"/>
                <w:bCs/>
                <w:color w:val="auto"/>
                <w:sz w:val="24"/>
                <w:szCs w:val="24"/>
              </w:rPr>
              <w:t>t/a，属于一般固废，集中收集后外售综合利用。</w:t>
            </w:r>
          </w:p>
          <w:p w14:paraId="7D2EB445">
            <w:pPr>
              <w:numPr>
                <w:ilvl w:val="0"/>
                <w:numId w:val="12"/>
              </w:numPr>
              <w:spacing w:line="360" w:lineRule="auto"/>
              <w:ind w:left="0" w:leftChars="0" w:firstLine="480" w:firstLineChars="200"/>
              <w:rPr>
                <w:rFonts w:hint="eastAsia" w:eastAsia="宋体"/>
                <w:bCs/>
                <w:color w:val="auto"/>
                <w:sz w:val="24"/>
                <w:szCs w:val="24"/>
                <w:lang w:eastAsia="zh-CN"/>
              </w:rPr>
            </w:pPr>
            <w:r>
              <w:rPr>
                <w:rFonts w:hint="eastAsia" w:eastAsia="宋体"/>
                <w:bCs/>
                <w:color w:val="auto"/>
                <w:sz w:val="24"/>
                <w:szCs w:val="24"/>
                <w:lang w:eastAsia="zh-CN"/>
              </w:rPr>
              <w:t>废耐火材料</w:t>
            </w:r>
          </w:p>
          <w:p w14:paraId="2004E5E0">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leftChars="0" w:firstLine="480" w:firstLineChars="200"/>
              <w:textAlignment w:val="auto"/>
              <w:rPr>
                <w:rFonts w:hint="eastAsia" w:eastAsia="宋体"/>
                <w:bCs/>
                <w:color w:val="auto"/>
                <w:sz w:val="24"/>
                <w:szCs w:val="24"/>
                <w:lang w:eastAsia="zh-CN"/>
              </w:rPr>
            </w:pPr>
            <w:r>
              <w:rPr>
                <w:rFonts w:hint="eastAsia" w:eastAsia="宋体"/>
                <w:bCs/>
                <w:color w:val="auto"/>
                <w:sz w:val="24"/>
                <w:szCs w:val="24"/>
                <w:lang w:eastAsia="zh-CN"/>
              </w:rPr>
              <w:t>本项目真空炉耐火材料定期更换产生废耐火材料，根据建设单位提供资料，耐火材料每五年更换一次，每次更换量约为</w:t>
            </w:r>
            <w:r>
              <w:rPr>
                <w:rFonts w:hint="eastAsia"/>
                <w:bCs/>
                <w:color w:val="auto"/>
                <w:sz w:val="24"/>
                <w:szCs w:val="24"/>
                <w:lang w:val="en-US" w:eastAsia="zh-CN"/>
              </w:rPr>
              <w:t>0.3</w:t>
            </w:r>
            <w:r>
              <w:rPr>
                <w:rFonts w:hint="eastAsia" w:eastAsia="宋体"/>
                <w:bCs/>
                <w:color w:val="auto"/>
                <w:sz w:val="24"/>
                <w:szCs w:val="24"/>
                <w:lang w:eastAsia="zh-CN"/>
              </w:rPr>
              <w:t>吨，则废耐火材料产生量为</w:t>
            </w:r>
            <w:r>
              <w:rPr>
                <w:rFonts w:hint="eastAsia"/>
                <w:bCs/>
                <w:color w:val="auto"/>
                <w:sz w:val="24"/>
                <w:szCs w:val="24"/>
                <w:lang w:val="en-US" w:eastAsia="zh-CN"/>
              </w:rPr>
              <w:t>0.3</w:t>
            </w:r>
            <w:r>
              <w:rPr>
                <w:rFonts w:hint="eastAsia" w:eastAsia="宋体"/>
                <w:bCs/>
                <w:color w:val="auto"/>
                <w:sz w:val="24"/>
                <w:szCs w:val="24"/>
                <w:lang w:eastAsia="zh-CN"/>
              </w:rPr>
              <w:t>t/</w:t>
            </w:r>
            <w:r>
              <w:rPr>
                <w:rFonts w:hint="eastAsia"/>
                <w:bCs/>
                <w:color w:val="auto"/>
                <w:sz w:val="24"/>
                <w:szCs w:val="24"/>
                <w:lang w:val="en-US" w:eastAsia="zh-CN"/>
              </w:rPr>
              <w:t>5</w:t>
            </w:r>
            <w:r>
              <w:rPr>
                <w:rFonts w:hint="eastAsia" w:eastAsia="宋体"/>
                <w:bCs/>
                <w:color w:val="auto"/>
                <w:sz w:val="24"/>
                <w:szCs w:val="24"/>
                <w:lang w:eastAsia="zh-CN"/>
              </w:rPr>
              <w:t>a，属于一般固废，集中收集后外售综合利用。</w:t>
            </w:r>
          </w:p>
          <w:p w14:paraId="0722C52D">
            <w:pPr>
              <w:numPr>
                <w:ilvl w:val="0"/>
                <w:numId w:val="12"/>
              </w:numPr>
              <w:spacing w:line="360" w:lineRule="auto"/>
              <w:ind w:left="0" w:leftChars="0" w:firstLine="480" w:firstLineChars="200"/>
              <w:rPr>
                <w:rFonts w:hint="eastAsia" w:eastAsia="宋体"/>
                <w:bCs/>
                <w:color w:val="auto"/>
                <w:sz w:val="24"/>
                <w:szCs w:val="24"/>
                <w:lang w:eastAsia="zh-CN"/>
              </w:rPr>
            </w:pPr>
            <w:r>
              <w:rPr>
                <w:rFonts w:hint="eastAsia"/>
                <w:color w:val="auto"/>
                <w:sz w:val="24"/>
                <w:szCs w:val="24"/>
                <w:lang w:eastAsia="zh-CN"/>
              </w:rPr>
              <w:t>废深孔钻油</w:t>
            </w:r>
          </w:p>
          <w:p w14:paraId="725A48D1">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leftChars="0" w:firstLine="480" w:firstLineChars="200"/>
              <w:textAlignment w:val="auto"/>
              <w:rPr>
                <w:rFonts w:hint="eastAsia"/>
                <w:bCs/>
                <w:color w:val="auto"/>
                <w:sz w:val="24"/>
                <w:szCs w:val="24"/>
                <w:lang w:eastAsia="zh-CN"/>
              </w:rPr>
            </w:pPr>
            <w:r>
              <w:rPr>
                <w:rFonts w:hint="eastAsia"/>
                <w:bCs/>
                <w:color w:val="auto"/>
                <w:sz w:val="24"/>
                <w:szCs w:val="24"/>
              </w:rPr>
              <w:t>本项目钻孔、倒角</w:t>
            </w:r>
            <w:r>
              <w:rPr>
                <w:rFonts w:hint="eastAsia"/>
                <w:bCs/>
                <w:color w:val="auto"/>
                <w:sz w:val="24"/>
                <w:szCs w:val="24"/>
                <w:lang w:val="en-US" w:eastAsia="zh-CN"/>
              </w:rPr>
              <w:t>工序</w:t>
            </w:r>
            <w:r>
              <w:rPr>
                <w:rFonts w:hint="eastAsia"/>
                <w:bCs/>
                <w:color w:val="auto"/>
                <w:sz w:val="24"/>
                <w:szCs w:val="24"/>
              </w:rPr>
              <w:t>会产生废深孔钻油，根据</w:t>
            </w:r>
            <w:r>
              <w:rPr>
                <w:rFonts w:hint="eastAsia"/>
                <w:bCs/>
                <w:color w:val="auto"/>
                <w:sz w:val="24"/>
                <w:szCs w:val="24"/>
                <w:lang w:val="en-US" w:eastAsia="zh-CN"/>
              </w:rPr>
              <w:t>建设单位</w:t>
            </w:r>
            <w:r>
              <w:rPr>
                <w:rFonts w:hint="eastAsia"/>
                <w:bCs/>
                <w:color w:val="auto"/>
                <w:sz w:val="24"/>
                <w:szCs w:val="24"/>
              </w:rPr>
              <w:t>提供资料，</w:t>
            </w:r>
            <w:r>
              <w:rPr>
                <w:rFonts w:hint="eastAsia"/>
                <w:bCs/>
                <w:color w:val="auto"/>
                <w:sz w:val="24"/>
                <w:szCs w:val="24"/>
                <w:lang w:val="en-US" w:eastAsia="zh-CN"/>
              </w:rPr>
              <w:t>使用过程深孔钻油会产生部分损耗，故</w:t>
            </w:r>
            <w:r>
              <w:rPr>
                <w:rFonts w:hint="eastAsia"/>
                <w:bCs/>
                <w:color w:val="auto"/>
                <w:sz w:val="24"/>
                <w:szCs w:val="24"/>
              </w:rPr>
              <w:t>废深孔钻油产生量约为</w:t>
            </w:r>
            <w:r>
              <w:rPr>
                <w:rFonts w:hint="eastAsia"/>
                <w:bCs/>
                <w:color w:val="auto"/>
                <w:sz w:val="24"/>
                <w:szCs w:val="24"/>
                <w:lang w:val="en-US" w:eastAsia="zh-CN"/>
              </w:rPr>
              <w:t>10.8</w:t>
            </w:r>
            <w:r>
              <w:rPr>
                <w:rFonts w:hint="eastAsia"/>
                <w:bCs/>
                <w:color w:val="auto"/>
                <w:sz w:val="24"/>
                <w:szCs w:val="24"/>
              </w:rPr>
              <w:t>t/a，属于危险废物，委托资质单位处置。</w:t>
            </w:r>
          </w:p>
          <w:p w14:paraId="220F5AD4">
            <w:pPr>
              <w:numPr>
                <w:ilvl w:val="0"/>
                <w:numId w:val="12"/>
              </w:numPr>
              <w:spacing w:line="360" w:lineRule="auto"/>
              <w:ind w:left="0" w:leftChars="0" w:firstLine="480" w:firstLineChars="200"/>
              <w:rPr>
                <w:rFonts w:hint="eastAsia" w:eastAsia="宋体"/>
                <w:bCs/>
                <w:color w:val="auto"/>
                <w:sz w:val="24"/>
                <w:szCs w:val="24"/>
                <w:lang w:eastAsia="zh-CN"/>
              </w:rPr>
            </w:pPr>
            <w:r>
              <w:rPr>
                <w:rFonts w:hint="eastAsia"/>
                <w:color w:val="auto"/>
                <w:sz w:val="24"/>
                <w:szCs w:val="24"/>
                <w:lang w:eastAsia="zh-CN"/>
              </w:rPr>
              <w:t>废切削液</w:t>
            </w:r>
          </w:p>
          <w:p w14:paraId="3BE8CAD0">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leftChars="0" w:firstLine="480" w:firstLineChars="200"/>
              <w:textAlignment w:val="auto"/>
              <w:rPr>
                <w:rFonts w:hint="eastAsia" w:eastAsia="宋体"/>
                <w:bCs/>
                <w:color w:val="auto"/>
                <w:sz w:val="24"/>
                <w:szCs w:val="24"/>
                <w:lang w:eastAsia="zh-CN"/>
              </w:rPr>
            </w:pPr>
            <w:r>
              <w:rPr>
                <w:rFonts w:hint="eastAsia"/>
                <w:bCs/>
                <w:color w:val="auto"/>
                <w:sz w:val="24"/>
                <w:szCs w:val="24"/>
              </w:rPr>
              <w:t>本项目切削液的使用量约为7t/a，使用时与水按1:10调配，则配比后的切削液为</w:t>
            </w:r>
            <w:r>
              <w:rPr>
                <w:rFonts w:hint="eastAsia"/>
                <w:bCs/>
                <w:color w:val="auto"/>
                <w:sz w:val="24"/>
                <w:szCs w:val="24"/>
                <w:lang w:val="en-US" w:eastAsia="zh-CN"/>
              </w:rPr>
              <w:t>77</w:t>
            </w:r>
            <w:r>
              <w:rPr>
                <w:rFonts w:hint="eastAsia"/>
                <w:bCs/>
                <w:color w:val="auto"/>
                <w:sz w:val="24"/>
                <w:szCs w:val="24"/>
              </w:rPr>
              <w:t>t/a。配制后的切削液用于工件加工，起润滑降温作用，考虑使用过程损耗，废切削液产生量约为</w:t>
            </w:r>
            <w:r>
              <w:rPr>
                <w:rFonts w:hint="eastAsia"/>
                <w:bCs/>
                <w:color w:val="auto"/>
                <w:sz w:val="24"/>
                <w:szCs w:val="24"/>
                <w:lang w:val="en-US" w:eastAsia="zh-CN"/>
              </w:rPr>
              <w:t>14</w:t>
            </w:r>
            <w:r>
              <w:rPr>
                <w:rFonts w:hint="eastAsia"/>
                <w:bCs/>
                <w:color w:val="auto"/>
                <w:sz w:val="24"/>
                <w:szCs w:val="24"/>
              </w:rPr>
              <w:t>t/a，属于危险废物，作为危废委托</w:t>
            </w:r>
            <w:r>
              <w:rPr>
                <w:rFonts w:hint="eastAsia"/>
                <w:bCs/>
                <w:color w:val="auto"/>
                <w:sz w:val="24"/>
                <w:szCs w:val="24"/>
                <w:lang w:val="en-US" w:eastAsia="zh-CN"/>
              </w:rPr>
              <w:t>有</w:t>
            </w:r>
            <w:r>
              <w:rPr>
                <w:rFonts w:hint="eastAsia"/>
                <w:bCs/>
                <w:color w:val="auto"/>
                <w:sz w:val="24"/>
                <w:szCs w:val="24"/>
              </w:rPr>
              <w:t>资质单位处置。</w:t>
            </w:r>
          </w:p>
          <w:p w14:paraId="40ADC3B4">
            <w:pPr>
              <w:numPr>
                <w:ilvl w:val="0"/>
                <w:numId w:val="12"/>
              </w:numPr>
              <w:spacing w:line="360" w:lineRule="auto"/>
              <w:ind w:left="0" w:leftChars="0" w:firstLine="480" w:firstLineChars="200"/>
              <w:rPr>
                <w:rFonts w:hint="eastAsia" w:eastAsia="宋体"/>
                <w:bCs/>
                <w:color w:val="auto"/>
                <w:sz w:val="24"/>
                <w:szCs w:val="24"/>
                <w:lang w:eastAsia="zh-CN"/>
              </w:rPr>
            </w:pPr>
            <w:r>
              <w:rPr>
                <w:rFonts w:hint="eastAsia"/>
                <w:color w:val="auto"/>
                <w:sz w:val="24"/>
                <w:szCs w:val="24"/>
                <w:lang w:eastAsia="zh-CN"/>
              </w:rPr>
              <w:t>废刷子</w:t>
            </w:r>
          </w:p>
          <w:p w14:paraId="09F1D5C3">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leftChars="0" w:firstLine="480" w:firstLineChars="200"/>
              <w:textAlignment w:val="auto"/>
              <w:rPr>
                <w:rFonts w:hint="eastAsia" w:ascii="Times New Roman" w:hAnsi="Times New Roman" w:eastAsia="宋体" w:cs="Times New Roman"/>
                <w:bCs/>
                <w:color w:val="auto"/>
                <w:sz w:val="24"/>
                <w:szCs w:val="24"/>
                <w:lang w:eastAsia="zh-CN"/>
              </w:rPr>
            </w:pPr>
            <w:r>
              <w:rPr>
                <w:rFonts w:hint="default" w:ascii="Times New Roman" w:hAnsi="Times New Roman" w:eastAsia="宋体" w:cs="Times New Roman"/>
                <w:bCs/>
                <w:color w:val="auto"/>
                <w:sz w:val="24"/>
                <w:szCs w:val="24"/>
              </w:rPr>
              <w:t>本项目包装</w:t>
            </w:r>
            <w:r>
              <w:rPr>
                <w:rFonts w:hint="eastAsia" w:ascii="Times New Roman" w:hAnsi="Times New Roman" w:eastAsia="宋体" w:cs="Times New Roman"/>
                <w:bCs/>
                <w:color w:val="auto"/>
                <w:sz w:val="24"/>
                <w:szCs w:val="24"/>
                <w:lang w:val="en-US" w:eastAsia="zh-CN"/>
              </w:rPr>
              <w:t>工序刷涂防锈油</w:t>
            </w:r>
            <w:r>
              <w:rPr>
                <w:rFonts w:hint="default" w:ascii="Times New Roman" w:hAnsi="Times New Roman" w:eastAsia="宋体" w:cs="Times New Roman"/>
                <w:bCs/>
                <w:color w:val="auto"/>
                <w:sz w:val="24"/>
                <w:szCs w:val="24"/>
              </w:rPr>
              <w:t>产生废刷子，根据建设单位提供资料，</w:t>
            </w:r>
            <w:r>
              <w:rPr>
                <w:rFonts w:hint="default" w:ascii="Times New Roman" w:hAnsi="Times New Roman" w:eastAsia="宋体" w:cs="Times New Roman"/>
                <w:bCs/>
                <w:color w:val="auto"/>
                <w:sz w:val="24"/>
                <w:szCs w:val="24"/>
                <w:lang w:eastAsia="zh-CN"/>
              </w:rPr>
              <w:t>废刷子</w:t>
            </w:r>
            <w:r>
              <w:rPr>
                <w:rFonts w:hint="default" w:ascii="Times New Roman" w:hAnsi="Times New Roman" w:eastAsia="宋体" w:cs="Times New Roman"/>
                <w:bCs/>
                <w:color w:val="auto"/>
                <w:sz w:val="24"/>
                <w:szCs w:val="24"/>
              </w:rPr>
              <w:t>产生量为0.</w:t>
            </w:r>
            <w:r>
              <w:rPr>
                <w:rFonts w:hint="eastAsia" w:ascii="Times New Roman" w:hAnsi="Times New Roman" w:eastAsia="宋体" w:cs="Times New Roman"/>
                <w:bCs/>
                <w:color w:val="auto"/>
                <w:sz w:val="24"/>
                <w:szCs w:val="24"/>
                <w:lang w:val="en-US" w:eastAsia="zh-CN"/>
              </w:rPr>
              <w:t>3</w:t>
            </w:r>
            <w:r>
              <w:rPr>
                <w:rFonts w:hint="default" w:ascii="Times New Roman" w:hAnsi="Times New Roman" w:eastAsia="宋体" w:cs="Times New Roman"/>
                <w:bCs/>
                <w:color w:val="auto"/>
                <w:sz w:val="24"/>
                <w:szCs w:val="24"/>
              </w:rPr>
              <w:t>t/a，属于危险废物，委托有资质单位处置</w:t>
            </w:r>
            <w:r>
              <w:rPr>
                <w:rFonts w:hint="eastAsia" w:ascii="Times New Roman" w:hAnsi="Times New Roman" w:eastAsia="宋体" w:cs="Times New Roman"/>
                <w:bCs/>
                <w:color w:val="auto"/>
                <w:sz w:val="24"/>
                <w:szCs w:val="24"/>
                <w:lang w:eastAsia="zh-CN"/>
              </w:rPr>
              <w:t>。</w:t>
            </w:r>
          </w:p>
          <w:p w14:paraId="15CE65FD">
            <w:pPr>
              <w:numPr>
                <w:ilvl w:val="0"/>
                <w:numId w:val="12"/>
              </w:numPr>
              <w:spacing w:line="360" w:lineRule="auto"/>
              <w:ind w:left="0" w:leftChars="0" w:firstLine="480" w:firstLineChars="200"/>
              <w:rPr>
                <w:rFonts w:hint="eastAsia" w:eastAsia="宋体"/>
                <w:bCs/>
                <w:color w:val="auto"/>
                <w:sz w:val="24"/>
                <w:szCs w:val="24"/>
                <w:lang w:eastAsia="zh-CN"/>
              </w:rPr>
            </w:pPr>
            <w:r>
              <w:rPr>
                <w:rFonts w:hint="eastAsia"/>
                <w:color w:val="auto"/>
                <w:sz w:val="24"/>
                <w:szCs w:val="24"/>
                <w:lang w:eastAsia="zh-CN"/>
              </w:rPr>
              <w:t>废抹布及手套</w:t>
            </w:r>
          </w:p>
          <w:p w14:paraId="4321D9F8">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leftChars="0" w:firstLine="480" w:firstLineChars="200"/>
              <w:textAlignment w:val="auto"/>
              <w:rPr>
                <w:rFonts w:hint="eastAsia" w:ascii="Times New Roman" w:hAnsi="Times New Roman" w:eastAsia="宋体" w:cs="Times New Roman"/>
                <w:bCs/>
                <w:color w:val="auto"/>
                <w:sz w:val="24"/>
                <w:szCs w:val="24"/>
                <w:lang w:eastAsia="zh-CN"/>
              </w:rPr>
            </w:pPr>
            <w:r>
              <w:rPr>
                <w:rFonts w:hint="eastAsia" w:ascii="Times New Roman" w:hAnsi="Times New Roman" w:eastAsia="宋体" w:cs="Times New Roman"/>
                <w:bCs/>
                <w:color w:val="auto"/>
                <w:sz w:val="24"/>
                <w:szCs w:val="24"/>
              </w:rPr>
              <w:t>本项目员工操作及维护设备时，手套、抹布会沾上油污形成废抹布手套，产生量约为0.</w:t>
            </w:r>
            <w:r>
              <w:rPr>
                <w:rFonts w:hint="eastAsia" w:ascii="Times New Roman" w:hAnsi="Times New Roman" w:eastAsia="宋体" w:cs="Times New Roman"/>
                <w:bCs/>
                <w:color w:val="auto"/>
                <w:sz w:val="24"/>
                <w:szCs w:val="24"/>
                <w:lang w:val="en-US" w:eastAsia="zh-CN"/>
              </w:rPr>
              <w:t>05</w:t>
            </w:r>
            <w:r>
              <w:rPr>
                <w:rFonts w:hint="eastAsia" w:ascii="Times New Roman" w:hAnsi="Times New Roman" w:eastAsia="宋体" w:cs="Times New Roman"/>
                <w:bCs/>
                <w:color w:val="auto"/>
                <w:sz w:val="24"/>
                <w:szCs w:val="24"/>
              </w:rPr>
              <w:t>t/a，属于危险废物，委托有资质单位处置。</w:t>
            </w:r>
          </w:p>
          <w:p w14:paraId="7E4DAEF0">
            <w:pPr>
              <w:numPr>
                <w:ilvl w:val="0"/>
                <w:numId w:val="12"/>
              </w:numPr>
              <w:spacing w:line="360" w:lineRule="auto"/>
              <w:ind w:left="0" w:leftChars="0" w:firstLine="480" w:firstLineChars="200"/>
              <w:rPr>
                <w:rFonts w:hint="eastAsia" w:eastAsia="宋体"/>
                <w:bCs/>
                <w:color w:val="auto"/>
                <w:sz w:val="24"/>
                <w:szCs w:val="24"/>
                <w:lang w:eastAsia="zh-CN"/>
              </w:rPr>
            </w:pPr>
            <w:r>
              <w:rPr>
                <w:rFonts w:hint="eastAsia"/>
                <w:color w:val="auto"/>
                <w:sz w:val="24"/>
                <w:szCs w:val="24"/>
                <w:lang w:eastAsia="zh-CN"/>
              </w:rPr>
              <w:t>废包装桶</w:t>
            </w:r>
          </w:p>
          <w:p w14:paraId="715B2890">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leftChars="0" w:firstLine="480" w:firstLineChars="200"/>
              <w:textAlignment w:val="auto"/>
              <w:rPr>
                <w:rFonts w:hint="eastAsia" w:ascii="Times New Roman" w:hAnsi="Times New Roman" w:eastAsia="宋体" w:cs="Times New Roman"/>
                <w:bCs/>
                <w:color w:val="auto"/>
                <w:sz w:val="24"/>
                <w:szCs w:val="24"/>
                <w:lang w:eastAsia="zh-CN"/>
              </w:rPr>
            </w:pPr>
            <w:r>
              <w:rPr>
                <w:rFonts w:hint="eastAsia" w:ascii="Times New Roman" w:hAnsi="Times New Roman" w:eastAsia="宋体" w:cs="Times New Roman"/>
                <w:bCs/>
                <w:color w:val="auto"/>
                <w:sz w:val="24"/>
                <w:szCs w:val="24"/>
              </w:rPr>
              <w:t>本项目</w:t>
            </w:r>
            <w:r>
              <w:rPr>
                <w:rFonts w:hint="eastAsia"/>
                <w:color w:val="auto"/>
                <w:sz w:val="24"/>
                <w:szCs w:val="24"/>
                <w:vertAlign w:val="baseline"/>
              </w:rPr>
              <w:t>切削液</w:t>
            </w:r>
            <w:r>
              <w:rPr>
                <w:rFonts w:hint="eastAsia"/>
                <w:color w:val="auto"/>
                <w:sz w:val="24"/>
                <w:szCs w:val="24"/>
                <w:vertAlign w:val="baseline"/>
                <w:lang w:eastAsia="zh-CN"/>
              </w:rPr>
              <w:t>、清洗剂、防锈剂</w:t>
            </w:r>
            <w:r>
              <w:rPr>
                <w:rFonts w:hint="eastAsia" w:ascii="Times New Roman" w:hAnsi="Times New Roman" w:eastAsia="宋体" w:cs="Times New Roman"/>
                <w:bCs/>
                <w:color w:val="auto"/>
                <w:sz w:val="24"/>
                <w:szCs w:val="24"/>
              </w:rPr>
              <w:t>使用过程中产生废包装桶，由原料的使用量及其包装规格可知，本项目年产生切削液包装桶</w:t>
            </w:r>
            <w:r>
              <w:rPr>
                <w:rFonts w:hint="eastAsia" w:ascii="Times New Roman" w:hAnsi="Times New Roman" w:eastAsia="宋体" w:cs="Times New Roman"/>
                <w:bCs/>
                <w:color w:val="auto"/>
                <w:sz w:val="24"/>
                <w:szCs w:val="24"/>
                <w:lang w:val="en-US" w:eastAsia="zh-CN"/>
              </w:rPr>
              <w:t>35</w:t>
            </w:r>
            <w:r>
              <w:rPr>
                <w:rFonts w:hint="eastAsia" w:ascii="Times New Roman" w:hAnsi="Times New Roman" w:eastAsia="宋体" w:cs="Times New Roman"/>
                <w:bCs/>
                <w:color w:val="auto"/>
                <w:sz w:val="24"/>
                <w:szCs w:val="24"/>
              </w:rPr>
              <w:t>个（</w:t>
            </w:r>
            <w:r>
              <w:rPr>
                <w:rFonts w:hint="eastAsia" w:ascii="Times New Roman" w:hAnsi="Times New Roman" w:eastAsia="宋体" w:cs="Times New Roman"/>
                <w:bCs/>
                <w:color w:val="auto"/>
                <w:sz w:val="24"/>
                <w:szCs w:val="24"/>
                <w:lang w:val="en-US" w:eastAsia="zh-CN"/>
              </w:rPr>
              <w:t>5</w:t>
            </w:r>
            <w:r>
              <w:rPr>
                <w:rFonts w:hint="eastAsia" w:ascii="Times New Roman" w:hAnsi="Times New Roman" w:eastAsia="宋体" w:cs="Times New Roman"/>
                <w:bCs/>
                <w:color w:val="auto"/>
                <w:sz w:val="24"/>
                <w:szCs w:val="24"/>
              </w:rPr>
              <w:t>kg/个）</w:t>
            </w:r>
            <w:r>
              <w:rPr>
                <w:rFonts w:hint="eastAsia" w:ascii="Times New Roman" w:hAnsi="Times New Roman" w:eastAsia="宋体" w:cs="Times New Roman"/>
                <w:bCs/>
                <w:color w:val="auto"/>
                <w:sz w:val="24"/>
                <w:szCs w:val="24"/>
                <w:lang w:eastAsia="zh-CN"/>
              </w:rPr>
              <w:t>、</w:t>
            </w:r>
            <w:r>
              <w:rPr>
                <w:rFonts w:hint="eastAsia"/>
                <w:color w:val="auto"/>
                <w:sz w:val="24"/>
                <w:szCs w:val="24"/>
                <w:vertAlign w:val="baseline"/>
                <w:lang w:eastAsia="zh-CN"/>
              </w:rPr>
              <w:t>清洗剂</w:t>
            </w:r>
            <w:r>
              <w:rPr>
                <w:rFonts w:hint="eastAsia" w:ascii="Times New Roman" w:hAnsi="Times New Roman" w:eastAsia="宋体" w:cs="Times New Roman"/>
                <w:bCs/>
                <w:color w:val="auto"/>
                <w:sz w:val="24"/>
                <w:szCs w:val="24"/>
              </w:rPr>
              <w:t>包装桶</w:t>
            </w:r>
            <w:r>
              <w:rPr>
                <w:rFonts w:hint="eastAsia" w:ascii="Times New Roman" w:hAnsi="Times New Roman" w:eastAsia="宋体" w:cs="Times New Roman"/>
                <w:bCs/>
                <w:color w:val="auto"/>
                <w:sz w:val="24"/>
                <w:szCs w:val="24"/>
                <w:lang w:val="en-US" w:eastAsia="zh-CN"/>
              </w:rPr>
              <w:t>2</w:t>
            </w:r>
            <w:r>
              <w:rPr>
                <w:rFonts w:hint="eastAsia" w:ascii="Times New Roman" w:hAnsi="Times New Roman" w:eastAsia="宋体" w:cs="Times New Roman"/>
                <w:bCs/>
                <w:color w:val="auto"/>
                <w:sz w:val="24"/>
                <w:szCs w:val="24"/>
              </w:rPr>
              <w:t>个（</w:t>
            </w:r>
            <w:r>
              <w:rPr>
                <w:rFonts w:hint="eastAsia" w:ascii="Times New Roman" w:hAnsi="Times New Roman" w:eastAsia="宋体" w:cs="Times New Roman"/>
                <w:bCs/>
                <w:color w:val="auto"/>
                <w:sz w:val="24"/>
                <w:szCs w:val="24"/>
                <w:lang w:val="en-US" w:eastAsia="zh-CN"/>
              </w:rPr>
              <w:t>5</w:t>
            </w:r>
            <w:r>
              <w:rPr>
                <w:rFonts w:hint="eastAsia" w:ascii="Times New Roman" w:hAnsi="Times New Roman" w:eastAsia="宋体" w:cs="Times New Roman"/>
                <w:bCs/>
                <w:color w:val="auto"/>
                <w:sz w:val="24"/>
                <w:szCs w:val="24"/>
              </w:rPr>
              <w:t>kg/个）</w:t>
            </w:r>
            <w:r>
              <w:rPr>
                <w:rFonts w:hint="eastAsia" w:ascii="Times New Roman" w:hAnsi="Times New Roman" w:eastAsia="宋体" w:cs="Times New Roman"/>
                <w:bCs/>
                <w:color w:val="auto"/>
                <w:sz w:val="24"/>
                <w:szCs w:val="24"/>
                <w:lang w:eastAsia="zh-CN"/>
              </w:rPr>
              <w:t>、</w:t>
            </w:r>
            <w:r>
              <w:rPr>
                <w:rFonts w:hint="eastAsia"/>
                <w:color w:val="auto"/>
                <w:sz w:val="24"/>
                <w:szCs w:val="24"/>
                <w:vertAlign w:val="baseline"/>
                <w:lang w:eastAsia="zh-CN"/>
              </w:rPr>
              <w:t>防锈剂</w:t>
            </w:r>
            <w:r>
              <w:rPr>
                <w:rFonts w:hint="eastAsia" w:ascii="Times New Roman" w:hAnsi="Times New Roman" w:eastAsia="宋体" w:cs="Times New Roman"/>
                <w:bCs/>
                <w:color w:val="auto"/>
                <w:sz w:val="24"/>
                <w:szCs w:val="24"/>
              </w:rPr>
              <w:t>包装桶</w:t>
            </w:r>
            <w:r>
              <w:rPr>
                <w:rFonts w:hint="eastAsia" w:ascii="Times New Roman" w:hAnsi="Times New Roman" w:eastAsia="宋体" w:cs="Times New Roman"/>
                <w:bCs/>
                <w:color w:val="auto"/>
                <w:sz w:val="24"/>
                <w:szCs w:val="24"/>
                <w:lang w:val="en-US" w:eastAsia="zh-CN"/>
              </w:rPr>
              <w:t>2</w:t>
            </w:r>
            <w:r>
              <w:rPr>
                <w:rFonts w:hint="eastAsia" w:ascii="Times New Roman" w:hAnsi="Times New Roman" w:eastAsia="宋体" w:cs="Times New Roman"/>
                <w:bCs/>
                <w:color w:val="auto"/>
                <w:sz w:val="24"/>
                <w:szCs w:val="24"/>
              </w:rPr>
              <w:t>个（</w:t>
            </w:r>
            <w:r>
              <w:rPr>
                <w:rFonts w:hint="eastAsia" w:ascii="Times New Roman" w:hAnsi="Times New Roman" w:eastAsia="宋体" w:cs="Times New Roman"/>
                <w:bCs/>
                <w:color w:val="auto"/>
                <w:sz w:val="24"/>
                <w:szCs w:val="24"/>
                <w:lang w:val="en-US" w:eastAsia="zh-CN"/>
              </w:rPr>
              <w:t>5</w:t>
            </w:r>
            <w:r>
              <w:rPr>
                <w:rFonts w:hint="eastAsia" w:ascii="Times New Roman" w:hAnsi="Times New Roman" w:eastAsia="宋体" w:cs="Times New Roman"/>
                <w:bCs/>
                <w:color w:val="auto"/>
                <w:sz w:val="24"/>
                <w:szCs w:val="24"/>
              </w:rPr>
              <w:t>kg/个），则产生的废包装桶约为</w:t>
            </w:r>
            <w:r>
              <w:rPr>
                <w:rFonts w:hint="eastAsia" w:ascii="Times New Roman" w:hAnsi="Times New Roman" w:eastAsia="宋体" w:cs="Times New Roman"/>
                <w:bCs/>
                <w:color w:val="auto"/>
                <w:sz w:val="24"/>
                <w:szCs w:val="24"/>
                <w:lang w:val="en-US" w:eastAsia="zh-CN"/>
              </w:rPr>
              <w:t>0.195</w:t>
            </w:r>
            <w:r>
              <w:rPr>
                <w:rFonts w:hint="eastAsia" w:ascii="Times New Roman" w:hAnsi="Times New Roman" w:eastAsia="宋体" w:cs="Times New Roman"/>
                <w:bCs/>
                <w:color w:val="auto"/>
                <w:sz w:val="24"/>
                <w:szCs w:val="24"/>
              </w:rPr>
              <w:t>t/a，属于危险废物，委托有资质单位处置。</w:t>
            </w:r>
          </w:p>
          <w:p w14:paraId="4D9B9793">
            <w:pPr>
              <w:numPr>
                <w:ilvl w:val="0"/>
                <w:numId w:val="12"/>
              </w:numPr>
              <w:spacing w:line="360" w:lineRule="auto"/>
              <w:ind w:left="0" w:leftChars="0" w:firstLine="480" w:firstLineChars="200"/>
              <w:rPr>
                <w:rFonts w:hint="eastAsia" w:eastAsia="宋体"/>
                <w:bCs/>
                <w:color w:val="auto"/>
                <w:sz w:val="24"/>
                <w:szCs w:val="24"/>
                <w:lang w:eastAsia="zh-CN"/>
              </w:rPr>
            </w:pPr>
            <w:r>
              <w:rPr>
                <w:rFonts w:hint="eastAsia"/>
                <w:color w:val="auto"/>
                <w:sz w:val="24"/>
                <w:szCs w:val="24"/>
                <w:lang w:eastAsia="zh-CN"/>
              </w:rPr>
              <w:t>废油桶</w:t>
            </w:r>
          </w:p>
          <w:p w14:paraId="4C55C877">
            <w:pPr>
              <w:spacing w:line="360" w:lineRule="auto"/>
              <w:ind w:firstLine="480" w:firstLineChars="200"/>
              <w:rPr>
                <w:color w:val="auto"/>
                <w:sz w:val="24"/>
                <w:szCs w:val="24"/>
              </w:rPr>
            </w:pPr>
            <w:r>
              <w:rPr>
                <w:rFonts w:hint="eastAsia"/>
                <w:color w:val="auto"/>
                <w:sz w:val="24"/>
                <w:szCs w:val="24"/>
              </w:rPr>
              <w:t>本项目</w:t>
            </w:r>
            <w:r>
              <w:rPr>
                <w:rFonts w:hint="eastAsia"/>
                <w:color w:val="auto"/>
                <w:sz w:val="24"/>
                <w:szCs w:val="24"/>
                <w:vertAlign w:val="baseline"/>
              </w:rPr>
              <w:t>防锈油</w:t>
            </w:r>
            <w:r>
              <w:rPr>
                <w:rFonts w:hint="eastAsia"/>
                <w:color w:val="auto"/>
                <w:sz w:val="24"/>
                <w:szCs w:val="24"/>
                <w:vertAlign w:val="baseline"/>
                <w:lang w:eastAsia="zh-CN"/>
              </w:rPr>
              <w:t>、</w:t>
            </w:r>
            <w:r>
              <w:rPr>
                <w:rFonts w:hint="eastAsia"/>
                <w:color w:val="auto"/>
                <w:sz w:val="24"/>
                <w:szCs w:val="24"/>
                <w:vertAlign w:val="baseline"/>
                <w:lang w:val="en-US" w:eastAsia="zh-CN"/>
              </w:rPr>
              <w:t>液压油、深孔钻油、润滑油、轻质白油</w:t>
            </w:r>
            <w:r>
              <w:rPr>
                <w:rFonts w:hint="eastAsia"/>
                <w:color w:val="auto"/>
                <w:sz w:val="24"/>
                <w:szCs w:val="24"/>
              </w:rPr>
              <w:t>使用过程中产生废油桶，根据原料的使用量，每年产生</w:t>
            </w:r>
            <w:r>
              <w:rPr>
                <w:rFonts w:hint="eastAsia"/>
                <w:color w:val="auto"/>
                <w:sz w:val="24"/>
                <w:szCs w:val="24"/>
                <w:vertAlign w:val="baseline"/>
              </w:rPr>
              <w:t>防锈油</w:t>
            </w:r>
            <w:r>
              <w:rPr>
                <w:rFonts w:hint="eastAsia"/>
                <w:color w:val="auto"/>
                <w:sz w:val="24"/>
                <w:szCs w:val="24"/>
              </w:rPr>
              <w:t>油桶</w:t>
            </w:r>
            <w:r>
              <w:rPr>
                <w:rFonts w:hint="eastAsia"/>
                <w:color w:val="auto"/>
                <w:sz w:val="24"/>
                <w:szCs w:val="24"/>
                <w:lang w:val="en-US" w:eastAsia="zh-CN"/>
              </w:rPr>
              <w:t>60</w:t>
            </w:r>
            <w:r>
              <w:rPr>
                <w:rFonts w:hint="eastAsia"/>
                <w:color w:val="auto"/>
                <w:sz w:val="24"/>
                <w:szCs w:val="24"/>
              </w:rPr>
              <w:t>个（单个桶约1kg）</w:t>
            </w:r>
            <w:r>
              <w:rPr>
                <w:rFonts w:hint="eastAsia"/>
                <w:color w:val="auto"/>
                <w:sz w:val="24"/>
                <w:szCs w:val="24"/>
                <w:lang w:eastAsia="zh-CN"/>
              </w:rPr>
              <w:t>、液压油</w:t>
            </w:r>
            <w:r>
              <w:rPr>
                <w:rFonts w:hint="eastAsia"/>
                <w:color w:val="auto"/>
                <w:sz w:val="24"/>
                <w:szCs w:val="24"/>
              </w:rPr>
              <w:t>油桶</w:t>
            </w:r>
            <w:r>
              <w:rPr>
                <w:rFonts w:hint="eastAsia"/>
                <w:color w:val="auto"/>
                <w:sz w:val="24"/>
                <w:szCs w:val="24"/>
                <w:lang w:val="en-US" w:eastAsia="zh-CN"/>
              </w:rPr>
              <w:t>80</w:t>
            </w:r>
            <w:r>
              <w:rPr>
                <w:rFonts w:hint="eastAsia"/>
                <w:color w:val="auto"/>
                <w:sz w:val="24"/>
                <w:szCs w:val="24"/>
              </w:rPr>
              <w:t>个（单个桶约1kg）</w:t>
            </w:r>
            <w:r>
              <w:rPr>
                <w:rFonts w:hint="eastAsia"/>
                <w:color w:val="auto"/>
                <w:sz w:val="24"/>
                <w:szCs w:val="24"/>
                <w:lang w:eastAsia="zh-CN"/>
              </w:rPr>
              <w:t>、</w:t>
            </w:r>
            <w:r>
              <w:rPr>
                <w:rFonts w:hint="eastAsia"/>
                <w:color w:val="auto"/>
                <w:sz w:val="24"/>
                <w:szCs w:val="24"/>
                <w:vertAlign w:val="baseline"/>
                <w:lang w:val="en-US" w:eastAsia="zh-CN"/>
              </w:rPr>
              <w:t>深孔钻油</w:t>
            </w:r>
            <w:r>
              <w:rPr>
                <w:rFonts w:hint="eastAsia"/>
                <w:color w:val="auto"/>
                <w:sz w:val="24"/>
                <w:szCs w:val="24"/>
              </w:rPr>
              <w:t>油桶</w:t>
            </w:r>
            <w:r>
              <w:rPr>
                <w:rFonts w:hint="eastAsia"/>
                <w:color w:val="auto"/>
                <w:sz w:val="24"/>
                <w:szCs w:val="24"/>
                <w:lang w:val="en-US" w:eastAsia="zh-CN"/>
              </w:rPr>
              <w:t>60</w:t>
            </w:r>
            <w:r>
              <w:rPr>
                <w:rFonts w:hint="eastAsia"/>
                <w:color w:val="auto"/>
                <w:sz w:val="24"/>
                <w:szCs w:val="24"/>
              </w:rPr>
              <w:t>个（单个桶约</w:t>
            </w:r>
            <w:r>
              <w:rPr>
                <w:rFonts w:hint="eastAsia"/>
                <w:color w:val="auto"/>
                <w:sz w:val="24"/>
                <w:szCs w:val="24"/>
                <w:lang w:val="en-US" w:eastAsia="zh-CN"/>
              </w:rPr>
              <w:t>5</w:t>
            </w:r>
            <w:r>
              <w:rPr>
                <w:rFonts w:hint="eastAsia"/>
                <w:color w:val="auto"/>
                <w:sz w:val="24"/>
                <w:szCs w:val="24"/>
              </w:rPr>
              <w:t>kg）</w:t>
            </w:r>
            <w:r>
              <w:rPr>
                <w:rFonts w:hint="eastAsia"/>
                <w:color w:val="auto"/>
                <w:sz w:val="24"/>
                <w:szCs w:val="24"/>
                <w:lang w:eastAsia="zh-CN"/>
              </w:rPr>
              <w:t>、</w:t>
            </w:r>
            <w:r>
              <w:rPr>
                <w:rFonts w:hint="eastAsia"/>
                <w:color w:val="auto"/>
                <w:sz w:val="24"/>
                <w:szCs w:val="24"/>
                <w:vertAlign w:val="baseline"/>
                <w:lang w:val="en-US" w:eastAsia="zh-CN"/>
              </w:rPr>
              <w:t>润滑油</w:t>
            </w:r>
            <w:r>
              <w:rPr>
                <w:rFonts w:hint="eastAsia"/>
                <w:color w:val="auto"/>
                <w:sz w:val="24"/>
                <w:szCs w:val="24"/>
              </w:rPr>
              <w:t>油桶</w:t>
            </w:r>
            <w:r>
              <w:rPr>
                <w:rFonts w:hint="eastAsia"/>
                <w:color w:val="auto"/>
                <w:sz w:val="24"/>
                <w:szCs w:val="24"/>
                <w:lang w:val="en-US" w:eastAsia="zh-CN"/>
              </w:rPr>
              <w:t>30</w:t>
            </w:r>
            <w:r>
              <w:rPr>
                <w:rFonts w:hint="eastAsia"/>
                <w:color w:val="auto"/>
                <w:sz w:val="24"/>
                <w:szCs w:val="24"/>
              </w:rPr>
              <w:t>个（单个桶约</w:t>
            </w:r>
            <w:r>
              <w:rPr>
                <w:rFonts w:hint="eastAsia"/>
                <w:color w:val="auto"/>
                <w:sz w:val="24"/>
                <w:szCs w:val="24"/>
                <w:lang w:val="en-US" w:eastAsia="zh-CN"/>
              </w:rPr>
              <w:t>5</w:t>
            </w:r>
            <w:r>
              <w:rPr>
                <w:rFonts w:hint="eastAsia"/>
                <w:color w:val="auto"/>
                <w:sz w:val="24"/>
                <w:szCs w:val="24"/>
              </w:rPr>
              <w:t>kg）</w:t>
            </w:r>
            <w:r>
              <w:rPr>
                <w:rFonts w:hint="eastAsia"/>
                <w:color w:val="auto"/>
                <w:sz w:val="24"/>
                <w:szCs w:val="24"/>
                <w:lang w:eastAsia="zh-CN"/>
              </w:rPr>
              <w:t>、</w:t>
            </w:r>
            <w:r>
              <w:rPr>
                <w:rFonts w:hint="eastAsia"/>
                <w:color w:val="auto"/>
                <w:sz w:val="24"/>
                <w:szCs w:val="24"/>
                <w:vertAlign w:val="baseline"/>
                <w:lang w:val="en-US" w:eastAsia="zh-CN"/>
              </w:rPr>
              <w:t>轻质白油</w:t>
            </w:r>
            <w:r>
              <w:rPr>
                <w:rFonts w:hint="eastAsia"/>
                <w:color w:val="auto"/>
                <w:sz w:val="24"/>
                <w:szCs w:val="24"/>
              </w:rPr>
              <w:t>油桶</w:t>
            </w:r>
            <w:r>
              <w:rPr>
                <w:rFonts w:hint="eastAsia"/>
                <w:color w:val="auto"/>
                <w:sz w:val="24"/>
                <w:szCs w:val="24"/>
                <w:lang w:val="en-US" w:eastAsia="zh-CN"/>
              </w:rPr>
              <w:t>15</w:t>
            </w:r>
            <w:r>
              <w:rPr>
                <w:rFonts w:hint="eastAsia"/>
                <w:color w:val="auto"/>
                <w:sz w:val="24"/>
                <w:szCs w:val="24"/>
              </w:rPr>
              <w:t>个（单个桶约</w:t>
            </w:r>
            <w:r>
              <w:rPr>
                <w:rFonts w:hint="eastAsia"/>
                <w:color w:val="auto"/>
                <w:sz w:val="24"/>
                <w:szCs w:val="24"/>
                <w:lang w:val="en-US" w:eastAsia="zh-CN"/>
              </w:rPr>
              <w:t>5</w:t>
            </w:r>
            <w:r>
              <w:rPr>
                <w:rFonts w:hint="eastAsia"/>
                <w:color w:val="auto"/>
                <w:sz w:val="24"/>
                <w:szCs w:val="24"/>
              </w:rPr>
              <w:t>kg），则产生废油桶约</w:t>
            </w:r>
            <w:r>
              <w:rPr>
                <w:rFonts w:hint="eastAsia"/>
                <w:color w:val="auto"/>
                <w:sz w:val="24"/>
                <w:szCs w:val="24"/>
                <w:lang w:val="en-US" w:eastAsia="zh-CN"/>
              </w:rPr>
              <w:t>0.665</w:t>
            </w:r>
            <w:r>
              <w:rPr>
                <w:rFonts w:hint="eastAsia"/>
                <w:color w:val="auto"/>
                <w:sz w:val="24"/>
                <w:szCs w:val="24"/>
              </w:rPr>
              <w:t>t/a，属于危险废物，委托</w:t>
            </w:r>
            <w:r>
              <w:rPr>
                <w:rFonts w:hint="eastAsia" w:cs="Times New Roman"/>
                <w:bCs/>
                <w:color w:val="auto"/>
                <w:sz w:val="24"/>
                <w:szCs w:val="24"/>
                <w:lang w:val="en-US" w:eastAsia="zh-CN"/>
              </w:rPr>
              <w:t>有</w:t>
            </w:r>
            <w:r>
              <w:rPr>
                <w:rFonts w:hint="eastAsia"/>
                <w:color w:val="auto"/>
                <w:sz w:val="24"/>
                <w:szCs w:val="24"/>
              </w:rPr>
              <w:t>资质单位处置。</w:t>
            </w:r>
          </w:p>
          <w:p w14:paraId="19E52A74">
            <w:pPr>
              <w:numPr>
                <w:ilvl w:val="0"/>
                <w:numId w:val="12"/>
              </w:numPr>
              <w:spacing w:line="360" w:lineRule="auto"/>
              <w:ind w:left="0" w:leftChars="0" w:firstLine="480" w:firstLineChars="200"/>
              <w:rPr>
                <w:rFonts w:hint="eastAsia" w:eastAsia="宋体"/>
                <w:bCs/>
                <w:color w:val="auto"/>
                <w:sz w:val="24"/>
                <w:szCs w:val="24"/>
                <w:lang w:eastAsia="zh-CN"/>
              </w:rPr>
            </w:pPr>
            <w:r>
              <w:rPr>
                <w:rFonts w:hint="eastAsia"/>
                <w:color w:val="auto"/>
                <w:sz w:val="24"/>
                <w:szCs w:val="24"/>
                <w:lang w:eastAsia="zh-CN"/>
              </w:rPr>
              <w:t>废润滑油</w:t>
            </w:r>
          </w:p>
          <w:p w14:paraId="34EB123A">
            <w:pPr>
              <w:spacing w:line="360" w:lineRule="auto"/>
              <w:ind w:firstLine="480" w:firstLineChars="200"/>
              <w:rPr>
                <w:rFonts w:hint="eastAsia" w:ascii="Times New Roman" w:hAnsi="Times New Roman" w:eastAsia="宋体" w:cs="Times New Roman"/>
                <w:color w:val="auto"/>
                <w:sz w:val="24"/>
                <w:szCs w:val="24"/>
                <w:vertAlign w:val="baseline"/>
                <w:lang w:val="en-US" w:eastAsia="zh-CN"/>
              </w:rPr>
            </w:pPr>
            <w:r>
              <w:rPr>
                <w:rFonts w:hint="eastAsia" w:ascii="Times New Roman" w:hAnsi="Times New Roman" w:eastAsia="宋体" w:cs="Times New Roman"/>
                <w:color w:val="auto"/>
                <w:sz w:val="24"/>
                <w:szCs w:val="24"/>
                <w:vertAlign w:val="baseline"/>
                <w:lang w:val="en-US" w:eastAsia="zh-CN"/>
              </w:rPr>
              <w:t>本项目设备进行维护和润滑过程产生废润滑油。根据建设单位提供的资料，本项目废润滑油产生量约为6t/a，属于危险废物，委托有资质单位处置。</w:t>
            </w:r>
          </w:p>
          <w:p w14:paraId="2AC5585F">
            <w:pPr>
              <w:numPr>
                <w:ilvl w:val="0"/>
                <w:numId w:val="12"/>
              </w:numPr>
              <w:spacing w:line="360" w:lineRule="auto"/>
              <w:ind w:left="0" w:leftChars="0" w:firstLine="480" w:firstLineChars="200"/>
              <w:rPr>
                <w:rFonts w:hint="eastAsia" w:eastAsia="宋体"/>
                <w:bCs/>
                <w:color w:val="auto"/>
                <w:sz w:val="24"/>
                <w:szCs w:val="24"/>
                <w:lang w:eastAsia="zh-CN"/>
              </w:rPr>
            </w:pPr>
            <w:r>
              <w:rPr>
                <w:rFonts w:hint="eastAsia"/>
                <w:color w:val="auto"/>
                <w:sz w:val="24"/>
                <w:szCs w:val="24"/>
                <w:lang w:eastAsia="zh-CN"/>
              </w:rPr>
              <w:t>废液压油</w:t>
            </w:r>
          </w:p>
          <w:p w14:paraId="0CCFF685">
            <w:pPr>
              <w:spacing w:line="360" w:lineRule="auto"/>
              <w:ind w:firstLine="480" w:firstLineChars="200"/>
              <w:rPr>
                <w:rFonts w:hint="eastAsia" w:eastAsia="宋体"/>
                <w:bCs/>
                <w:color w:val="auto"/>
                <w:sz w:val="24"/>
                <w:szCs w:val="24"/>
                <w:lang w:eastAsia="zh-CN"/>
              </w:rPr>
            </w:pPr>
            <w:r>
              <w:rPr>
                <w:rFonts w:hint="eastAsia" w:ascii="Times New Roman" w:hAnsi="Times New Roman" w:eastAsia="宋体" w:cs="Times New Roman"/>
                <w:color w:val="auto"/>
                <w:sz w:val="24"/>
                <w:szCs w:val="24"/>
                <w:vertAlign w:val="baseline"/>
                <w:lang w:val="en-US" w:eastAsia="zh-CN"/>
              </w:rPr>
              <w:t>本项目设备在使用过程中，需要使用液压油，液压油循环使用，定期更换产生废液压油，根据建设单位提供资料，每年更换量约</w:t>
            </w:r>
            <w:r>
              <w:rPr>
                <w:rFonts w:hint="eastAsia" w:eastAsia="宋体"/>
                <w:color w:val="auto"/>
                <w:sz w:val="24"/>
                <w:szCs w:val="24"/>
                <w:lang w:val="en-US" w:eastAsia="zh-CN"/>
              </w:rPr>
              <w:t>2</w:t>
            </w:r>
            <w:r>
              <w:rPr>
                <w:rFonts w:hint="eastAsia"/>
                <w:color w:val="auto"/>
                <w:sz w:val="24"/>
                <w:szCs w:val="24"/>
              </w:rPr>
              <w:t>t/a，属于危险废物，委托</w:t>
            </w:r>
            <w:r>
              <w:rPr>
                <w:rFonts w:hint="eastAsia" w:cs="Times New Roman"/>
                <w:bCs/>
                <w:color w:val="auto"/>
                <w:sz w:val="24"/>
                <w:szCs w:val="24"/>
                <w:lang w:val="en-US" w:eastAsia="zh-CN"/>
              </w:rPr>
              <w:t>有</w:t>
            </w:r>
            <w:r>
              <w:rPr>
                <w:rFonts w:hint="eastAsia"/>
                <w:color w:val="auto"/>
                <w:sz w:val="24"/>
                <w:szCs w:val="24"/>
              </w:rPr>
              <w:t>资质单位处置。</w:t>
            </w:r>
          </w:p>
          <w:p w14:paraId="4D3FDBF3">
            <w:pPr>
              <w:numPr>
                <w:ilvl w:val="0"/>
                <w:numId w:val="12"/>
              </w:numPr>
              <w:spacing w:line="360" w:lineRule="auto"/>
              <w:ind w:left="0" w:leftChars="0" w:firstLine="480" w:firstLineChars="200"/>
              <w:rPr>
                <w:rFonts w:hint="eastAsia" w:eastAsia="宋体"/>
                <w:bCs/>
                <w:color w:val="auto"/>
                <w:sz w:val="24"/>
                <w:szCs w:val="24"/>
                <w:lang w:eastAsia="zh-CN"/>
              </w:rPr>
            </w:pPr>
            <w:r>
              <w:rPr>
                <w:rFonts w:hint="eastAsia"/>
                <w:color w:val="auto"/>
                <w:sz w:val="24"/>
                <w:szCs w:val="24"/>
                <w:lang w:eastAsia="zh-CN"/>
              </w:rPr>
              <w:t>浓液</w:t>
            </w:r>
          </w:p>
          <w:p w14:paraId="7F75ABE0">
            <w:pPr>
              <w:spacing w:line="360" w:lineRule="auto"/>
              <w:ind w:firstLine="480" w:firstLineChars="200"/>
              <w:rPr>
                <w:rFonts w:hint="default" w:ascii="Times New Roman" w:hAnsi="Times New Roman" w:eastAsia="宋体" w:cs="Times New Roman"/>
                <w:color w:val="auto"/>
                <w:sz w:val="24"/>
                <w:szCs w:val="24"/>
                <w:vertAlign w:val="baseline"/>
                <w:lang w:val="en-US" w:eastAsia="zh-CN"/>
              </w:rPr>
            </w:pPr>
            <w:r>
              <w:rPr>
                <w:rFonts w:hint="eastAsia" w:ascii="Times New Roman" w:hAnsi="Times New Roman" w:eastAsia="宋体" w:cs="Times New Roman"/>
                <w:color w:val="auto"/>
                <w:sz w:val="24"/>
                <w:szCs w:val="24"/>
                <w:vertAlign w:val="baseline"/>
                <w:lang w:val="en-US" w:eastAsia="zh-CN"/>
              </w:rPr>
              <w:t>本项目清洗废水处理过程</w:t>
            </w:r>
            <w:r>
              <w:rPr>
                <w:rFonts w:hint="eastAsia" w:cs="Times New Roman"/>
                <w:color w:val="auto"/>
                <w:sz w:val="24"/>
                <w:szCs w:val="24"/>
                <w:vertAlign w:val="baseline"/>
                <w:lang w:val="en-US" w:eastAsia="zh-CN"/>
              </w:rPr>
              <w:t>低温蒸发阶段</w:t>
            </w:r>
            <w:r>
              <w:rPr>
                <w:rFonts w:hint="eastAsia" w:ascii="Times New Roman" w:hAnsi="Times New Roman" w:eastAsia="宋体" w:cs="Times New Roman"/>
                <w:color w:val="auto"/>
                <w:sz w:val="24"/>
                <w:szCs w:val="24"/>
                <w:vertAlign w:val="baseline"/>
                <w:lang w:val="en-US" w:eastAsia="zh-CN"/>
              </w:rPr>
              <w:t>产生浓液，根据废水章节分析，浓液产生量约为8.44t/a，</w:t>
            </w:r>
            <w:r>
              <w:rPr>
                <w:rFonts w:hint="eastAsia"/>
                <w:color w:val="auto"/>
                <w:sz w:val="24"/>
                <w:szCs w:val="24"/>
              </w:rPr>
              <w:t>属于危险废物，委托</w:t>
            </w:r>
            <w:r>
              <w:rPr>
                <w:rFonts w:hint="eastAsia" w:cs="Times New Roman"/>
                <w:bCs/>
                <w:color w:val="auto"/>
                <w:sz w:val="24"/>
                <w:szCs w:val="24"/>
                <w:lang w:val="en-US" w:eastAsia="zh-CN"/>
              </w:rPr>
              <w:t>有</w:t>
            </w:r>
            <w:r>
              <w:rPr>
                <w:rFonts w:hint="eastAsia"/>
                <w:color w:val="auto"/>
                <w:sz w:val="24"/>
                <w:szCs w:val="24"/>
              </w:rPr>
              <w:t>资质单位处置。</w:t>
            </w:r>
          </w:p>
          <w:p w14:paraId="02C1604A">
            <w:pPr>
              <w:numPr>
                <w:ilvl w:val="0"/>
                <w:numId w:val="12"/>
              </w:numPr>
              <w:spacing w:line="360" w:lineRule="auto"/>
              <w:ind w:left="0" w:leftChars="0" w:firstLine="480" w:firstLineChars="200"/>
              <w:rPr>
                <w:rFonts w:hint="eastAsia" w:eastAsia="宋体"/>
                <w:bCs/>
                <w:color w:val="auto"/>
                <w:sz w:val="24"/>
                <w:szCs w:val="24"/>
                <w:lang w:eastAsia="zh-CN"/>
              </w:rPr>
            </w:pPr>
            <w:r>
              <w:rPr>
                <w:rFonts w:hint="eastAsia"/>
                <w:color w:val="auto"/>
                <w:sz w:val="24"/>
                <w:szCs w:val="24"/>
                <w:lang w:eastAsia="zh-CN"/>
              </w:rPr>
              <w:t>过滤材料</w:t>
            </w:r>
          </w:p>
          <w:p w14:paraId="411DCA4A">
            <w:pPr>
              <w:spacing w:line="360" w:lineRule="auto"/>
              <w:ind w:firstLine="480" w:firstLineChars="200"/>
              <w:rPr>
                <w:rFonts w:hint="default" w:eastAsia="宋体"/>
                <w:bCs/>
                <w:color w:val="auto"/>
                <w:sz w:val="24"/>
                <w:szCs w:val="24"/>
                <w:lang w:val="en-US" w:eastAsia="zh-CN"/>
              </w:rPr>
            </w:pPr>
            <w:r>
              <w:rPr>
                <w:rFonts w:hint="eastAsia"/>
                <w:bCs/>
                <w:color w:val="auto"/>
                <w:sz w:val="24"/>
                <w:szCs w:val="24"/>
                <w:lang w:val="en-US" w:eastAsia="zh-CN"/>
              </w:rPr>
              <w:t>本项目废水处理设施滤袋、陶瓷膜定期更换，根据建设单位提供资料，每2年更换一次，每次更换量约为0.5吨，则废过滤材料年产生量为0.5</w:t>
            </w:r>
            <w:r>
              <w:rPr>
                <w:rFonts w:hint="eastAsia" w:ascii="Times New Roman" w:hAnsi="Times New Roman" w:eastAsia="宋体" w:cs="Times New Roman"/>
                <w:color w:val="auto"/>
                <w:sz w:val="24"/>
                <w:szCs w:val="24"/>
                <w:vertAlign w:val="baseline"/>
                <w:lang w:val="en-US" w:eastAsia="zh-CN"/>
              </w:rPr>
              <w:t>t/</w:t>
            </w:r>
            <w:r>
              <w:rPr>
                <w:rFonts w:hint="eastAsia" w:cs="Times New Roman"/>
                <w:color w:val="auto"/>
                <w:sz w:val="24"/>
                <w:szCs w:val="24"/>
                <w:vertAlign w:val="baseline"/>
                <w:lang w:val="en-US" w:eastAsia="zh-CN"/>
              </w:rPr>
              <w:t>2</w:t>
            </w:r>
            <w:r>
              <w:rPr>
                <w:rFonts w:hint="eastAsia" w:ascii="Times New Roman" w:hAnsi="Times New Roman" w:eastAsia="宋体" w:cs="Times New Roman"/>
                <w:color w:val="auto"/>
                <w:sz w:val="24"/>
                <w:szCs w:val="24"/>
                <w:vertAlign w:val="baseline"/>
                <w:lang w:val="en-US" w:eastAsia="zh-CN"/>
              </w:rPr>
              <w:t>a，</w:t>
            </w:r>
            <w:r>
              <w:rPr>
                <w:rFonts w:hint="eastAsia"/>
                <w:color w:val="auto"/>
                <w:sz w:val="24"/>
                <w:szCs w:val="24"/>
              </w:rPr>
              <w:t>属于危险废物，委托</w:t>
            </w:r>
            <w:r>
              <w:rPr>
                <w:rFonts w:hint="eastAsia" w:cs="Times New Roman"/>
                <w:bCs/>
                <w:color w:val="auto"/>
                <w:sz w:val="24"/>
                <w:szCs w:val="24"/>
                <w:lang w:val="en-US" w:eastAsia="zh-CN"/>
              </w:rPr>
              <w:t>有</w:t>
            </w:r>
            <w:r>
              <w:rPr>
                <w:rFonts w:hint="eastAsia"/>
                <w:color w:val="auto"/>
                <w:sz w:val="24"/>
                <w:szCs w:val="24"/>
              </w:rPr>
              <w:t>资质单位处置。</w:t>
            </w:r>
          </w:p>
          <w:p w14:paraId="010D8B10">
            <w:pPr>
              <w:spacing w:line="360" w:lineRule="auto"/>
              <w:ind w:firstLine="480" w:firstLineChars="200"/>
              <w:rPr>
                <w:rFonts w:hint="eastAsia" w:eastAsia="宋体"/>
                <w:color w:val="auto"/>
                <w:sz w:val="24"/>
                <w:szCs w:val="24"/>
                <w:lang w:eastAsia="zh-CN"/>
              </w:rPr>
            </w:pPr>
            <w:r>
              <w:rPr>
                <w:rFonts w:hint="eastAsia"/>
                <w:color w:val="auto"/>
                <w:sz w:val="24"/>
                <w:szCs w:val="24"/>
                <w:lang w:eastAsia="zh-CN"/>
              </w:rPr>
              <w:t>（</w:t>
            </w:r>
            <w:r>
              <w:rPr>
                <w:rFonts w:hint="eastAsia"/>
                <w:color w:val="auto"/>
                <w:sz w:val="24"/>
                <w:szCs w:val="24"/>
                <w:lang w:val="en-US" w:eastAsia="zh-CN"/>
              </w:rPr>
              <w:t>18</w:t>
            </w:r>
            <w:r>
              <w:rPr>
                <w:rFonts w:hint="eastAsia"/>
                <w:color w:val="auto"/>
                <w:sz w:val="24"/>
                <w:szCs w:val="24"/>
                <w:lang w:eastAsia="zh-CN"/>
              </w:rPr>
              <w:t>）空压机含油废水</w:t>
            </w:r>
          </w:p>
          <w:p w14:paraId="63C3EE45">
            <w:pPr>
              <w:spacing w:line="360" w:lineRule="auto"/>
              <w:ind w:firstLine="480" w:firstLineChars="200"/>
              <w:rPr>
                <w:color w:val="auto"/>
                <w:sz w:val="24"/>
                <w:szCs w:val="24"/>
              </w:rPr>
            </w:pPr>
            <w:r>
              <w:rPr>
                <w:rFonts w:hint="eastAsia" w:ascii="Times New Roman" w:eastAsia="宋体"/>
                <w:color w:val="auto"/>
                <w:sz w:val="24"/>
                <w:szCs w:val="24"/>
                <w:highlight w:val="none"/>
                <w:lang w:val="en-US" w:eastAsia="zh-CN"/>
              </w:rPr>
              <w:t>在</w:t>
            </w:r>
            <w:r>
              <w:rPr>
                <w:color w:val="auto"/>
                <w:sz w:val="24"/>
                <w:szCs w:val="24"/>
                <w:highlight w:val="none"/>
              </w:rPr>
              <w:t>空压机的压缩空气系统工作过程中，</w:t>
            </w:r>
            <w:r>
              <w:rPr>
                <w:rFonts w:hint="eastAsia"/>
                <w:color w:val="auto"/>
                <w:sz w:val="24"/>
                <w:szCs w:val="24"/>
                <w:highlight w:val="none"/>
                <w:lang w:val="en-US" w:eastAsia="zh-CN"/>
              </w:rPr>
              <w:t>机</w:t>
            </w:r>
            <w:r>
              <w:rPr>
                <w:color w:val="auto"/>
                <w:sz w:val="24"/>
                <w:szCs w:val="24"/>
                <w:highlight w:val="none"/>
              </w:rPr>
              <w:t>油被压缩空气挟带，与空气冷凝水一道由排泄阀排出，形成空压机含油废水。根据</w:t>
            </w:r>
            <w:r>
              <w:rPr>
                <w:rFonts w:hint="eastAsia"/>
                <w:color w:val="auto"/>
                <w:sz w:val="24"/>
                <w:szCs w:val="24"/>
                <w:lang w:val="en-US" w:eastAsia="zh-CN"/>
              </w:rPr>
              <w:t>建设单位</w:t>
            </w:r>
            <w:r>
              <w:rPr>
                <w:color w:val="auto"/>
                <w:sz w:val="24"/>
                <w:szCs w:val="24"/>
                <w:highlight w:val="none"/>
              </w:rPr>
              <w:t>提供资料，</w:t>
            </w:r>
            <w:r>
              <w:rPr>
                <w:rFonts w:hint="eastAsia"/>
                <w:color w:val="auto"/>
                <w:sz w:val="24"/>
                <w:szCs w:val="24"/>
                <w:highlight w:val="none"/>
                <w:lang w:val="en-US" w:eastAsia="zh-CN"/>
              </w:rPr>
              <w:t>扩建</w:t>
            </w:r>
            <w:r>
              <w:rPr>
                <w:color w:val="auto"/>
                <w:sz w:val="24"/>
                <w:szCs w:val="24"/>
                <w:highlight w:val="none"/>
              </w:rPr>
              <w:t>项目</w:t>
            </w:r>
            <w:r>
              <w:rPr>
                <w:rFonts w:hint="eastAsia"/>
                <w:color w:val="auto"/>
                <w:sz w:val="24"/>
                <w:szCs w:val="24"/>
                <w:highlight w:val="none"/>
                <w:lang w:val="en-US" w:eastAsia="zh-CN"/>
              </w:rPr>
              <w:t>新增</w:t>
            </w:r>
            <w:r>
              <w:rPr>
                <w:rFonts w:hint="eastAsia" w:ascii="Times New Roman" w:eastAsia="宋体"/>
                <w:color w:val="auto"/>
                <w:sz w:val="24"/>
                <w:szCs w:val="24"/>
                <w:highlight w:val="none"/>
                <w:lang w:val="en-US" w:eastAsia="zh-CN"/>
              </w:rPr>
              <w:t>1</w:t>
            </w:r>
            <w:r>
              <w:rPr>
                <w:color w:val="auto"/>
                <w:sz w:val="24"/>
                <w:szCs w:val="24"/>
                <w:highlight w:val="none"/>
              </w:rPr>
              <w:t>台空压机，</w:t>
            </w:r>
            <w:r>
              <w:rPr>
                <w:rFonts w:hint="eastAsia" w:ascii="Times New Roman" w:eastAsia="宋体"/>
                <w:color w:val="auto"/>
                <w:sz w:val="24"/>
                <w:szCs w:val="24"/>
                <w:highlight w:val="none"/>
                <w:lang w:val="en-US" w:eastAsia="zh-CN"/>
              </w:rPr>
              <w:t>空压机</w:t>
            </w:r>
            <w:r>
              <w:rPr>
                <w:color w:val="auto"/>
                <w:sz w:val="24"/>
                <w:szCs w:val="24"/>
                <w:highlight w:val="none"/>
              </w:rPr>
              <w:t>每年排水量约为0.</w:t>
            </w:r>
            <w:r>
              <w:rPr>
                <w:rFonts w:hint="eastAsia" w:ascii="Times New Roman" w:eastAsia="宋体"/>
                <w:color w:val="auto"/>
                <w:sz w:val="24"/>
                <w:szCs w:val="24"/>
                <w:highlight w:val="none"/>
                <w:lang w:val="en-US" w:eastAsia="zh-CN"/>
              </w:rPr>
              <w:t>1</w:t>
            </w:r>
            <w:r>
              <w:rPr>
                <w:color w:val="auto"/>
                <w:sz w:val="24"/>
                <w:szCs w:val="24"/>
                <w:highlight w:val="none"/>
              </w:rPr>
              <w:t>m</w:t>
            </w:r>
            <w:r>
              <w:rPr>
                <w:color w:val="auto"/>
                <w:sz w:val="24"/>
                <w:szCs w:val="24"/>
                <w:highlight w:val="none"/>
                <w:vertAlign w:val="superscript"/>
              </w:rPr>
              <w:t>3</w:t>
            </w:r>
            <w:r>
              <w:rPr>
                <w:color w:val="auto"/>
                <w:sz w:val="24"/>
                <w:szCs w:val="24"/>
                <w:highlight w:val="none"/>
              </w:rPr>
              <w:t>，则空压机含油废水产生量约</w:t>
            </w:r>
            <w:r>
              <w:rPr>
                <w:rFonts w:hint="eastAsia" w:ascii="Times New Roman" w:eastAsia="宋体"/>
                <w:color w:val="auto"/>
                <w:sz w:val="24"/>
                <w:szCs w:val="24"/>
                <w:highlight w:val="none"/>
                <w:lang w:val="en-US" w:eastAsia="zh-CN"/>
              </w:rPr>
              <w:t>0.1</w:t>
            </w:r>
            <w:r>
              <w:rPr>
                <w:color w:val="auto"/>
                <w:sz w:val="24"/>
                <w:szCs w:val="24"/>
                <w:highlight w:val="none"/>
              </w:rPr>
              <w:t>t/a，属于危险废物，委托资质单位处置。</w:t>
            </w:r>
          </w:p>
          <w:p w14:paraId="3193862A">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leftChars="200"/>
              <w:textAlignment w:val="auto"/>
              <w:rPr>
                <w:rFonts w:hint="eastAsia"/>
                <w:color w:val="auto"/>
                <w:sz w:val="24"/>
                <w:szCs w:val="24"/>
                <w:lang w:eastAsia="zh-CN"/>
              </w:rPr>
            </w:pPr>
            <w:r>
              <w:rPr>
                <w:rFonts w:hint="eastAsia"/>
                <w:color w:val="auto"/>
                <w:sz w:val="24"/>
                <w:szCs w:val="24"/>
                <w:lang w:eastAsia="zh-CN"/>
              </w:rPr>
              <w:t>（</w:t>
            </w:r>
            <w:r>
              <w:rPr>
                <w:rFonts w:hint="eastAsia"/>
                <w:color w:val="auto"/>
                <w:sz w:val="24"/>
                <w:szCs w:val="24"/>
                <w:lang w:val="en-US" w:eastAsia="zh-CN"/>
              </w:rPr>
              <w:t>19</w:t>
            </w:r>
            <w:r>
              <w:rPr>
                <w:rFonts w:hint="eastAsia"/>
                <w:color w:val="auto"/>
                <w:sz w:val="24"/>
                <w:szCs w:val="24"/>
                <w:lang w:eastAsia="zh-CN"/>
              </w:rPr>
              <w:t>）抛光废料</w:t>
            </w:r>
          </w:p>
          <w:p w14:paraId="6A1234B4">
            <w:pPr>
              <w:spacing w:line="360" w:lineRule="auto"/>
              <w:ind w:firstLine="480" w:firstLineChars="200"/>
              <w:rPr>
                <w:color w:val="auto"/>
                <w:sz w:val="24"/>
                <w:szCs w:val="24"/>
              </w:rPr>
            </w:pPr>
            <w:r>
              <w:rPr>
                <w:rFonts w:hint="eastAsia"/>
                <w:bCs/>
                <w:color w:val="auto"/>
                <w:sz w:val="24"/>
                <w:szCs w:val="24"/>
                <w:lang w:val="en-US" w:eastAsia="zh-CN"/>
              </w:rPr>
              <w:t>本项目抛光测试</w:t>
            </w:r>
            <w:r>
              <w:rPr>
                <w:rFonts w:hint="eastAsia"/>
                <w:bCs/>
                <w:color w:val="auto"/>
                <w:sz w:val="24"/>
                <w:szCs w:val="24"/>
              </w:rPr>
              <w:t>工序会产生抛光废料，根据</w:t>
            </w:r>
            <w:r>
              <w:rPr>
                <w:rFonts w:hint="eastAsia"/>
                <w:bCs/>
                <w:color w:val="auto"/>
                <w:sz w:val="24"/>
                <w:szCs w:val="24"/>
                <w:lang w:val="en-US" w:eastAsia="zh-CN"/>
              </w:rPr>
              <w:t>建设单位提供资料</w:t>
            </w:r>
            <w:r>
              <w:rPr>
                <w:rFonts w:hint="eastAsia"/>
                <w:bCs/>
                <w:color w:val="auto"/>
                <w:sz w:val="24"/>
                <w:szCs w:val="24"/>
              </w:rPr>
              <w:t>，</w:t>
            </w:r>
            <w:r>
              <w:rPr>
                <w:rFonts w:hint="eastAsia"/>
                <w:bCs/>
                <w:color w:val="auto"/>
                <w:sz w:val="24"/>
                <w:szCs w:val="24"/>
                <w:lang w:val="en-US" w:eastAsia="zh-CN"/>
              </w:rPr>
              <w:t>小麦、豆粕、轻质白油大部分进入产品，仅少量进入抛光废料与金刚砂、米糠混合，</w:t>
            </w:r>
            <w:r>
              <w:rPr>
                <w:rFonts w:hint="eastAsia"/>
                <w:bCs/>
                <w:color w:val="auto"/>
                <w:sz w:val="24"/>
                <w:szCs w:val="24"/>
              </w:rPr>
              <w:t>本项目抛光废料产生量约为</w:t>
            </w:r>
            <w:r>
              <w:rPr>
                <w:rFonts w:hint="eastAsia"/>
                <w:bCs/>
                <w:color w:val="auto"/>
                <w:sz w:val="24"/>
                <w:szCs w:val="24"/>
                <w:lang w:val="en-US" w:eastAsia="zh-CN"/>
              </w:rPr>
              <w:t>14.3</w:t>
            </w:r>
            <w:r>
              <w:rPr>
                <w:rFonts w:hint="eastAsia"/>
                <w:bCs/>
                <w:color w:val="auto"/>
                <w:sz w:val="24"/>
                <w:szCs w:val="24"/>
              </w:rPr>
              <w:t>t/a，属于危险废物，委托资质单位处置。</w:t>
            </w:r>
          </w:p>
          <w:p w14:paraId="401FE812">
            <w:pPr>
              <w:spacing w:line="360" w:lineRule="auto"/>
              <w:ind w:firstLine="480" w:firstLineChars="200"/>
              <w:rPr>
                <w:rFonts w:hint="eastAsia" w:eastAsia="宋体"/>
                <w:color w:val="auto"/>
                <w:sz w:val="24"/>
                <w:szCs w:val="24"/>
                <w:lang w:eastAsia="zh-CN"/>
              </w:rPr>
            </w:pPr>
            <w:r>
              <w:rPr>
                <w:rFonts w:hint="eastAsia"/>
                <w:color w:val="auto"/>
                <w:sz w:val="24"/>
                <w:szCs w:val="24"/>
                <w:lang w:eastAsia="zh-CN"/>
              </w:rPr>
              <w:t>（</w:t>
            </w:r>
            <w:r>
              <w:rPr>
                <w:rFonts w:hint="eastAsia"/>
                <w:color w:val="auto"/>
                <w:sz w:val="24"/>
                <w:szCs w:val="24"/>
                <w:lang w:val="en-US" w:eastAsia="zh-CN"/>
              </w:rPr>
              <w:t>20</w:t>
            </w:r>
            <w:r>
              <w:rPr>
                <w:rFonts w:hint="eastAsia"/>
                <w:color w:val="auto"/>
                <w:sz w:val="24"/>
                <w:szCs w:val="24"/>
                <w:lang w:eastAsia="zh-CN"/>
              </w:rPr>
              <w:t>）废电池</w:t>
            </w:r>
          </w:p>
          <w:p w14:paraId="07EFB471">
            <w:pPr>
              <w:spacing w:line="360" w:lineRule="auto"/>
              <w:ind w:firstLine="480" w:firstLineChars="200"/>
              <w:rPr>
                <w:color w:val="auto"/>
                <w:sz w:val="24"/>
                <w:szCs w:val="24"/>
              </w:rPr>
            </w:pPr>
            <w:r>
              <w:rPr>
                <w:rFonts w:hint="eastAsia"/>
                <w:color w:val="auto"/>
                <w:sz w:val="24"/>
                <w:szCs w:val="24"/>
                <w:lang w:val="en-US" w:eastAsia="zh-CN"/>
              </w:rPr>
              <w:t>本项目设置2台叉车用于厂内运输，叉车每三年更换一次电池，产生废电池，根据建设单位提供资料，废电池产生量为0.25t/3a，属于危险废物，委托资质单位处置。</w:t>
            </w:r>
          </w:p>
          <w:p w14:paraId="5F5659DD">
            <w:pPr>
              <w:spacing w:line="360" w:lineRule="auto"/>
              <w:ind w:firstLine="480" w:firstLineChars="200"/>
              <w:rPr>
                <w:rFonts w:hint="eastAsia" w:eastAsia="宋体"/>
                <w:color w:val="auto"/>
                <w:sz w:val="24"/>
                <w:szCs w:val="24"/>
                <w:lang w:eastAsia="zh-CN"/>
              </w:rPr>
            </w:pPr>
            <w:r>
              <w:rPr>
                <w:rFonts w:hint="eastAsia"/>
                <w:color w:val="auto"/>
                <w:sz w:val="24"/>
                <w:szCs w:val="24"/>
                <w:lang w:eastAsia="zh-CN"/>
              </w:rPr>
              <w:t>（</w:t>
            </w:r>
            <w:r>
              <w:rPr>
                <w:rFonts w:hint="eastAsia"/>
                <w:color w:val="auto"/>
                <w:sz w:val="24"/>
                <w:szCs w:val="24"/>
                <w:lang w:val="en-US" w:eastAsia="zh-CN"/>
              </w:rPr>
              <w:t>21</w:t>
            </w:r>
            <w:r>
              <w:rPr>
                <w:rFonts w:hint="eastAsia"/>
                <w:color w:val="auto"/>
                <w:sz w:val="24"/>
                <w:szCs w:val="24"/>
                <w:lang w:eastAsia="zh-CN"/>
              </w:rPr>
              <w:t>）废油、金属屑</w:t>
            </w:r>
          </w:p>
          <w:p w14:paraId="550BA806">
            <w:pPr>
              <w:spacing w:line="360" w:lineRule="auto"/>
              <w:ind w:firstLine="480" w:firstLineChars="200"/>
              <w:rPr>
                <w:rFonts w:hint="eastAsia"/>
                <w:color w:val="auto"/>
                <w:sz w:val="24"/>
                <w:szCs w:val="24"/>
                <w:lang w:val="en-US" w:eastAsia="zh-CN"/>
              </w:rPr>
            </w:pPr>
            <w:r>
              <w:rPr>
                <w:rFonts w:hint="eastAsia"/>
                <w:color w:val="auto"/>
                <w:sz w:val="24"/>
                <w:szCs w:val="24"/>
                <w:lang w:val="en-US" w:eastAsia="zh-CN"/>
              </w:rPr>
              <w:t>对照《危险废物豁免管理清单》：“金属制品机械加工行业珩磨、研磨、打磨过程，以及使用切削油或者切削液进行机械加工过程中产生的属于危险废物的含油金属屑（900-200-08；900-006-09），经压榨、压滤、过滤或者离心等除油达到静置无滴漏后打包或者压块，符合生态环境相关标准要求，作为生产原料用于金属冶炼，利用过程不按危险废物管理”。</w:t>
            </w:r>
          </w:p>
          <w:p w14:paraId="4D48AC89">
            <w:pPr>
              <w:spacing w:line="360" w:lineRule="auto"/>
              <w:ind w:firstLine="480" w:firstLineChars="200"/>
              <w:rPr>
                <w:rFonts w:hint="eastAsia" w:eastAsia="宋体"/>
                <w:color w:val="auto"/>
                <w:sz w:val="24"/>
                <w:szCs w:val="24"/>
                <w:lang w:val="en-US" w:eastAsia="zh-CN"/>
              </w:rPr>
            </w:pPr>
            <w:r>
              <w:rPr>
                <w:rFonts w:hint="eastAsia"/>
                <w:color w:val="auto"/>
                <w:sz w:val="24"/>
                <w:szCs w:val="24"/>
                <w:lang w:val="en-US" w:eastAsia="zh-CN"/>
              </w:rPr>
              <w:t>企业钻孔、倒角过程使用深孔钻油（主要成分为矿物油），产生含油废屑对照《国家危险废物名录》（2025年版）危废代码为</w:t>
            </w:r>
            <w:r>
              <w:rPr>
                <w:rFonts w:hint="eastAsia"/>
                <w:color w:val="auto"/>
                <w:sz w:val="24"/>
                <w:szCs w:val="24"/>
              </w:rPr>
              <w:t>900-200-08</w:t>
            </w:r>
            <w:r>
              <w:rPr>
                <w:rFonts w:hint="eastAsia"/>
                <w:color w:val="auto"/>
                <w:sz w:val="24"/>
                <w:szCs w:val="24"/>
                <w:lang w:eastAsia="zh-CN"/>
              </w:rPr>
              <w:t>；</w:t>
            </w:r>
            <w:r>
              <w:rPr>
                <w:rFonts w:hint="eastAsia"/>
                <w:color w:val="auto"/>
                <w:sz w:val="24"/>
                <w:szCs w:val="24"/>
                <w:lang w:val="en-US" w:eastAsia="zh-CN"/>
              </w:rPr>
              <w:t>机械加工过程使用切削液，产生含油废屑对照《国家危险废物名录》（2025年版）危废代码为</w:t>
            </w:r>
            <w:r>
              <w:rPr>
                <w:rFonts w:hint="eastAsia"/>
                <w:color w:val="auto"/>
                <w:sz w:val="24"/>
                <w:szCs w:val="24"/>
              </w:rPr>
              <w:t>900-006-09</w:t>
            </w:r>
            <w:r>
              <w:rPr>
                <w:rFonts w:hint="eastAsia"/>
                <w:color w:val="auto"/>
                <w:sz w:val="24"/>
                <w:szCs w:val="24"/>
                <w:lang w:eastAsia="zh-CN"/>
              </w:rPr>
              <w:t>。</w:t>
            </w:r>
            <w:r>
              <w:rPr>
                <w:rFonts w:hint="eastAsia"/>
                <w:color w:val="auto"/>
                <w:sz w:val="24"/>
                <w:szCs w:val="24"/>
                <w:lang w:val="en-US" w:eastAsia="zh-CN"/>
              </w:rPr>
              <w:t>本项目设置压块机对含油废屑进行</w:t>
            </w:r>
            <w:r>
              <w:rPr>
                <w:rFonts w:hint="eastAsia" w:cs="Times New Roman"/>
                <w:b w:val="0"/>
                <w:bCs w:val="0"/>
                <w:color w:val="auto"/>
                <w:kern w:val="2"/>
                <w:sz w:val="24"/>
                <w:szCs w:val="24"/>
                <w:lang w:val="en-US" w:eastAsia="zh-CN" w:bidi="ar"/>
              </w:rPr>
              <w:t>压滤后分为废油、金属屑</w:t>
            </w:r>
            <w:r>
              <w:rPr>
                <w:rFonts w:hint="eastAsia"/>
                <w:color w:val="auto"/>
                <w:sz w:val="24"/>
                <w:szCs w:val="24"/>
              </w:rPr>
              <w:t>。</w:t>
            </w:r>
            <w:r>
              <w:rPr>
                <w:rFonts w:hint="eastAsia"/>
                <w:color w:val="auto"/>
                <w:sz w:val="24"/>
                <w:szCs w:val="24"/>
                <w:lang w:val="en-US" w:eastAsia="zh-CN"/>
              </w:rPr>
              <w:t>根据建设单位提供资料，废油产生量为9.996</w:t>
            </w:r>
            <w:r>
              <w:rPr>
                <w:rFonts w:hint="eastAsia"/>
                <w:color w:val="auto"/>
                <w:sz w:val="24"/>
                <w:szCs w:val="24"/>
              </w:rPr>
              <w:t>t/a，属于危险废物，委托有资质单位处置</w:t>
            </w:r>
            <w:r>
              <w:rPr>
                <w:rFonts w:hint="eastAsia"/>
                <w:color w:val="auto"/>
                <w:sz w:val="24"/>
                <w:szCs w:val="24"/>
                <w:lang w:eastAsia="zh-CN"/>
              </w:rPr>
              <w:t>；</w:t>
            </w:r>
            <w:r>
              <w:rPr>
                <w:rFonts w:hint="eastAsia" w:cs="Times New Roman"/>
                <w:b w:val="0"/>
                <w:bCs w:val="0"/>
                <w:color w:val="auto"/>
                <w:kern w:val="2"/>
                <w:sz w:val="24"/>
                <w:szCs w:val="24"/>
                <w:lang w:val="en-US" w:eastAsia="zh-CN" w:bidi="ar"/>
              </w:rPr>
              <w:t>金属屑</w:t>
            </w:r>
            <w:r>
              <w:rPr>
                <w:rFonts w:hint="eastAsia"/>
                <w:color w:val="auto"/>
                <w:sz w:val="24"/>
                <w:szCs w:val="24"/>
                <w:lang w:val="en-US" w:eastAsia="zh-CN"/>
              </w:rPr>
              <w:t>产生量约为原料用量的5%，即650</w:t>
            </w:r>
            <w:r>
              <w:rPr>
                <w:rFonts w:hint="eastAsia"/>
                <w:color w:val="auto"/>
                <w:sz w:val="24"/>
                <w:szCs w:val="24"/>
              </w:rPr>
              <w:t>t/a，</w:t>
            </w:r>
            <w:r>
              <w:rPr>
                <w:rFonts w:hint="eastAsia" w:cs="Times New Roman"/>
                <w:b w:val="0"/>
                <w:bCs w:val="0"/>
                <w:color w:val="auto"/>
                <w:kern w:val="2"/>
                <w:sz w:val="24"/>
                <w:szCs w:val="24"/>
                <w:lang w:val="en-US" w:eastAsia="zh-CN" w:bidi="ar"/>
              </w:rPr>
              <w:t>应根据《危险废物鉴别技术规范》(HJ/T 298-2019)、《危险废物鉴别标准 通则》(GB5085.7-2019)等文件进行危险特性鉴别，鉴别若为一般固废则委外处置（作为生产原料用于金属冶炼），若为危险固废则委托有资质单位进行处置，厂内按照危险固废进行管理，暂存于危废仓库。</w:t>
            </w:r>
          </w:p>
          <w:p w14:paraId="75468953">
            <w:pPr>
              <w:spacing w:line="360" w:lineRule="auto"/>
              <w:ind w:firstLine="480" w:firstLineChars="200"/>
              <w:rPr>
                <w:color w:val="auto"/>
                <w:sz w:val="24"/>
                <w:szCs w:val="24"/>
              </w:rPr>
            </w:pPr>
            <w:r>
              <w:rPr>
                <w:color w:val="auto"/>
                <w:sz w:val="24"/>
                <w:szCs w:val="24"/>
              </w:rPr>
              <w:t>根据《固体废物鉴别标准</w:t>
            </w:r>
            <w:r>
              <w:rPr>
                <w:rFonts w:hint="eastAsia"/>
                <w:color w:val="auto"/>
                <w:sz w:val="24"/>
                <w:szCs w:val="24"/>
                <w:lang w:val="en-US" w:eastAsia="zh-CN"/>
              </w:rPr>
              <w:t xml:space="preserve"> </w:t>
            </w:r>
            <w:r>
              <w:rPr>
                <w:color w:val="auto"/>
                <w:sz w:val="24"/>
                <w:szCs w:val="24"/>
              </w:rPr>
              <w:t>通则》</w:t>
            </w:r>
            <w:r>
              <w:rPr>
                <w:rFonts w:hint="eastAsia"/>
                <w:color w:val="auto"/>
                <w:sz w:val="24"/>
                <w:szCs w:val="24"/>
              </w:rPr>
              <w:t>（</w:t>
            </w:r>
            <w:r>
              <w:rPr>
                <w:color w:val="auto"/>
                <w:sz w:val="24"/>
                <w:szCs w:val="24"/>
              </w:rPr>
              <w:t>GB34330-20</w:t>
            </w:r>
            <w:r>
              <w:rPr>
                <w:rFonts w:hint="eastAsia"/>
                <w:color w:val="auto"/>
                <w:sz w:val="24"/>
                <w:szCs w:val="24"/>
                <w:lang w:val="en-US" w:eastAsia="zh-CN"/>
              </w:rPr>
              <w:t>25</w:t>
            </w:r>
            <w:r>
              <w:rPr>
                <w:rFonts w:hint="eastAsia"/>
                <w:color w:val="auto"/>
                <w:sz w:val="24"/>
                <w:szCs w:val="24"/>
              </w:rPr>
              <w:t>）</w:t>
            </w:r>
            <w:r>
              <w:rPr>
                <w:color w:val="auto"/>
                <w:sz w:val="24"/>
                <w:szCs w:val="24"/>
              </w:rPr>
              <w:t>，判断</w:t>
            </w:r>
            <w:r>
              <w:rPr>
                <w:rFonts w:hint="eastAsia"/>
                <w:color w:val="auto"/>
                <w:sz w:val="24"/>
                <w:szCs w:val="24"/>
                <w:lang w:val="en-US" w:eastAsia="zh-CN"/>
              </w:rPr>
              <w:t>本项目</w:t>
            </w:r>
            <w:r>
              <w:rPr>
                <w:color w:val="auto"/>
                <w:sz w:val="24"/>
                <w:szCs w:val="24"/>
              </w:rPr>
              <w:t>固体废物的属性，具体见下表。</w:t>
            </w:r>
          </w:p>
          <w:p w14:paraId="2867EA1F">
            <w:pPr>
              <w:jc w:val="center"/>
              <w:rPr>
                <w:b/>
                <w:bCs/>
                <w:color w:val="auto"/>
                <w:sz w:val="24"/>
                <w:szCs w:val="24"/>
              </w:rPr>
            </w:pPr>
            <w:r>
              <w:rPr>
                <w:rFonts w:hint="eastAsia"/>
                <w:b/>
                <w:bCs/>
                <w:color w:val="auto"/>
                <w:sz w:val="24"/>
                <w:szCs w:val="24"/>
              </w:rPr>
              <w:t>表4-</w:t>
            </w:r>
            <w:r>
              <w:rPr>
                <w:rFonts w:hint="eastAsia"/>
                <w:b/>
                <w:bCs/>
                <w:color w:val="auto"/>
                <w:sz w:val="24"/>
                <w:szCs w:val="24"/>
                <w:lang w:val="en-US" w:eastAsia="zh-CN"/>
              </w:rPr>
              <w:t>20</w:t>
            </w:r>
            <w:r>
              <w:rPr>
                <w:rFonts w:hint="eastAsia"/>
                <w:b/>
                <w:bCs/>
                <w:color w:val="auto"/>
                <w:sz w:val="24"/>
                <w:szCs w:val="24"/>
              </w:rPr>
              <w:t xml:space="preserve"> </w:t>
            </w:r>
            <w:r>
              <w:rPr>
                <w:b/>
                <w:bCs/>
                <w:color w:val="auto"/>
                <w:sz w:val="24"/>
                <w:szCs w:val="24"/>
              </w:rPr>
              <w:t>固体废物属性判断（单位：t/a）</w:t>
            </w:r>
          </w:p>
          <w:tbl>
            <w:tblPr>
              <w:tblStyle w:val="26"/>
              <w:tblW w:w="4995" w:type="pct"/>
              <w:jc w:val="center"/>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Layout w:type="fixed"/>
              <w:tblCellMar>
                <w:top w:w="0" w:type="dxa"/>
                <w:left w:w="57" w:type="dxa"/>
                <w:bottom w:w="0" w:type="dxa"/>
                <w:right w:w="57" w:type="dxa"/>
              </w:tblCellMar>
            </w:tblPr>
            <w:tblGrid>
              <w:gridCol w:w="276"/>
              <w:gridCol w:w="1249"/>
              <w:gridCol w:w="1271"/>
              <w:gridCol w:w="695"/>
              <w:gridCol w:w="1175"/>
              <w:gridCol w:w="760"/>
              <w:gridCol w:w="510"/>
              <w:gridCol w:w="550"/>
              <w:gridCol w:w="782"/>
              <w:gridCol w:w="885"/>
            </w:tblGrid>
            <w:tr w14:paraId="2B1D7C4D">
              <w:tblPrEx>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CellMar>
                  <w:top w:w="0" w:type="dxa"/>
                  <w:left w:w="57" w:type="dxa"/>
                  <w:bottom w:w="0" w:type="dxa"/>
                  <w:right w:w="57" w:type="dxa"/>
                </w:tblCellMar>
              </w:tblPrEx>
              <w:trPr>
                <w:trHeight w:val="23" w:hRule="atLeast"/>
                <w:jc w:val="center"/>
              </w:trPr>
              <w:tc>
                <w:tcPr>
                  <w:tcW w:w="169" w:type="pct"/>
                  <w:vMerge w:val="restart"/>
                  <w:tcBorders>
                    <w:tl2br w:val="nil"/>
                    <w:tr2bl w:val="nil"/>
                  </w:tcBorders>
                  <w:vAlign w:val="center"/>
                </w:tcPr>
                <w:p w14:paraId="2592652C">
                  <w:pPr>
                    <w:pStyle w:val="34"/>
                    <w:adjustRightInd/>
                    <w:snapToGrid/>
                    <w:spacing w:before="24" w:after="24" w:line="240" w:lineRule="auto"/>
                    <w:textAlignment w:val="auto"/>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序号</w:t>
                  </w:r>
                </w:p>
              </w:tc>
              <w:tc>
                <w:tcPr>
                  <w:tcW w:w="765" w:type="pct"/>
                  <w:vMerge w:val="restart"/>
                  <w:tcBorders>
                    <w:tl2br w:val="nil"/>
                    <w:tr2bl w:val="nil"/>
                  </w:tcBorders>
                  <w:vAlign w:val="center"/>
                </w:tcPr>
                <w:p w14:paraId="412CAFA8">
                  <w:pPr>
                    <w:pStyle w:val="34"/>
                    <w:adjustRightInd/>
                    <w:snapToGrid/>
                    <w:spacing w:before="24" w:after="24" w:line="240" w:lineRule="auto"/>
                    <w:textAlignment w:val="auto"/>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固废名称</w:t>
                  </w:r>
                </w:p>
              </w:tc>
              <w:tc>
                <w:tcPr>
                  <w:tcW w:w="779" w:type="pct"/>
                  <w:vMerge w:val="restart"/>
                  <w:tcBorders>
                    <w:tl2br w:val="nil"/>
                    <w:tr2bl w:val="nil"/>
                  </w:tcBorders>
                  <w:vAlign w:val="center"/>
                </w:tcPr>
                <w:p w14:paraId="10D2DA35">
                  <w:pPr>
                    <w:pStyle w:val="34"/>
                    <w:adjustRightInd/>
                    <w:snapToGrid/>
                    <w:spacing w:before="24" w:after="24" w:line="240" w:lineRule="auto"/>
                    <w:textAlignment w:val="auto"/>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产生工序</w:t>
                  </w:r>
                </w:p>
              </w:tc>
              <w:tc>
                <w:tcPr>
                  <w:tcW w:w="426" w:type="pct"/>
                  <w:vMerge w:val="restart"/>
                  <w:tcBorders>
                    <w:tl2br w:val="nil"/>
                    <w:tr2bl w:val="nil"/>
                  </w:tcBorders>
                  <w:vAlign w:val="center"/>
                </w:tcPr>
                <w:p w14:paraId="3572BF36">
                  <w:pPr>
                    <w:pStyle w:val="34"/>
                    <w:adjustRightInd/>
                    <w:snapToGrid/>
                    <w:spacing w:before="24" w:after="24" w:line="240" w:lineRule="auto"/>
                    <w:textAlignment w:val="auto"/>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形态</w:t>
                  </w:r>
                </w:p>
              </w:tc>
              <w:tc>
                <w:tcPr>
                  <w:tcW w:w="720" w:type="pct"/>
                  <w:vMerge w:val="restart"/>
                  <w:tcBorders>
                    <w:tl2br w:val="nil"/>
                    <w:tr2bl w:val="nil"/>
                  </w:tcBorders>
                  <w:vAlign w:val="center"/>
                </w:tcPr>
                <w:p w14:paraId="09EF2462">
                  <w:pPr>
                    <w:pStyle w:val="34"/>
                    <w:adjustRightInd/>
                    <w:snapToGrid/>
                    <w:spacing w:before="24" w:after="24" w:line="240" w:lineRule="auto"/>
                    <w:textAlignment w:val="auto"/>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主要成分</w:t>
                  </w:r>
                </w:p>
              </w:tc>
              <w:tc>
                <w:tcPr>
                  <w:tcW w:w="466" w:type="pct"/>
                  <w:vMerge w:val="restart"/>
                  <w:tcBorders>
                    <w:tl2br w:val="nil"/>
                    <w:tr2bl w:val="nil"/>
                  </w:tcBorders>
                  <w:vAlign w:val="center"/>
                </w:tcPr>
                <w:p w14:paraId="3A3CE1D5">
                  <w:pPr>
                    <w:pStyle w:val="34"/>
                    <w:adjustRightInd/>
                    <w:snapToGrid/>
                    <w:spacing w:before="24" w:after="24" w:line="240" w:lineRule="auto"/>
                    <w:textAlignment w:val="auto"/>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产生量</w:t>
                  </w:r>
                </w:p>
              </w:tc>
              <w:tc>
                <w:tcPr>
                  <w:tcW w:w="1672" w:type="pct"/>
                  <w:gridSpan w:val="4"/>
                  <w:tcBorders>
                    <w:tl2br w:val="nil"/>
                    <w:tr2bl w:val="nil"/>
                  </w:tcBorders>
                  <w:vAlign w:val="center"/>
                </w:tcPr>
                <w:p w14:paraId="7ECA2B30">
                  <w:pPr>
                    <w:pStyle w:val="34"/>
                    <w:adjustRightInd/>
                    <w:snapToGrid/>
                    <w:spacing w:before="24" w:after="24" w:line="240" w:lineRule="auto"/>
                    <w:textAlignment w:val="auto"/>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种类判断</w:t>
                  </w:r>
                </w:p>
              </w:tc>
            </w:tr>
            <w:tr w14:paraId="4493A3B4">
              <w:tblPrEx>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CellMar>
                  <w:top w:w="0" w:type="dxa"/>
                  <w:left w:w="57" w:type="dxa"/>
                  <w:bottom w:w="0" w:type="dxa"/>
                  <w:right w:w="57" w:type="dxa"/>
                </w:tblCellMar>
              </w:tblPrEx>
              <w:trPr>
                <w:trHeight w:val="23" w:hRule="atLeast"/>
                <w:jc w:val="center"/>
              </w:trPr>
              <w:tc>
                <w:tcPr>
                  <w:tcW w:w="169" w:type="pct"/>
                  <w:vMerge w:val="continue"/>
                  <w:tcBorders>
                    <w:tl2br w:val="nil"/>
                    <w:tr2bl w:val="nil"/>
                  </w:tcBorders>
                  <w:vAlign w:val="center"/>
                </w:tcPr>
                <w:p w14:paraId="625F4957">
                  <w:pPr>
                    <w:pStyle w:val="34"/>
                    <w:adjustRightInd/>
                    <w:snapToGrid/>
                    <w:spacing w:before="24" w:after="24" w:line="240" w:lineRule="auto"/>
                    <w:textAlignment w:val="auto"/>
                    <w:rPr>
                      <w:rFonts w:hint="default" w:ascii="Times New Roman" w:hAnsi="Times New Roman" w:eastAsia="宋体" w:cs="Times New Roman"/>
                      <w:b/>
                      <w:color w:val="auto"/>
                      <w:sz w:val="21"/>
                      <w:szCs w:val="21"/>
                    </w:rPr>
                  </w:pPr>
                </w:p>
              </w:tc>
              <w:tc>
                <w:tcPr>
                  <w:tcW w:w="765" w:type="pct"/>
                  <w:vMerge w:val="continue"/>
                  <w:tcBorders>
                    <w:tl2br w:val="nil"/>
                    <w:tr2bl w:val="nil"/>
                  </w:tcBorders>
                  <w:vAlign w:val="center"/>
                </w:tcPr>
                <w:p w14:paraId="0EF7C05E">
                  <w:pPr>
                    <w:pStyle w:val="34"/>
                    <w:adjustRightInd/>
                    <w:snapToGrid/>
                    <w:spacing w:before="24" w:after="24" w:line="240" w:lineRule="auto"/>
                    <w:textAlignment w:val="auto"/>
                    <w:rPr>
                      <w:rFonts w:hint="default" w:ascii="Times New Roman" w:hAnsi="Times New Roman" w:eastAsia="宋体" w:cs="Times New Roman"/>
                      <w:b/>
                      <w:color w:val="auto"/>
                      <w:sz w:val="21"/>
                      <w:szCs w:val="21"/>
                    </w:rPr>
                  </w:pPr>
                </w:p>
              </w:tc>
              <w:tc>
                <w:tcPr>
                  <w:tcW w:w="779" w:type="pct"/>
                  <w:vMerge w:val="continue"/>
                  <w:tcBorders>
                    <w:tl2br w:val="nil"/>
                    <w:tr2bl w:val="nil"/>
                  </w:tcBorders>
                  <w:vAlign w:val="center"/>
                </w:tcPr>
                <w:p w14:paraId="6A4932F5">
                  <w:pPr>
                    <w:pStyle w:val="34"/>
                    <w:adjustRightInd/>
                    <w:snapToGrid/>
                    <w:spacing w:before="24" w:after="24" w:line="240" w:lineRule="auto"/>
                    <w:textAlignment w:val="auto"/>
                    <w:rPr>
                      <w:rFonts w:hint="default" w:ascii="Times New Roman" w:hAnsi="Times New Roman" w:eastAsia="宋体" w:cs="Times New Roman"/>
                      <w:b/>
                      <w:color w:val="auto"/>
                      <w:sz w:val="21"/>
                      <w:szCs w:val="21"/>
                    </w:rPr>
                  </w:pPr>
                </w:p>
              </w:tc>
              <w:tc>
                <w:tcPr>
                  <w:tcW w:w="426" w:type="pct"/>
                  <w:vMerge w:val="continue"/>
                  <w:tcBorders>
                    <w:tl2br w:val="nil"/>
                    <w:tr2bl w:val="nil"/>
                  </w:tcBorders>
                  <w:vAlign w:val="center"/>
                </w:tcPr>
                <w:p w14:paraId="011D5952">
                  <w:pPr>
                    <w:pStyle w:val="34"/>
                    <w:adjustRightInd/>
                    <w:snapToGrid/>
                    <w:spacing w:before="24" w:after="24" w:line="240" w:lineRule="auto"/>
                    <w:textAlignment w:val="auto"/>
                    <w:rPr>
                      <w:rFonts w:hint="default" w:ascii="Times New Roman" w:hAnsi="Times New Roman" w:eastAsia="宋体" w:cs="Times New Roman"/>
                      <w:b/>
                      <w:color w:val="auto"/>
                      <w:sz w:val="21"/>
                      <w:szCs w:val="21"/>
                    </w:rPr>
                  </w:pPr>
                </w:p>
              </w:tc>
              <w:tc>
                <w:tcPr>
                  <w:tcW w:w="720" w:type="pct"/>
                  <w:vMerge w:val="continue"/>
                  <w:tcBorders>
                    <w:tl2br w:val="nil"/>
                    <w:tr2bl w:val="nil"/>
                  </w:tcBorders>
                  <w:vAlign w:val="center"/>
                </w:tcPr>
                <w:p w14:paraId="43D5FAA3">
                  <w:pPr>
                    <w:pStyle w:val="34"/>
                    <w:adjustRightInd/>
                    <w:snapToGrid/>
                    <w:spacing w:before="24" w:after="24" w:line="240" w:lineRule="auto"/>
                    <w:textAlignment w:val="auto"/>
                    <w:rPr>
                      <w:rFonts w:hint="default" w:ascii="Times New Roman" w:hAnsi="Times New Roman" w:eastAsia="宋体" w:cs="Times New Roman"/>
                      <w:b/>
                      <w:color w:val="auto"/>
                      <w:sz w:val="21"/>
                      <w:szCs w:val="21"/>
                    </w:rPr>
                  </w:pPr>
                </w:p>
              </w:tc>
              <w:tc>
                <w:tcPr>
                  <w:tcW w:w="466" w:type="pct"/>
                  <w:vMerge w:val="continue"/>
                  <w:tcBorders>
                    <w:tl2br w:val="nil"/>
                    <w:tr2bl w:val="nil"/>
                  </w:tcBorders>
                  <w:vAlign w:val="center"/>
                </w:tcPr>
                <w:p w14:paraId="64256CC3">
                  <w:pPr>
                    <w:pStyle w:val="34"/>
                    <w:adjustRightInd/>
                    <w:snapToGrid/>
                    <w:spacing w:before="24" w:after="24" w:line="240" w:lineRule="auto"/>
                    <w:textAlignment w:val="auto"/>
                    <w:rPr>
                      <w:rFonts w:hint="default" w:ascii="Times New Roman" w:hAnsi="Times New Roman" w:eastAsia="宋体" w:cs="Times New Roman"/>
                      <w:b/>
                      <w:color w:val="auto"/>
                      <w:sz w:val="21"/>
                      <w:szCs w:val="21"/>
                    </w:rPr>
                  </w:pPr>
                </w:p>
              </w:tc>
              <w:tc>
                <w:tcPr>
                  <w:tcW w:w="312" w:type="pct"/>
                  <w:tcBorders>
                    <w:tl2br w:val="nil"/>
                    <w:tr2bl w:val="nil"/>
                  </w:tcBorders>
                  <w:vAlign w:val="center"/>
                </w:tcPr>
                <w:p w14:paraId="08C56837">
                  <w:pPr>
                    <w:pStyle w:val="34"/>
                    <w:adjustRightInd/>
                    <w:snapToGrid/>
                    <w:spacing w:before="24" w:after="24" w:line="240" w:lineRule="auto"/>
                    <w:textAlignment w:val="auto"/>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固体</w:t>
                  </w:r>
                </w:p>
                <w:p w14:paraId="07D7F640">
                  <w:pPr>
                    <w:pStyle w:val="34"/>
                    <w:adjustRightInd/>
                    <w:snapToGrid/>
                    <w:spacing w:before="24" w:after="24" w:line="240" w:lineRule="auto"/>
                    <w:textAlignment w:val="auto"/>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废物</w:t>
                  </w:r>
                </w:p>
              </w:tc>
              <w:tc>
                <w:tcPr>
                  <w:tcW w:w="337" w:type="pct"/>
                  <w:tcBorders>
                    <w:tl2br w:val="nil"/>
                    <w:tr2bl w:val="nil"/>
                  </w:tcBorders>
                  <w:vAlign w:val="center"/>
                </w:tcPr>
                <w:p w14:paraId="2BCE7790">
                  <w:pPr>
                    <w:pStyle w:val="34"/>
                    <w:adjustRightInd/>
                    <w:snapToGrid/>
                    <w:spacing w:before="24" w:after="24" w:line="240" w:lineRule="auto"/>
                    <w:textAlignment w:val="auto"/>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副产品</w:t>
                  </w:r>
                </w:p>
              </w:tc>
              <w:tc>
                <w:tcPr>
                  <w:tcW w:w="1022" w:type="pct"/>
                  <w:gridSpan w:val="2"/>
                  <w:tcBorders>
                    <w:tl2br w:val="nil"/>
                    <w:tr2bl w:val="nil"/>
                  </w:tcBorders>
                  <w:vAlign w:val="center"/>
                </w:tcPr>
                <w:p w14:paraId="0D76E82D">
                  <w:pPr>
                    <w:pStyle w:val="34"/>
                    <w:adjustRightInd/>
                    <w:snapToGrid/>
                    <w:spacing w:before="24" w:after="24" w:line="240" w:lineRule="auto"/>
                    <w:textAlignment w:val="auto"/>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判定依据</w:t>
                  </w:r>
                </w:p>
              </w:tc>
            </w:tr>
            <w:tr w14:paraId="77212097">
              <w:tblPrEx>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CellMar>
                  <w:top w:w="0" w:type="dxa"/>
                  <w:left w:w="57" w:type="dxa"/>
                  <w:bottom w:w="0" w:type="dxa"/>
                  <w:right w:w="57" w:type="dxa"/>
                </w:tblCellMar>
              </w:tblPrEx>
              <w:trPr>
                <w:trHeight w:val="23" w:hRule="atLeast"/>
                <w:jc w:val="center"/>
              </w:trPr>
              <w:tc>
                <w:tcPr>
                  <w:tcW w:w="169" w:type="pct"/>
                  <w:tcBorders>
                    <w:tl2br w:val="nil"/>
                    <w:tr2bl w:val="nil"/>
                  </w:tcBorders>
                  <w:vAlign w:val="center"/>
                </w:tcPr>
                <w:p w14:paraId="0D287F26">
                  <w:pPr>
                    <w:widowControl/>
                    <w:numPr>
                      <w:ilvl w:val="0"/>
                      <w:numId w:val="13"/>
                    </w:numPr>
                    <w:ind w:left="0" w:leftChars="0" w:firstLine="0" w:firstLineChars="0"/>
                    <w:jc w:val="center"/>
                    <w:rPr>
                      <w:rFonts w:hint="default" w:ascii="Times New Roman" w:hAnsi="Times New Roman" w:eastAsia="宋体" w:cs="Times New Roman"/>
                      <w:bCs/>
                      <w:snapToGrid w:val="0"/>
                      <w:color w:val="auto"/>
                      <w:spacing w:val="6"/>
                      <w:sz w:val="21"/>
                      <w:szCs w:val="21"/>
                    </w:rPr>
                  </w:pPr>
                </w:p>
              </w:tc>
              <w:tc>
                <w:tcPr>
                  <w:tcW w:w="765" w:type="pct"/>
                  <w:tcBorders>
                    <w:tl2br w:val="nil"/>
                    <w:tr2bl w:val="nil"/>
                  </w:tcBorders>
                  <w:shd w:val="clear" w:color="auto" w:fill="auto"/>
                  <w:vAlign w:val="center"/>
                </w:tcPr>
                <w:p w14:paraId="5C0E9AA1">
                  <w:pPr>
                    <w:widowControl/>
                    <w:jc w:val="center"/>
                    <w:rPr>
                      <w:rFonts w:hint="default" w:ascii="Times New Roman" w:hAnsi="Times New Roman" w:eastAsia="宋体" w:cs="Times New Roman"/>
                      <w:bCs/>
                      <w:snapToGrid w:val="0"/>
                      <w:color w:val="auto"/>
                      <w:spacing w:val="6"/>
                      <w:sz w:val="21"/>
                      <w:szCs w:val="21"/>
                    </w:rPr>
                  </w:pPr>
                  <w:r>
                    <w:rPr>
                      <w:rFonts w:hint="default" w:ascii="Times New Roman" w:hAnsi="Times New Roman" w:eastAsia="宋体" w:cs="Times New Roman"/>
                      <w:bCs/>
                      <w:snapToGrid w:val="0"/>
                      <w:color w:val="auto"/>
                      <w:spacing w:val="6"/>
                      <w:sz w:val="21"/>
                      <w:szCs w:val="21"/>
                    </w:rPr>
                    <w:t>生活垃圾</w:t>
                  </w:r>
                </w:p>
              </w:tc>
              <w:tc>
                <w:tcPr>
                  <w:tcW w:w="779" w:type="pct"/>
                  <w:tcBorders>
                    <w:tl2br w:val="nil"/>
                    <w:tr2bl w:val="nil"/>
                  </w:tcBorders>
                  <w:shd w:val="clear" w:color="auto" w:fill="auto"/>
                  <w:vAlign w:val="center"/>
                </w:tcPr>
                <w:p w14:paraId="0092EE64">
                  <w:pPr>
                    <w:widowControl/>
                    <w:jc w:val="center"/>
                    <w:rPr>
                      <w:rFonts w:hint="default" w:ascii="Times New Roman" w:hAnsi="Times New Roman" w:eastAsia="宋体" w:cs="Times New Roman"/>
                      <w:bCs/>
                      <w:snapToGrid w:val="0"/>
                      <w:color w:val="auto"/>
                      <w:spacing w:val="6"/>
                      <w:kern w:val="2"/>
                      <w:sz w:val="21"/>
                      <w:szCs w:val="21"/>
                      <w:lang w:val="en-US" w:eastAsia="zh-CN" w:bidi="ar"/>
                    </w:rPr>
                  </w:pPr>
                  <w:r>
                    <w:rPr>
                      <w:rFonts w:hint="default" w:ascii="Times New Roman" w:hAnsi="Times New Roman" w:eastAsia="宋体" w:cs="Times New Roman"/>
                      <w:bCs/>
                      <w:snapToGrid w:val="0"/>
                      <w:color w:val="auto"/>
                      <w:spacing w:val="6"/>
                      <w:sz w:val="21"/>
                      <w:szCs w:val="21"/>
                    </w:rPr>
                    <w:t>员工生活</w:t>
                  </w:r>
                </w:p>
              </w:tc>
              <w:tc>
                <w:tcPr>
                  <w:tcW w:w="426" w:type="pct"/>
                  <w:tcBorders>
                    <w:tl2br w:val="nil"/>
                    <w:tr2bl w:val="nil"/>
                  </w:tcBorders>
                  <w:shd w:val="clear" w:color="auto" w:fill="auto"/>
                  <w:vAlign w:val="center"/>
                </w:tcPr>
                <w:p w14:paraId="715F8C43">
                  <w:pPr>
                    <w:widowControl/>
                    <w:jc w:val="center"/>
                    <w:rPr>
                      <w:rFonts w:hint="default" w:ascii="Times New Roman" w:hAnsi="Times New Roman" w:eastAsia="宋体" w:cs="Times New Roman"/>
                      <w:bCs/>
                      <w:snapToGrid w:val="0"/>
                      <w:color w:val="auto"/>
                      <w:spacing w:val="6"/>
                      <w:kern w:val="2"/>
                      <w:sz w:val="21"/>
                      <w:szCs w:val="21"/>
                      <w:lang w:val="en-US" w:eastAsia="zh-CN" w:bidi="ar"/>
                    </w:rPr>
                  </w:pPr>
                  <w:r>
                    <w:rPr>
                      <w:rFonts w:hint="default" w:ascii="Times New Roman" w:hAnsi="Times New Roman" w:eastAsia="宋体" w:cs="Times New Roman"/>
                      <w:bCs/>
                      <w:snapToGrid w:val="0"/>
                      <w:color w:val="auto"/>
                      <w:spacing w:val="6"/>
                      <w:sz w:val="21"/>
                      <w:szCs w:val="21"/>
                    </w:rPr>
                    <w:t>固态</w:t>
                  </w:r>
                </w:p>
              </w:tc>
              <w:tc>
                <w:tcPr>
                  <w:tcW w:w="720" w:type="pct"/>
                  <w:tcBorders>
                    <w:tl2br w:val="nil"/>
                    <w:tr2bl w:val="nil"/>
                  </w:tcBorders>
                  <w:shd w:val="clear" w:color="auto" w:fill="auto"/>
                  <w:vAlign w:val="center"/>
                </w:tcPr>
                <w:p w14:paraId="7F7E4857">
                  <w:pPr>
                    <w:widowControl/>
                    <w:jc w:val="center"/>
                    <w:rPr>
                      <w:rFonts w:hint="default" w:ascii="Times New Roman" w:hAnsi="Times New Roman" w:eastAsia="宋体" w:cs="Times New Roman"/>
                      <w:bCs/>
                      <w:snapToGrid w:val="0"/>
                      <w:color w:val="auto"/>
                      <w:spacing w:val="6"/>
                      <w:kern w:val="2"/>
                      <w:sz w:val="21"/>
                      <w:szCs w:val="21"/>
                      <w:lang w:val="en-US" w:eastAsia="zh-CN" w:bidi="ar"/>
                    </w:rPr>
                  </w:pPr>
                  <w:r>
                    <w:rPr>
                      <w:rFonts w:hint="default" w:ascii="Times New Roman" w:hAnsi="Times New Roman" w:eastAsia="宋体" w:cs="Times New Roman"/>
                      <w:bCs/>
                      <w:snapToGrid w:val="0"/>
                      <w:color w:val="auto"/>
                      <w:spacing w:val="6"/>
                      <w:sz w:val="21"/>
                      <w:szCs w:val="21"/>
                    </w:rPr>
                    <w:t>纸张、塑料等</w:t>
                  </w:r>
                </w:p>
              </w:tc>
              <w:tc>
                <w:tcPr>
                  <w:tcW w:w="466" w:type="pct"/>
                  <w:tcBorders>
                    <w:tl2br w:val="nil"/>
                    <w:tr2bl w:val="nil"/>
                  </w:tcBorders>
                  <w:shd w:val="clear" w:color="auto" w:fill="auto"/>
                  <w:vAlign w:val="center"/>
                </w:tcPr>
                <w:p w14:paraId="27E50D7F">
                  <w:pPr>
                    <w:widowControl/>
                    <w:jc w:val="center"/>
                    <w:rPr>
                      <w:rFonts w:hint="eastAsia" w:ascii="Times New Roman" w:hAnsi="Times New Roman" w:eastAsia="宋体" w:cs="Times New Roman"/>
                      <w:bCs/>
                      <w:snapToGrid w:val="0"/>
                      <w:color w:val="auto"/>
                      <w:spacing w:val="6"/>
                      <w:kern w:val="2"/>
                      <w:sz w:val="21"/>
                      <w:szCs w:val="21"/>
                      <w:lang w:val="en-US" w:eastAsia="zh-CN" w:bidi="ar"/>
                    </w:rPr>
                  </w:pPr>
                  <w:r>
                    <w:rPr>
                      <w:rFonts w:hint="eastAsia" w:ascii="Times New Roman" w:hAnsi="Times New Roman" w:eastAsia="宋体" w:cs="Times New Roman"/>
                      <w:bCs/>
                      <w:snapToGrid w:val="0"/>
                      <w:color w:val="auto"/>
                      <w:spacing w:val="6"/>
                      <w:kern w:val="2"/>
                      <w:sz w:val="21"/>
                      <w:szCs w:val="21"/>
                      <w:lang w:val="en-US" w:eastAsia="zh-CN" w:bidi="ar"/>
                    </w:rPr>
                    <w:t>12.39</w:t>
                  </w:r>
                </w:p>
              </w:tc>
              <w:tc>
                <w:tcPr>
                  <w:tcW w:w="312" w:type="pct"/>
                  <w:tcBorders>
                    <w:tl2br w:val="nil"/>
                    <w:tr2bl w:val="nil"/>
                  </w:tcBorders>
                  <w:shd w:val="clear" w:color="auto" w:fill="auto"/>
                  <w:vAlign w:val="center"/>
                </w:tcPr>
                <w:p w14:paraId="7FED5ADB">
                  <w:pPr>
                    <w:widowControl/>
                    <w:jc w:val="center"/>
                    <w:rPr>
                      <w:rFonts w:hint="default" w:ascii="Times New Roman" w:hAnsi="Times New Roman" w:eastAsia="宋体" w:cs="Times New Roman"/>
                      <w:bCs/>
                      <w:snapToGrid w:val="0"/>
                      <w:color w:val="auto"/>
                      <w:spacing w:val="6"/>
                      <w:kern w:val="2"/>
                      <w:sz w:val="21"/>
                      <w:szCs w:val="21"/>
                      <w:lang w:val="en-US" w:eastAsia="zh-CN" w:bidi="ar"/>
                    </w:rPr>
                  </w:pPr>
                  <w:r>
                    <w:rPr>
                      <w:rFonts w:hint="default" w:ascii="Times New Roman" w:hAnsi="Times New Roman" w:eastAsia="宋体" w:cs="Times New Roman"/>
                      <w:bCs/>
                      <w:snapToGrid w:val="0"/>
                      <w:color w:val="auto"/>
                      <w:spacing w:val="6"/>
                      <w:sz w:val="21"/>
                      <w:szCs w:val="21"/>
                    </w:rPr>
                    <w:t>√</w:t>
                  </w:r>
                </w:p>
              </w:tc>
              <w:tc>
                <w:tcPr>
                  <w:tcW w:w="337" w:type="pct"/>
                  <w:tcBorders>
                    <w:tl2br w:val="nil"/>
                    <w:tr2bl w:val="nil"/>
                  </w:tcBorders>
                  <w:shd w:val="clear" w:color="auto" w:fill="auto"/>
                  <w:vAlign w:val="center"/>
                </w:tcPr>
                <w:p w14:paraId="35AF9901">
                  <w:pPr>
                    <w:widowControl/>
                    <w:jc w:val="center"/>
                    <w:rPr>
                      <w:rFonts w:hint="default" w:ascii="Times New Roman" w:hAnsi="Times New Roman" w:eastAsia="宋体" w:cs="Times New Roman"/>
                      <w:bCs/>
                      <w:snapToGrid w:val="0"/>
                      <w:color w:val="auto"/>
                      <w:spacing w:val="6"/>
                      <w:kern w:val="2"/>
                      <w:sz w:val="21"/>
                      <w:szCs w:val="21"/>
                      <w:lang w:val="en-US" w:eastAsia="zh-CN" w:bidi="ar"/>
                    </w:rPr>
                  </w:pPr>
                  <w:r>
                    <w:rPr>
                      <w:rFonts w:hint="default" w:ascii="Times New Roman" w:hAnsi="Times New Roman" w:eastAsia="宋体" w:cs="Times New Roman"/>
                      <w:bCs/>
                      <w:snapToGrid w:val="0"/>
                      <w:color w:val="auto"/>
                      <w:spacing w:val="6"/>
                      <w:sz w:val="21"/>
                      <w:szCs w:val="21"/>
                    </w:rPr>
                    <w:t>/</w:t>
                  </w:r>
                </w:p>
              </w:tc>
              <w:tc>
                <w:tcPr>
                  <w:tcW w:w="479" w:type="pct"/>
                  <w:tcBorders>
                    <w:tl2br w:val="nil"/>
                    <w:tr2bl w:val="nil"/>
                  </w:tcBorders>
                  <w:shd w:val="clear" w:color="auto" w:fill="auto"/>
                  <w:vAlign w:val="center"/>
                </w:tcPr>
                <w:p w14:paraId="3289F019">
                  <w:pPr>
                    <w:widowControl/>
                    <w:jc w:val="center"/>
                    <w:textAlignment w:val="bottom"/>
                    <w:rPr>
                      <w:rFonts w:hint="default" w:ascii="Times New Roman" w:hAnsi="Times New Roman" w:eastAsia="宋体" w:cs="Times New Roman"/>
                      <w:color w:val="auto"/>
                      <w:kern w:val="0"/>
                      <w:sz w:val="21"/>
                      <w:szCs w:val="21"/>
                      <w:lang w:val="en-US" w:eastAsia="zh-CN" w:bidi="ar"/>
                    </w:rPr>
                  </w:pPr>
                  <w:r>
                    <w:rPr>
                      <w:rFonts w:ascii="Times New Roman" w:hAnsi="Times New Roman" w:eastAsia="宋体" w:cs="Times New Roman"/>
                      <w:color w:val="auto"/>
                      <w:kern w:val="0"/>
                      <w:sz w:val="21"/>
                      <w:szCs w:val="21"/>
                      <w:lang w:bidi="ar"/>
                    </w:rPr>
                    <w:t>4.1</w:t>
                  </w:r>
                  <w:r>
                    <w:rPr>
                      <w:rFonts w:hint="eastAsia" w:ascii="Times New Roman" w:hAnsi="Times New Roman" w:eastAsia="宋体" w:cs="Times New Roman"/>
                      <w:color w:val="auto"/>
                      <w:kern w:val="0"/>
                      <w:sz w:val="21"/>
                      <w:szCs w:val="21"/>
                      <w:lang w:val="en-US" w:eastAsia="zh-CN" w:bidi="ar"/>
                    </w:rPr>
                    <w:t>a</w:t>
                  </w:r>
                  <w:r>
                    <w:rPr>
                      <w:rFonts w:ascii="Times New Roman" w:hAnsi="Times New Roman" w:eastAsia="宋体" w:cs="Times New Roman"/>
                      <w:color w:val="auto"/>
                      <w:kern w:val="0"/>
                      <w:sz w:val="21"/>
                      <w:szCs w:val="21"/>
                      <w:lang w:bidi="ar"/>
                    </w:rPr>
                    <w:t>)</w:t>
                  </w:r>
                </w:p>
              </w:tc>
              <w:tc>
                <w:tcPr>
                  <w:tcW w:w="542" w:type="pct"/>
                  <w:tcBorders>
                    <w:tl2br w:val="nil"/>
                    <w:tr2bl w:val="nil"/>
                  </w:tcBorders>
                  <w:shd w:val="clear" w:color="auto" w:fill="auto"/>
                  <w:vAlign w:val="center"/>
                </w:tcPr>
                <w:p w14:paraId="2DC060BD">
                  <w:pPr>
                    <w:widowControl/>
                    <w:jc w:val="center"/>
                    <w:textAlignment w:val="bottom"/>
                    <w:rPr>
                      <w:rFonts w:hint="default" w:ascii="Times New Roman" w:hAnsi="Times New Roman" w:eastAsia="宋体" w:cs="Times New Roman"/>
                      <w:color w:val="auto"/>
                      <w:kern w:val="0"/>
                      <w:sz w:val="21"/>
                      <w:szCs w:val="21"/>
                      <w:lang w:val="en-US" w:eastAsia="zh-CN" w:bidi="ar"/>
                    </w:rPr>
                  </w:pPr>
                  <w:r>
                    <w:rPr>
                      <w:rFonts w:hint="eastAsia" w:ascii="Times New Roman" w:hAnsi="Times New Roman" w:eastAsia="宋体" w:cs="Times New Roman"/>
                      <w:color w:val="auto"/>
                      <w:kern w:val="0"/>
                      <w:sz w:val="21"/>
                      <w:szCs w:val="21"/>
                      <w:lang w:val="en-US" w:eastAsia="zh-CN" w:bidi="ar"/>
                    </w:rPr>
                    <w:t>7.1g</w:t>
                  </w:r>
                  <w:r>
                    <w:rPr>
                      <w:rFonts w:ascii="Times New Roman" w:hAnsi="Times New Roman" w:eastAsia="宋体" w:cs="Times New Roman"/>
                      <w:color w:val="auto"/>
                      <w:kern w:val="0"/>
                      <w:sz w:val="21"/>
                      <w:szCs w:val="21"/>
                      <w:lang w:bidi="ar"/>
                    </w:rPr>
                    <w:t>)</w:t>
                  </w:r>
                </w:p>
              </w:tc>
            </w:tr>
            <w:tr w14:paraId="642FC4F7">
              <w:tblPrEx>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CellMar>
                  <w:top w:w="0" w:type="dxa"/>
                  <w:left w:w="57" w:type="dxa"/>
                  <w:bottom w:w="0" w:type="dxa"/>
                  <w:right w:w="57" w:type="dxa"/>
                </w:tblCellMar>
              </w:tblPrEx>
              <w:trPr>
                <w:trHeight w:val="23" w:hRule="atLeast"/>
                <w:jc w:val="center"/>
              </w:trPr>
              <w:tc>
                <w:tcPr>
                  <w:tcW w:w="169" w:type="pct"/>
                  <w:tcBorders>
                    <w:tl2br w:val="nil"/>
                    <w:tr2bl w:val="nil"/>
                  </w:tcBorders>
                  <w:vAlign w:val="center"/>
                </w:tcPr>
                <w:p w14:paraId="3DECAE34">
                  <w:pPr>
                    <w:widowControl/>
                    <w:numPr>
                      <w:ilvl w:val="0"/>
                      <w:numId w:val="13"/>
                    </w:numPr>
                    <w:ind w:left="0" w:leftChars="0" w:firstLine="0" w:firstLineChars="0"/>
                    <w:jc w:val="center"/>
                    <w:rPr>
                      <w:rFonts w:hint="default" w:ascii="Times New Roman" w:hAnsi="Times New Roman" w:eastAsia="宋体" w:cs="Times New Roman"/>
                      <w:bCs/>
                      <w:snapToGrid w:val="0"/>
                      <w:color w:val="auto"/>
                      <w:spacing w:val="6"/>
                      <w:sz w:val="21"/>
                      <w:szCs w:val="21"/>
                    </w:rPr>
                  </w:pPr>
                </w:p>
              </w:tc>
              <w:tc>
                <w:tcPr>
                  <w:tcW w:w="765" w:type="pct"/>
                  <w:tcBorders>
                    <w:tl2br w:val="nil"/>
                    <w:tr2bl w:val="nil"/>
                  </w:tcBorders>
                  <w:shd w:val="clear" w:color="auto" w:fill="auto"/>
                  <w:vAlign w:val="center"/>
                </w:tcPr>
                <w:p w14:paraId="5DE0A5BC">
                  <w:pPr>
                    <w:widowControl/>
                    <w:jc w:val="center"/>
                    <w:rPr>
                      <w:rFonts w:hint="default" w:ascii="Times New Roman" w:hAnsi="Times New Roman" w:eastAsia="宋体" w:cs="Times New Roman"/>
                      <w:bCs/>
                      <w:snapToGrid w:val="0"/>
                      <w:color w:val="auto"/>
                      <w:spacing w:val="6"/>
                      <w:sz w:val="21"/>
                      <w:szCs w:val="21"/>
                    </w:rPr>
                  </w:pPr>
                  <w:r>
                    <w:rPr>
                      <w:rFonts w:hint="default" w:ascii="Times New Roman" w:hAnsi="Times New Roman" w:eastAsia="宋体" w:cs="Times New Roman"/>
                      <w:bCs/>
                      <w:snapToGrid w:val="0"/>
                      <w:color w:val="auto"/>
                      <w:spacing w:val="6"/>
                      <w:sz w:val="21"/>
                      <w:szCs w:val="21"/>
                    </w:rPr>
                    <w:t>边角料</w:t>
                  </w:r>
                </w:p>
              </w:tc>
              <w:tc>
                <w:tcPr>
                  <w:tcW w:w="779" w:type="pct"/>
                  <w:tcBorders>
                    <w:tl2br w:val="nil"/>
                    <w:tr2bl w:val="nil"/>
                  </w:tcBorders>
                  <w:shd w:val="clear" w:color="auto" w:fill="auto"/>
                  <w:vAlign w:val="center"/>
                </w:tcPr>
                <w:p w14:paraId="54137E9B">
                  <w:pPr>
                    <w:widowControl/>
                    <w:jc w:val="center"/>
                    <w:rPr>
                      <w:rFonts w:hint="default" w:ascii="Times New Roman" w:hAnsi="Times New Roman" w:eastAsia="宋体" w:cs="Times New Roman"/>
                      <w:bCs/>
                      <w:snapToGrid w:val="0"/>
                      <w:color w:val="auto"/>
                      <w:spacing w:val="6"/>
                      <w:sz w:val="21"/>
                      <w:szCs w:val="21"/>
                    </w:rPr>
                  </w:pPr>
                  <w:r>
                    <w:rPr>
                      <w:rFonts w:hint="default" w:ascii="Times New Roman" w:hAnsi="Times New Roman" w:eastAsia="宋体" w:cs="Times New Roman"/>
                      <w:bCs/>
                      <w:snapToGrid w:val="0"/>
                      <w:color w:val="auto"/>
                      <w:spacing w:val="6"/>
                      <w:sz w:val="21"/>
                      <w:szCs w:val="21"/>
                      <w:lang w:val="en-US" w:eastAsia="zh-CN"/>
                    </w:rPr>
                    <w:t>精加工</w:t>
                  </w:r>
                </w:p>
              </w:tc>
              <w:tc>
                <w:tcPr>
                  <w:tcW w:w="426" w:type="pct"/>
                  <w:tcBorders>
                    <w:tl2br w:val="nil"/>
                    <w:tr2bl w:val="nil"/>
                  </w:tcBorders>
                  <w:shd w:val="clear" w:color="auto" w:fill="auto"/>
                  <w:vAlign w:val="center"/>
                </w:tcPr>
                <w:p w14:paraId="41A151E6">
                  <w:pPr>
                    <w:widowControl/>
                    <w:jc w:val="center"/>
                    <w:rPr>
                      <w:rFonts w:hint="default" w:ascii="Times New Roman" w:hAnsi="Times New Roman" w:eastAsia="宋体" w:cs="Times New Roman"/>
                      <w:bCs/>
                      <w:snapToGrid w:val="0"/>
                      <w:color w:val="auto"/>
                      <w:spacing w:val="6"/>
                      <w:sz w:val="21"/>
                      <w:szCs w:val="21"/>
                    </w:rPr>
                  </w:pPr>
                  <w:r>
                    <w:rPr>
                      <w:rFonts w:hint="default" w:ascii="Times New Roman" w:hAnsi="Times New Roman" w:eastAsia="宋体" w:cs="Times New Roman"/>
                      <w:bCs/>
                      <w:snapToGrid w:val="0"/>
                      <w:color w:val="auto"/>
                      <w:spacing w:val="6"/>
                      <w:sz w:val="21"/>
                      <w:szCs w:val="21"/>
                    </w:rPr>
                    <w:t>固态</w:t>
                  </w:r>
                </w:p>
              </w:tc>
              <w:tc>
                <w:tcPr>
                  <w:tcW w:w="720" w:type="pct"/>
                  <w:tcBorders>
                    <w:tl2br w:val="nil"/>
                    <w:tr2bl w:val="nil"/>
                  </w:tcBorders>
                  <w:shd w:val="clear" w:color="auto" w:fill="auto"/>
                  <w:vAlign w:val="center"/>
                </w:tcPr>
                <w:p w14:paraId="1EE5C1BE">
                  <w:pPr>
                    <w:widowControl/>
                    <w:jc w:val="center"/>
                    <w:rPr>
                      <w:rFonts w:hint="eastAsia" w:ascii="Times New Roman" w:hAnsi="Times New Roman" w:eastAsia="宋体" w:cs="Times New Roman"/>
                      <w:bCs/>
                      <w:snapToGrid w:val="0"/>
                      <w:color w:val="auto"/>
                      <w:spacing w:val="6"/>
                      <w:sz w:val="21"/>
                      <w:szCs w:val="21"/>
                      <w:lang w:val="en-US" w:eastAsia="zh-CN"/>
                    </w:rPr>
                  </w:pPr>
                  <w:r>
                    <w:rPr>
                      <w:rFonts w:hint="eastAsia" w:cs="Times New Roman"/>
                      <w:bCs/>
                      <w:snapToGrid w:val="0"/>
                      <w:color w:val="auto"/>
                      <w:spacing w:val="6"/>
                      <w:sz w:val="21"/>
                      <w:szCs w:val="21"/>
                      <w:lang w:val="en-US" w:eastAsia="zh-CN"/>
                    </w:rPr>
                    <w:t>钢</w:t>
                  </w:r>
                </w:p>
              </w:tc>
              <w:tc>
                <w:tcPr>
                  <w:tcW w:w="466" w:type="pct"/>
                  <w:tcBorders>
                    <w:tl2br w:val="nil"/>
                    <w:tr2bl w:val="nil"/>
                  </w:tcBorders>
                  <w:shd w:val="clear" w:color="auto" w:fill="auto"/>
                  <w:vAlign w:val="center"/>
                </w:tcPr>
                <w:p w14:paraId="5B0BAE80">
                  <w:pPr>
                    <w:widowControl/>
                    <w:jc w:val="center"/>
                    <w:rPr>
                      <w:rFonts w:hint="default" w:ascii="Times New Roman" w:hAnsi="Times New Roman" w:eastAsia="宋体" w:cs="Times New Roman"/>
                      <w:bCs/>
                      <w:snapToGrid w:val="0"/>
                      <w:color w:val="auto"/>
                      <w:spacing w:val="6"/>
                      <w:kern w:val="2"/>
                      <w:sz w:val="21"/>
                      <w:szCs w:val="21"/>
                      <w:lang w:val="en-US" w:eastAsia="zh-CN" w:bidi="ar"/>
                    </w:rPr>
                  </w:pPr>
                  <w:r>
                    <w:rPr>
                      <w:rFonts w:hint="eastAsia" w:ascii="Times New Roman" w:hAnsi="Times New Roman" w:eastAsia="宋体" w:cs="Times New Roman"/>
                      <w:bCs/>
                      <w:snapToGrid w:val="0"/>
                      <w:color w:val="auto"/>
                      <w:spacing w:val="6"/>
                      <w:kern w:val="2"/>
                      <w:sz w:val="21"/>
                      <w:szCs w:val="21"/>
                      <w:lang w:val="en-US" w:eastAsia="zh-CN" w:bidi="ar"/>
                    </w:rPr>
                    <w:t>10</w:t>
                  </w:r>
                  <w:r>
                    <w:rPr>
                      <w:rFonts w:hint="eastAsia" w:cs="Times New Roman"/>
                      <w:bCs/>
                      <w:snapToGrid w:val="0"/>
                      <w:color w:val="auto"/>
                      <w:spacing w:val="6"/>
                      <w:kern w:val="2"/>
                      <w:sz w:val="21"/>
                      <w:szCs w:val="21"/>
                      <w:lang w:val="en-US" w:eastAsia="zh-CN" w:bidi="ar"/>
                    </w:rPr>
                    <w:t>0</w:t>
                  </w:r>
                </w:p>
              </w:tc>
              <w:tc>
                <w:tcPr>
                  <w:tcW w:w="312" w:type="pct"/>
                  <w:tcBorders>
                    <w:tl2br w:val="nil"/>
                    <w:tr2bl w:val="nil"/>
                  </w:tcBorders>
                  <w:shd w:val="clear" w:color="auto" w:fill="auto"/>
                  <w:vAlign w:val="center"/>
                </w:tcPr>
                <w:p w14:paraId="6BEB5971">
                  <w:pPr>
                    <w:widowControl/>
                    <w:jc w:val="center"/>
                    <w:rPr>
                      <w:rFonts w:hint="default" w:ascii="Times New Roman" w:hAnsi="Times New Roman" w:eastAsia="宋体" w:cs="Times New Roman"/>
                      <w:bCs/>
                      <w:snapToGrid w:val="0"/>
                      <w:color w:val="auto"/>
                      <w:spacing w:val="6"/>
                      <w:kern w:val="2"/>
                      <w:sz w:val="21"/>
                      <w:szCs w:val="21"/>
                      <w:lang w:val="en-US" w:eastAsia="zh-CN" w:bidi="ar"/>
                    </w:rPr>
                  </w:pPr>
                  <w:r>
                    <w:rPr>
                      <w:rFonts w:hint="default" w:ascii="Times New Roman" w:hAnsi="Times New Roman" w:eastAsia="宋体" w:cs="Times New Roman"/>
                      <w:bCs/>
                      <w:snapToGrid w:val="0"/>
                      <w:color w:val="auto"/>
                      <w:spacing w:val="6"/>
                      <w:sz w:val="21"/>
                      <w:szCs w:val="21"/>
                    </w:rPr>
                    <w:t>√</w:t>
                  </w:r>
                </w:p>
              </w:tc>
              <w:tc>
                <w:tcPr>
                  <w:tcW w:w="337" w:type="pct"/>
                  <w:tcBorders>
                    <w:tl2br w:val="nil"/>
                    <w:tr2bl w:val="nil"/>
                  </w:tcBorders>
                  <w:shd w:val="clear" w:color="auto" w:fill="auto"/>
                  <w:vAlign w:val="center"/>
                </w:tcPr>
                <w:p w14:paraId="7F87FACF">
                  <w:pPr>
                    <w:widowControl/>
                    <w:jc w:val="center"/>
                    <w:rPr>
                      <w:rFonts w:hint="default" w:ascii="Times New Roman" w:hAnsi="Times New Roman" w:eastAsia="宋体" w:cs="Times New Roman"/>
                      <w:bCs/>
                      <w:snapToGrid w:val="0"/>
                      <w:color w:val="auto"/>
                      <w:spacing w:val="6"/>
                      <w:kern w:val="2"/>
                      <w:sz w:val="21"/>
                      <w:szCs w:val="21"/>
                      <w:lang w:val="en-US" w:eastAsia="zh-CN" w:bidi="ar"/>
                    </w:rPr>
                  </w:pPr>
                  <w:r>
                    <w:rPr>
                      <w:rFonts w:hint="default" w:ascii="Times New Roman" w:hAnsi="Times New Roman" w:eastAsia="宋体" w:cs="Times New Roman"/>
                      <w:bCs/>
                      <w:snapToGrid w:val="0"/>
                      <w:color w:val="auto"/>
                      <w:spacing w:val="6"/>
                      <w:sz w:val="21"/>
                      <w:szCs w:val="21"/>
                    </w:rPr>
                    <w:t>/</w:t>
                  </w:r>
                </w:p>
              </w:tc>
              <w:tc>
                <w:tcPr>
                  <w:tcW w:w="479" w:type="pct"/>
                  <w:tcBorders>
                    <w:tl2br w:val="nil"/>
                    <w:tr2bl w:val="nil"/>
                  </w:tcBorders>
                  <w:shd w:val="clear" w:color="auto" w:fill="auto"/>
                  <w:vAlign w:val="center"/>
                </w:tcPr>
                <w:p w14:paraId="01CD8A37">
                  <w:pPr>
                    <w:pStyle w:val="34"/>
                    <w:keepNext w:val="0"/>
                    <w:keepLines w:val="0"/>
                    <w:suppressLineNumbers w:val="0"/>
                    <w:adjustRightInd/>
                    <w:snapToGrid/>
                    <w:spacing w:before="24" w:beforeAutospacing="0" w:after="24" w:afterAutospacing="0" w:line="240" w:lineRule="auto"/>
                    <w:ind w:left="0" w:leftChars="0" w:right="0" w:rightChars="0" w:firstLine="0" w:firstLineChars="0"/>
                    <w:jc w:val="center"/>
                    <w:textAlignment w:val="auto"/>
                    <w:rPr>
                      <w:rFonts w:hint="default" w:ascii="Times New Roman" w:hAnsi="宋体" w:eastAsia="宋体" w:cs="Times New Roman"/>
                      <w:color w:val="auto"/>
                      <w:spacing w:val="-10"/>
                      <w:kern w:val="0"/>
                      <w:sz w:val="21"/>
                      <w:szCs w:val="21"/>
                      <w:lang w:val="en-US" w:eastAsia="zh-CN" w:bidi="ar"/>
                    </w:rPr>
                  </w:pPr>
                  <w:r>
                    <w:rPr>
                      <w:rFonts w:hint="default" w:ascii="Times New Roman" w:hAnsi="宋体" w:eastAsia="宋体" w:cs="Times New Roman"/>
                      <w:color w:val="auto"/>
                      <w:spacing w:val="-10"/>
                      <w:kern w:val="0"/>
                      <w:sz w:val="21"/>
                      <w:szCs w:val="21"/>
                      <w:lang w:val="en-US" w:eastAsia="zh-CN" w:bidi="ar"/>
                    </w:rPr>
                    <w:t>5.2</w:t>
                  </w:r>
                  <w:r>
                    <w:rPr>
                      <w:rFonts w:hint="eastAsia" w:ascii="Times New Roman" w:eastAsia="宋体" w:cs="Times New Roman"/>
                      <w:color w:val="auto"/>
                      <w:spacing w:val="-10"/>
                      <w:kern w:val="0"/>
                      <w:sz w:val="21"/>
                      <w:szCs w:val="21"/>
                      <w:lang w:val="en-US" w:eastAsia="zh-CN" w:bidi="ar"/>
                    </w:rPr>
                    <w:t>e</w:t>
                  </w:r>
                  <w:r>
                    <w:rPr>
                      <w:rFonts w:hint="default" w:ascii="Times New Roman" w:hAnsi="宋体" w:eastAsia="宋体" w:cs="Times New Roman"/>
                      <w:color w:val="auto"/>
                      <w:spacing w:val="-10"/>
                      <w:kern w:val="0"/>
                      <w:sz w:val="21"/>
                      <w:szCs w:val="21"/>
                      <w:lang w:val="en-US" w:eastAsia="zh-CN" w:bidi="ar"/>
                    </w:rPr>
                    <w:t>)</w:t>
                  </w:r>
                </w:p>
              </w:tc>
              <w:tc>
                <w:tcPr>
                  <w:tcW w:w="542" w:type="pct"/>
                  <w:tcBorders>
                    <w:tl2br w:val="nil"/>
                    <w:tr2bl w:val="nil"/>
                  </w:tcBorders>
                  <w:shd w:val="clear" w:color="auto" w:fill="auto"/>
                  <w:vAlign w:val="center"/>
                </w:tcPr>
                <w:p w14:paraId="71E5E92B">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color w:val="auto"/>
                      <w:kern w:val="2"/>
                      <w:sz w:val="21"/>
                      <w:szCs w:val="21"/>
                      <w:lang w:val="en-US" w:eastAsia="zh-CN" w:bidi="ar"/>
                    </w:rPr>
                  </w:pPr>
                  <w:r>
                    <w:rPr>
                      <w:rFonts w:hint="eastAsia" w:cs="Times New Roman"/>
                      <w:color w:val="auto"/>
                      <w:kern w:val="2"/>
                      <w:sz w:val="21"/>
                      <w:szCs w:val="21"/>
                      <w:lang w:val="en-US" w:eastAsia="zh-CN" w:bidi="ar"/>
                    </w:rPr>
                    <w:t>7.1g</w:t>
                  </w:r>
                  <w:r>
                    <w:rPr>
                      <w:rFonts w:ascii="Times New Roman" w:hAnsi="Times New Roman" w:eastAsia="宋体" w:cs="Times New Roman"/>
                      <w:color w:val="auto"/>
                      <w:kern w:val="0"/>
                      <w:sz w:val="21"/>
                      <w:szCs w:val="21"/>
                      <w:lang w:bidi="ar"/>
                    </w:rPr>
                    <w:t>)</w:t>
                  </w:r>
                </w:p>
              </w:tc>
            </w:tr>
            <w:tr w14:paraId="14DEC3C1">
              <w:tblPrEx>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CellMar>
                  <w:top w:w="0" w:type="dxa"/>
                  <w:left w:w="57" w:type="dxa"/>
                  <w:bottom w:w="0" w:type="dxa"/>
                  <w:right w:w="57" w:type="dxa"/>
                </w:tblCellMar>
              </w:tblPrEx>
              <w:trPr>
                <w:trHeight w:val="23" w:hRule="atLeast"/>
                <w:jc w:val="center"/>
              </w:trPr>
              <w:tc>
                <w:tcPr>
                  <w:tcW w:w="169" w:type="pct"/>
                  <w:tcBorders>
                    <w:tl2br w:val="nil"/>
                    <w:tr2bl w:val="nil"/>
                  </w:tcBorders>
                  <w:vAlign w:val="center"/>
                </w:tcPr>
                <w:p w14:paraId="6025B51D">
                  <w:pPr>
                    <w:widowControl/>
                    <w:numPr>
                      <w:ilvl w:val="0"/>
                      <w:numId w:val="13"/>
                    </w:numPr>
                    <w:ind w:left="0" w:leftChars="0" w:firstLine="0" w:firstLineChars="0"/>
                    <w:jc w:val="center"/>
                    <w:rPr>
                      <w:rFonts w:hint="default" w:ascii="Times New Roman" w:hAnsi="Times New Roman" w:eastAsia="宋体" w:cs="Times New Roman"/>
                      <w:bCs/>
                      <w:snapToGrid w:val="0"/>
                      <w:color w:val="auto"/>
                      <w:spacing w:val="6"/>
                      <w:sz w:val="21"/>
                      <w:szCs w:val="21"/>
                    </w:rPr>
                  </w:pPr>
                </w:p>
              </w:tc>
              <w:tc>
                <w:tcPr>
                  <w:tcW w:w="765" w:type="pct"/>
                  <w:tcBorders>
                    <w:tl2br w:val="nil"/>
                    <w:tr2bl w:val="nil"/>
                  </w:tcBorders>
                  <w:shd w:val="clear" w:color="auto" w:fill="auto"/>
                  <w:vAlign w:val="center"/>
                </w:tcPr>
                <w:p w14:paraId="4B9579E1">
                  <w:pPr>
                    <w:widowControl/>
                    <w:jc w:val="center"/>
                    <w:rPr>
                      <w:rFonts w:hint="default" w:ascii="Times New Roman" w:hAnsi="Times New Roman" w:eastAsia="宋体" w:cs="Times New Roman"/>
                      <w:bCs/>
                      <w:snapToGrid w:val="0"/>
                      <w:color w:val="auto"/>
                      <w:spacing w:val="6"/>
                      <w:sz w:val="21"/>
                      <w:szCs w:val="21"/>
                    </w:rPr>
                  </w:pPr>
                  <w:r>
                    <w:rPr>
                      <w:rFonts w:hint="default" w:ascii="Times New Roman" w:hAnsi="Times New Roman" w:eastAsia="宋体" w:cs="Times New Roman"/>
                      <w:bCs/>
                      <w:snapToGrid w:val="0"/>
                      <w:color w:val="auto"/>
                      <w:spacing w:val="6"/>
                      <w:sz w:val="21"/>
                      <w:szCs w:val="21"/>
                    </w:rPr>
                    <w:t>废布袋</w:t>
                  </w:r>
                </w:p>
              </w:tc>
              <w:tc>
                <w:tcPr>
                  <w:tcW w:w="779" w:type="pct"/>
                  <w:tcBorders>
                    <w:tl2br w:val="nil"/>
                    <w:tr2bl w:val="nil"/>
                  </w:tcBorders>
                  <w:shd w:val="clear" w:color="auto" w:fill="auto"/>
                  <w:vAlign w:val="center"/>
                </w:tcPr>
                <w:p w14:paraId="29B5A7AC">
                  <w:pPr>
                    <w:widowControl/>
                    <w:jc w:val="center"/>
                    <w:rPr>
                      <w:rFonts w:hint="default" w:ascii="Times New Roman" w:hAnsi="Times New Roman" w:eastAsia="宋体" w:cs="Times New Roman"/>
                      <w:bCs/>
                      <w:snapToGrid w:val="0"/>
                      <w:color w:val="auto"/>
                      <w:spacing w:val="6"/>
                      <w:kern w:val="2"/>
                      <w:sz w:val="21"/>
                      <w:szCs w:val="21"/>
                      <w:lang w:val="en-US" w:eastAsia="zh-CN" w:bidi="ar"/>
                    </w:rPr>
                  </w:pPr>
                  <w:r>
                    <w:rPr>
                      <w:rFonts w:hint="eastAsia" w:cs="Times New Roman"/>
                      <w:bCs/>
                      <w:snapToGrid w:val="0"/>
                      <w:color w:val="auto"/>
                      <w:spacing w:val="6"/>
                      <w:kern w:val="2"/>
                      <w:sz w:val="21"/>
                      <w:szCs w:val="21"/>
                      <w:lang w:val="en-US" w:eastAsia="zh-CN" w:bidi="ar"/>
                    </w:rPr>
                    <w:t>废气处理</w:t>
                  </w:r>
                </w:p>
              </w:tc>
              <w:tc>
                <w:tcPr>
                  <w:tcW w:w="426" w:type="pct"/>
                  <w:tcBorders>
                    <w:tl2br w:val="nil"/>
                    <w:tr2bl w:val="nil"/>
                  </w:tcBorders>
                  <w:shd w:val="clear" w:color="auto" w:fill="auto"/>
                  <w:vAlign w:val="center"/>
                </w:tcPr>
                <w:p w14:paraId="77944883">
                  <w:pPr>
                    <w:widowControl/>
                    <w:jc w:val="center"/>
                    <w:rPr>
                      <w:rFonts w:hint="default" w:ascii="Times New Roman" w:hAnsi="Times New Roman" w:eastAsia="宋体" w:cs="Times New Roman"/>
                      <w:bCs/>
                      <w:snapToGrid w:val="0"/>
                      <w:color w:val="auto"/>
                      <w:spacing w:val="6"/>
                      <w:kern w:val="2"/>
                      <w:sz w:val="21"/>
                      <w:szCs w:val="21"/>
                      <w:lang w:val="en-US" w:eastAsia="zh-CN" w:bidi="ar"/>
                    </w:rPr>
                  </w:pPr>
                  <w:r>
                    <w:rPr>
                      <w:rFonts w:hint="default" w:ascii="Times New Roman" w:hAnsi="Times New Roman" w:eastAsia="宋体" w:cs="Times New Roman"/>
                      <w:b w:val="0"/>
                      <w:bCs w:val="0"/>
                      <w:snapToGrid w:val="0"/>
                      <w:color w:val="auto"/>
                      <w:spacing w:val="6"/>
                      <w:sz w:val="21"/>
                      <w:szCs w:val="21"/>
                    </w:rPr>
                    <w:t>固态</w:t>
                  </w:r>
                </w:p>
              </w:tc>
              <w:tc>
                <w:tcPr>
                  <w:tcW w:w="720" w:type="pct"/>
                  <w:tcBorders>
                    <w:tl2br w:val="nil"/>
                    <w:tr2bl w:val="nil"/>
                  </w:tcBorders>
                  <w:shd w:val="clear" w:color="auto" w:fill="auto"/>
                  <w:vAlign w:val="center"/>
                </w:tcPr>
                <w:p w14:paraId="6E38A7DB">
                  <w:pPr>
                    <w:widowControl/>
                    <w:jc w:val="center"/>
                    <w:rPr>
                      <w:rFonts w:hint="default" w:ascii="Times New Roman" w:hAnsi="Times New Roman" w:eastAsia="宋体" w:cs="Times New Roman"/>
                      <w:color w:val="auto"/>
                      <w:spacing w:val="6"/>
                      <w:kern w:val="2"/>
                      <w:sz w:val="21"/>
                      <w:szCs w:val="21"/>
                      <w:lang w:val="en-US" w:eastAsia="zh-CN" w:bidi="ar"/>
                    </w:rPr>
                  </w:pPr>
                  <w:r>
                    <w:rPr>
                      <w:rFonts w:hint="eastAsia" w:cs="Times New Roman"/>
                      <w:color w:val="auto"/>
                      <w:spacing w:val="6"/>
                      <w:kern w:val="2"/>
                      <w:sz w:val="21"/>
                      <w:szCs w:val="21"/>
                      <w:lang w:val="en-US" w:eastAsia="zh-CN" w:bidi="ar"/>
                    </w:rPr>
                    <w:t>颗粒物、布袋</w:t>
                  </w:r>
                </w:p>
              </w:tc>
              <w:tc>
                <w:tcPr>
                  <w:tcW w:w="466" w:type="pct"/>
                  <w:tcBorders>
                    <w:tl2br w:val="nil"/>
                    <w:tr2bl w:val="nil"/>
                  </w:tcBorders>
                  <w:shd w:val="clear" w:color="auto" w:fill="auto"/>
                  <w:vAlign w:val="center"/>
                </w:tcPr>
                <w:p w14:paraId="68F30811">
                  <w:pPr>
                    <w:widowControl/>
                    <w:jc w:val="center"/>
                    <w:rPr>
                      <w:rFonts w:hint="default" w:ascii="Times New Roman" w:hAnsi="Times New Roman" w:eastAsia="宋体" w:cs="Times New Roman"/>
                      <w:bCs/>
                      <w:snapToGrid w:val="0"/>
                      <w:color w:val="auto"/>
                      <w:spacing w:val="6"/>
                      <w:kern w:val="2"/>
                      <w:sz w:val="21"/>
                      <w:szCs w:val="21"/>
                      <w:lang w:val="en-US" w:eastAsia="zh-CN" w:bidi="ar"/>
                    </w:rPr>
                  </w:pPr>
                  <w:r>
                    <w:rPr>
                      <w:rFonts w:hint="eastAsia" w:cs="Times New Roman"/>
                      <w:bCs/>
                      <w:snapToGrid w:val="0"/>
                      <w:color w:val="auto"/>
                      <w:spacing w:val="6"/>
                      <w:kern w:val="2"/>
                      <w:sz w:val="21"/>
                      <w:szCs w:val="21"/>
                      <w:lang w:val="en-US" w:eastAsia="zh-CN" w:bidi="ar"/>
                    </w:rPr>
                    <w:t>0.05</w:t>
                  </w:r>
                </w:p>
              </w:tc>
              <w:tc>
                <w:tcPr>
                  <w:tcW w:w="312" w:type="pct"/>
                  <w:tcBorders>
                    <w:tl2br w:val="nil"/>
                    <w:tr2bl w:val="nil"/>
                  </w:tcBorders>
                  <w:shd w:val="clear" w:color="auto" w:fill="auto"/>
                  <w:vAlign w:val="center"/>
                </w:tcPr>
                <w:p w14:paraId="46732C33">
                  <w:pPr>
                    <w:widowControl/>
                    <w:jc w:val="center"/>
                    <w:rPr>
                      <w:rFonts w:hint="default" w:ascii="Times New Roman" w:hAnsi="Times New Roman" w:eastAsia="宋体" w:cs="Times New Roman"/>
                      <w:bCs/>
                      <w:snapToGrid w:val="0"/>
                      <w:color w:val="auto"/>
                      <w:spacing w:val="6"/>
                      <w:kern w:val="2"/>
                      <w:sz w:val="21"/>
                      <w:szCs w:val="21"/>
                      <w:lang w:val="en-US" w:eastAsia="zh-CN" w:bidi="ar"/>
                    </w:rPr>
                  </w:pPr>
                  <w:r>
                    <w:rPr>
                      <w:rFonts w:hint="default" w:ascii="Times New Roman" w:hAnsi="Times New Roman" w:eastAsia="宋体" w:cs="Times New Roman"/>
                      <w:bCs/>
                      <w:snapToGrid w:val="0"/>
                      <w:color w:val="auto"/>
                      <w:spacing w:val="6"/>
                      <w:sz w:val="21"/>
                      <w:szCs w:val="21"/>
                    </w:rPr>
                    <w:t>√</w:t>
                  </w:r>
                </w:p>
              </w:tc>
              <w:tc>
                <w:tcPr>
                  <w:tcW w:w="337" w:type="pct"/>
                  <w:tcBorders>
                    <w:tl2br w:val="nil"/>
                    <w:tr2bl w:val="nil"/>
                  </w:tcBorders>
                  <w:shd w:val="clear" w:color="auto" w:fill="auto"/>
                  <w:vAlign w:val="center"/>
                </w:tcPr>
                <w:p w14:paraId="6927F2BD">
                  <w:pPr>
                    <w:widowControl/>
                    <w:jc w:val="center"/>
                    <w:rPr>
                      <w:rFonts w:hint="default" w:ascii="Times New Roman" w:hAnsi="Times New Roman" w:eastAsia="宋体" w:cs="Times New Roman"/>
                      <w:bCs/>
                      <w:snapToGrid w:val="0"/>
                      <w:color w:val="auto"/>
                      <w:spacing w:val="6"/>
                      <w:kern w:val="2"/>
                      <w:sz w:val="21"/>
                      <w:szCs w:val="21"/>
                      <w:lang w:val="en-US" w:eastAsia="zh-CN" w:bidi="ar"/>
                    </w:rPr>
                  </w:pPr>
                  <w:r>
                    <w:rPr>
                      <w:rFonts w:hint="default" w:ascii="Times New Roman" w:hAnsi="Times New Roman" w:eastAsia="宋体" w:cs="Times New Roman"/>
                      <w:bCs/>
                      <w:snapToGrid w:val="0"/>
                      <w:color w:val="auto"/>
                      <w:spacing w:val="6"/>
                      <w:sz w:val="21"/>
                      <w:szCs w:val="21"/>
                    </w:rPr>
                    <w:t>/</w:t>
                  </w:r>
                </w:p>
              </w:tc>
              <w:tc>
                <w:tcPr>
                  <w:tcW w:w="479" w:type="pct"/>
                  <w:tcBorders>
                    <w:tl2br w:val="nil"/>
                    <w:tr2bl w:val="nil"/>
                  </w:tcBorders>
                  <w:shd w:val="clear" w:color="auto" w:fill="auto"/>
                  <w:vAlign w:val="center"/>
                </w:tcPr>
                <w:p w14:paraId="7FF1FBC6">
                  <w:pPr>
                    <w:widowControl/>
                    <w:jc w:val="center"/>
                    <w:rPr>
                      <w:rFonts w:hint="default" w:ascii="Times New Roman" w:hAnsi="Times New Roman" w:eastAsia="宋体" w:cs="Times New Roman"/>
                      <w:bCs/>
                      <w:snapToGrid w:val="0"/>
                      <w:color w:val="auto"/>
                      <w:spacing w:val="6"/>
                      <w:kern w:val="2"/>
                      <w:sz w:val="21"/>
                      <w:szCs w:val="21"/>
                      <w:lang w:val="en-US" w:eastAsia="zh-CN" w:bidi="ar-SA"/>
                    </w:rPr>
                  </w:pPr>
                  <w:r>
                    <w:rPr>
                      <w:rFonts w:hint="eastAsia" w:ascii="Times New Roman" w:hAnsi="Times New Roman" w:eastAsia="宋体" w:cs="Times New Roman"/>
                      <w:color w:val="auto"/>
                      <w:kern w:val="0"/>
                      <w:sz w:val="21"/>
                      <w:szCs w:val="21"/>
                      <w:lang w:bidi="ar"/>
                    </w:rPr>
                    <w:t>4.1d</w:t>
                  </w:r>
                  <w:r>
                    <w:rPr>
                      <w:rFonts w:ascii="Times New Roman" w:hAnsi="Times New Roman" w:eastAsia="宋体" w:cs="Times New Roman"/>
                      <w:color w:val="auto"/>
                      <w:kern w:val="0"/>
                      <w:sz w:val="21"/>
                      <w:szCs w:val="21"/>
                      <w:lang w:bidi="ar"/>
                    </w:rPr>
                    <w:t>)</w:t>
                  </w:r>
                </w:p>
              </w:tc>
              <w:tc>
                <w:tcPr>
                  <w:tcW w:w="542" w:type="pct"/>
                  <w:tcBorders>
                    <w:tl2br w:val="nil"/>
                    <w:tr2bl w:val="nil"/>
                  </w:tcBorders>
                  <w:shd w:val="clear" w:color="auto" w:fill="auto"/>
                  <w:vAlign w:val="center"/>
                </w:tcPr>
                <w:p w14:paraId="44A928DA">
                  <w:pPr>
                    <w:widowControl/>
                    <w:jc w:val="center"/>
                    <w:rPr>
                      <w:rFonts w:hint="eastAsia" w:ascii="Times New Roman" w:hAnsi="Times New Roman" w:eastAsia="宋体" w:cs="Times New Roman"/>
                      <w:bCs/>
                      <w:snapToGrid w:val="0"/>
                      <w:color w:val="auto"/>
                      <w:spacing w:val="6"/>
                      <w:kern w:val="2"/>
                      <w:sz w:val="21"/>
                      <w:szCs w:val="21"/>
                      <w:lang w:val="en-US" w:eastAsia="zh-CN" w:bidi="ar-SA"/>
                    </w:rPr>
                  </w:pPr>
                  <w:r>
                    <w:rPr>
                      <w:rFonts w:hint="eastAsia" w:ascii="Times New Roman" w:hAnsi="Times New Roman" w:eastAsia="宋体" w:cs="Times New Roman"/>
                      <w:color w:val="auto"/>
                      <w:kern w:val="0"/>
                      <w:sz w:val="21"/>
                      <w:szCs w:val="21"/>
                      <w:lang w:val="en-US" w:eastAsia="zh-CN" w:bidi="ar"/>
                    </w:rPr>
                    <w:t>7.1g</w:t>
                  </w:r>
                  <w:r>
                    <w:rPr>
                      <w:rFonts w:ascii="Times New Roman" w:hAnsi="Times New Roman" w:eastAsia="宋体" w:cs="Times New Roman"/>
                      <w:color w:val="auto"/>
                      <w:kern w:val="0"/>
                      <w:sz w:val="21"/>
                      <w:szCs w:val="21"/>
                      <w:lang w:bidi="ar"/>
                    </w:rPr>
                    <w:t>)</w:t>
                  </w:r>
                </w:p>
              </w:tc>
            </w:tr>
            <w:tr w14:paraId="2DB84934">
              <w:tblPrEx>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CellMar>
                  <w:top w:w="0" w:type="dxa"/>
                  <w:left w:w="57" w:type="dxa"/>
                  <w:bottom w:w="0" w:type="dxa"/>
                  <w:right w:w="57" w:type="dxa"/>
                </w:tblCellMar>
              </w:tblPrEx>
              <w:trPr>
                <w:trHeight w:val="23" w:hRule="atLeast"/>
                <w:jc w:val="center"/>
              </w:trPr>
              <w:tc>
                <w:tcPr>
                  <w:tcW w:w="169" w:type="pct"/>
                  <w:tcBorders>
                    <w:tl2br w:val="nil"/>
                    <w:tr2bl w:val="nil"/>
                  </w:tcBorders>
                  <w:vAlign w:val="center"/>
                </w:tcPr>
                <w:p w14:paraId="6CF4D4C6">
                  <w:pPr>
                    <w:widowControl/>
                    <w:numPr>
                      <w:ilvl w:val="0"/>
                      <w:numId w:val="13"/>
                    </w:numPr>
                    <w:ind w:left="0" w:leftChars="0" w:firstLine="0" w:firstLineChars="0"/>
                    <w:jc w:val="center"/>
                    <w:rPr>
                      <w:rFonts w:hint="default" w:ascii="Times New Roman" w:hAnsi="Times New Roman" w:eastAsia="宋体" w:cs="Times New Roman"/>
                      <w:bCs/>
                      <w:snapToGrid w:val="0"/>
                      <w:color w:val="auto"/>
                      <w:spacing w:val="6"/>
                      <w:sz w:val="21"/>
                      <w:szCs w:val="21"/>
                    </w:rPr>
                  </w:pPr>
                </w:p>
              </w:tc>
              <w:tc>
                <w:tcPr>
                  <w:tcW w:w="765" w:type="pct"/>
                  <w:tcBorders>
                    <w:tl2br w:val="nil"/>
                    <w:tr2bl w:val="nil"/>
                  </w:tcBorders>
                  <w:shd w:val="clear" w:color="auto" w:fill="auto"/>
                  <w:vAlign w:val="center"/>
                </w:tcPr>
                <w:p w14:paraId="063E7FCC">
                  <w:pPr>
                    <w:widowControl/>
                    <w:jc w:val="center"/>
                    <w:rPr>
                      <w:rFonts w:hint="default" w:ascii="Times New Roman" w:hAnsi="Times New Roman" w:eastAsia="宋体" w:cs="Times New Roman"/>
                      <w:bCs/>
                      <w:snapToGrid w:val="0"/>
                      <w:color w:val="auto"/>
                      <w:spacing w:val="6"/>
                      <w:sz w:val="21"/>
                      <w:szCs w:val="21"/>
                    </w:rPr>
                  </w:pPr>
                  <w:r>
                    <w:rPr>
                      <w:rFonts w:hint="default" w:ascii="Times New Roman" w:hAnsi="Times New Roman" w:eastAsia="宋体" w:cs="Times New Roman"/>
                      <w:bCs/>
                      <w:snapToGrid w:val="0"/>
                      <w:color w:val="auto"/>
                      <w:spacing w:val="6"/>
                      <w:sz w:val="21"/>
                      <w:szCs w:val="21"/>
                    </w:rPr>
                    <w:t>收集尘</w:t>
                  </w:r>
                </w:p>
              </w:tc>
              <w:tc>
                <w:tcPr>
                  <w:tcW w:w="779" w:type="pct"/>
                  <w:tcBorders>
                    <w:tl2br w:val="nil"/>
                    <w:tr2bl w:val="nil"/>
                  </w:tcBorders>
                  <w:shd w:val="clear" w:color="auto" w:fill="auto"/>
                  <w:vAlign w:val="center"/>
                </w:tcPr>
                <w:p w14:paraId="0BA77CF2">
                  <w:pPr>
                    <w:widowControl/>
                    <w:jc w:val="center"/>
                    <w:rPr>
                      <w:rFonts w:hint="default" w:ascii="Times New Roman" w:hAnsi="Times New Roman" w:eastAsia="宋体" w:cs="Times New Roman"/>
                      <w:bCs/>
                      <w:snapToGrid w:val="0"/>
                      <w:color w:val="auto"/>
                      <w:spacing w:val="6"/>
                      <w:kern w:val="2"/>
                      <w:sz w:val="21"/>
                      <w:szCs w:val="21"/>
                      <w:lang w:val="en-US" w:eastAsia="zh-CN" w:bidi="ar"/>
                    </w:rPr>
                  </w:pPr>
                  <w:r>
                    <w:rPr>
                      <w:rFonts w:hint="eastAsia" w:cs="Times New Roman"/>
                      <w:bCs/>
                      <w:snapToGrid w:val="0"/>
                      <w:color w:val="auto"/>
                      <w:spacing w:val="6"/>
                      <w:kern w:val="2"/>
                      <w:sz w:val="21"/>
                      <w:szCs w:val="21"/>
                      <w:lang w:val="en-US" w:eastAsia="zh-CN" w:bidi="ar"/>
                    </w:rPr>
                    <w:t>废气处理</w:t>
                  </w:r>
                </w:p>
              </w:tc>
              <w:tc>
                <w:tcPr>
                  <w:tcW w:w="426" w:type="pct"/>
                  <w:tcBorders>
                    <w:tl2br w:val="nil"/>
                    <w:tr2bl w:val="nil"/>
                  </w:tcBorders>
                  <w:shd w:val="clear" w:color="auto" w:fill="auto"/>
                  <w:vAlign w:val="center"/>
                </w:tcPr>
                <w:p w14:paraId="5E24B5DD">
                  <w:pPr>
                    <w:widowControl/>
                    <w:jc w:val="center"/>
                    <w:rPr>
                      <w:rFonts w:hint="default" w:ascii="Times New Roman" w:hAnsi="Times New Roman" w:eastAsia="宋体" w:cs="Times New Roman"/>
                      <w:bCs/>
                      <w:snapToGrid w:val="0"/>
                      <w:color w:val="auto"/>
                      <w:spacing w:val="6"/>
                      <w:kern w:val="2"/>
                      <w:sz w:val="21"/>
                      <w:szCs w:val="21"/>
                      <w:lang w:val="en-US" w:eastAsia="zh-CN" w:bidi="ar"/>
                    </w:rPr>
                  </w:pPr>
                  <w:r>
                    <w:rPr>
                      <w:rFonts w:hint="default" w:ascii="Times New Roman" w:hAnsi="Times New Roman" w:eastAsia="宋体" w:cs="Times New Roman"/>
                      <w:b w:val="0"/>
                      <w:bCs w:val="0"/>
                      <w:snapToGrid w:val="0"/>
                      <w:color w:val="auto"/>
                      <w:spacing w:val="6"/>
                      <w:sz w:val="21"/>
                      <w:szCs w:val="21"/>
                    </w:rPr>
                    <w:t>固态</w:t>
                  </w:r>
                </w:p>
              </w:tc>
              <w:tc>
                <w:tcPr>
                  <w:tcW w:w="720" w:type="pct"/>
                  <w:tcBorders>
                    <w:tl2br w:val="nil"/>
                    <w:tr2bl w:val="nil"/>
                  </w:tcBorders>
                  <w:shd w:val="clear" w:color="auto" w:fill="auto"/>
                  <w:vAlign w:val="center"/>
                </w:tcPr>
                <w:p w14:paraId="62AEE07E">
                  <w:pPr>
                    <w:widowControl/>
                    <w:jc w:val="center"/>
                    <w:rPr>
                      <w:rFonts w:hint="default" w:ascii="Times New Roman" w:hAnsi="Times New Roman" w:eastAsia="宋体" w:cs="Times New Roman"/>
                      <w:color w:val="auto"/>
                      <w:spacing w:val="6"/>
                      <w:kern w:val="2"/>
                      <w:sz w:val="21"/>
                      <w:szCs w:val="21"/>
                      <w:lang w:val="en-US" w:eastAsia="zh-CN" w:bidi="ar"/>
                    </w:rPr>
                  </w:pPr>
                  <w:r>
                    <w:rPr>
                      <w:rFonts w:hint="eastAsia" w:cs="Times New Roman"/>
                      <w:color w:val="auto"/>
                      <w:spacing w:val="6"/>
                      <w:kern w:val="2"/>
                      <w:sz w:val="21"/>
                      <w:szCs w:val="21"/>
                      <w:lang w:val="en-US" w:eastAsia="zh-CN" w:bidi="ar"/>
                    </w:rPr>
                    <w:t>颗粒物</w:t>
                  </w:r>
                </w:p>
              </w:tc>
              <w:tc>
                <w:tcPr>
                  <w:tcW w:w="466" w:type="pct"/>
                  <w:tcBorders>
                    <w:tl2br w:val="nil"/>
                    <w:tr2bl w:val="nil"/>
                  </w:tcBorders>
                  <w:shd w:val="clear" w:color="auto" w:fill="auto"/>
                  <w:vAlign w:val="center"/>
                </w:tcPr>
                <w:p w14:paraId="0C63C2AA">
                  <w:pPr>
                    <w:widowControl/>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0.1637</w:t>
                  </w:r>
                </w:p>
              </w:tc>
              <w:tc>
                <w:tcPr>
                  <w:tcW w:w="312" w:type="pct"/>
                  <w:tcBorders>
                    <w:tl2br w:val="nil"/>
                    <w:tr2bl w:val="nil"/>
                  </w:tcBorders>
                  <w:shd w:val="clear" w:color="auto" w:fill="auto"/>
                  <w:vAlign w:val="center"/>
                </w:tcPr>
                <w:p w14:paraId="2EA918BB">
                  <w:pPr>
                    <w:widowControl/>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bCs/>
                      <w:snapToGrid w:val="0"/>
                      <w:color w:val="auto"/>
                      <w:spacing w:val="6"/>
                      <w:sz w:val="21"/>
                      <w:szCs w:val="21"/>
                    </w:rPr>
                    <w:t>√</w:t>
                  </w:r>
                </w:p>
              </w:tc>
              <w:tc>
                <w:tcPr>
                  <w:tcW w:w="337" w:type="pct"/>
                  <w:tcBorders>
                    <w:tl2br w:val="nil"/>
                    <w:tr2bl w:val="nil"/>
                  </w:tcBorders>
                  <w:shd w:val="clear" w:color="auto" w:fill="auto"/>
                  <w:vAlign w:val="center"/>
                </w:tcPr>
                <w:p w14:paraId="4B836676">
                  <w:pPr>
                    <w:pStyle w:val="22"/>
                    <w:widowControl w:val="0"/>
                    <w:adjustRightInd w:val="0"/>
                    <w:snapToGrid w:val="0"/>
                    <w:spacing w:before="24" w:beforeLines="10" w:beforeAutospacing="0" w:after="24" w:afterLines="10" w:afterAutospacing="0" w:line="256" w:lineRule="auto"/>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w:t>
                  </w:r>
                </w:p>
              </w:tc>
              <w:tc>
                <w:tcPr>
                  <w:tcW w:w="479" w:type="pct"/>
                  <w:tcBorders>
                    <w:tl2br w:val="nil"/>
                    <w:tr2bl w:val="nil"/>
                  </w:tcBorders>
                  <w:shd w:val="clear" w:color="auto" w:fill="auto"/>
                  <w:vAlign w:val="center"/>
                </w:tcPr>
                <w:p w14:paraId="037665B9">
                  <w:pPr>
                    <w:widowControl/>
                    <w:jc w:val="center"/>
                    <w:rPr>
                      <w:rFonts w:hint="default" w:ascii="Times New Roman" w:hAnsi="Times New Roman" w:eastAsia="宋体" w:cs="Times New Roman"/>
                      <w:bCs/>
                      <w:snapToGrid w:val="0"/>
                      <w:color w:val="auto"/>
                      <w:spacing w:val="6"/>
                      <w:kern w:val="2"/>
                      <w:sz w:val="21"/>
                      <w:szCs w:val="21"/>
                      <w:lang w:val="en-US" w:eastAsia="zh-CN" w:bidi="ar-SA"/>
                    </w:rPr>
                  </w:pPr>
                  <w:r>
                    <w:rPr>
                      <w:rFonts w:hint="default" w:ascii="Times New Roman" w:hAnsi="宋体" w:eastAsia="宋体" w:cs="Times New Roman"/>
                      <w:color w:val="auto"/>
                      <w:spacing w:val="-10"/>
                      <w:kern w:val="0"/>
                      <w:sz w:val="21"/>
                      <w:szCs w:val="21"/>
                      <w:lang w:val="en-US" w:eastAsia="zh-CN" w:bidi="ar"/>
                    </w:rPr>
                    <w:t>5.2</w:t>
                  </w:r>
                  <w:r>
                    <w:rPr>
                      <w:rFonts w:hint="eastAsia" w:cs="Times New Roman"/>
                      <w:color w:val="auto"/>
                      <w:spacing w:val="-10"/>
                      <w:kern w:val="0"/>
                      <w:sz w:val="21"/>
                      <w:szCs w:val="21"/>
                      <w:lang w:val="en-US" w:eastAsia="zh-CN" w:bidi="ar"/>
                    </w:rPr>
                    <w:t>e</w:t>
                  </w:r>
                  <w:r>
                    <w:rPr>
                      <w:rFonts w:hint="default" w:ascii="Times New Roman" w:hAnsi="宋体" w:eastAsia="宋体" w:cs="Times New Roman"/>
                      <w:color w:val="auto"/>
                      <w:spacing w:val="-10"/>
                      <w:kern w:val="0"/>
                      <w:sz w:val="21"/>
                      <w:szCs w:val="21"/>
                      <w:lang w:val="en-US" w:eastAsia="zh-CN" w:bidi="ar"/>
                    </w:rPr>
                    <w:t>)</w:t>
                  </w:r>
                </w:p>
              </w:tc>
              <w:tc>
                <w:tcPr>
                  <w:tcW w:w="542" w:type="pct"/>
                  <w:tcBorders>
                    <w:tl2br w:val="nil"/>
                    <w:tr2bl w:val="nil"/>
                  </w:tcBorders>
                  <w:shd w:val="clear" w:color="auto" w:fill="auto"/>
                  <w:vAlign w:val="center"/>
                </w:tcPr>
                <w:p w14:paraId="7AFB3D2F">
                  <w:pPr>
                    <w:widowControl/>
                    <w:jc w:val="center"/>
                    <w:rPr>
                      <w:rFonts w:hint="eastAsia" w:ascii="Times New Roman" w:hAnsi="Times New Roman" w:eastAsia="宋体" w:cs="Times New Roman"/>
                      <w:bCs/>
                      <w:snapToGrid w:val="0"/>
                      <w:color w:val="auto"/>
                      <w:spacing w:val="6"/>
                      <w:kern w:val="2"/>
                      <w:sz w:val="21"/>
                      <w:szCs w:val="21"/>
                      <w:lang w:val="en-US" w:eastAsia="zh-CN" w:bidi="ar-SA"/>
                    </w:rPr>
                  </w:pPr>
                  <w:r>
                    <w:rPr>
                      <w:rFonts w:hint="eastAsia" w:ascii="Times New Roman" w:hAnsi="Times New Roman" w:eastAsia="宋体" w:cs="Times New Roman"/>
                      <w:color w:val="auto"/>
                      <w:kern w:val="0"/>
                      <w:sz w:val="21"/>
                      <w:szCs w:val="21"/>
                      <w:lang w:val="en-US" w:eastAsia="zh-CN" w:bidi="ar"/>
                    </w:rPr>
                    <w:t>7.1g</w:t>
                  </w:r>
                  <w:r>
                    <w:rPr>
                      <w:rFonts w:ascii="Times New Roman" w:hAnsi="Times New Roman" w:eastAsia="宋体" w:cs="Times New Roman"/>
                      <w:color w:val="auto"/>
                      <w:kern w:val="0"/>
                      <w:sz w:val="21"/>
                      <w:szCs w:val="21"/>
                      <w:lang w:bidi="ar"/>
                    </w:rPr>
                    <w:t>)</w:t>
                  </w:r>
                </w:p>
              </w:tc>
            </w:tr>
            <w:tr w14:paraId="764D8481">
              <w:tblPrEx>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CellMar>
                  <w:top w:w="0" w:type="dxa"/>
                  <w:left w:w="57" w:type="dxa"/>
                  <w:bottom w:w="0" w:type="dxa"/>
                  <w:right w:w="57" w:type="dxa"/>
                </w:tblCellMar>
              </w:tblPrEx>
              <w:trPr>
                <w:trHeight w:val="23" w:hRule="atLeast"/>
                <w:jc w:val="center"/>
              </w:trPr>
              <w:tc>
                <w:tcPr>
                  <w:tcW w:w="169" w:type="pct"/>
                  <w:tcBorders>
                    <w:tl2br w:val="nil"/>
                    <w:tr2bl w:val="nil"/>
                  </w:tcBorders>
                  <w:vAlign w:val="center"/>
                </w:tcPr>
                <w:p w14:paraId="5AE6AA27">
                  <w:pPr>
                    <w:widowControl/>
                    <w:numPr>
                      <w:ilvl w:val="0"/>
                      <w:numId w:val="13"/>
                    </w:numPr>
                    <w:ind w:left="0" w:leftChars="0" w:firstLine="0" w:firstLineChars="0"/>
                    <w:jc w:val="center"/>
                    <w:rPr>
                      <w:rFonts w:hint="default" w:ascii="Times New Roman" w:hAnsi="Times New Roman" w:eastAsia="宋体" w:cs="Times New Roman"/>
                      <w:bCs/>
                      <w:snapToGrid w:val="0"/>
                      <w:color w:val="auto"/>
                      <w:spacing w:val="6"/>
                      <w:sz w:val="21"/>
                      <w:szCs w:val="21"/>
                    </w:rPr>
                  </w:pPr>
                </w:p>
              </w:tc>
              <w:tc>
                <w:tcPr>
                  <w:tcW w:w="765" w:type="pct"/>
                  <w:tcBorders>
                    <w:tl2br w:val="nil"/>
                    <w:tr2bl w:val="nil"/>
                  </w:tcBorders>
                  <w:shd w:val="clear" w:color="auto" w:fill="auto"/>
                  <w:vAlign w:val="center"/>
                </w:tcPr>
                <w:p w14:paraId="20A360AC">
                  <w:pPr>
                    <w:widowControl/>
                    <w:jc w:val="center"/>
                    <w:rPr>
                      <w:rFonts w:hint="default" w:ascii="Times New Roman" w:hAnsi="Times New Roman" w:eastAsia="宋体" w:cs="Times New Roman"/>
                      <w:bCs/>
                      <w:snapToGrid w:val="0"/>
                      <w:color w:val="auto"/>
                      <w:spacing w:val="6"/>
                      <w:sz w:val="21"/>
                      <w:szCs w:val="21"/>
                    </w:rPr>
                  </w:pPr>
                  <w:r>
                    <w:rPr>
                      <w:rFonts w:hint="default" w:ascii="Times New Roman" w:hAnsi="Times New Roman" w:eastAsia="宋体" w:cs="Times New Roman"/>
                      <w:bCs/>
                      <w:snapToGrid w:val="0"/>
                      <w:color w:val="auto"/>
                      <w:spacing w:val="6"/>
                      <w:sz w:val="21"/>
                      <w:szCs w:val="21"/>
                    </w:rPr>
                    <w:t>废包装材料</w:t>
                  </w:r>
                </w:p>
              </w:tc>
              <w:tc>
                <w:tcPr>
                  <w:tcW w:w="779" w:type="pct"/>
                  <w:tcBorders>
                    <w:tl2br w:val="nil"/>
                    <w:tr2bl w:val="nil"/>
                  </w:tcBorders>
                  <w:shd w:val="clear" w:color="auto" w:fill="auto"/>
                  <w:vAlign w:val="center"/>
                </w:tcPr>
                <w:p w14:paraId="21F55FB3">
                  <w:pPr>
                    <w:widowControl/>
                    <w:jc w:val="center"/>
                    <w:rPr>
                      <w:rFonts w:hint="default" w:ascii="Times New Roman" w:hAnsi="Times New Roman" w:eastAsia="宋体" w:cs="Times New Roman"/>
                      <w:bCs/>
                      <w:snapToGrid w:val="0"/>
                      <w:color w:val="auto"/>
                      <w:spacing w:val="6"/>
                      <w:kern w:val="2"/>
                      <w:sz w:val="21"/>
                      <w:szCs w:val="21"/>
                      <w:lang w:val="en-US" w:eastAsia="zh-CN" w:bidi="ar"/>
                    </w:rPr>
                  </w:pPr>
                  <w:r>
                    <w:rPr>
                      <w:rFonts w:hint="eastAsia" w:ascii="Times New Roman" w:hAnsi="Times New Roman" w:cs="Times New Roman"/>
                      <w:bCs/>
                      <w:color w:val="auto"/>
                      <w:sz w:val="21"/>
                      <w:szCs w:val="21"/>
                      <w:lang w:val="en-US" w:eastAsia="zh-CN"/>
                    </w:rPr>
                    <w:t>原料</w:t>
                  </w:r>
                  <w:r>
                    <w:rPr>
                      <w:rFonts w:hint="default" w:ascii="Times New Roman" w:hAnsi="Times New Roman" w:eastAsia="宋体" w:cs="Times New Roman"/>
                      <w:bCs/>
                      <w:color w:val="auto"/>
                      <w:sz w:val="21"/>
                      <w:szCs w:val="21"/>
                    </w:rPr>
                    <w:t>包装</w:t>
                  </w:r>
                </w:p>
              </w:tc>
              <w:tc>
                <w:tcPr>
                  <w:tcW w:w="426" w:type="pct"/>
                  <w:tcBorders>
                    <w:tl2br w:val="nil"/>
                    <w:tr2bl w:val="nil"/>
                  </w:tcBorders>
                  <w:shd w:val="clear" w:color="auto" w:fill="auto"/>
                  <w:vAlign w:val="center"/>
                </w:tcPr>
                <w:p w14:paraId="2C7FCF04">
                  <w:pPr>
                    <w:widowControl/>
                    <w:jc w:val="center"/>
                    <w:rPr>
                      <w:rFonts w:hint="default" w:ascii="Times New Roman" w:hAnsi="Times New Roman" w:eastAsia="宋体" w:cs="Times New Roman"/>
                      <w:bCs/>
                      <w:snapToGrid w:val="0"/>
                      <w:color w:val="auto"/>
                      <w:spacing w:val="6"/>
                      <w:kern w:val="2"/>
                      <w:sz w:val="21"/>
                      <w:szCs w:val="21"/>
                      <w:lang w:val="en-US" w:eastAsia="zh-CN" w:bidi="ar"/>
                    </w:rPr>
                  </w:pPr>
                  <w:r>
                    <w:rPr>
                      <w:rFonts w:hint="default" w:ascii="Times New Roman" w:hAnsi="Times New Roman" w:eastAsia="宋体" w:cs="Times New Roman"/>
                      <w:b w:val="0"/>
                      <w:bCs w:val="0"/>
                      <w:snapToGrid w:val="0"/>
                      <w:color w:val="auto"/>
                      <w:spacing w:val="6"/>
                      <w:sz w:val="21"/>
                      <w:szCs w:val="21"/>
                    </w:rPr>
                    <w:t>固态</w:t>
                  </w:r>
                </w:p>
              </w:tc>
              <w:tc>
                <w:tcPr>
                  <w:tcW w:w="720" w:type="pct"/>
                  <w:tcBorders>
                    <w:tl2br w:val="nil"/>
                    <w:tr2bl w:val="nil"/>
                  </w:tcBorders>
                  <w:shd w:val="clear" w:color="auto" w:fill="auto"/>
                  <w:vAlign w:val="center"/>
                </w:tcPr>
                <w:p w14:paraId="6AD07943">
                  <w:pPr>
                    <w:widowControl/>
                    <w:jc w:val="center"/>
                    <w:rPr>
                      <w:rFonts w:hint="default" w:ascii="Times New Roman" w:hAnsi="Times New Roman" w:eastAsia="宋体" w:cs="Times New Roman"/>
                      <w:color w:val="auto"/>
                      <w:spacing w:val="6"/>
                      <w:kern w:val="2"/>
                      <w:sz w:val="21"/>
                      <w:szCs w:val="21"/>
                      <w:lang w:val="en-US" w:eastAsia="zh-CN" w:bidi="ar"/>
                    </w:rPr>
                  </w:pPr>
                  <w:r>
                    <w:rPr>
                      <w:rFonts w:hint="default" w:ascii="Times New Roman" w:hAnsi="Times New Roman" w:eastAsia="宋体" w:cs="Times New Roman"/>
                      <w:color w:val="auto"/>
                      <w:spacing w:val="6"/>
                      <w:kern w:val="2"/>
                      <w:sz w:val="21"/>
                      <w:szCs w:val="21"/>
                      <w:lang w:val="en-US" w:eastAsia="zh-CN" w:bidi="ar"/>
                    </w:rPr>
                    <w:t>包装材料</w:t>
                  </w:r>
                </w:p>
              </w:tc>
              <w:tc>
                <w:tcPr>
                  <w:tcW w:w="466" w:type="pct"/>
                  <w:tcBorders>
                    <w:tl2br w:val="nil"/>
                    <w:tr2bl w:val="nil"/>
                  </w:tcBorders>
                  <w:shd w:val="clear" w:color="auto" w:fill="auto"/>
                  <w:vAlign w:val="center"/>
                </w:tcPr>
                <w:p w14:paraId="23465493">
                  <w:pPr>
                    <w:widowControl/>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0.5</w:t>
                  </w:r>
                </w:p>
              </w:tc>
              <w:tc>
                <w:tcPr>
                  <w:tcW w:w="312" w:type="pct"/>
                  <w:tcBorders>
                    <w:tl2br w:val="nil"/>
                    <w:tr2bl w:val="nil"/>
                  </w:tcBorders>
                  <w:shd w:val="clear" w:color="auto" w:fill="auto"/>
                  <w:vAlign w:val="center"/>
                </w:tcPr>
                <w:p w14:paraId="1BA8922D">
                  <w:pPr>
                    <w:widowControl/>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bCs/>
                      <w:snapToGrid w:val="0"/>
                      <w:color w:val="auto"/>
                      <w:spacing w:val="6"/>
                      <w:sz w:val="21"/>
                      <w:szCs w:val="21"/>
                    </w:rPr>
                    <w:t>√</w:t>
                  </w:r>
                </w:p>
              </w:tc>
              <w:tc>
                <w:tcPr>
                  <w:tcW w:w="337" w:type="pct"/>
                  <w:tcBorders>
                    <w:tl2br w:val="nil"/>
                    <w:tr2bl w:val="nil"/>
                  </w:tcBorders>
                  <w:shd w:val="clear" w:color="auto" w:fill="auto"/>
                  <w:vAlign w:val="center"/>
                </w:tcPr>
                <w:p w14:paraId="6A9AE688">
                  <w:pPr>
                    <w:pStyle w:val="22"/>
                    <w:widowControl w:val="0"/>
                    <w:adjustRightInd w:val="0"/>
                    <w:snapToGrid w:val="0"/>
                    <w:spacing w:before="24" w:beforeLines="10" w:beforeAutospacing="0" w:after="24" w:afterLines="10" w:afterAutospacing="0" w:line="256" w:lineRule="auto"/>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w:t>
                  </w:r>
                </w:p>
              </w:tc>
              <w:tc>
                <w:tcPr>
                  <w:tcW w:w="479" w:type="pct"/>
                  <w:tcBorders>
                    <w:tl2br w:val="nil"/>
                    <w:tr2bl w:val="nil"/>
                  </w:tcBorders>
                  <w:shd w:val="clear" w:color="auto" w:fill="auto"/>
                  <w:vAlign w:val="center"/>
                </w:tcPr>
                <w:p w14:paraId="1AD7D0FA">
                  <w:pPr>
                    <w:widowControl/>
                    <w:jc w:val="center"/>
                    <w:rPr>
                      <w:rFonts w:hint="default" w:ascii="Times New Roman" w:hAnsi="Times New Roman" w:eastAsia="宋体" w:cs="Times New Roman"/>
                      <w:bCs/>
                      <w:snapToGrid w:val="0"/>
                      <w:color w:val="auto"/>
                      <w:spacing w:val="6"/>
                      <w:kern w:val="2"/>
                      <w:sz w:val="21"/>
                      <w:szCs w:val="21"/>
                      <w:lang w:val="en-US" w:eastAsia="zh-CN" w:bidi="ar-SA"/>
                    </w:rPr>
                  </w:pPr>
                  <w:r>
                    <w:rPr>
                      <w:rFonts w:hint="eastAsia" w:ascii="Times New Roman" w:hAnsi="Times New Roman" w:eastAsia="宋体" w:cs="Times New Roman"/>
                      <w:color w:val="auto"/>
                      <w:kern w:val="0"/>
                      <w:sz w:val="21"/>
                      <w:szCs w:val="21"/>
                      <w:lang w:bidi="ar"/>
                    </w:rPr>
                    <w:t>5.2a</w:t>
                  </w:r>
                  <w:r>
                    <w:rPr>
                      <w:rFonts w:ascii="Times New Roman" w:hAnsi="Times New Roman" w:eastAsia="宋体" w:cs="Times New Roman"/>
                      <w:color w:val="auto"/>
                      <w:kern w:val="0"/>
                      <w:sz w:val="21"/>
                      <w:szCs w:val="21"/>
                      <w:lang w:bidi="ar"/>
                    </w:rPr>
                    <w:t>)</w:t>
                  </w:r>
                </w:p>
              </w:tc>
              <w:tc>
                <w:tcPr>
                  <w:tcW w:w="542" w:type="pct"/>
                  <w:tcBorders>
                    <w:tl2br w:val="nil"/>
                    <w:tr2bl w:val="nil"/>
                  </w:tcBorders>
                  <w:shd w:val="clear" w:color="auto" w:fill="auto"/>
                  <w:vAlign w:val="center"/>
                </w:tcPr>
                <w:p w14:paraId="568ADA85">
                  <w:pPr>
                    <w:widowControl/>
                    <w:jc w:val="center"/>
                    <w:rPr>
                      <w:rFonts w:hint="eastAsia" w:ascii="Times New Roman" w:hAnsi="Times New Roman" w:eastAsia="宋体" w:cs="Times New Roman"/>
                      <w:bCs/>
                      <w:snapToGrid w:val="0"/>
                      <w:color w:val="auto"/>
                      <w:spacing w:val="6"/>
                      <w:kern w:val="2"/>
                      <w:sz w:val="21"/>
                      <w:szCs w:val="21"/>
                      <w:lang w:val="en-US" w:eastAsia="zh-CN" w:bidi="ar-SA"/>
                    </w:rPr>
                  </w:pPr>
                  <w:r>
                    <w:rPr>
                      <w:rFonts w:hint="eastAsia" w:ascii="Times New Roman" w:hAnsi="Times New Roman" w:eastAsia="宋体" w:cs="Times New Roman"/>
                      <w:color w:val="auto"/>
                      <w:kern w:val="0"/>
                      <w:sz w:val="21"/>
                      <w:szCs w:val="21"/>
                      <w:lang w:val="en-US" w:eastAsia="zh-CN" w:bidi="ar"/>
                    </w:rPr>
                    <w:t>7.1g</w:t>
                  </w:r>
                  <w:r>
                    <w:rPr>
                      <w:rFonts w:ascii="Times New Roman" w:hAnsi="Times New Roman" w:eastAsia="宋体" w:cs="Times New Roman"/>
                      <w:color w:val="auto"/>
                      <w:kern w:val="0"/>
                      <w:sz w:val="21"/>
                      <w:szCs w:val="21"/>
                      <w:lang w:bidi="ar"/>
                    </w:rPr>
                    <w:t>)</w:t>
                  </w:r>
                </w:p>
              </w:tc>
            </w:tr>
            <w:tr w14:paraId="2F638DAB">
              <w:tblPrEx>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CellMar>
                  <w:top w:w="0" w:type="dxa"/>
                  <w:left w:w="57" w:type="dxa"/>
                  <w:bottom w:w="0" w:type="dxa"/>
                  <w:right w:w="57" w:type="dxa"/>
                </w:tblCellMar>
              </w:tblPrEx>
              <w:trPr>
                <w:trHeight w:val="23" w:hRule="atLeast"/>
                <w:jc w:val="center"/>
              </w:trPr>
              <w:tc>
                <w:tcPr>
                  <w:tcW w:w="169" w:type="pct"/>
                  <w:tcBorders>
                    <w:tl2br w:val="nil"/>
                    <w:tr2bl w:val="nil"/>
                  </w:tcBorders>
                  <w:vAlign w:val="center"/>
                </w:tcPr>
                <w:p w14:paraId="6B36A1AB">
                  <w:pPr>
                    <w:widowControl/>
                    <w:numPr>
                      <w:ilvl w:val="0"/>
                      <w:numId w:val="13"/>
                    </w:numPr>
                    <w:ind w:left="0" w:leftChars="0" w:firstLine="0" w:firstLineChars="0"/>
                    <w:jc w:val="center"/>
                    <w:rPr>
                      <w:rFonts w:hint="default" w:ascii="Times New Roman" w:hAnsi="Times New Roman" w:eastAsia="宋体" w:cs="Times New Roman"/>
                      <w:bCs/>
                      <w:snapToGrid w:val="0"/>
                      <w:color w:val="auto"/>
                      <w:spacing w:val="6"/>
                      <w:sz w:val="21"/>
                      <w:szCs w:val="21"/>
                    </w:rPr>
                  </w:pPr>
                </w:p>
              </w:tc>
              <w:tc>
                <w:tcPr>
                  <w:tcW w:w="765" w:type="pct"/>
                  <w:tcBorders>
                    <w:tl2br w:val="nil"/>
                    <w:tr2bl w:val="nil"/>
                  </w:tcBorders>
                  <w:shd w:val="clear" w:color="auto" w:fill="auto"/>
                  <w:vAlign w:val="center"/>
                </w:tcPr>
                <w:p w14:paraId="654E61FA">
                  <w:pPr>
                    <w:widowControl/>
                    <w:jc w:val="center"/>
                    <w:rPr>
                      <w:rFonts w:hint="default" w:ascii="Times New Roman" w:hAnsi="Times New Roman" w:eastAsia="宋体" w:cs="Times New Roman"/>
                      <w:bCs/>
                      <w:snapToGrid w:val="0"/>
                      <w:color w:val="auto"/>
                      <w:spacing w:val="6"/>
                      <w:sz w:val="21"/>
                      <w:szCs w:val="21"/>
                    </w:rPr>
                  </w:pPr>
                  <w:r>
                    <w:rPr>
                      <w:rFonts w:hint="default" w:ascii="Times New Roman" w:hAnsi="Times New Roman" w:eastAsia="宋体" w:cs="Times New Roman"/>
                      <w:bCs/>
                      <w:snapToGrid w:val="0"/>
                      <w:color w:val="auto"/>
                      <w:spacing w:val="6"/>
                      <w:sz w:val="21"/>
                      <w:szCs w:val="21"/>
                    </w:rPr>
                    <w:t>废耐火材料</w:t>
                  </w:r>
                </w:p>
              </w:tc>
              <w:tc>
                <w:tcPr>
                  <w:tcW w:w="779" w:type="pct"/>
                  <w:tcBorders>
                    <w:tl2br w:val="nil"/>
                    <w:tr2bl w:val="nil"/>
                  </w:tcBorders>
                  <w:shd w:val="clear" w:color="auto" w:fill="auto"/>
                  <w:vAlign w:val="center"/>
                </w:tcPr>
                <w:p w14:paraId="57C2CE57">
                  <w:pPr>
                    <w:widowControl/>
                    <w:jc w:val="center"/>
                    <w:rPr>
                      <w:rFonts w:hint="default" w:ascii="Times New Roman" w:hAnsi="Times New Roman" w:cs="Times New Roman"/>
                      <w:bCs/>
                      <w:color w:val="auto"/>
                      <w:sz w:val="21"/>
                      <w:szCs w:val="21"/>
                      <w:lang w:val="en-US" w:eastAsia="zh-CN"/>
                    </w:rPr>
                  </w:pPr>
                  <w:r>
                    <w:rPr>
                      <w:rFonts w:hint="eastAsia" w:cs="Times New Roman"/>
                      <w:bCs/>
                      <w:color w:val="auto"/>
                      <w:sz w:val="21"/>
                      <w:szCs w:val="21"/>
                      <w:lang w:val="en-US" w:eastAsia="zh-CN"/>
                    </w:rPr>
                    <w:t>真空炉耐火材料更换</w:t>
                  </w:r>
                </w:p>
              </w:tc>
              <w:tc>
                <w:tcPr>
                  <w:tcW w:w="426" w:type="pct"/>
                  <w:tcBorders>
                    <w:tl2br w:val="nil"/>
                    <w:tr2bl w:val="nil"/>
                  </w:tcBorders>
                  <w:shd w:val="clear" w:color="auto" w:fill="auto"/>
                  <w:vAlign w:val="center"/>
                </w:tcPr>
                <w:p w14:paraId="43D4A57E">
                  <w:pPr>
                    <w:widowControl/>
                    <w:jc w:val="center"/>
                    <w:rPr>
                      <w:rFonts w:hint="default" w:ascii="Times New Roman" w:hAnsi="Times New Roman" w:eastAsia="宋体" w:cs="Times New Roman"/>
                      <w:b w:val="0"/>
                      <w:bCs w:val="0"/>
                      <w:snapToGrid w:val="0"/>
                      <w:color w:val="auto"/>
                      <w:spacing w:val="6"/>
                      <w:sz w:val="21"/>
                      <w:szCs w:val="21"/>
                    </w:rPr>
                  </w:pPr>
                  <w:r>
                    <w:rPr>
                      <w:rFonts w:hint="default" w:ascii="Times New Roman" w:hAnsi="Times New Roman" w:eastAsia="宋体" w:cs="Times New Roman"/>
                      <w:b w:val="0"/>
                      <w:bCs w:val="0"/>
                      <w:snapToGrid w:val="0"/>
                      <w:color w:val="auto"/>
                      <w:spacing w:val="6"/>
                      <w:sz w:val="21"/>
                      <w:szCs w:val="21"/>
                    </w:rPr>
                    <w:t>固态</w:t>
                  </w:r>
                </w:p>
              </w:tc>
              <w:tc>
                <w:tcPr>
                  <w:tcW w:w="720" w:type="pct"/>
                  <w:tcBorders>
                    <w:tl2br w:val="nil"/>
                    <w:tr2bl w:val="nil"/>
                  </w:tcBorders>
                  <w:shd w:val="clear" w:color="auto" w:fill="auto"/>
                  <w:vAlign w:val="center"/>
                </w:tcPr>
                <w:p w14:paraId="4D82A2FE">
                  <w:pPr>
                    <w:widowControl/>
                    <w:jc w:val="center"/>
                    <w:rPr>
                      <w:rFonts w:hint="default" w:ascii="Times New Roman" w:hAnsi="Times New Roman" w:eastAsia="宋体" w:cs="Times New Roman"/>
                      <w:color w:val="auto"/>
                      <w:spacing w:val="6"/>
                      <w:kern w:val="2"/>
                      <w:sz w:val="21"/>
                      <w:szCs w:val="21"/>
                      <w:lang w:val="en-US" w:eastAsia="zh-CN" w:bidi="ar"/>
                    </w:rPr>
                  </w:pPr>
                  <w:r>
                    <w:rPr>
                      <w:rFonts w:hint="eastAsia" w:cs="Times New Roman"/>
                      <w:bCs/>
                      <w:color w:val="auto"/>
                      <w:sz w:val="21"/>
                      <w:szCs w:val="21"/>
                      <w:lang w:val="en-US" w:eastAsia="zh-CN"/>
                    </w:rPr>
                    <w:t>耐火材料</w:t>
                  </w:r>
                </w:p>
              </w:tc>
              <w:tc>
                <w:tcPr>
                  <w:tcW w:w="466" w:type="pct"/>
                  <w:tcBorders>
                    <w:tl2br w:val="nil"/>
                    <w:tr2bl w:val="nil"/>
                  </w:tcBorders>
                  <w:shd w:val="clear" w:color="auto" w:fill="auto"/>
                  <w:vAlign w:val="center"/>
                </w:tcPr>
                <w:p w14:paraId="2E4556CA">
                  <w:pPr>
                    <w:widowControl/>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0.3t/5a</w:t>
                  </w:r>
                </w:p>
              </w:tc>
              <w:tc>
                <w:tcPr>
                  <w:tcW w:w="312" w:type="pct"/>
                  <w:tcBorders>
                    <w:tl2br w:val="nil"/>
                    <w:tr2bl w:val="nil"/>
                  </w:tcBorders>
                  <w:shd w:val="clear" w:color="auto" w:fill="auto"/>
                  <w:vAlign w:val="center"/>
                </w:tcPr>
                <w:p w14:paraId="3B774A1A">
                  <w:pPr>
                    <w:widowControl/>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bCs/>
                      <w:snapToGrid w:val="0"/>
                      <w:color w:val="auto"/>
                      <w:spacing w:val="6"/>
                      <w:sz w:val="21"/>
                      <w:szCs w:val="21"/>
                    </w:rPr>
                    <w:t>√</w:t>
                  </w:r>
                </w:p>
              </w:tc>
              <w:tc>
                <w:tcPr>
                  <w:tcW w:w="337" w:type="pct"/>
                  <w:tcBorders>
                    <w:tl2br w:val="nil"/>
                    <w:tr2bl w:val="nil"/>
                  </w:tcBorders>
                  <w:shd w:val="clear" w:color="auto" w:fill="auto"/>
                  <w:vAlign w:val="center"/>
                </w:tcPr>
                <w:p w14:paraId="7D2431E6">
                  <w:pPr>
                    <w:pStyle w:val="22"/>
                    <w:widowControl w:val="0"/>
                    <w:adjustRightInd w:val="0"/>
                    <w:snapToGrid w:val="0"/>
                    <w:spacing w:before="24" w:beforeLines="10" w:beforeAutospacing="0" w:after="24" w:afterLines="10" w:afterAutospacing="0" w:line="256" w:lineRule="auto"/>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w:t>
                  </w:r>
                </w:p>
              </w:tc>
              <w:tc>
                <w:tcPr>
                  <w:tcW w:w="479" w:type="pct"/>
                  <w:tcBorders>
                    <w:tl2br w:val="nil"/>
                    <w:tr2bl w:val="nil"/>
                  </w:tcBorders>
                  <w:shd w:val="clear" w:color="auto" w:fill="auto"/>
                  <w:vAlign w:val="center"/>
                </w:tcPr>
                <w:p w14:paraId="4482ABF6">
                  <w:pPr>
                    <w:widowControl/>
                    <w:jc w:val="center"/>
                    <w:rPr>
                      <w:rFonts w:hint="eastAsia" w:ascii="Times New Roman" w:hAnsi="Times New Roman" w:eastAsia="宋体" w:cs="Times New Roman"/>
                      <w:color w:val="auto"/>
                      <w:kern w:val="0"/>
                      <w:sz w:val="21"/>
                      <w:szCs w:val="21"/>
                      <w:lang w:bidi="ar"/>
                    </w:rPr>
                  </w:pPr>
                  <w:r>
                    <w:rPr>
                      <w:rFonts w:hint="eastAsia" w:ascii="Times New Roman" w:hAnsi="Times New Roman" w:eastAsia="宋体" w:cs="Times New Roman"/>
                      <w:color w:val="auto"/>
                      <w:kern w:val="0"/>
                      <w:sz w:val="21"/>
                      <w:szCs w:val="21"/>
                      <w:lang w:bidi="ar"/>
                    </w:rPr>
                    <w:t>4.1d</w:t>
                  </w:r>
                  <w:r>
                    <w:rPr>
                      <w:rFonts w:ascii="Times New Roman" w:hAnsi="Times New Roman" w:eastAsia="宋体" w:cs="Times New Roman"/>
                      <w:color w:val="auto"/>
                      <w:kern w:val="0"/>
                      <w:sz w:val="21"/>
                      <w:szCs w:val="21"/>
                      <w:lang w:bidi="ar"/>
                    </w:rPr>
                    <w:t>)</w:t>
                  </w:r>
                </w:p>
              </w:tc>
              <w:tc>
                <w:tcPr>
                  <w:tcW w:w="542" w:type="pct"/>
                  <w:tcBorders>
                    <w:tl2br w:val="nil"/>
                    <w:tr2bl w:val="nil"/>
                  </w:tcBorders>
                  <w:shd w:val="clear" w:color="auto" w:fill="auto"/>
                  <w:vAlign w:val="center"/>
                </w:tcPr>
                <w:p w14:paraId="54137E62">
                  <w:pPr>
                    <w:widowControl/>
                    <w:jc w:val="center"/>
                    <w:rPr>
                      <w:rFonts w:hint="eastAsia" w:ascii="Times New Roman" w:hAnsi="Times New Roman" w:eastAsia="宋体" w:cs="Times New Roman"/>
                      <w:color w:val="auto"/>
                      <w:kern w:val="0"/>
                      <w:sz w:val="21"/>
                      <w:szCs w:val="21"/>
                      <w:lang w:val="en-US" w:eastAsia="zh-CN" w:bidi="ar"/>
                    </w:rPr>
                  </w:pPr>
                  <w:r>
                    <w:rPr>
                      <w:rFonts w:hint="eastAsia" w:ascii="Times New Roman" w:hAnsi="Times New Roman" w:eastAsia="宋体" w:cs="Times New Roman"/>
                      <w:color w:val="auto"/>
                      <w:kern w:val="0"/>
                      <w:sz w:val="21"/>
                      <w:szCs w:val="21"/>
                      <w:lang w:val="en-US" w:eastAsia="zh-CN" w:bidi="ar"/>
                    </w:rPr>
                    <w:t>7.1g</w:t>
                  </w:r>
                  <w:r>
                    <w:rPr>
                      <w:rFonts w:ascii="Times New Roman" w:hAnsi="Times New Roman" w:eastAsia="宋体" w:cs="Times New Roman"/>
                      <w:color w:val="auto"/>
                      <w:kern w:val="0"/>
                      <w:sz w:val="21"/>
                      <w:szCs w:val="21"/>
                      <w:lang w:bidi="ar"/>
                    </w:rPr>
                    <w:t>)</w:t>
                  </w:r>
                </w:p>
              </w:tc>
            </w:tr>
            <w:tr w14:paraId="0CB5AA27">
              <w:tblPrEx>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CellMar>
                  <w:top w:w="0" w:type="dxa"/>
                  <w:left w:w="57" w:type="dxa"/>
                  <w:bottom w:w="0" w:type="dxa"/>
                  <w:right w:w="57" w:type="dxa"/>
                </w:tblCellMar>
              </w:tblPrEx>
              <w:trPr>
                <w:trHeight w:val="23" w:hRule="atLeast"/>
                <w:jc w:val="center"/>
              </w:trPr>
              <w:tc>
                <w:tcPr>
                  <w:tcW w:w="169" w:type="pct"/>
                  <w:tcBorders>
                    <w:tl2br w:val="nil"/>
                    <w:tr2bl w:val="nil"/>
                  </w:tcBorders>
                  <w:vAlign w:val="center"/>
                </w:tcPr>
                <w:p w14:paraId="31EF1233">
                  <w:pPr>
                    <w:widowControl/>
                    <w:numPr>
                      <w:ilvl w:val="0"/>
                      <w:numId w:val="13"/>
                    </w:numPr>
                    <w:ind w:left="0" w:leftChars="0" w:firstLine="0" w:firstLineChars="0"/>
                    <w:jc w:val="center"/>
                    <w:rPr>
                      <w:rFonts w:hint="default" w:ascii="Times New Roman" w:hAnsi="Times New Roman" w:eastAsia="宋体" w:cs="Times New Roman"/>
                      <w:bCs/>
                      <w:snapToGrid w:val="0"/>
                      <w:color w:val="auto"/>
                      <w:spacing w:val="6"/>
                      <w:sz w:val="21"/>
                      <w:szCs w:val="21"/>
                    </w:rPr>
                  </w:pPr>
                </w:p>
              </w:tc>
              <w:tc>
                <w:tcPr>
                  <w:tcW w:w="765" w:type="pct"/>
                  <w:tcBorders>
                    <w:tl2br w:val="nil"/>
                    <w:tr2bl w:val="nil"/>
                  </w:tcBorders>
                  <w:shd w:val="clear" w:color="auto" w:fill="auto"/>
                  <w:vAlign w:val="center"/>
                </w:tcPr>
                <w:p w14:paraId="6B55E7B8">
                  <w:pPr>
                    <w:widowControl/>
                    <w:jc w:val="center"/>
                    <w:rPr>
                      <w:rFonts w:hint="default" w:ascii="Times New Roman" w:hAnsi="Times New Roman" w:eastAsia="宋体" w:cs="Times New Roman"/>
                      <w:bCs/>
                      <w:snapToGrid w:val="0"/>
                      <w:color w:val="auto"/>
                      <w:spacing w:val="6"/>
                      <w:sz w:val="21"/>
                      <w:szCs w:val="21"/>
                    </w:rPr>
                  </w:pPr>
                  <w:r>
                    <w:rPr>
                      <w:rFonts w:hint="default" w:ascii="Times New Roman" w:hAnsi="Times New Roman" w:eastAsia="宋体" w:cs="Times New Roman"/>
                      <w:bCs/>
                      <w:snapToGrid w:val="0"/>
                      <w:color w:val="auto"/>
                      <w:spacing w:val="6"/>
                      <w:sz w:val="21"/>
                      <w:szCs w:val="21"/>
                    </w:rPr>
                    <w:t>废深孔钻油</w:t>
                  </w:r>
                </w:p>
              </w:tc>
              <w:tc>
                <w:tcPr>
                  <w:tcW w:w="779" w:type="pct"/>
                  <w:tcBorders>
                    <w:tl2br w:val="nil"/>
                    <w:tr2bl w:val="nil"/>
                  </w:tcBorders>
                  <w:shd w:val="clear" w:color="auto" w:fill="auto"/>
                  <w:vAlign w:val="center"/>
                </w:tcPr>
                <w:p w14:paraId="0C9F9640">
                  <w:pPr>
                    <w:pStyle w:val="2"/>
                    <w:spacing w:before="0" w:after="0" w:line="240" w:lineRule="auto"/>
                    <w:jc w:val="center"/>
                    <w:rPr>
                      <w:rFonts w:hint="default" w:ascii="Times New Roman" w:hAnsi="Times New Roman" w:eastAsia="宋体" w:cs="Times New Roman"/>
                      <w:b w:val="0"/>
                      <w:bCs w:val="0"/>
                      <w:color w:val="auto"/>
                      <w:kern w:val="2"/>
                      <w:sz w:val="21"/>
                      <w:szCs w:val="21"/>
                      <w:lang w:val="en-US" w:eastAsia="zh-CN" w:bidi="ar"/>
                    </w:rPr>
                  </w:pPr>
                  <w:r>
                    <w:rPr>
                      <w:rFonts w:hint="default" w:ascii="Times New Roman" w:hAnsi="Times New Roman" w:eastAsia="宋体" w:cs="Times New Roman"/>
                      <w:b w:val="0"/>
                      <w:bCs w:val="0"/>
                      <w:color w:val="auto"/>
                      <w:kern w:val="2"/>
                      <w:sz w:val="21"/>
                      <w:szCs w:val="21"/>
                      <w:lang w:val="en-US" w:eastAsia="zh-CN" w:bidi="ar"/>
                    </w:rPr>
                    <w:t>钻孔、倒角</w:t>
                  </w:r>
                </w:p>
              </w:tc>
              <w:tc>
                <w:tcPr>
                  <w:tcW w:w="426" w:type="pct"/>
                  <w:tcBorders>
                    <w:tl2br w:val="nil"/>
                    <w:tr2bl w:val="nil"/>
                  </w:tcBorders>
                  <w:shd w:val="clear" w:color="auto" w:fill="auto"/>
                  <w:vAlign w:val="center"/>
                </w:tcPr>
                <w:p w14:paraId="383CCA7D">
                  <w:pPr>
                    <w:pStyle w:val="2"/>
                    <w:spacing w:before="0" w:after="0" w:line="240" w:lineRule="auto"/>
                    <w:jc w:val="center"/>
                    <w:rPr>
                      <w:rFonts w:hint="default" w:ascii="Times New Roman" w:hAnsi="Times New Roman" w:eastAsia="宋体" w:cs="Times New Roman"/>
                      <w:b w:val="0"/>
                      <w:bCs w:val="0"/>
                      <w:color w:val="auto"/>
                      <w:kern w:val="2"/>
                      <w:sz w:val="21"/>
                      <w:szCs w:val="21"/>
                      <w:lang w:val="en-US" w:eastAsia="zh-CN" w:bidi="ar"/>
                    </w:rPr>
                  </w:pPr>
                  <w:r>
                    <w:rPr>
                      <w:rFonts w:hint="eastAsia" w:ascii="Times New Roman" w:hAnsi="Times New Roman" w:cs="Times New Roman"/>
                      <w:b w:val="0"/>
                      <w:bCs w:val="0"/>
                      <w:color w:val="auto"/>
                      <w:kern w:val="2"/>
                      <w:sz w:val="21"/>
                      <w:szCs w:val="21"/>
                      <w:lang w:val="en-US" w:eastAsia="zh-CN" w:bidi="ar"/>
                    </w:rPr>
                    <w:t>液态</w:t>
                  </w:r>
                </w:p>
              </w:tc>
              <w:tc>
                <w:tcPr>
                  <w:tcW w:w="720" w:type="pct"/>
                  <w:tcBorders>
                    <w:tl2br w:val="nil"/>
                    <w:tr2bl w:val="nil"/>
                  </w:tcBorders>
                  <w:shd w:val="clear" w:color="auto" w:fill="auto"/>
                  <w:vAlign w:val="center"/>
                </w:tcPr>
                <w:p w14:paraId="61CF6783">
                  <w:pPr>
                    <w:pStyle w:val="2"/>
                    <w:spacing w:before="0" w:after="0" w:line="240" w:lineRule="auto"/>
                    <w:jc w:val="center"/>
                    <w:rPr>
                      <w:rFonts w:hint="default" w:ascii="Times New Roman" w:hAnsi="Times New Roman" w:eastAsia="宋体" w:cs="Times New Roman"/>
                      <w:b w:val="0"/>
                      <w:bCs w:val="0"/>
                      <w:color w:val="auto"/>
                      <w:spacing w:val="6"/>
                      <w:kern w:val="2"/>
                      <w:sz w:val="21"/>
                      <w:szCs w:val="21"/>
                      <w:lang w:val="en-US" w:eastAsia="zh-CN" w:bidi="ar"/>
                    </w:rPr>
                  </w:pPr>
                  <w:r>
                    <w:rPr>
                      <w:rFonts w:hint="eastAsia" w:ascii="Times New Roman" w:hAnsi="Times New Roman" w:cs="Times New Roman"/>
                      <w:b w:val="0"/>
                      <w:bCs w:val="0"/>
                      <w:color w:val="auto"/>
                      <w:spacing w:val="6"/>
                      <w:kern w:val="2"/>
                      <w:sz w:val="21"/>
                      <w:szCs w:val="21"/>
                      <w:lang w:val="en-US" w:eastAsia="zh-CN" w:bidi="ar"/>
                    </w:rPr>
                    <w:t>矿物油等</w:t>
                  </w:r>
                </w:p>
              </w:tc>
              <w:tc>
                <w:tcPr>
                  <w:tcW w:w="466" w:type="pct"/>
                  <w:tcBorders>
                    <w:tl2br w:val="nil"/>
                    <w:tr2bl w:val="nil"/>
                  </w:tcBorders>
                  <w:shd w:val="clear" w:color="auto" w:fill="auto"/>
                  <w:vAlign w:val="center"/>
                </w:tcPr>
                <w:p w14:paraId="54118712">
                  <w:pPr>
                    <w:pStyle w:val="2"/>
                    <w:spacing w:before="0" w:after="0" w:line="240" w:lineRule="auto"/>
                    <w:jc w:val="center"/>
                    <w:rPr>
                      <w:rFonts w:hint="eastAsia" w:ascii="Times New Roman" w:hAnsi="Times New Roman" w:eastAsia="宋体" w:cs="Times New Roman"/>
                      <w:b w:val="0"/>
                      <w:bCs w:val="0"/>
                      <w:color w:val="auto"/>
                      <w:kern w:val="2"/>
                      <w:sz w:val="21"/>
                      <w:szCs w:val="21"/>
                      <w:lang w:val="en-US" w:eastAsia="zh-CN" w:bidi="ar"/>
                    </w:rPr>
                  </w:pPr>
                  <w:r>
                    <w:rPr>
                      <w:rFonts w:hint="eastAsia" w:ascii="Times New Roman" w:hAnsi="Times New Roman" w:eastAsia="宋体" w:cs="Times New Roman"/>
                      <w:b w:val="0"/>
                      <w:bCs w:val="0"/>
                      <w:color w:val="auto"/>
                      <w:kern w:val="2"/>
                      <w:sz w:val="21"/>
                      <w:szCs w:val="21"/>
                      <w:lang w:val="en-US" w:eastAsia="zh-CN" w:bidi="ar"/>
                    </w:rPr>
                    <w:t>10.8</w:t>
                  </w:r>
                </w:p>
              </w:tc>
              <w:tc>
                <w:tcPr>
                  <w:tcW w:w="312" w:type="pct"/>
                  <w:tcBorders>
                    <w:tl2br w:val="nil"/>
                    <w:tr2bl w:val="nil"/>
                  </w:tcBorders>
                  <w:shd w:val="clear" w:color="auto" w:fill="auto"/>
                  <w:vAlign w:val="center"/>
                </w:tcPr>
                <w:p w14:paraId="6878848A">
                  <w:pPr>
                    <w:widowControl/>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bCs/>
                      <w:snapToGrid w:val="0"/>
                      <w:color w:val="auto"/>
                      <w:spacing w:val="6"/>
                      <w:sz w:val="21"/>
                      <w:szCs w:val="21"/>
                    </w:rPr>
                    <w:t>√</w:t>
                  </w:r>
                </w:p>
              </w:tc>
              <w:tc>
                <w:tcPr>
                  <w:tcW w:w="337" w:type="pct"/>
                  <w:tcBorders>
                    <w:tl2br w:val="nil"/>
                    <w:tr2bl w:val="nil"/>
                  </w:tcBorders>
                  <w:shd w:val="clear" w:color="auto" w:fill="auto"/>
                  <w:vAlign w:val="center"/>
                </w:tcPr>
                <w:p w14:paraId="0E1DEF53">
                  <w:pPr>
                    <w:pStyle w:val="22"/>
                    <w:widowControl w:val="0"/>
                    <w:adjustRightInd w:val="0"/>
                    <w:snapToGrid w:val="0"/>
                    <w:spacing w:before="24" w:beforeLines="10" w:beforeAutospacing="0" w:after="24" w:afterLines="10" w:afterAutospacing="0" w:line="256" w:lineRule="auto"/>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w:t>
                  </w:r>
                </w:p>
              </w:tc>
              <w:tc>
                <w:tcPr>
                  <w:tcW w:w="479" w:type="pct"/>
                  <w:tcBorders>
                    <w:tl2br w:val="nil"/>
                    <w:tr2bl w:val="nil"/>
                  </w:tcBorders>
                  <w:shd w:val="clear" w:color="auto" w:fill="auto"/>
                  <w:vAlign w:val="center"/>
                </w:tcPr>
                <w:p w14:paraId="2691BBA7">
                  <w:pPr>
                    <w:widowControl/>
                    <w:jc w:val="center"/>
                    <w:rPr>
                      <w:rFonts w:hint="default" w:ascii="Times New Roman" w:hAnsi="Times New Roman" w:eastAsia="宋体" w:cs="Times New Roman"/>
                      <w:bCs/>
                      <w:snapToGrid w:val="0"/>
                      <w:color w:val="auto"/>
                      <w:spacing w:val="6"/>
                      <w:kern w:val="2"/>
                      <w:sz w:val="21"/>
                      <w:szCs w:val="21"/>
                      <w:lang w:val="en-US" w:eastAsia="zh-CN" w:bidi="ar-SA"/>
                    </w:rPr>
                  </w:pPr>
                  <w:r>
                    <w:rPr>
                      <w:rFonts w:ascii="Times New Roman" w:hAnsi="Times New Roman" w:eastAsia="宋体" w:cs="Times New Roman"/>
                      <w:color w:val="auto"/>
                      <w:kern w:val="0"/>
                      <w:sz w:val="21"/>
                      <w:szCs w:val="21"/>
                      <w:lang w:bidi="ar"/>
                    </w:rPr>
                    <w:t>4.1</w:t>
                  </w:r>
                  <w:r>
                    <w:rPr>
                      <w:rFonts w:hint="eastAsia" w:ascii="Times New Roman" w:hAnsi="Times New Roman" w:eastAsia="宋体" w:cs="Times New Roman"/>
                      <w:color w:val="auto"/>
                      <w:kern w:val="0"/>
                      <w:sz w:val="21"/>
                      <w:szCs w:val="21"/>
                      <w:lang w:val="en-US" w:eastAsia="zh-CN" w:bidi="ar"/>
                    </w:rPr>
                    <w:t>d</w:t>
                  </w:r>
                  <w:r>
                    <w:rPr>
                      <w:rFonts w:ascii="Times New Roman" w:hAnsi="Times New Roman" w:eastAsia="宋体" w:cs="Times New Roman"/>
                      <w:color w:val="auto"/>
                      <w:kern w:val="0"/>
                      <w:sz w:val="21"/>
                      <w:szCs w:val="21"/>
                      <w:lang w:bidi="ar"/>
                    </w:rPr>
                    <w:t>)</w:t>
                  </w:r>
                </w:p>
              </w:tc>
              <w:tc>
                <w:tcPr>
                  <w:tcW w:w="542" w:type="pct"/>
                  <w:tcBorders>
                    <w:tl2br w:val="nil"/>
                    <w:tr2bl w:val="nil"/>
                  </w:tcBorders>
                  <w:shd w:val="clear" w:color="auto" w:fill="auto"/>
                  <w:vAlign w:val="center"/>
                </w:tcPr>
                <w:p w14:paraId="327F25B8">
                  <w:pPr>
                    <w:widowControl/>
                    <w:jc w:val="center"/>
                    <w:rPr>
                      <w:rFonts w:hint="default" w:ascii="Times New Roman" w:hAnsi="Times New Roman" w:eastAsia="宋体" w:cs="Times New Roman"/>
                      <w:bCs/>
                      <w:snapToGrid w:val="0"/>
                      <w:color w:val="auto"/>
                      <w:spacing w:val="6"/>
                      <w:kern w:val="2"/>
                      <w:sz w:val="21"/>
                      <w:szCs w:val="21"/>
                      <w:lang w:val="en-US" w:eastAsia="zh-CN" w:bidi="ar-SA"/>
                    </w:rPr>
                  </w:pPr>
                  <w:r>
                    <w:rPr>
                      <w:rFonts w:hint="default" w:ascii="Times New Roman" w:hAnsi="Times New Roman" w:eastAsia="宋体" w:cs="Times New Roman"/>
                      <w:bCs/>
                      <w:snapToGrid w:val="0"/>
                      <w:color w:val="auto"/>
                      <w:spacing w:val="6"/>
                      <w:kern w:val="2"/>
                      <w:sz w:val="21"/>
                      <w:szCs w:val="21"/>
                      <w:lang w:val="en-US" w:eastAsia="zh-CN" w:bidi="ar-SA"/>
                    </w:rPr>
                    <w:t>7.1b)/7.1c)</w:t>
                  </w:r>
                </w:p>
              </w:tc>
            </w:tr>
            <w:tr w14:paraId="115B86FC">
              <w:tblPrEx>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CellMar>
                  <w:top w:w="0" w:type="dxa"/>
                  <w:left w:w="57" w:type="dxa"/>
                  <w:bottom w:w="0" w:type="dxa"/>
                  <w:right w:w="57" w:type="dxa"/>
                </w:tblCellMar>
              </w:tblPrEx>
              <w:trPr>
                <w:trHeight w:val="23" w:hRule="atLeast"/>
                <w:jc w:val="center"/>
              </w:trPr>
              <w:tc>
                <w:tcPr>
                  <w:tcW w:w="169" w:type="pct"/>
                  <w:tcBorders>
                    <w:tl2br w:val="nil"/>
                    <w:tr2bl w:val="nil"/>
                  </w:tcBorders>
                  <w:vAlign w:val="center"/>
                </w:tcPr>
                <w:p w14:paraId="3F6389BA">
                  <w:pPr>
                    <w:widowControl/>
                    <w:numPr>
                      <w:ilvl w:val="0"/>
                      <w:numId w:val="13"/>
                    </w:numPr>
                    <w:ind w:left="0" w:leftChars="0" w:firstLine="0" w:firstLineChars="0"/>
                    <w:jc w:val="center"/>
                    <w:rPr>
                      <w:rFonts w:hint="default" w:ascii="Times New Roman" w:hAnsi="Times New Roman" w:eastAsia="宋体" w:cs="Times New Roman"/>
                      <w:bCs/>
                      <w:snapToGrid w:val="0"/>
                      <w:color w:val="auto"/>
                      <w:spacing w:val="6"/>
                      <w:sz w:val="21"/>
                      <w:szCs w:val="21"/>
                    </w:rPr>
                  </w:pPr>
                </w:p>
              </w:tc>
              <w:tc>
                <w:tcPr>
                  <w:tcW w:w="765" w:type="pct"/>
                  <w:tcBorders>
                    <w:tl2br w:val="nil"/>
                    <w:tr2bl w:val="nil"/>
                  </w:tcBorders>
                  <w:shd w:val="clear" w:color="auto" w:fill="auto"/>
                  <w:vAlign w:val="center"/>
                </w:tcPr>
                <w:p w14:paraId="35F2C1B9">
                  <w:pPr>
                    <w:widowControl/>
                    <w:jc w:val="center"/>
                    <w:rPr>
                      <w:rFonts w:hint="default" w:ascii="Times New Roman" w:hAnsi="Times New Roman" w:eastAsia="宋体" w:cs="Times New Roman"/>
                      <w:bCs/>
                      <w:snapToGrid w:val="0"/>
                      <w:color w:val="auto"/>
                      <w:spacing w:val="6"/>
                      <w:sz w:val="21"/>
                      <w:szCs w:val="21"/>
                    </w:rPr>
                  </w:pPr>
                  <w:r>
                    <w:rPr>
                      <w:rFonts w:hint="default" w:ascii="Times New Roman" w:hAnsi="Times New Roman" w:eastAsia="宋体" w:cs="Times New Roman"/>
                      <w:bCs/>
                      <w:snapToGrid w:val="0"/>
                      <w:color w:val="auto"/>
                      <w:spacing w:val="6"/>
                      <w:sz w:val="21"/>
                      <w:szCs w:val="21"/>
                    </w:rPr>
                    <w:t>废切削液</w:t>
                  </w:r>
                </w:p>
              </w:tc>
              <w:tc>
                <w:tcPr>
                  <w:tcW w:w="779" w:type="pct"/>
                  <w:tcBorders>
                    <w:tl2br w:val="nil"/>
                    <w:tr2bl w:val="nil"/>
                  </w:tcBorders>
                  <w:shd w:val="clear" w:color="auto" w:fill="auto"/>
                  <w:vAlign w:val="center"/>
                </w:tcPr>
                <w:p w14:paraId="5C9E26CA">
                  <w:pPr>
                    <w:pStyle w:val="2"/>
                    <w:spacing w:before="0" w:after="0" w:line="240" w:lineRule="auto"/>
                    <w:jc w:val="center"/>
                    <w:rPr>
                      <w:rFonts w:hint="default" w:ascii="Times New Roman" w:hAnsi="Times New Roman" w:eastAsia="宋体" w:cs="Times New Roman"/>
                      <w:b w:val="0"/>
                      <w:bCs w:val="0"/>
                      <w:color w:val="auto"/>
                      <w:kern w:val="2"/>
                      <w:sz w:val="21"/>
                      <w:szCs w:val="21"/>
                      <w:lang w:val="en-US" w:eastAsia="zh-CN" w:bidi="ar"/>
                    </w:rPr>
                  </w:pPr>
                  <w:r>
                    <w:rPr>
                      <w:rFonts w:hint="default" w:ascii="Times New Roman" w:hAnsi="Times New Roman" w:eastAsia="宋体" w:cs="Times New Roman"/>
                      <w:b w:val="0"/>
                      <w:bCs w:val="0"/>
                      <w:color w:val="auto"/>
                      <w:kern w:val="2"/>
                      <w:sz w:val="21"/>
                      <w:szCs w:val="21"/>
                      <w:lang w:val="en-US" w:eastAsia="zh-CN" w:bidi="ar"/>
                    </w:rPr>
                    <w:t>精加工</w:t>
                  </w:r>
                </w:p>
              </w:tc>
              <w:tc>
                <w:tcPr>
                  <w:tcW w:w="426" w:type="pct"/>
                  <w:tcBorders>
                    <w:tl2br w:val="nil"/>
                    <w:tr2bl w:val="nil"/>
                  </w:tcBorders>
                  <w:shd w:val="clear" w:color="auto" w:fill="auto"/>
                  <w:vAlign w:val="center"/>
                </w:tcPr>
                <w:p w14:paraId="02DB980A">
                  <w:pPr>
                    <w:pStyle w:val="2"/>
                    <w:spacing w:before="0" w:after="0" w:line="240" w:lineRule="auto"/>
                    <w:jc w:val="center"/>
                    <w:rPr>
                      <w:rFonts w:hint="default" w:ascii="Times New Roman" w:hAnsi="Times New Roman" w:eastAsia="宋体" w:cs="Times New Roman"/>
                      <w:b w:val="0"/>
                      <w:bCs w:val="0"/>
                      <w:color w:val="auto"/>
                      <w:kern w:val="2"/>
                      <w:sz w:val="21"/>
                      <w:szCs w:val="21"/>
                      <w:lang w:val="en-US" w:eastAsia="zh-CN" w:bidi="ar"/>
                    </w:rPr>
                  </w:pPr>
                  <w:r>
                    <w:rPr>
                      <w:rFonts w:hint="eastAsia" w:ascii="Times New Roman" w:hAnsi="Times New Roman" w:cs="Times New Roman"/>
                      <w:b w:val="0"/>
                      <w:bCs w:val="0"/>
                      <w:color w:val="auto"/>
                      <w:kern w:val="2"/>
                      <w:sz w:val="21"/>
                      <w:szCs w:val="21"/>
                      <w:lang w:val="en-US" w:eastAsia="zh-CN" w:bidi="ar"/>
                    </w:rPr>
                    <w:t>液态</w:t>
                  </w:r>
                </w:p>
              </w:tc>
              <w:tc>
                <w:tcPr>
                  <w:tcW w:w="720" w:type="pct"/>
                  <w:tcBorders>
                    <w:tl2br w:val="nil"/>
                    <w:tr2bl w:val="nil"/>
                  </w:tcBorders>
                  <w:shd w:val="clear" w:color="auto" w:fill="auto"/>
                  <w:vAlign w:val="center"/>
                </w:tcPr>
                <w:p w14:paraId="504A36CC">
                  <w:pPr>
                    <w:pStyle w:val="2"/>
                    <w:spacing w:before="0" w:after="0" w:line="240" w:lineRule="auto"/>
                    <w:jc w:val="center"/>
                    <w:rPr>
                      <w:rFonts w:hint="default" w:ascii="Times New Roman" w:hAnsi="Times New Roman" w:eastAsia="宋体" w:cs="Times New Roman"/>
                      <w:b w:val="0"/>
                      <w:bCs w:val="0"/>
                      <w:color w:val="auto"/>
                      <w:spacing w:val="6"/>
                      <w:kern w:val="2"/>
                      <w:sz w:val="21"/>
                      <w:szCs w:val="21"/>
                      <w:lang w:val="en-US" w:eastAsia="zh-CN" w:bidi="ar"/>
                    </w:rPr>
                  </w:pPr>
                  <w:r>
                    <w:rPr>
                      <w:rFonts w:hint="default" w:ascii="Times New Roman" w:hAnsi="Times New Roman" w:eastAsia="宋体" w:cs="Times New Roman"/>
                      <w:b w:val="0"/>
                      <w:bCs w:val="0"/>
                      <w:color w:val="auto"/>
                      <w:spacing w:val="6"/>
                      <w:kern w:val="2"/>
                      <w:sz w:val="21"/>
                      <w:szCs w:val="21"/>
                      <w:lang w:val="en-US" w:eastAsia="zh-CN" w:bidi="ar"/>
                    </w:rPr>
                    <w:t>水、切削液</w:t>
                  </w:r>
                </w:p>
              </w:tc>
              <w:tc>
                <w:tcPr>
                  <w:tcW w:w="466" w:type="pct"/>
                  <w:tcBorders>
                    <w:tl2br w:val="nil"/>
                    <w:tr2bl w:val="nil"/>
                  </w:tcBorders>
                  <w:shd w:val="clear" w:color="auto" w:fill="auto"/>
                  <w:vAlign w:val="center"/>
                </w:tcPr>
                <w:p w14:paraId="31B414A5">
                  <w:pPr>
                    <w:pStyle w:val="2"/>
                    <w:spacing w:before="0" w:after="0" w:line="240" w:lineRule="auto"/>
                    <w:jc w:val="center"/>
                    <w:rPr>
                      <w:rFonts w:hint="eastAsia" w:ascii="Times New Roman" w:hAnsi="Times New Roman" w:eastAsia="宋体" w:cs="Times New Roman"/>
                      <w:b w:val="0"/>
                      <w:bCs w:val="0"/>
                      <w:color w:val="auto"/>
                      <w:kern w:val="2"/>
                      <w:sz w:val="21"/>
                      <w:szCs w:val="21"/>
                      <w:lang w:val="en-US" w:eastAsia="zh-CN" w:bidi="ar"/>
                    </w:rPr>
                  </w:pPr>
                  <w:r>
                    <w:rPr>
                      <w:rFonts w:hint="eastAsia" w:ascii="Times New Roman" w:hAnsi="Times New Roman" w:eastAsia="宋体" w:cs="Times New Roman"/>
                      <w:b w:val="0"/>
                      <w:bCs w:val="0"/>
                      <w:color w:val="auto"/>
                      <w:kern w:val="2"/>
                      <w:sz w:val="21"/>
                      <w:szCs w:val="21"/>
                      <w:lang w:val="en-US" w:eastAsia="zh-CN" w:bidi="ar"/>
                    </w:rPr>
                    <w:t>14</w:t>
                  </w:r>
                </w:p>
              </w:tc>
              <w:tc>
                <w:tcPr>
                  <w:tcW w:w="312" w:type="pct"/>
                  <w:tcBorders>
                    <w:tl2br w:val="nil"/>
                    <w:tr2bl w:val="nil"/>
                  </w:tcBorders>
                  <w:shd w:val="clear" w:color="auto" w:fill="auto"/>
                  <w:vAlign w:val="center"/>
                </w:tcPr>
                <w:p w14:paraId="108E1308">
                  <w:pPr>
                    <w:widowControl/>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bCs/>
                      <w:snapToGrid w:val="0"/>
                      <w:color w:val="auto"/>
                      <w:spacing w:val="6"/>
                      <w:sz w:val="21"/>
                      <w:szCs w:val="21"/>
                    </w:rPr>
                    <w:t>√</w:t>
                  </w:r>
                </w:p>
              </w:tc>
              <w:tc>
                <w:tcPr>
                  <w:tcW w:w="337" w:type="pct"/>
                  <w:tcBorders>
                    <w:tl2br w:val="nil"/>
                    <w:tr2bl w:val="nil"/>
                  </w:tcBorders>
                  <w:shd w:val="clear" w:color="auto" w:fill="auto"/>
                  <w:vAlign w:val="center"/>
                </w:tcPr>
                <w:p w14:paraId="6AB39CB5">
                  <w:pPr>
                    <w:pStyle w:val="22"/>
                    <w:widowControl w:val="0"/>
                    <w:adjustRightInd w:val="0"/>
                    <w:snapToGrid w:val="0"/>
                    <w:spacing w:before="24" w:beforeLines="10" w:beforeAutospacing="0" w:after="24" w:afterLines="10" w:afterAutospacing="0" w:line="256" w:lineRule="auto"/>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w:t>
                  </w:r>
                </w:p>
              </w:tc>
              <w:tc>
                <w:tcPr>
                  <w:tcW w:w="479" w:type="pct"/>
                  <w:tcBorders>
                    <w:tl2br w:val="nil"/>
                    <w:tr2bl w:val="nil"/>
                  </w:tcBorders>
                  <w:shd w:val="clear" w:color="auto" w:fill="auto"/>
                  <w:vAlign w:val="center"/>
                </w:tcPr>
                <w:p w14:paraId="5DB7BE0E">
                  <w:pPr>
                    <w:widowControl/>
                    <w:jc w:val="center"/>
                    <w:rPr>
                      <w:rFonts w:hint="default" w:ascii="Times New Roman" w:hAnsi="Times New Roman" w:eastAsia="宋体" w:cs="Times New Roman"/>
                      <w:bCs/>
                      <w:snapToGrid w:val="0"/>
                      <w:color w:val="auto"/>
                      <w:spacing w:val="6"/>
                      <w:kern w:val="2"/>
                      <w:sz w:val="21"/>
                      <w:szCs w:val="21"/>
                      <w:lang w:val="en-US" w:eastAsia="zh-CN" w:bidi="ar"/>
                    </w:rPr>
                  </w:pPr>
                  <w:r>
                    <w:rPr>
                      <w:rFonts w:hint="eastAsia" w:ascii="Times New Roman" w:hAnsi="Times New Roman" w:eastAsia="宋体" w:cs="Times New Roman"/>
                      <w:color w:val="auto"/>
                      <w:kern w:val="0"/>
                      <w:sz w:val="21"/>
                      <w:szCs w:val="21"/>
                      <w:lang w:val="en-US" w:eastAsia="zh-CN" w:bidi="ar"/>
                    </w:rPr>
                    <w:t>4.1d</w:t>
                  </w:r>
                  <w:r>
                    <w:rPr>
                      <w:rFonts w:ascii="Times New Roman" w:hAnsi="Times New Roman" w:eastAsia="宋体" w:cs="Times New Roman"/>
                      <w:color w:val="auto"/>
                      <w:kern w:val="0"/>
                      <w:sz w:val="21"/>
                      <w:szCs w:val="21"/>
                      <w:lang w:bidi="ar"/>
                    </w:rPr>
                    <w:t>)</w:t>
                  </w:r>
                </w:p>
              </w:tc>
              <w:tc>
                <w:tcPr>
                  <w:tcW w:w="542" w:type="pct"/>
                  <w:tcBorders>
                    <w:tl2br w:val="nil"/>
                    <w:tr2bl w:val="nil"/>
                  </w:tcBorders>
                  <w:shd w:val="clear" w:color="auto" w:fill="auto"/>
                  <w:vAlign w:val="center"/>
                </w:tcPr>
                <w:p w14:paraId="571E3484">
                  <w:pPr>
                    <w:widowControl/>
                    <w:jc w:val="center"/>
                    <w:rPr>
                      <w:rFonts w:hint="default" w:ascii="Times New Roman" w:hAnsi="Times New Roman" w:eastAsia="宋体" w:cs="Times New Roman"/>
                      <w:bCs/>
                      <w:snapToGrid w:val="0"/>
                      <w:color w:val="auto"/>
                      <w:spacing w:val="6"/>
                      <w:kern w:val="2"/>
                      <w:sz w:val="21"/>
                      <w:szCs w:val="21"/>
                      <w:lang w:val="en-US" w:eastAsia="zh-CN" w:bidi="ar"/>
                    </w:rPr>
                  </w:pPr>
                  <w:r>
                    <w:rPr>
                      <w:rFonts w:hint="default" w:ascii="Times New Roman" w:hAnsi="Times New Roman" w:eastAsia="宋体" w:cs="Times New Roman"/>
                      <w:bCs/>
                      <w:snapToGrid w:val="0"/>
                      <w:color w:val="auto"/>
                      <w:spacing w:val="6"/>
                      <w:kern w:val="2"/>
                      <w:sz w:val="21"/>
                      <w:szCs w:val="21"/>
                      <w:lang w:val="en-US" w:eastAsia="zh-CN" w:bidi="ar-SA"/>
                    </w:rPr>
                    <w:t>7.1b)/7.1c)</w:t>
                  </w:r>
                </w:p>
              </w:tc>
            </w:tr>
            <w:tr w14:paraId="26011A6B">
              <w:tblPrEx>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CellMar>
                  <w:top w:w="0" w:type="dxa"/>
                  <w:left w:w="57" w:type="dxa"/>
                  <w:bottom w:w="0" w:type="dxa"/>
                  <w:right w:w="57" w:type="dxa"/>
                </w:tblCellMar>
              </w:tblPrEx>
              <w:trPr>
                <w:trHeight w:val="23" w:hRule="atLeast"/>
                <w:jc w:val="center"/>
              </w:trPr>
              <w:tc>
                <w:tcPr>
                  <w:tcW w:w="169" w:type="pct"/>
                  <w:tcBorders>
                    <w:tl2br w:val="nil"/>
                    <w:tr2bl w:val="nil"/>
                  </w:tcBorders>
                  <w:vAlign w:val="center"/>
                </w:tcPr>
                <w:p w14:paraId="7F882064">
                  <w:pPr>
                    <w:widowControl/>
                    <w:numPr>
                      <w:ilvl w:val="0"/>
                      <w:numId w:val="13"/>
                    </w:numPr>
                    <w:ind w:left="0" w:leftChars="0" w:firstLine="0" w:firstLineChars="0"/>
                    <w:jc w:val="center"/>
                    <w:rPr>
                      <w:rFonts w:hint="default" w:ascii="Times New Roman" w:hAnsi="Times New Roman" w:eastAsia="宋体" w:cs="Times New Roman"/>
                      <w:bCs/>
                      <w:snapToGrid w:val="0"/>
                      <w:color w:val="auto"/>
                      <w:spacing w:val="6"/>
                      <w:sz w:val="21"/>
                      <w:szCs w:val="21"/>
                    </w:rPr>
                  </w:pPr>
                </w:p>
              </w:tc>
              <w:tc>
                <w:tcPr>
                  <w:tcW w:w="765" w:type="pct"/>
                  <w:tcBorders>
                    <w:tl2br w:val="nil"/>
                    <w:tr2bl w:val="nil"/>
                  </w:tcBorders>
                  <w:shd w:val="clear" w:color="auto" w:fill="auto"/>
                  <w:vAlign w:val="center"/>
                </w:tcPr>
                <w:p w14:paraId="7ECEA3BE">
                  <w:pPr>
                    <w:widowControl/>
                    <w:jc w:val="center"/>
                    <w:rPr>
                      <w:rFonts w:hint="default" w:ascii="Times New Roman" w:hAnsi="Times New Roman" w:eastAsia="宋体" w:cs="Times New Roman"/>
                      <w:bCs/>
                      <w:snapToGrid w:val="0"/>
                      <w:color w:val="auto"/>
                      <w:spacing w:val="6"/>
                      <w:sz w:val="21"/>
                      <w:szCs w:val="21"/>
                    </w:rPr>
                  </w:pPr>
                  <w:r>
                    <w:rPr>
                      <w:rFonts w:hint="default" w:ascii="Times New Roman" w:hAnsi="Times New Roman" w:eastAsia="宋体" w:cs="Times New Roman"/>
                      <w:bCs/>
                      <w:snapToGrid w:val="0"/>
                      <w:color w:val="auto"/>
                      <w:spacing w:val="6"/>
                      <w:sz w:val="21"/>
                      <w:szCs w:val="21"/>
                    </w:rPr>
                    <w:t>废刷子</w:t>
                  </w:r>
                </w:p>
              </w:tc>
              <w:tc>
                <w:tcPr>
                  <w:tcW w:w="779" w:type="pct"/>
                  <w:tcBorders>
                    <w:tl2br w:val="nil"/>
                    <w:tr2bl w:val="nil"/>
                  </w:tcBorders>
                  <w:shd w:val="clear" w:color="auto" w:fill="auto"/>
                  <w:vAlign w:val="center"/>
                </w:tcPr>
                <w:p w14:paraId="77448BAA">
                  <w:pPr>
                    <w:pStyle w:val="2"/>
                    <w:spacing w:before="0" w:after="0" w:line="240" w:lineRule="auto"/>
                    <w:jc w:val="center"/>
                    <w:rPr>
                      <w:rFonts w:hint="default" w:ascii="Times New Roman" w:hAnsi="Times New Roman" w:eastAsia="宋体" w:cs="Times New Roman"/>
                      <w:b w:val="0"/>
                      <w:bCs w:val="0"/>
                      <w:color w:val="auto"/>
                      <w:kern w:val="2"/>
                      <w:sz w:val="21"/>
                      <w:szCs w:val="21"/>
                      <w:lang w:val="en-US" w:eastAsia="zh-CN" w:bidi="ar"/>
                    </w:rPr>
                  </w:pPr>
                  <w:r>
                    <w:rPr>
                      <w:rFonts w:hint="default" w:ascii="Times New Roman" w:hAnsi="Times New Roman" w:eastAsia="宋体" w:cs="Times New Roman"/>
                      <w:b w:val="0"/>
                      <w:bCs w:val="0"/>
                      <w:color w:val="auto"/>
                      <w:kern w:val="2"/>
                      <w:sz w:val="21"/>
                      <w:szCs w:val="21"/>
                      <w:lang w:val="en-US" w:eastAsia="zh-CN" w:bidi="ar"/>
                    </w:rPr>
                    <w:t>包装</w:t>
                  </w:r>
                </w:p>
              </w:tc>
              <w:tc>
                <w:tcPr>
                  <w:tcW w:w="426" w:type="pct"/>
                  <w:tcBorders>
                    <w:tl2br w:val="nil"/>
                    <w:tr2bl w:val="nil"/>
                  </w:tcBorders>
                  <w:shd w:val="clear" w:color="auto" w:fill="auto"/>
                  <w:vAlign w:val="center"/>
                </w:tcPr>
                <w:p w14:paraId="7A03DD79">
                  <w:pPr>
                    <w:pStyle w:val="2"/>
                    <w:spacing w:before="0" w:after="0" w:line="240" w:lineRule="auto"/>
                    <w:jc w:val="center"/>
                    <w:rPr>
                      <w:rFonts w:hint="default" w:ascii="Times New Roman" w:hAnsi="Times New Roman" w:eastAsia="宋体" w:cs="Times New Roman"/>
                      <w:b w:val="0"/>
                      <w:bCs w:val="0"/>
                      <w:color w:val="auto"/>
                      <w:kern w:val="2"/>
                      <w:sz w:val="21"/>
                      <w:szCs w:val="21"/>
                      <w:lang w:val="en-US" w:eastAsia="zh-CN" w:bidi="ar"/>
                    </w:rPr>
                  </w:pPr>
                  <w:r>
                    <w:rPr>
                      <w:rFonts w:hint="default" w:ascii="Times New Roman" w:hAnsi="Times New Roman" w:eastAsia="宋体" w:cs="Times New Roman"/>
                      <w:b w:val="0"/>
                      <w:bCs w:val="0"/>
                      <w:snapToGrid w:val="0"/>
                      <w:color w:val="auto"/>
                      <w:spacing w:val="6"/>
                      <w:sz w:val="21"/>
                      <w:szCs w:val="21"/>
                    </w:rPr>
                    <w:t>固态</w:t>
                  </w:r>
                </w:p>
              </w:tc>
              <w:tc>
                <w:tcPr>
                  <w:tcW w:w="720" w:type="pct"/>
                  <w:tcBorders>
                    <w:tl2br w:val="nil"/>
                    <w:tr2bl w:val="nil"/>
                  </w:tcBorders>
                  <w:shd w:val="clear" w:color="auto" w:fill="auto"/>
                  <w:vAlign w:val="center"/>
                </w:tcPr>
                <w:p w14:paraId="2FB29CF2">
                  <w:pPr>
                    <w:widowControl/>
                    <w:jc w:val="center"/>
                    <w:rPr>
                      <w:rFonts w:hint="default" w:ascii="Times New Roman" w:hAnsi="Times New Roman" w:eastAsia="宋体" w:cs="Times New Roman"/>
                      <w:color w:val="auto"/>
                      <w:spacing w:val="6"/>
                      <w:kern w:val="2"/>
                      <w:sz w:val="21"/>
                      <w:szCs w:val="21"/>
                      <w:lang w:val="en-US" w:eastAsia="zh-CN" w:bidi="ar"/>
                    </w:rPr>
                  </w:pPr>
                  <w:r>
                    <w:rPr>
                      <w:rFonts w:hint="default" w:ascii="Times New Roman" w:hAnsi="Times New Roman" w:eastAsia="宋体" w:cs="Times New Roman"/>
                      <w:bCs/>
                      <w:snapToGrid w:val="0"/>
                      <w:color w:val="auto"/>
                      <w:spacing w:val="6"/>
                      <w:kern w:val="2"/>
                      <w:sz w:val="21"/>
                      <w:szCs w:val="21"/>
                      <w:lang w:val="en-US" w:eastAsia="zh-CN" w:bidi="ar"/>
                    </w:rPr>
                    <w:t>刷子</w:t>
                  </w:r>
                  <w:r>
                    <w:rPr>
                      <w:rFonts w:hint="eastAsia" w:ascii="Times New Roman" w:hAnsi="Times New Roman" w:eastAsia="宋体" w:cs="Times New Roman"/>
                      <w:bCs/>
                      <w:snapToGrid w:val="0"/>
                      <w:color w:val="auto"/>
                      <w:spacing w:val="6"/>
                      <w:kern w:val="2"/>
                      <w:sz w:val="21"/>
                      <w:szCs w:val="21"/>
                      <w:lang w:val="en-US" w:eastAsia="zh-CN" w:bidi="ar"/>
                    </w:rPr>
                    <w:t>、有机物</w:t>
                  </w:r>
                </w:p>
              </w:tc>
              <w:tc>
                <w:tcPr>
                  <w:tcW w:w="466" w:type="pct"/>
                  <w:tcBorders>
                    <w:tl2br w:val="nil"/>
                    <w:tr2bl w:val="nil"/>
                  </w:tcBorders>
                  <w:shd w:val="clear" w:color="auto" w:fill="auto"/>
                  <w:vAlign w:val="center"/>
                </w:tcPr>
                <w:p w14:paraId="7B43C74D">
                  <w:pPr>
                    <w:widowControl/>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0.3</w:t>
                  </w:r>
                </w:p>
              </w:tc>
              <w:tc>
                <w:tcPr>
                  <w:tcW w:w="312" w:type="pct"/>
                  <w:tcBorders>
                    <w:tl2br w:val="nil"/>
                    <w:tr2bl w:val="nil"/>
                  </w:tcBorders>
                  <w:shd w:val="clear" w:color="auto" w:fill="auto"/>
                  <w:vAlign w:val="center"/>
                </w:tcPr>
                <w:p w14:paraId="70BC162F">
                  <w:pPr>
                    <w:widowControl/>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bCs/>
                      <w:snapToGrid w:val="0"/>
                      <w:color w:val="auto"/>
                      <w:spacing w:val="6"/>
                      <w:sz w:val="21"/>
                      <w:szCs w:val="21"/>
                    </w:rPr>
                    <w:t>√</w:t>
                  </w:r>
                </w:p>
              </w:tc>
              <w:tc>
                <w:tcPr>
                  <w:tcW w:w="337" w:type="pct"/>
                  <w:tcBorders>
                    <w:tl2br w:val="nil"/>
                    <w:tr2bl w:val="nil"/>
                  </w:tcBorders>
                  <w:shd w:val="clear" w:color="auto" w:fill="auto"/>
                  <w:vAlign w:val="center"/>
                </w:tcPr>
                <w:p w14:paraId="4EB80D74">
                  <w:pPr>
                    <w:pStyle w:val="22"/>
                    <w:widowControl w:val="0"/>
                    <w:adjustRightInd w:val="0"/>
                    <w:snapToGrid w:val="0"/>
                    <w:spacing w:before="24" w:beforeLines="10" w:beforeAutospacing="0" w:after="24" w:afterLines="10" w:afterAutospacing="0" w:line="256" w:lineRule="auto"/>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w:t>
                  </w:r>
                </w:p>
              </w:tc>
              <w:tc>
                <w:tcPr>
                  <w:tcW w:w="479" w:type="pct"/>
                  <w:tcBorders>
                    <w:tl2br w:val="nil"/>
                    <w:tr2bl w:val="nil"/>
                  </w:tcBorders>
                  <w:shd w:val="clear" w:color="auto" w:fill="auto"/>
                  <w:vAlign w:val="center"/>
                </w:tcPr>
                <w:p w14:paraId="481CCA03">
                  <w:pPr>
                    <w:widowControl/>
                    <w:jc w:val="center"/>
                    <w:rPr>
                      <w:rFonts w:hint="default" w:ascii="Times New Roman" w:hAnsi="Times New Roman" w:eastAsia="宋体" w:cs="Times New Roman"/>
                      <w:bCs/>
                      <w:snapToGrid w:val="0"/>
                      <w:color w:val="auto"/>
                      <w:spacing w:val="6"/>
                      <w:kern w:val="2"/>
                      <w:sz w:val="21"/>
                      <w:szCs w:val="21"/>
                      <w:lang w:val="en-US" w:eastAsia="zh-CN" w:bidi="ar-SA"/>
                    </w:rPr>
                  </w:pPr>
                  <w:r>
                    <w:rPr>
                      <w:rFonts w:hint="default" w:ascii="Times New Roman" w:hAnsi="Times New Roman" w:eastAsia="宋体" w:cs="Times New Roman"/>
                      <w:bCs/>
                      <w:snapToGrid w:val="0"/>
                      <w:color w:val="auto"/>
                      <w:spacing w:val="6"/>
                      <w:kern w:val="2"/>
                      <w:sz w:val="21"/>
                      <w:szCs w:val="21"/>
                      <w:lang w:val="en-US" w:eastAsia="zh-CN" w:bidi="ar-SA"/>
                    </w:rPr>
                    <w:t>4.1d</w:t>
                  </w:r>
                  <w:r>
                    <w:rPr>
                      <w:rFonts w:ascii="Times New Roman" w:hAnsi="Times New Roman" w:eastAsia="宋体" w:cs="Times New Roman"/>
                      <w:color w:val="auto"/>
                      <w:kern w:val="0"/>
                      <w:sz w:val="21"/>
                      <w:szCs w:val="21"/>
                      <w:lang w:bidi="ar"/>
                    </w:rPr>
                    <w:t>)</w:t>
                  </w:r>
                </w:p>
              </w:tc>
              <w:tc>
                <w:tcPr>
                  <w:tcW w:w="542" w:type="pct"/>
                  <w:tcBorders>
                    <w:tl2br w:val="nil"/>
                    <w:tr2bl w:val="nil"/>
                  </w:tcBorders>
                  <w:shd w:val="clear" w:color="auto" w:fill="auto"/>
                  <w:vAlign w:val="center"/>
                </w:tcPr>
                <w:p w14:paraId="4853125D">
                  <w:pPr>
                    <w:widowControl/>
                    <w:jc w:val="center"/>
                    <w:rPr>
                      <w:rFonts w:hint="default" w:ascii="Times New Roman" w:hAnsi="Times New Roman" w:eastAsia="宋体" w:cs="Times New Roman"/>
                      <w:bCs/>
                      <w:snapToGrid w:val="0"/>
                      <w:color w:val="auto"/>
                      <w:spacing w:val="6"/>
                      <w:kern w:val="2"/>
                      <w:sz w:val="21"/>
                      <w:szCs w:val="21"/>
                      <w:lang w:val="en-US" w:eastAsia="zh-CN" w:bidi="ar-SA"/>
                    </w:rPr>
                  </w:pPr>
                  <w:r>
                    <w:rPr>
                      <w:rFonts w:hint="default" w:ascii="Times New Roman" w:hAnsi="Times New Roman" w:eastAsia="宋体" w:cs="Times New Roman"/>
                      <w:bCs/>
                      <w:snapToGrid w:val="0"/>
                      <w:color w:val="auto"/>
                      <w:spacing w:val="6"/>
                      <w:kern w:val="2"/>
                      <w:sz w:val="21"/>
                      <w:szCs w:val="21"/>
                      <w:lang w:val="en-US" w:eastAsia="zh-CN" w:bidi="ar-SA"/>
                    </w:rPr>
                    <w:t>7.1b)/7.1c)</w:t>
                  </w:r>
                </w:p>
              </w:tc>
            </w:tr>
            <w:tr w14:paraId="55A85221">
              <w:tblPrEx>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CellMar>
                  <w:top w:w="0" w:type="dxa"/>
                  <w:left w:w="57" w:type="dxa"/>
                  <w:bottom w:w="0" w:type="dxa"/>
                  <w:right w:w="57" w:type="dxa"/>
                </w:tblCellMar>
              </w:tblPrEx>
              <w:trPr>
                <w:trHeight w:val="23" w:hRule="atLeast"/>
                <w:jc w:val="center"/>
              </w:trPr>
              <w:tc>
                <w:tcPr>
                  <w:tcW w:w="169" w:type="pct"/>
                  <w:tcBorders>
                    <w:tl2br w:val="nil"/>
                    <w:tr2bl w:val="nil"/>
                  </w:tcBorders>
                  <w:vAlign w:val="center"/>
                </w:tcPr>
                <w:p w14:paraId="066DAFB2">
                  <w:pPr>
                    <w:widowControl/>
                    <w:numPr>
                      <w:ilvl w:val="0"/>
                      <w:numId w:val="13"/>
                    </w:numPr>
                    <w:ind w:left="0" w:leftChars="0" w:firstLine="0" w:firstLineChars="0"/>
                    <w:jc w:val="center"/>
                    <w:rPr>
                      <w:rFonts w:hint="default" w:ascii="Times New Roman" w:hAnsi="Times New Roman" w:eastAsia="宋体" w:cs="Times New Roman"/>
                      <w:bCs/>
                      <w:snapToGrid w:val="0"/>
                      <w:color w:val="auto"/>
                      <w:spacing w:val="6"/>
                      <w:sz w:val="21"/>
                      <w:szCs w:val="21"/>
                    </w:rPr>
                  </w:pPr>
                </w:p>
              </w:tc>
              <w:tc>
                <w:tcPr>
                  <w:tcW w:w="765" w:type="pct"/>
                  <w:tcBorders>
                    <w:tl2br w:val="nil"/>
                    <w:tr2bl w:val="nil"/>
                  </w:tcBorders>
                  <w:shd w:val="clear" w:color="auto" w:fill="auto"/>
                  <w:vAlign w:val="center"/>
                </w:tcPr>
                <w:p w14:paraId="19644A00">
                  <w:pPr>
                    <w:widowControl/>
                    <w:jc w:val="center"/>
                    <w:rPr>
                      <w:rFonts w:hint="default" w:ascii="Times New Roman" w:hAnsi="Times New Roman" w:eastAsia="宋体" w:cs="Times New Roman"/>
                      <w:bCs/>
                      <w:snapToGrid w:val="0"/>
                      <w:color w:val="auto"/>
                      <w:spacing w:val="6"/>
                      <w:sz w:val="21"/>
                      <w:szCs w:val="21"/>
                    </w:rPr>
                  </w:pPr>
                  <w:r>
                    <w:rPr>
                      <w:rFonts w:hint="default" w:ascii="Times New Roman" w:hAnsi="Times New Roman" w:eastAsia="宋体" w:cs="Times New Roman"/>
                      <w:bCs/>
                      <w:snapToGrid w:val="0"/>
                      <w:color w:val="auto"/>
                      <w:spacing w:val="6"/>
                      <w:sz w:val="21"/>
                      <w:szCs w:val="21"/>
                    </w:rPr>
                    <w:t>废抹布及手套</w:t>
                  </w:r>
                </w:p>
              </w:tc>
              <w:tc>
                <w:tcPr>
                  <w:tcW w:w="779" w:type="pct"/>
                  <w:tcBorders>
                    <w:tl2br w:val="nil"/>
                    <w:tr2bl w:val="nil"/>
                  </w:tcBorders>
                  <w:shd w:val="clear" w:color="auto" w:fill="auto"/>
                  <w:vAlign w:val="center"/>
                </w:tcPr>
                <w:p w14:paraId="0D58E569">
                  <w:pPr>
                    <w:widowControl/>
                    <w:jc w:val="center"/>
                    <w:rPr>
                      <w:rFonts w:hint="eastAsia" w:ascii="Times New Roman" w:hAnsi="Times New Roman" w:eastAsia="宋体" w:cs="Times New Roman"/>
                      <w:bCs/>
                      <w:snapToGrid w:val="0"/>
                      <w:color w:val="auto"/>
                      <w:spacing w:val="6"/>
                      <w:kern w:val="2"/>
                      <w:sz w:val="21"/>
                      <w:szCs w:val="21"/>
                      <w:lang w:val="en-US" w:eastAsia="zh-CN" w:bidi="ar-SA"/>
                    </w:rPr>
                  </w:pPr>
                  <w:r>
                    <w:rPr>
                      <w:rFonts w:hint="default" w:ascii="Times New Roman" w:hAnsi="Times New Roman" w:eastAsia="宋体" w:cs="Times New Roman"/>
                      <w:bCs/>
                      <w:snapToGrid w:val="0"/>
                      <w:color w:val="auto"/>
                      <w:spacing w:val="6"/>
                      <w:sz w:val="21"/>
                      <w:szCs w:val="21"/>
                    </w:rPr>
                    <w:t>员工操作</w:t>
                  </w:r>
                </w:p>
              </w:tc>
              <w:tc>
                <w:tcPr>
                  <w:tcW w:w="426" w:type="pct"/>
                  <w:tcBorders>
                    <w:tl2br w:val="nil"/>
                    <w:tr2bl w:val="nil"/>
                  </w:tcBorders>
                  <w:shd w:val="clear" w:color="auto" w:fill="auto"/>
                  <w:vAlign w:val="center"/>
                </w:tcPr>
                <w:p w14:paraId="31A87EAA">
                  <w:pPr>
                    <w:widowControl/>
                    <w:jc w:val="center"/>
                    <w:rPr>
                      <w:rFonts w:hint="default" w:ascii="Times New Roman" w:hAnsi="Times New Roman" w:eastAsia="宋体" w:cs="Times New Roman"/>
                      <w:bCs/>
                      <w:snapToGrid w:val="0"/>
                      <w:color w:val="auto"/>
                      <w:spacing w:val="6"/>
                      <w:kern w:val="2"/>
                      <w:sz w:val="21"/>
                      <w:szCs w:val="21"/>
                      <w:lang w:val="en-US" w:eastAsia="zh-CN" w:bidi="ar-SA"/>
                    </w:rPr>
                  </w:pPr>
                  <w:r>
                    <w:rPr>
                      <w:rFonts w:hint="default" w:ascii="Times New Roman" w:hAnsi="Times New Roman" w:eastAsia="宋体" w:cs="Times New Roman"/>
                      <w:bCs/>
                      <w:snapToGrid w:val="0"/>
                      <w:color w:val="auto"/>
                      <w:spacing w:val="6"/>
                      <w:sz w:val="21"/>
                      <w:szCs w:val="21"/>
                    </w:rPr>
                    <w:t>固态</w:t>
                  </w:r>
                </w:p>
              </w:tc>
              <w:tc>
                <w:tcPr>
                  <w:tcW w:w="720" w:type="pct"/>
                  <w:tcBorders>
                    <w:tl2br w:val="nil"/>
                    <w:tr2bl w:val="nil"/>
                  </w:tcBorders>
                  <w:shd w:val="clear" w:color="auto" w:fill="auto"/>
                  <w:vAlign w:val="center"/>
                </w:tcPr>
                <w:p w14:paraId="4957B5C5">
                  <w:pPr>
                    <w:widowControl/>
                    <w:jc w:val="center"/>
                    <w:rPr>
                      <w:rFonts w:hint="default" w:ascii="Times New Roman" w:hAnsi="Times New Roman" w:eastAsia="宋体" w:cs="Times New Roman"/>
                      <w:bCs/>
                      <w:snapToGrid w:val="0"/>
                      <w:color w:val="auto"/>
                      <w:spacing w:val="6"/>
                      <w:kern w:val="2"/>
                      <w:sz w:val="21"/>
                      <w:szCs w:val="21"/>
                      <w:lang w:val="en-US" w:eastAsia="zh-CN" w:bidi="ar-SA"/>
                    </w:rPr>
                  </w:pPr>
                  <w:r>
                    <w:rPr>
                      <w:rFonts w:hint="default" w:ascii="Times New Roman" w:hAnsi="Times New Roman" w:eastAsia="宋体" w:cs="Times New Roman"/>
                      <w:bCs/>
                      <w:snapToGrid w:val="0"/>
                      <w:color w:val="auto"/>
                      <w:spacing w:val="6"/>
                      <w:sz w:val="21"/>
                      <w:szCs w:val="21"/>
                    </w:rPr>
                    <w:t>抹布手套、有机物</w:t>
                  </w:r>
                </w:p>
              </w:tc>
              <w:tc>
                <w:tcPr>
                  <w:tcW w:w="466" w:type="pct"/>
                  <w:tcBorders>
                    <w:tl2br w:val="nil"/>
                    <w:tr2bl w:val="nil"/>
                  </w:tcBorders>
                  <w:shd w:val="clear" w:color="auto" w:fill="auto"/>
                  <w:vAlign w:val="center"/>
                </w:tcPr>
                <w:p w14:paraId="51070F46">
                  <w:pPr>
                    <w:widowControl/>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0.05</w:t>
                  </w:r>
                </w:p>
              </w:tc>
              <w:tc>
                <w:tcPr>
                  <w:tcW w:w="312" w:type="pct"/>
                  <w:tcBorders>
                    <w:tl2br w:val="nil"/>
                    <w:tr2bl w:val="nil"/>
                  </w:tcBorders>
                  <w:shd w:val="clear" w:color="auto" w:fill="auto"/>
                  <w:vAlign w:val="center"/>
                </w:tcPr>
                <w:p w14:paraId="3EA49860">
                  <w:pPr>
                    <w:widowControl/>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bCs/>
                      <w:snapToGrid w:val="0"/>
                      <w:color w:val="auto"/>
                      <w:spacing w:val="6"/>
                      <w:sz w:val="21"/>
                      <w:szCs w:val="21"/>
                    </w:rPr>
                    <w:t>√</w:t>
                  </w:r>
                </w:p>
              </w:tc>
              <w:tc>
                <w:tcPr>
                  <w:tcW w:w="337" w:type="pct"/>
                  <w:tcBorders>
                    <w:tl2br w:val="nil"/>
                    <w:tr2bl w:val="nil"/>
                  </w:tcBorders>
                  <w:shd w:val="clear" w:color="auto" w:fill="auto"/>
                  <w:vAlign w:val="center"/>
                </w:tcPr>
                <w:p w14:paraId="70CC6BD6">
                  <w:pPr>
                    <w:pStyle w:val="22"/>
                    <w:widowControl w:val="0"/>
                    <w:adjustRightInd w:val="0"/>
                    <w:snapToGrid w:val="0"/>
                    <w:spacing w:before="24" w:beforeLines="10" w:beforeAutospacing="0" w:after="24" w:afterLines="10" w:afterAutospacing="0" w:line="256" w:lineRule="auto"/>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w:t>
                  </w:r>
                </w:p>
              </w:tc>
              <w:tc>
                <w:tcPr>
                  <w:tcW w:w="479" w:type="pct"/>
                  <w:tcBorders>
                    <w:tl2br w:val="nil"/>
                    <w:tr2bl w:val="nil"/>
                  </w:tcBorders>
                  <w:shd w:val="clear" w:color="auto" w:fill="auto"/>
                  <w:vAlign w:val="center"/>
                </w:tcPr>
                <w:p w14:paraId="454A6079">
                  <w:pPr>
                    <w:widowControl/>
                    <w:jc w:val="center"/>
                    <w:rPr>
                      <w:rFonts w:hint="default" w:ascii="Times New Roman" w:hAnsi="Times New Roman" w:eastAsia="宋体" w:cs="Times New Roman"/>
                      <w:bCs/>
                      <w:snapToGrid w:val="0"/>
                      <w:color w:val="auto"/>
                      <w:spacing w:val="6"/>
                      <w:kern w:val="2"/>
                      <w:sz w:val="21"/>
                      <w:szCs w:val="21"/>
                      <w:lang w:val="en-US" w:eastAsia="zh-CN" w:bidi="ar-SA"/>
                    </w:rPr>
                  </w:pPr>
                  <w:r>
                    <w:rPr>
                      <w:rFonts w:hint="default" w:ascii="Times New Roman" w:hAnsi="Times New Roman" w:eastAsia="宋体" w:cs="Times New Roman"/>
                      <w:bCs/>
                      <w:snapToGrid w:val="0"/>
                      <w:color w:val="auto"/>
                      <w:spacing w:val="6"/>
                      <w:kern w:val="2"/>
                      <w:sz w:val="21"/>
                      <w:szCs w:val="21"/>
                      <w:lang w:val="en-US" w:eastAsia="zh-CN" w:bidi="ar-SA"/>
                    </w:rPr>
                    <w:t>4.1d)</w:t>
                  </w:r>
                </w:p>
              </w:tc>
              <w:tc>
                <w:tcPr>
                  <w:tcW w:w="542" w:type="pct"/>
                  <w:tcBorders>
                    <w:tl2br w:val="nil"/>
                    <w:tr2bl w:val="nil"/>
                  </w:tcBorders>
                  <w:shd w:val="clear" w:color="auto" w:fill="auto"/>
                  <w:vAlign w:val="center"/>
                </w:tcPr>
                <w:p w14:paraId="20F3E8F3">
                  <w:pPr>
                    <w:widowControl/>
                    <w:jc w:val="center"/>
                    <w:rPr>
                      <w:rFonts w:hint="default" w:ascii="Times New Roman" w:hAnsi="Times New Roman" w:eastAsia="宋体" w:cs="Times New Roman"/>
                      <w:bCs/>
                      <w:snapToGrid w:val="0"/>
                      <w:color w:val="auto"/>
                      <w:spacing w:val="6"/>
                      <w:kern w:val="2"/>
                      <w:sz w:val="21"/>
                      <w:szCs w:val="21"/>
                      <w:lang w:val="en-US" w:eastAsia="zh-CN" w:bidi="ar-SA"/>
                    </w:rPr>
                  </w:pPr>
                  <w:r>
                    <w:rPr>
                      <w:rFonts w:hint="default" w:ascii="Times New Roman" w:hAnsi="Times New Roman" w:eastAsia="宋体" w:cs="Times New Roman"/>
                      <w:bCs/>
                      <w:snapToGrid w:val="0"/>
                      <w:color w:val="auto"/>
                      <w:spacing w:val="6"/>
                      <w:kern w:val="2"/>
                      <w:sz w:val="21"/>
                      <w:szCs w:val="21"/>
                      <w:lang w:val="en-US" w:eastAsia="zh-CN" w:bidi="ar-SA"/>
                    </w:rPr>
                    <w:t>7.1b)/7.1c)</w:t>
                  </w:r>
                </w:p>
              </w:tc>
            </w:tr>
            <w:tr w14:paraId="48B554D8">
              <w:tblPrEx>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CellMar>
                  <w:top w:w="0" w:type="dxa"/>
                  <w:left w:w="57" w:type="dxa"/>
                  <w:bottom w:w="0" w:type="dxa"/>
                  <w:right w:w="57" w:type="dxa"/>
                </w:tblCellMar>
              </w:tblPrEx>
              <w:trPr>
                <w:trHeight w:val="23" w:hRule="atLeast"/>
                <w:jc w:val="center"/>
              </w:trPr>
              <w:tc>
                <w:tcPr>
                  <w:tcW w:w="169" w:type="pct"/>
                  <w:tcBorders>
                    <w:tl2br w:val="nil"/>
                    <w:tr2bl w:val="nil"/>
                  </w:tcBorders>
                  <w:vAlign w:val="center"/>
                </w:tcPr>
                <w:p w14:paraId="17EF371E">
                  <w:pPr>
                    <w:widowControl/>
                    <w:numPr>
                      <w:ilvl w:val="0"/>
                      <w:numId w:val="13"/>
                    </w:numPr>
                    <w:ind w:left="0" w:leftChars="0" w:firstLine="0" w:firstLineChars="0"/>
                    <w:jc w:val="center"/>
                    <w:rPr>
                      <w:rFonts w:hint="default" w:ascii="Times New Roman" w:hAnsi="Times New Roman" w:eastAsia="宋体" w:cs="Times New Roman"/>
                      <w:bCs/>
                      <w:snapToGrid w:val="0"/>
                      <w:color w:val="auto"/>
                      <w:spacing w:val="6"/>
                      <w:sz w:val="21"/>
                      <w:szCs w:val="21"/>
                    </w:rPr>
                  </w:pPr>
                </w:p>
              </w:tc>
              <w:tc>
                <w:tcPr>
                  <w:tcW w:w="765" w:type="pct"/>
                  <w:tcBorders>
                    <w:tl2br w:val="nil"/>
                    <w:tr2bl w:val="nil"/>
                  </w:tcBorders>
                  <w:shd w:val="clear" w:color="auto" w:fill="auto"/>
                  <w:vAlign w:val="center"/>
                </w:tcPr>
                <w:p w14:paraId="1EE9F80D">
                  <w:pPr>
                    <w:widowControl/>
                    <w:jc w:val="center"/>
                    <w:rPr>
                      <w:rFonts w:hint="default" w:ascii="Times New Roman" w:hAnsi="Times New Roman" w:eastAsia="宋体" w:cs="Times New Roman"/>
                      <w:bCs/>
                      <w:snapToGrid w:val="0"/>
                      <w:color w:val="auto"/>
                      <w:spacing w:val="6"/>
                      <w:kern w:val="2"/>
                      <w:sz w:val="21"/>
                      <w:szCs w:val="21"/>
                      <w:lang w:val="en-US" w:eastAsia="zh-CN" w:bidi="ar"/>
                    </w:rPr>
                  </w:pPr>
                  <w:r>
                    <w:rPr>
                      <w:rFonts w:hint="default" w:ascii="Times New Roman" w:hAnsi="Times New Roman" w:eastAsia="宋体" w:cs="Times New Roman"/>
                      <w:bCs/>
                      <w:snapToGrid w:val="0"/>
                      <w:color w:val="auto"/>
                      <w:spacing w:val="6"/>
                      <w:kern w:val="2"/>
                      <w:sz w:val="21"/>
                      <w:szCs w:val="21"/>
                      <w:lang w:val="en-US" w:eastAsia="zh-CN" w:bidi="ar"/>
                    </w:rPr>
                    <w:t>废包装桶</w:t>
                  </w:r>
                </w:p>
              </w:tc>
              <w:tc>
                <w:tcPr>
                  <w:tcW w:w="779" w:type="pct"/>
                  <w:tcBorders>
                    <w:tl2br w:val="nil"/>
                    <w:tr2bl w:val="nil"/>
                  </w:tcBorders>
                  <w:shd w:val="clear" w:color="auto" w:fill="auto"/>
                  <w:vAlign w:val="center"/>
                </w:tcPr>
                <w:p w14:paraId="2776E9B7">
                  <w:pPr>
                    <w:pStyle w:val="22"/>
                    <w:widowControl w:val="0"/>
                    <w:snapToGrid w:val="0"/>
                    <w:spacing w:before="0" w:beforeAutospacing="0" w:after="0" w:afterAutospacing="0"/>
                    <w:jc w:val="center"/>
                    <w:rPr>
                      <w:rFonts w:hint="default" w:ascii="Times New Roman" w:hAnsi="Times New Roman" w:eastAsia="宋体" w:cs="Times New Roman"/>
                      <w:bCs/>
                      <w:color w:val="auto"/>
                      <w:kern w:val="0"/>
                      <w:sz w:val="21"/>
                      <w:szCs w:val="21"/>
                      <w:lang w:val="en-US" w:eastAsia="zh-CN" w:bidi="ar-SA"/>
                    </w:rPr>
                  </w:pPr>
                  <w:r>
                    <w:rPr>
                      <w:rFonts w:hint="default" w:ascii="Times New Roman" w:hAnsi="Times New Roman" w:eastAsia="宋体" w:cs="Times New Roman"/>
                      <w:bCs/>
                      <w:color w:val="auto"/>
                      <w:sz w:val="21"/>
                      <w:szCs w:val="21"/>
                    </w:rPr>
                    <w:t>原料使用</w:t>
                  </w:r>
                </w:p>
              </w:tc>
              <w:tc>
                <w:tcPr>
                  <w:tcW w:w="426" w:type="pct"/>
                  <w:tcBorders>
                    <w:tl2br w:val="nil"/>
                    <w:tr2bl w:val="nil"/>
                  </w:tcBorders>
                  <w:shd w:val="clear" w:color="auto" w:fill="auto"/>
                  <w:vAlign w:val="center"/>
                </w:tcPr>
                <w:p w14:paraId="79ACF187">
                  <w:pPr>
                    <w:pStyle w:val="22"/>
                    <w:widowControl w:val="0"/>
                    <w:snapToGrid w:val="0"/>
                    <w:spacing w:before="0" w:beforeAutospacing="0" w:after="0" w:afterAutospacing="0"/>
                    <w:jc w:val="center"/>
                    <w:rPr>
                      <w:rFonts w:hint="default" w:ascii="Times New Roman" w:hAnsi="Times New Roman" w:eastAsia="宋体" w:cs="Times New Roman"/>
                      <w:bCs/>
                      <w:color w:val="auto"/>
                      <w:kern w:val="0"/>
                      <w:sz w:val="21"/>
                      <w:szCs w:val="21"/>
                      <w:lang w:val="en-US" w:eastAsia="zh-CN" w:bidi="ar-SA"/>
                    </w:rPr>
                  </w:pPr>
                  <w:r>
                    <w:rPr>
                      <w:rFonts w:hint="default" w:ascii="Times New Roman" w:hAnsi="Times New Roman" w:eastAsia="宋体" w:cs="Times New Roman"/>
                      <w:bCs/>
                      <w:color w:val="auto"/>
                      <w:sz w:val="21"/>
                      <w:szCs w:val="21"/>
                    </w:rPr>
                    <w:t>固态</w:t>
                  </w:r>
                </w:p>
              </w:tc>
              <w:tc>
                <w:tcPr>
                  <w:tcW w:w="720" w:type="pct"/>
                  <w:tcBorders>
                    <w:tl2br w:val="nil"/>
                    <w:tr2bl w:val="nil"/>
                  </w:tcBorders>
                  <w:shd w:val="clear" w:color="auto" w:fill="auto"/>
                  <w:vAlign w:val="center"/>
                </w:tcPr>
                <w:p w14:paraId="049A1A34">
                  <w:pPr>
                    <w:widowControl/>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bCs/>
                      <w:snapToGrid w:val="0"/>
                      <w:color w:val="auto"/>
                      <w:spacing w:val="6"/>
                      <w:sz w:val="21"/>
                      <w:szCs w:val="21"/>
                    </w:rPr>
                    <w:t>包装桶、有机物</w:t>
                  </w:r>
                </w:p>
              </w:tc>
              <w:tc>
                <w:tcPr>
                  <w:tcW w:w="466" w:type="pct"/>
                  <w:tcBorders>
                    <w:tl2br w:val="nil"/>
                    <w:tr2bl w:val="nil"/>
                  </w:tcBorders>
                  <w:shd w:val="clear" w:color="auto" w:fill="auto"/>
                  <w:vAlign w:val="center"/>
                </w:tcPr>
                <w:p w14:paraId="020356B2">
                  <w:pPr>
                    <w:widowControl/>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0.195</w:t>
                  </w:r>
                </w:p>
              </w:tc>
              <w:tc>
                <w:tcPr>
                  <w:tcW w:w="312" w:type="pct"/>
                  <w:tcBorders>
                    <w:tl2br w:val="nil"/>
                    <w:tr2bl w:val="nil"/>
                  </w:tcBorders>
                  <w:shd w:val="clear" w:color="auto" w:fill="auto"/>
                  <w:vAlign w:val="center"/>
                </w:tcPr>
                <w:p w14:paraId="7FDE6B0F">
                  <w:pPr>
                    <w:widowControl/>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bCs/>
                      <w:snapToGrid w:val="0"/>
                      <w:color w:val="auto"/>
                      <w:spacing w:val="6"/>
                      <w:sz w:val="21"/>
                      <w:szCs w:val="21"/>
                    </w:rPr>
                    <w:t>√</w:t>
                  </w:r>
                </w:p>
              </w:tc>
              <w:tc>
                <w:tcPr>
                  <w:tcW w:w="337" w:type="pct"/>
                  <w:tcBorders>
                    <w:tl2br w:val="nil"/>
                    <w:tr2bl w:val="nil"/>
                  </w:tcBorders>
                  <w:shd w:val="clear" w:color="auto" w:fill="auto"/>
                  <w:vAlign w:val="center"/>
                </w:tcPr>
                <w:p w14:paraId="4F6573DE">
                  <w:pPr>
                    <w:pStyle w:val="22"/>
                    <w:widowControl w:val="0"/>
                    <w:adjustRightInd w:val="0"/>
                    <w:snapToGrid w:val="0"/>
                    <w:spacing w:before="24" w:beforeLines="10" w:beforeAutospacing="0" w:after="24" w:afterLines="10" w:afterAutospacing="0" w:line="256" w:lineRule="auto"/>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w:t>
                  </w:r>
                </w:p>
              </w:tc>
              <w:tc>
                <w:tcPr>
                  <w:tcW w:w="479" w:type="pct"/>
                  <w:tcBorders>
                    <w:tl2br w:val="nil"/>
                    <w:tr2bl w:val="nil"/>
                  </w:tcBorders>
                  <w:shd w:val="clear" w:color="auto" w:fill="auto"/>
                  <w:vAlign w:val="center"/>
                </w:tcPr>
                <w:p w14:paraId="43AD0FC2">
                  <w:pPr>
                    <w:widowControl/>
                    <w:jc w:val="center"/>
                    <w:rPr>
                      <w:rFonts w:hint="default" w:ascii="Times New Roman" w:hAnsi="Times New Roman" w:eastAsia="宋体" w:cs="Times New Roman"/>
                      <w:bCs/>
                      <w:snapToGrid w:val="0"/>
                      <w:color w:val="auto"/>
                      <w:spacing w:val="6"/>
                      <w:kern w:val="2"/>
                      <w:sz w:val="21"/>
                      <w:szCs w:val="21"/>
                      <w:lang w:val="en-US" w:eastAsia="zh-CN" w:bidi="ar-SA"/>
                    </w:rPr>
                  </w:pPr>
                  <w:r>
                    <w:rPr>
                      <w:rFonts w:hint="default" w:ascii="Times New Roman" w:hAnsi="Times New Roman" w:eastAsia="宋体" w:cs="Times New Roman"/>
                      <w:bCs/>
                      <w:snapToGrid w:val="0"/>
                      <w:color w:val="auto"/>
                      <w:spacing w:val="6"/>
                      <w:kern w:val="2"/>
                      <w:sz w:val="21"/>
                      <w:szCs w:val="21"/>
                      <w:lang w:val="en-US" w:eastAsia="zh-CN" w:bidi="ar-SA"/>
                    </w:rPr>
                    <w:t>5.2a)</w:t>
                  </w:r>
                </w:p>
              </w:tc>
              <w:tc>
                <w:tcPr>
                  <w:tcW w:w="542" w:type="pct"/>
                  <w:tcBorders>
                    <w:tl2br w:val="nil"/>
                    <w:tr2bl w:val="nil"/>
                  </w:tcBorders>
                  <w:shd w:val="clear" w:color="auto" w:fill="auto"/>
                  <w:vAlign w:val="center"/>
                </w:tcPr>
                <w:p w14:paraId="126D901D">
                  <w:pPr>
                    <w:widowControl/>
                    <w:jc w:val="center"/>
                    <w:rPr>
                      <w:rFonts w:hint="default" w:ascii="Times New Roman" w:hAnsi="Times New Roman" w:eastAsia="宋体" w:cs="Times New Roman"/>
                      <w:bCs/>
                      <w:snapToGrid w:val="0"/>
                      <w:color w:val="auto"/>
                      <w:spacing w:val="6"/>
                      <w:kern w:val="2"/>
                      <w:sz w:val="21"/>
                      <w:szCs w:val="21"/>
                      <w:lang w:val="en-US" w:eastAsia="zh-CN" w:bidi="ar-SA"/>
                    </w:rPr>
                  </w:pPr>
                  <w:r>
                    <w:rPr>
                      <w:rFonts w:hint="default" w:ascii="Times New Roman" w:hAnsi="Times New Roman" w:eastAsia="宋体" w:cs="Times New Roman"/>
                      <w:bCs/>
                      <w:snapToGrid w:val="0"/>
                      <w:color w:val="auto"/>
                      <w:spacing w:val="6"/>
                      <w:kern w:val="2"/>
                      <w:sz w:val="21"/>
                      <w:szCs w:val="21"/>
                      <w:lang w:val="en-US" w:eastAsia="zh-CN" w:bidi="ar-SA"/>
                    </w:rPr>
                    <w:t>7.1b)/7.1c)</w:t>
                  </w:r>
                </w:p>
              </w:tc>
            </w:tr>
            <w:tr w14:paraId="2E70E5C8">
              <w:tblPrEx>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CellMar>
                  <w:top w:w="0" w:type="dxa"/>
                  <w:left w:w="57" w:type="dxa"/>
                  <w:bottom w:w="0" w:type="dxa"/>
                  <w:right w:w="57" w:type="dxa"/>
                </w:tblCellMar>
              </w:tblPrEx>
              <w:trPr>
                <w:trHeight w:val="23" w:hRule="atLeast"/>
                <w:jc w:val="center"/>
              </w:trPr>
              <w:tc>
                <w:tcPr>
                  <w:tcW w:w="169" w:type="pct"/>
                  <w:tcBorders>
                    <w:tl2br w:val="nil"/>
                    <w:tr2bl w:val="nil"/>
                  </w:tcBorders>
                  <w:vAlign w:val="center"/>
                </w:tcPr>
                <w:p w14:paraId="6826C6A2">
                  <w:pPr>
                    <w:widowControl/>
                    <w:numPr>
                      <w:ilvl w:val="0"/>
                      <w:numId w:val="13"/>
                    </w:numPr>
                    <w:ind w:left="0" w:leftChars="0" w:firstLine="0" w:firstLineChars="0"/>
                    <w:jc w:val="center"/>
                    <w:rPr>
                      <w:rFonts w:hint="default" w:ascii="Times New Roman" w:hAnsi="Times New Roman" w:eastAsia="宋体" w:cs="Times New Roman"/>
                      <w:bCs/>
                      <w:snapToGrid w:val="0"/>
                      <w:color w:val="auto"/>
                      <w:spacing w:val="6"/>
                      <w:sz w:val="21"/>
                      <w:szCs w:val="21"/>
                    </w:rPr>
                  </w:pPr>
                </w:p>
              </w:tc>
              <w:tc>
                <w:tcPr>
                  <w:tcW w:w="765" w:type="pct"/>
                  <w:tcBorders>
                    <w:tl2br w:val="nil"/>
                    <w:tr2bl w:val="nil"/>
                  </w:tcBorders>
                  <w:shd w:val="clear" w:color="auto" w:fill="auto"/>
                  <w:vAlign w:val="center"/>
                </w:tcPr>
                <w:p w14:paraId="1CD138B3">
                  <w:pPr>
                    <w:widowControl/>
                    <w:jc w:val="center"/>
                    <w:rPr>
                      <w:rFonts w:hint="default" w:ascii="Times New Roman" w:hAnsi="Times New Roman" w:eastAsia="宋体" w:cs="Times New Roman"/>
                      <w:bCs/>
                      <w:snapToGrid w:val="0"/>
                      <w:color w:val="auto"/>
                      <w:spacing w:val="6"/>
                      <w:kern w:val="2"/>
                      <w:sz w:val="21"/>
                      <w:szCs w:val="21"/>
                      <w:lang w:val="en-US" w:eastAsia="zh-CN" w:bidi="ar"/>
                    </w:rPr>
                  </w:pPr>
                  <w:r>
                    <w:rPr>
                      <w:rFonts w:hint="default" w:ascii="Times New Roman" w:hAnsi="Times New Roman" w:eastAsia="宋体" w:cs="Times New Roman"/>
                      <w:bCs/>
                      <w:snapToGrid w:val="0"/>
                      <w:color w:val="auto"/>
                      <w:spacing w:val="6"/>
                      <w:kern w:val="2"/>
                      <w:sz w:val="21"/>
                      <w:szCs w:val="21"/>
                      <w:lang w:val="en-US" w:eastAsia="zh-CN" w:bidi="ar"/>
                    </w:rPr>
                    <w:t>废油桶</w:t>
                  </w:r>
                </w:p>
              </w:tc>
              <w:tc>
                <w:tcPr>
                  <w:tcW w:w="779" w:type="pct"/>
                  <w:tcBorders>
                    <w:tl2br w:val="nil"/>
                    <w:tr2bl w:val="nil"/>
                  </w:tcBorders>
                  <w:shd w:val="clear" w:color="auto" w:fill="auto"/>
                  <w:vAlign w:val="center"/>
                </w:tcPr>
                <w:p w14:paraId="2B2AEF8E">
                  <w:pPr>
                    <w:widowControl/>
                    <w:jc w:val="center"/>
                    <w:rPr>
                      <w:rFonts w:hint="default" w:ascii="Times New Roman" w:hAnsi="Times New Roman" w:eastAsia="宋体" w:cs="Times New Roman"/>
                      <w:bCs/>
                      <w:snapToGrid w:val="0"/>
                      <w:color w:val="auto"/>
                      <w:spacing w:val="6"/>
                      <w:kern w:val="2"/>
                      <w:sz w:val="21"/>
                      <w:szCs w:val="21"/>
                      <w:lang w:val="en-US" w:eastAsia="zh-CN" w:bidi="ar"/>
                    </w:rPr>
                  </w:pPr>
                  <w:r>
                    <w:rPr>
                      <w:rFonts w:hint="eastAsia" w:cs="Times New Roman"/>
                      <w:bCs/>
                      <w:snapToGrid w:val="0"/>
                      <w:color w:val="auto"/>
                      <w:spacing w:val="6"/>
                      <w:sz w:val="21"/>
                      <w:szCs w:val="21"/>
                      <w:lang w:val="en-US" w:eastAsia="zh-CN"/>
                    </w:rPr>
                    <w:t>原料包装</w:t>
                  </w:r>
                </w:p>
              </w:tc>
              <w:tc>
                <w:tcPr>
                  <w:tcW w:w="426" w:type="pct"/>
                  <w:tcBorders>
                    <w:tl2br w:val="nil"/>
                    <w:tr2bl w:val="nil"/>
                  </w:tcBorders>
                  <w:shd w:val="clear" w:color="auto" w:fill="auto"/>
                  <w:vAlign w:val="center"/>
                </w:tcPr>
                <w:p w14:paraId="74BF3496">
                  <w:pPr>
                    <w:widowControl/>
                    <w:jc w:val="center"/>
                    <w:rPr>
                      <w:rFonts w:hint="default" w:ascii="Times New Roman" w:hAnsi="Times New Roman" w:eastAsia="宋体" w:cs="Times New Roman"/>
                      <w:bCs/>
                      <w:snapToGrid w:val="0"/>
                      <w:color w:val="auto"/>
                      <w:spacing w:val="6"/>
                      <w:kern w:val="2"/>
                      <w:sz w:val="21"/>
                      <w:szCs w:val="21"/>
                      <w:lang w:val="en-US" w:eastAsia="zh-CN" w:bidi="ar-SA"/>
                    </w:rPr>
                  </w:pPr>
                  <w:r>
                    <w:rPr>
                      <w:rFonts w:hint="default" w:ascii="Times New Roman" w:hAnsi="Times New Roman" w:eastAsia="宋体" w:cs="Times New Roman"/>
                      <w:bCs/>
                      <w:snapToGrid w:val="0"/>
                      <w:color w:val="auto"/>
                      <w:spacing w:val="6"/>
                      <w:sz w:val="21"/>
                      <w:szCs w:val="21"/>
                    </w:rPr>
                    <w:t>固态</w:t>
                  </w:r>
                </w:p>
              </w:tc>
              <w:tc>
                <w:tcPr>
                  <w:tcW w:w="720" w:type="pct"/>
                  <w:tcBorders>
                    <w:tl2br w:val="nil"/>
                    <w:tr2bl w:val="nil"/>
                  </w:tcBorders>
                  <w:shd w:val="clear" w:color="auto" w:fill="auto"/>
                  <w:vAlign w:val="center"/>
                </w:tcPr>
                <w:p w14:paraId="67E15811">
                  <w:pPr>
                    <w:widowControl/>
                    <w:jc w:val="center"/>
                    <w:rPr>
                      <w:rFonts w:hint="default" w:ascii="Times New Roman" w:hAnsi="Times New Roman" w:eastAsia="宋体" w:cs="Times New Roman"/>
                      <w:bCs/>
                      <w:snapToGrid w:val="0"/>
                      <w:color w:val="auto"/>
                      <w:spacing w:val="6"/>
                      <w:kern w:val="2"/>
                      <w:sz w:val="21"/>
                      <w:szCs w:val="21"/>
                      <w:lang w:val="en-US" w:eastAsia="zh-CN" w:bidi="ar-SA"/>
                    </w:rPr>
                  </w:pPr>
                  <w:r>
                    <w:rPr>
                      <w:rFonts w:hint="default" w:ascii="Times New Roman" w:hAnsi="Times New Roman" w:eastAsia="宋体" w:cs="Times New Roman"/>
                      <w:bCs/>
                      <w:snapToGrid w:val="0"/>
                      <w:color w:val="auto"/>
                      <w:spacing w:val="6"/>
                      <w:sz w:val="21"/>
                      <w:szCs w:val="21"/>
                    </w:rPr>
                    <w:t>油桶、矿物油</w:t>
                  </w:r>
                </w:p>
              </w:tc>
              <w:tc>
                <w:tcPr>
                  <w:tcW w:w="466" w:type="pct"/>
                  <w:tcBorders>
                    <w:tl2br w:val="nil"/>
                    <w:tr2bl w:val="nil"/>
                  </w:tcBorders>
                  <w:shd w:val="clear" w:color="auto" w:fill="auto"/>
                  <w:vAlign w:val="center"/>
                </w:tcPr>
                <w:p w14:paraId="77069318">
                  <w:pPr>
                    <w:widowControl/>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0.665</w:t>
                  </w:r>
                </w:p>
              </w:tc>
              <w:tc>
                <w:tcPr>
                  <w:tcW w:w="312" w:type="pct"/>
                  <w:tcBorders>
                    <w:tl2br w:val="nil"/>
                    <w:tr2bl w:val="nil"/>
                  </w:tcBorders>
                  <w:shd w:val="clear" w:color="auto" w:fill="auto"/>
                  <w:vAlign w:val="center"/>
                </w:tcPr>
                <w:p w14:paraId="76D02A66">
                  <w:pPr>
                    <w:widowControl/>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bCs/>
                      <w:snapToGrid w:val="0"/>
                      <w:color w:val="auto"/>
                      <w:spacing w:val="6"/>
                      <w:sz w:val="21"/>
                      <w:szCs w:val="21"/>
                    </w:rPr>
                    <w:t>√</w:t>
                  </w:r>
                </w:p>
              </w:tc>
              <w:tc>
                <w:tcPr>
                  <w:tcW w:w="337" w:type="pct"/>
                  <w:tcBorders>
                    <w:tl2br w:val="nil"/>
                    <w:tr2bl w:val="nil"/>
                  </w:tcBorders>
                  <w:shd w:val="clear" w:color="auto" w:fill="auto"/>
                  <w:vAlign w:val="center"/>
                </w:tcPr>
                <w:p w14:paraId="5989E044">
                  <w:pPr>
                    <w:pStyle w:val="22"/>
                    <w:widowControl w:val="0"/>
                    <w:adjustRightInd w:val="0"/>
                    <w:snapToGrid w:val="0"/>
                    <w:spacing w:before="24" w:beforeLines="10" w:beforeAutospacing="0" w:after="24" w:afterLines="10" w:afterAutospacing="0" w:line="256" w:lineRule="auto"/>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w:t>
                  </w:r>
                </w:p>
              </w:tc>
              <w:tc>
                <w:tcPr>
                  <w:tcW w:w="479" w:type="pct"/>
                  <w:tcBorders>
                    <w:tl2br w:val="nil"/>
                    <w:tr2bl w:val="nil"/>
                  </w:tcBorders>
                  <w:shd w:val="clear" w:color="auto" w:fill="auto"/>
                  <w:vAlign w:val="center"/>
                </w:tcPr>
                <w:p w14:paraId="47A1185D">
                  <w:pPr>
                    <w:widowControl/>
                    <w:jc w:val="center"/>
                    <w:rPr>
                      <w:rFonts w:hint="default" w:ascii="Times New Roman" w:hAnsi="Times New Roman" w:eastAsia="宋体" w:cs="Times New Roman"/>
                      <w:bCs/>
                      <w:snapToGrid w:val="0"/>
                      <w:color w:val="auto"/>
                      <w:spacing w:val="6"/>
                      <w:kern w:val="2"/>
                      <w:sz w:val="21"/>
                      <w:szCs w:val="21"/>
                      <w:lang w:val="en-US" w:eastAsia="zh-CN" w:bidi="ar-SA"/>
                    </w:rPr>
                  </w:pPr>
                  <w:r>
                    <w:rPr>
                      <w:rFonts w:hint="default" w:ascii="Times New Roman" w:hAnsi="Times New Roman" w:eastAsia="宋体" w:cs="Times New Roman"/>
                      <w:bCs/>
                      <w:snapToGrid w:val="0"/>
                      <w:color w:val="auto"/>
                      <w:spacing w:val="6"/>
                      <w:kern w:val="2"/>
                      <w:sz w:val="21"/>
                      <w:szCs w:val="21"/>
                      <w:lang w:val="en-US" w:eastAsia="zh-CN" w:bidi="ar-SA"/>
                    </w:rPr>
                    <w:t>5.2a)</w:t>
                  </w:r>
                </w:p>
              </w:tc>
              <w:tc>
                <w:tcPr>
                  <w:tcW w:w="542" w:type="pct"/>
                  <w:tcBorders>
                    <w:tl2br w:val="nil"/>
                    <w:tr2bl w:val="nil"/>
                  </w:tcBorders>
                  <w:shd w:val="clear" w:color="auto" w:fill="auto"/>
                  <w:vAlign w:val="center"/>
                </w:tcPr>
                <w:p w14:paraId="3CAB67BF">
                  <w:pPr>
                    <w:widowControl/>
                    <w:jc w:val="center"/>
                    <w:rPr>
                      <w:rFonts w:hint="default" w:ascii="Times New Roman" w:hAnsi="Times New Roman" w:eastAsia="宋体" w:cs="Times New Roman"/>
                      <w:bCs/>
                      <w:snapToGrid w:val="0"/>
                      <w:color w:val="auto"/>
                      <w:spacing w:val="6"/>
                      <w:kern w:val="2"/>
                      <w:sz w:val="21"/>
                      <w:szCs w:val="21"/>
                      <w:lang w:val="en-US" w:eastAsia="zh-CN" w:bidi="ar-SA"/>
                    </w:rPr>
                  </w:pPr>
                  <w:r>
                    <w:rPr>
                      <w:rFonts w:hint="default" w:ascii="Times New Roman" w:hAnsi="Times New Roman" w:eastAsia="宋体" w:cs="Times New Roman"/>
                      <w:bCs/>
                      <w:snapToGrid w:val="0"/>
                      <w:color w:val="auto"/>
                      <w:spacing w:val="6"/>
                      <w:kern w:val="2"/>
                      <w:sz w:val="21"/>
                      <w:szCs w:val="21"/>
                      <w:lang w:val="en-US" w:eastAsia="zh-CN" w:bidi="ar-SA"/>
                    </w:rPr>
                    <w:t>7.1b)/7.1c)</w:t>
                  </w:r>
                </w:p>
              </w:tc>
            </w:tr>
            <w:tr w14:paraId="49D14DC3">
              <w:tblPrEx>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CellMar>
                  <w:top w:w="0" w:type="dxa"/>
                  <w:left w:w="57" w:type="dxa"/>
                  <w:bottom w:w="0" w:type="dxa"/>
                  <w:right w:w="57" w:type="dxa"/>
                </w:tblCellMar>
              </w:tblPrEx>
              <w:trPr>
                <w:trHeight w:val="23" w:hRule="atLeast"/>
                <w:jc w:val="center"/>
              </w:trPr>
              <w:tc>
                <w:tcPr>
                  <w:tcW w:w="169" w:type="pct"/>
                  <w:tcBorders>
                    <w:tl2br w:val="nil"/>
                    <w:tr2bl w:val="nil"/>
                  </w:tcBorders>
                  <w:vAlign w:val="center"/>
                </w:tcPr>
                <w:p w14:paraId="729602EB">
                  <w:pPr>
                    <w:widowControl/>
                    <w:numPr>
                      <w:ilvl w:val="0"/>
                      <w:numId w:val="13"/>
                    </w:numPr>
                    <w:ind w:left="0" w:leftChars="0" w:firstLine="0" w:firstLineChars="0"/>
                    <w:jc w:val="center"/>
                    <w:rPr>
                      <w:rFonts w:hint="default" w:ascii="Times New Roman" w:hAnsi="Times New Roman" w:eastAsia="宋体" w:cs="Times New Roman"/>
                      <w:bCs/>
                      <w:snapToGrid w:val="0"/>
                      <w:color w:val="auto"/>
                      <w:spacing w:val="6"/>
                      <w:sz w:val="21"/>
                      <w:szCs w:val="21"/>
                    </w:rPr>
                  </w:pPr>
                </w:p>
              </w:tc>
              <w:tc>
                <w:tcPr>
                  <w:tcW w:w="765" w:type="pct"/>
                  <w:tcBorders>
                    <w:tl2br w:val="nil"/>
                    <w:tr2bl w:val="nil"/>
                  </w:tcBorders>
                  <w:shd w:val="clear" w:color="auto" w:fill="auto"/>
                  <w:vAlign w:val="center"/>
                </w:tcPr>
                <w:p w14:paraId="4DB63F3B">
                  <w:pPr>
                    <w:widowControl/>
                    <w:jc w:val="center"/>
                    <w:rPr>
                      <w:rFonts w:hint="default" w:ascii="Times New Roman" w:hAnsi="Times New Roman" w:eastAsia="宋体" w:cs="Times New Roman"/>
                      <w:bCs/>
                      <w:snapToGrid w:val="0"/>
                      <w:color w:val="auto"/>
                      <w:spacing w:val="6"/>
                      <w:kern w:val="2"/>
                      <w:sz w:val="21"/>
                      <w:szCs w:val="21"/>
                      <w:lang w:val="en-US" w:eastAsia="zh-CN" w:bidi="ar"/>
                    </w:rPr>
                  </w:pPr>
                  <w:r>
                    <w:rPr>
                      <w:rFonts w:hint="default" w:ascii="Times New Roman" w:hAnsi="Times New Roman" w:eastAsia="宋体" w:cs="Times New Roman"/>
                      <w:bCs/>
                      <w:snapToGrid w:val="0"/>
                      <w:color w:val="auto"/>
                      <w:spacing w:val="6"/>
                      <w:kern w:val="2"/>
                      <w:sz w:val="21"/>
                      <w:szCs w:val="21"/>
                      <w:lang w:val="en-US" w:eastAsia="zh-CN" w:bidi="ar"/>
                    </w:rPr>
                    <w:t>废润滑油</w:t>
                  </w:r>
                </w:p>
              </w:tc>
              <w:tc>
                <w:tcPr>
                  <w:tcW w:w="779" w:type="pct"/>
                  <w:tcBorders>
                    <w:tl2br w:val="nil"/>
                    <w:tr2bl w:val="nil"/>
                  </w:tcBorders>
                  <w:shd w:val="clear" w:color="auto" w:fill="auto"/>
                  <w:vAlign w:val="center"/>
                </w:tcPr>
                <w:p w14:paraId="71A36719">
                  <w:pPr>
                    <w:widowControl/>
                    <w:jc w:val="center"/>
                    <w:rPr>
                      <w:rFonts w:hint="default" w:ascii="Times New Roman" w:hAnsi="Times New Roman" w:eastAsia="宋体" w:cs="Times New Roman"/>
                      <w:bCs/>
                      <w:snapToGrid w:val="0"/>
                      <w:color w:val="auto"/>
                      <w:spacing w:val="6"/>
                      <w:kern w:val="2"/>
                      <w:sz w:val="21"/>
                      <w:szCs w:val="21"/>
                      <w:lang w:val="en-US" w:eastAsia="zh-CN" w:bidi="ar"/>
                    </w:rPr>
                  </w:pPr>
                  <w:r>
                    <w:rPr>
                      <w:rFonts w:hint="eastAsia" w:cs="Times New Roman"/>
                      <w:bCs/>
                      <w:snapToGrid w:val="0"/>
                      <w:color w:val="auto"/>
                      <w:spacing w:val="6"/>
                      <w:kern w:val="2"/>
                      <w:sz w:val="21"/>
                      <w:szCs w:val="21"/>
                      <w:lang w:val="en-US" w:eastAsia="zh-CN" w:bidi="ar"/>
                    </w:rPr>
                    <w:t>设备维护</w:t>
                  </w:r>
                </w:p>
              </w:tc>
              <w:tc>
                <w:tcPr>
                  <w:tcW w:w="426" w:type="pct"/>
                  <w:tcBorders>
                    <w:tl2br w:val="nil"/>
                    <w:tr2bl w:val="nil"/>
                  </w:tcBorders>
                  <w:shd w:val="clear" w:color="auto" w:fill="auto"/>
                  <w:vAlign w:val="center"/>
                </w:tcPr>
                <w:p w14:paraId="00DB3BB1">
                  <w:pPr>
                    <w:widowControl/>
                    <w:jc w:val="center"/>
                    <w:rPr>
                      <w:rFonts w:hint="default" w:ascii="Times New Roman" w:hAnsi="Times New Roman" w:eastAsia="宋体" w:cs="Times New Roman"/>
                      <w:bCs/>
                      <w:snapToGrid w:val="0"/>
                      <w:color w:val="auto"/>
                      <w:spacing w:val="6"/>
                      <w:kern w:val="2"/>
                      <w:sz w:val="21"/>
                      <w:szCs w:val="21"/>
                      <w:lang w:val="en-US" w:eastAsia="zh-CN" w:bidi="ar"/>
                    </w:rPr>
                  </w:pPr>
                  <w:r>
                    <w:rPr>
                      <w:rFonts w:hint="eastAsia" w:cs="Times New Roman"/>
                      <w:bCs/>
                      <w:snapToGrid w:val="0"/>
                      <w:color w:val="auto"/>
                      <w:spacing w:val="6"/>
                      <w:kern w:val="2"/>
                      <w:sz w:val="21"/>
                      <w:szCs w:val="21"/>
                      <w:lang w:val="en-US" w:eastAsia="zh-CN" w:bidi="ar"/>
                    </w:rPr>
                    <w:t>液态</w:t>
                  </w:r>
                </w:p>
              </w:tc>
              <w:tc>
                <w:tcPr>
                  <w:tcW w:w="720" w:type="pct"/>
                  <w:tcBorders>
                    <w:tl2br w:val="nil"/>
                    <w:tr2bl w:val="nil"/>
                  </w:tcBorders>
                  <w:shd w:val="clear" w:color="auto" w:fill="auto"/>
                  <w:vAlign w:val="center"/>
                </w:tcPr>
                <w:p w14:paraId="4FF76359">
                  <w:pPr>
                    <w:widowControl/>
                    <w:jc w:val="center"/>
                    <w:rPr>
                      <w:rFonts w:hint="default" w:ascii="Times New Roman" w:hAnsi="Times New Roman" w:eastAsia="宋体" w:cs="Times New Roman"/>
                      <w:color w:val="auto"/>
                      <w:spacing w:val="6"/>
                      <w:kern w:val="2"/>
                      <w:sz w:val="21"/>
                      <w:szCs w:val="21"/>
                      <w:lang w:val="en-US" w:eastAsia="zh-CN" w:bidi="ar"/>
                    </w:rPr>
                  </w:pPr>
                  <w:r>
                    <w:rPr>
                      <w:rFonts w:hint="default" w:ascii="Times New Roman" w:hAnsi="Times New Roman" w:eastAsia="宋体" w:cs="Times New Roman"/>
                      <w:bCs/>
                      <w:snapToGrid w:val="0"/>
                      <w:color w:val="auto"/>
                      <w:spacing w:val="6"/>
                      <w:sz w:val="21"/>
                      <w:szCs w:val="21"/>
                    </w:rPr>
                    <w:t>矿物油</w:t>
                  </w:r>
                </w:p>
              </w:tc>
              <w:tc>
                <w:tcPr>
                  <w:tcW w:w="466" w:type="pct"/>
                  <w:tcBorders>
                    <w:tl2br w:val="nil"/>
                    <w:tr2bl w:val="nil"/>
                  </w:tcBorders>
                  <w:shd w:val="clear" w:color="auto" w:fill="auto"/>
                  <w:vAlign w:val="center"/>
                </w:tcPr>
                <w:p w14:paraId="7C08011C">
                  <w:pPr>
                    <w:widowControl/>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6</w:t>
                  </w:r>
                </w:p>
              </w:tc>
              <w:tc>
                <w:tcPr>
                  <w:tcW w:w="312" w:type="pct"/>
                  <w:tcBorders>
                    <w:tl2br w:val="nil"/>
                    <w:tr2bl w:val="nil"/>
                  </w:tcBorders>
                  <w:shd w:val="clear" w:color="auto" w:fill="auto"/>
                  <w:vAlign w:val="center"/>
                </w:tcPr>
                <w:p w14:paraId="3D63A766">
                  <w:pPr>
                    <w:widowControl/>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bCs/>
                      <w:snapToGrid w:val="0"/>
                      <w:color w:val="auto"/>
                      <w:spacing w:val="6"/>
                      <w:sz w:val="21"/>
                      <w:szCs w:val="21"/>
                    </w:rPr>
                    <w:t>√</w:t>
                  </w:r>
                </w:p>
              </w:tc>
              <w:tc>
                <w:tcPr>
                  <w:tcW w:w="337" w:type="pct"/>
                  <w:tcBorders>
                    <w:tl2br w:val="nil"/>
                    <w:tr2bl w:val="nil"/>
                  </w:tcBorders>
                  <w:shd w:val="clear" w:color="auto" w:fill="auto"/>
                  <w:vAlign w:val="center"/>
                </w:tcPr>
                <w:p w14:paraId="333DC7F7">
                  <w:pPr>
                    <w:pStyle w:val="22"/>
                    <w:widowControl w:val="0"/>
                    <w:adjustRightInd w:val="0"/>
                    <w:snapToGrid w:val="0"/>
                    <w:spacing w:before="24" w:beforeLines="10" w:beforeAutospacing="0" w:after="24" w:afterLines="10" w:afterAutospacing="0" w:line="256" w:lineRule="auto"/>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w:t>
                  </w:r>
                </w:p>
              </w:tc>
              <w:tc>
                <w:tcPr>
                  <w:tcW w:w="479" w:type="pct"/>
                  <w:tcBorders>
                    <w:tl2br w:val="nil"/>
                    <w:tr2bl w:val="nil"/>
                  </w:tcBorders>
                  <w:shd w:val="clear" w:color="auto" w:fill="auto"/>
                  <w:vAlign w:val="center"/>
                </w:tcPr>
                <w:p w14:paraId="46DD4AD7">
                  <w:pPr>
                    <w:widowControl/>
                    <w:jc w:val="center"/>
                    <w:textAlignment w:val="bottom"/>
                    <w:rPr>
                      <w:rFonts w:hint="default" w:ascii="Times New Roman" w:hAnsi="Times New Roman" w:eastAsia="宋体" w:cs="Times New Roman"/>
                      <w:color w:val="auto"/>
                      <w:spacing w:val="5"/>
                      <w:kern w:val="0"/>
                      <w:sz w:val="21"/>
                      <w:szCs w:val="21"/>
                      <w:lang w:val="en-US" w:eastAsia="zh-CN" w:bidi="ar"/>
                    </w:rPr>
                  </w:pPr>
                  <w:r>
                    <w:rPr>
                      <w:rFonts w:hint="eastAsia" w:ascii="Times New Roman" w:hAnsi="Times New Roman" w:eastAsia="宋体" w:cs="Times New Roman"/>
                      <w:color w:val="auto"/>
                      <w:kern w:val="0"/>
                      <w:sz w:val="21"/>
                      <w:szCs w:val="21"/>
                      <w:lang w:val="en-US" w:eastAsia="zh-CN" w:bidi="ar"/>
                    </w:rPr>
                    <w:t>4.1d</w:t>
                  </w:r>
                  <w:r>
                    <w:rPr>
                      <w:rFonts w:ascii="Times New Roman" w:hAnsi="Times New Roman" w:eastAsia="宋体" w:cs="Times New Roman"/>
                      <w:color w:val="auto"/>
                      <w:kern w:val="0"/>
                      <w:sz w:val="21"/>
                      <w:szCs w:val="21"/>
                      <w:lang w:bidi="ar"/>
                    </w:rPr>
                    <w:t>)</w:t>
                  </w:r>
                </w:p>
              </w:tc>
              <w:tc>
                <w:tcPr>
                  <w:tcW w:w="542" w:type="pct"/>
                  <w:tcBorders>
                    <w:tl2br w:val="nil"/>
                    <w:tr2bl w:val="nil"/>
                  </w:tcBorders>
                  <w:shd w:val="clear" w:color="auto" w:fill="auto"/>
                  <w:vAlign w:val="center"/>
                </w:tcPr>
                <w:p w14:paraId="60E5BEA1">
                  <w:pPr>
                    <w:widowControl/>
                    <w:jc w:val="center"/>
                    <w:textAlignment w:val="bottom"/>
                    <w:rPr>
                      <w:rFonts w:hint="default" w:ascii="Times New Roman" w:hAnsi="Times New Roman" w:eastAsia="宋体" w:cs="Times New Roman"/>
                      <w:color w:val="auto"/>
                      <w:spacing w:val="5"/>
                      <w:kern w:val="0"/>
                      <w:sz w:val="21"/>
                      <w:szCs w:val="21"/>
                      <w:lang w:val="en-US" w:eastAsia="zh-CN" w:bidi="ar"/>
                    </w:rPr>
                  </w:pPr>
                  <w:r>
                    <w:rPr>
                      <w:rFonts w:hint="eastAsia" w:ascii="Times New Roman" w:hAnsi="Times New Roman" w:eastAsia="宋体" w:cs="Times New Roman"/>
                      <w:color w:val="auto"/>
                      <w:kern w:val="0"/>
                      <w:sz w:val="21"/>
                      <w:szCs w:val="21"/>
                      <w:lang w:val="en-US" w:eastAsia="zh-CN" w:bidi="ar"/>
                    </w:rPr>
                    <w:t>7.1b</w:t>
                  </w:r>
                  <w:r>
                    <w:rPr>
                      <w:rFonts w:ascii="Times New Roman" w:hAnsi="Times New Roman" w:eastAsia="宋体" w:cs="Times New Roman"/>
                      <w:color w:val="auto"/>
                      <w:kern w:val="0"/>
                      <w:sz w:val="21"/>
                      <w:szCs w:val="21"/>
                      <w:lang w:bidi="ar"/>
                    </w:rPr>
                    <w:t>)</w:t>
                  </w:r>
                  <w:r>
                    <w:rPr>
                      <w:rFonts w:hint="eastAsia" w:ascii="Times New Roman" w:hAnsi="Times New Roman" w:eastAsia="宋体" w:cs="Times New Roman"/>
                      <w:color w:val="auto"/>
                      <w:kern w:val="0"/>
                      <w:sz w:val="21"/>
                      <w:szCs w:val="21"/>
                      <w:lang w:val="en-US" w:eastAsia="zh-CN" w:bidi="ar"/>
                    </w:rPr>
                    <w:t>/7.1c</w:t>
                  </w:r>
                  <w:r>
                    <w:rPr>
                      <w:rFonts w:ascii="Times New Roman" w:hAnsi="Times New Roman" w:eastAsia="宋体" w:cs="Times New Roman"/>
                      <w:color w:val="auto"/>
                      <w:kern w:val="0"/>
                      <w:sz w:val="21"/>
                      <w:szCs w:val="21"/>
                      <w:lang w:bidi="ar"/>
                    </w:rPr>
                    <w:t>)</w:t>
                  </w:r>
                </w:p>
              </w:tc>
            </w:tr>
            <w:tr w14:paraId="4F0F7838">
              <w:tblPrEx>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CellMar>
                  <w:top w:w="0" w:type="dxa"/>
                  <w:left w:w="57" w:type="dxa"/>
                  <w:bottom w:w="0" w:type="dxa"/>
                  <w:right w:w="57" w:type="dxa"/>
                </w:tblCellMar>
              </w:tblPrEx>
              <w:trPr>
                <w:trHeight w:val="23" w:hRule="atLeast"/>
                <w:jc w:val="center"/>
              </w:trPr>
              <w:tc>
                <w:tcPr>
                  <w:tcW w:w="169" w:type="pct"/>
                  <w:tcBorders>
                    <w:tl2br w:val="nil"/>
                    <w:tr2bl w:val="nil"/>
                  </w:tcBorders>
                  <w:vAlign w:val="center"/>
                </w:tcPr>
                <w:p w14:paraId="481AD8CB">
                  <w:pPr>
                    <w:widowControl/>
                    <w:numPr>
                      <w:ilvl w:val="0"/>
                      <w:numId w:val="13"/>
                    </w:numPr>
                    <w:ind w:left="0" w:leftChars="0" w:firstLine="0" w:firstLineChars="0"/>
                    <w:jc w:val="center"/>
                    <w:rPr>
                      <w:rFonts w:hint="default" w:ascii="Times New Roman" w:hAnsi="Times New Roman" w:eastAsia="宋体" w:cs="Times New Roman"/>
                      <w:bCs/>
                      <w:snapToGrid w:val="0"/>
                      <w:color w:val="auto"/>
                      <w:spacing w:val="6"/>
                      <w:sz w:val="21"/>
                      <w:szCs w:val="21"/>
                    </w:rPr>
                  </w:pPr>
                </w:p>
              </w:tc>
              <w:tc>
                <w:tcPr>
                  <w:tcW w:w="765" w:type="pct"/>
                  <w:tcBorders>
                    <w:tl2br w:val="nil"/>
                    <w:tr2bl w:val="nil"/>
                  </w:tcBorders>
                  <w:shd w:val="clear" w:color="auto" w:fill="auto"/>
                  <w:vAlign w:val="center"/>
                </w:tcPr>
                <w:p w14:paraId="21BA1B3A">
                  <w:pPr>
                    <w:widowControl/>
                    <w:jc w:val="center"/>
                    <w:rPr>
                      <w:rFonts w:hint="default" w:ascii="Times New Roman" w:hAnsi="Times New Roman" w:eastAsia="宋体" w:cs="Times New Roman"/>
                      <w:bCs/>
                      <w:snapToGrid w:val="0"/>
                      <w:color w:val="auto"/>
                      <w:spacing w:val="6"/>
                      <w:kern w:val="2"/>
                      <w:sz w:val="21"/>
                      <w:szCs w:val="21"/>
                      <w:lang w:val="en-US" w:eastAsia="zh-CN" w:bidi="ar"/>
                    </w:rPr>
                  </w:pPr>
                  <w:r>
                    <w:rPr>
                      <w:rFonts w:hint="default" w:ascii="Times New Roman" w:hAnsi="Times New Roman" w:eastAsia="宋体" w:cs="Times New Roman"/>
                      <w:bCs/>
                      <w:snapToGrid w:val="0"/>
                      <w:color w:val="auto"/>
                      <w:spacing w:val="6"/>
                      <w:kern w:val="2"/>
                      <w:sz w:val="21"/>
                      <w:szCs w:val="21"/>
                      <w:lang w:val="en-US" w:eastAsia="zh-CN" w:bidi="ar"/>
                    </w:rPr>
                    <w:t>废液压油</w:t>
                  </w:r>
                </w:p>
              </w:tc>
              <w:tc>
                <w:tcPr>
                  <w:tcW w:w="779" w:type="pct"/>
                  <w:tcBorders>
                    <w:tl2br w:val="nil"/>
                    <w:tr2bl w:val="nil"/>
                  </w:tcBorders>
                  <w:shd w:val="clear" w:color="auto" w:fill="auto"/>
                  <w:vAlign w:val="center"/>
                </w:tcPr>
                <w:p w14:paraId="1D3FAC11">
                  <w:pPr>
                    <w:pStyle w:val="22"/>
                    <w:widowControl w:val="0"/>
                    <w:snapToGrid w:val="0"/>
                    <w:spacing w:before="0" w:beforeAutospacing="0" w:after="0" w:afterAutospacing="0"/>
                    <w:jc w:val="center"/>
                    <w:rPr>
                      <w:rFonts w:hint="default" w:ascii="Times New Roman" w:hAnsi="Times New Roman" w:eastAsia="宋体" w:cs="Times New Roman"/>
                      <w:bCs/>
                      <w:color w:val="auto"/>
                      <w:kern w:val="0"/>
                      <w:sz w:val="21"/>
                      <w:szCs w:val="21"/>
                      <w:lang w:val="en-US" w:eastAsia="zh-CN" w:bidi="ar"/>
                    </w:rPr>
                  </w:pPr>
                  <w:r>
                    <w:rPr>
                      <w:rFonts w:ascii="Times New Roman" w:hAnsi="Times New Roman"/>
                      <w:bCs/>
                      <w:color w:val="auto"/>
                      <w:sz w:val="21"/>
                      <w:szCs w:val="21"/>
                    </w:rPr>
                    <w:t>设备使用</w:t>
                  </w:r>
                </w:p>
              </w:tc>
              <w:tc>
                <w:tcPr>
                  <w:tcW w:w="426" w:type="pct"/>
                  <w:tcBorders>
                    <w:tl2br w:val="nil"/>
                    <w:tr2bl w:val="nil"/>
                  </w:tcBorders>
                  <w:shd w:val="clear" w:color="auto" w:fill="auto"/>
                  <w:vAlign w:val="center"/>
                </w:tcPr>
                <w:p w14:paraId="4325F994">
                  <w:pPr>
                    <w:pStyle w:val="22"/>
                    <w:widowControl w:val="0"/>
                    <w:snapToGrid w:val="0"/>
                    <w:spacing w:before="0" w:beforeAutospacing="0" w:after="0" w:afterAutospacing="0"/>
                    <w:jc w:val="center"/>
                    <w:rPr>
                      <w:rFonts w:hint="default" w:ascii="Times New Roman" w:hAnsi="Times New Roman" w:eastAsia="宋体" w:cs="Times New Roman"/>
                      <w:bCs/>
                      <w:color w:val="auto"/>
                      <w:kern w:val="0"/>
                      <w:sz w:val="21"/>
                      <w:szCs w:val="21"/>
                      <w:lang w:val="en-US" w:eastAsia="zh-CN" w:bidi="ar"/>
                    </w:rPr>
                  </w:pPr>
                  <w:r>
                    <w:rPr>
                      <w:rFonts w:ascii="Times New Roman" w:hAnsi="Times New Roman"/>
                      <w:bCs/>
                      <w:color w:val="auto"/>
                      <w:sz w:val="21"/>
                      <w:szCs w:val="21"/>
                    </w:rPr>
                    <w:t>液态</w:t>
                  </w:r>
                </w:p>
              </w:tc>
              <w:tc>
                <w:tcPr>
                  <w:tcW w:w="720" w:type="pct"/>
                  <w:tcBorders>
                    <w:tl2br w:val="nil"/>
                    <w:tr2bl w:val="nil"/>
                  </w:tcBorders>
                  <w:shd w:val="clear" w:color="auto" w:fill="auto"/>
                  <w:vAlign w:val="center"/>
                </w:tcPr>
                <w:p w14:paraId="20F77A39">
                  <w:pPr>
                    <w:pStyle w:val="22"/>
                    <w:adjustRightInd w:val="0"/>
                    <w:snapToGrid w:val="0"/>
                    <w:spacing w:before="0" w:beforeAutospacing="0" w:after="0" w:afterAutospacing="0"/>
                    <w:jc w:val="center"/>
                    <w:rPr>
                      <w:rFonts w:hint="default" w:ascii="Times New Roman" w:hAnsi="Times New Roman" w:eastAsia="宋体" w:cs="Times New Roman"/>
                      <w:color w:val="auto"/>
                      <w:kern w:val="0"/>
                      <w:sz w:val="21"/>
                      <w:szCs w:val="21"/>
                      <w:lang w:val="en-US" w:eastAsia="zh-CN" w:bidi="ar"/>
                    </w:rPr>
                  </w:pPr>
                  <w:r>
                    <w:rPr>
                      <w:rFonts w:ascii="Times New Roman" w:hAnsi="Times New Roman"/>
                      <w:color w:val="auto"/>
                      <w:spacing w:val="6"/>
                      <w:sz w:val="21"/>
                      <w:szCs w:val="21"/>
                    </w:rPr>
                    <w:t>矿物油</w:t>
                  </w:r>
                </w:p>
              </w:tc>
              <w:tc>
                <w:tcPr>
                  <w:tcW w:w="466" w:type="pct"/>
                  <w:tcBorders>
                    <w:tl2br w:val="nil"/>
                    <w:tr2bl w:val="nil"/>
                  </w:tcBorders>
                  <w:shd w:val="clear" w:color="auto" w:fill="auto"/>
                  <w:vAlign w:val="center"/>
                </w:tcPr>
                <w:p w14:paraId="23615908">
                  <w:pPr>
                    <w:widowControl/>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2</w:t>
                  </w:r>
                </w:p>
              </w:tc>
              <w:tc>
                <w:tcPr>
                  <w:tcW w:w="312" w:type="pct"/>
                  <w:tcBorders>
                    <w:tl2br w:val="nil"/>
                    <w:tr2bl w:val="nil"/>
                  </w:tcBorders>
                  <w:shd w:val="clear" w:color="auto" w:fill="auto"/>
                  <w:vAlign w:val="center"/>
                </w:tcPr>
                <w:p w14:paraId="725C4A2B">
                  <w:pPr>
                    <w:widowControl/>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bCs/>
                      <w:snapToGrid w:val="0"/>
                      <w:color w:val="auto"/>
                      <w:spacing w:val="6"/>
                      <w:sz w:val="21"/>
                      <w:szCs w:val="21"/>
                    </w:rPr>
                    <w:t>√</w:t>
                  </w:r>
                </w:p>
              </w:tc>
              <w:tc>
                <w:tcPr>
                  <w:tcW w:w="337" w:type="pct"/>
                  <w:tcBorders>
                    <w:tl2br w:val="nil"/>
                    <w:tr2bl w:val="nil"/>
                  </w:tcBorders>
                  <w:shd w:val="clear" w:color="auto" w:fill="auto"/>
                  <w:vAlign w:val="center"/>
                </w:tcPr>
                <w:p w14:paraId="72418CAF">
                  <w:pPr>
                    <w:pStyle w:val="22"/>
                    <w:widowControl w:val="0"/>
                    <w:adjustRightInd w:val="0"/>
                    <w:snapToGrid w:val="0"/>
                    <w:spacing w:before="24" w:beforeLines="10" w:beforeAutospacing="0" w:after="24" w:afterLines="10" w:afterAutospacing="0" w:line="256" w:lineRule="auto"/>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w:t>
                  </w:r>
                </w:p>
              </w:tc>
              <w:tc>
                <w:tcPr>
                  <w:tcW w:w="479" w:type="pct"/>
                  <w:tcBorders>
                    <w:tl2br w:val="nil"/>
                    <w:tr2bl w:val="nil"/>
                  </w:tcBorders>
                  <w:shd w:val="clear" w:color="auto" w:fill="auto"/>
                  <w:vAlign w:val="center"/>
                </w:tcPr>
                <w:p w14:paraId="27CFE05C">
                  <w:pPr>
                    <w:widowControl/>
                    <w:jc w:val="center"/>
                    <w:textAlignment w:val="bottom"/>
                    <w:rPr>
                      <w:rFonts w:hint="default" w:ascii="Times New Roman" w:hAnsi="Times New Roman" w:eastAsia="宋体" w:cs="Times New Roman"/>
                      <w:color w:val="auto"/>
                      <w:spacing w:val="5"/>
                      <w:kern w:val="0"/>
                      <w:sz w:val="21"/>
                      <w:szCs w:val="21"/>
                      <w:lang w:val="en-US" w:eastAsia="zh-CN" w:bidi="ar"/>
                    </w:rPr>
                  </w:pPr>
                  <w:r>
                    <w:rPr>
                      <w:rFonts w:hint="eastAsia" w:ascii="Times New Roman" w:hAnsi="Times New Roman" w:eastAsia="宋体" w:cs="Times New Roman"/>
                      <w:color w:val="auto"/>
                      <w:kern w:val="0"/>
                      <w:sz w:val="21"/>
                      <w:szCs w:val="21"/>
                      <w:lang w:val="en-US" w:eastAsia="zh-CN" w:bidi="ar"/>
                    </w:rPr>
                    <w:t>4.1d</w:t>
                  </w:r>
                  <w:r>
                    <w:rPr>
                      <w:rFonts w:ascii="Times New Roman" w:hAnsi="Times New Roman" w:eastAsia="宋体" w:cs="Times New Roman"/>
                      <w:color w:val="auto"/>
                      <w:kern w:val="0"/>
                      <w:sz w:val="21"/>
                      <w:szCs w:val="21"/>
                      <w:lang w:bidi="ar"/>
                    </w:rPr>
                    <w:t>)</w:t>
                  </w:r>
                </w:p>
              </w:tc>
              <w:tc>
                <w:tcPr>
                  <w:tcW w:w="542" w:type="pct"/>
                  <w:tcBorders>
                    <w:tl2br w:val="nil"/>
                    <w:tr2bl w:val="nil"/>
                  </w:tcBorders>
                  <w:shd w:val="clear" w:color="auto" w:fill="auto"/>
                  <w:vAlign w:val="center"/>
                </w:tcPr>
                <w:p w14:paraId="24D1A3A7">
                  <w:pPr>
                    <w:widowControl/>
                    <w:jc w:val="center"/>
                    <w:textAlignment w:val="bottom"/>
                    <w:rPr>
                      <w:rFonts w:hint="default" w:ascii="Times New Roman" w:hAnsi="Times New Roman" w:eastAsia="宋体" w:cs="Times New Roman"/>
                      <w:color w:val="auto"/>
                      <w:spacing w:val="5"/>
                      <w:kern w:val="0"/>
                      <w:sz w:val="21"/>
                      <w:szCs w:val="21"/>
                      <w:lang w:val="en-US" w:eastAsia="zh-CN" w:bidi="ar"/>
                    </w:rPr>
                  </w:pPr>
                  <w:r>
                    <w:rPr>
                      <w:rFonts w:hint="eastAsia" w:ascii="Times New Roman" w:hAnsi="Times New Roman" w:eastAsia="宋体" w:cs="Times New Roman"/>
                      <w:color w:val="auto"/>
                      <w:kern w:val="0"/>
                      <w:sz w:val="21"/>
                      <w:szCs w:val="21"/>
                      <w:lang w:val="en-US" w:eastAsia="zh-CN" w:bidi="ar"/>
                    </w:rPr>
                    <w:t>7.1b</w:t>
                  </w:r>
                  <w:r>
                    <w:rPr>
                      <w:rFonts w:ascii="Times New Roman" w:hAnsi="Times New Roman" w:eastAsia="宋体" w:cs="Times New Roman"/>
                      <w:color w:val="auto"/>
                      <w:kern w:val="0"/>
                      <w:sz w:val="21"/>
                      <w:szCs w:val="21"/>
                      <w:lang w:bidi="ar"/>
                    </w:rPr>
                    <w:t>)</w:t>
                  </w:r>
                  <w:r>
                    <w:rPr>
                      <w:rFonts w:hint="eastAsia" w:ascii="Times New Roman" w:hAnsi="Times New Roman" w:eastAsia="宋体" w:cs="Times New Roman"/>
                      <w:color w:val="auto"/>
                      <w:kern w:val="0"/>
                      <w:sz w:val="21"/>
                      <w:szCs w:val="21"/>
                      <w:lang w:val="en-US" w:eastAsia="zh-CN" w:bidi="ar"/>
                    </w:rPr>
                    <w:t>/7.1c</w:t>
                  </w:r>
                  <w:r>
                    <w:rPr>
                      <w:rFonts w:ascii="Times New Roman" w:hAnsi="Times New Roman" w:eastAsia="宋体" w:cs="Times New Roman"/>
                      <w:color w:val="auto"/>
                      <w:kern w:val="0"/>
                      <w:sz w:val="21"/>
                      <w:szCs w:val="21"/>
                      <w:lang w:bidi="ar"/>
                    </w:rPr>
                    <w:t>)</w:t>
                  </w:r>
                </w:p>
              </w:tc>
            </w:tr>
            <w:tr w14:paraId="7FA0935D">
              <w:tblPrEx>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CellMar>
                  <w:top w:w="0" w:type="dxa"/>
                  <w:left w:w="57" w:type="dxa"/>
                  <w:bottom w:w="0" w:type="dxa"/>
                  <w:right w:w="57" w:type="dxa"/>
                </w:tblCellMar>
              </w:tblPrEx>
              <w:trPr>
                <w:trHeight w:val="23" w:hRule="atLeast"/>
                <w:jc w:val="center"/>
              </w:trPr>
              <w:tc>
                <w:tcPr>
                  <w:tcW w:w="169" w:type="pct"/>
                  <w:tcBorders>
                    <w:tl2br w:val="nil"/>
                    <w:tr2bl w:val="nil"/>
                  </w:tcBorders>
                  <w:vAlign w:val="center"/>
                </w:tcPr>
                <w:p w14:paraId="6E00F31A">
                  <w:pPr>
                    <w:widowControl/>
                    <w:numPr>
                      <w:ilvl w:val="0"/>
                      <w:numId w:val="13"/>
                    </w:numPr>
                    <w:ind w:left="0" w:leftChars="0" w:firstLine="0" w:firstLineChars="0"/>
                    <w:jc w:val="center"/>
                    <w:rPr>
                      <w:rFonts w:hint="default" w:ascii="Times New Roman" w:hAnsi="Times New Roman" w:eastAsia="宋体" w:cs="Times New Roman"/>
                      <w:bCs/>
                      <w:snapToGrid w:val="0"/>
                      <w:color w:val="auto"/>
                      <w:spacing w:val="6"/>
                      <w:sz w:val="21"/>
                      <w:szCs w:val="21"/>
                    </w:rPr>
                  </w:pPr>
                </w:p>
              </w:tc>
              <w:tc>
                <w:tcPr>
                  <w:tcW w:w="765" w:type="pct"/>
                  <w:tcBorders>
                    <w:tl2br w:val="nil"/>
                    <w:tr2bl w:val="nil"/>
                  </w:tcBorders>
                  <w:shd w:val="clear" w:color="auto" w:fill="auto"/>
                  <w:vAlign w:val="center"/>
                </w:tcPr>
                <w:p w14:paraId="77E45AE8">
                  <w:pPr>
                    <w:widowControl/>
                    <w:jc w:val="center"/>
                    <w:rPr>
                      <w:rFonts w:hint="default" w:ascii="Times New Roman" w:hAnsi="Times New Roman" w:eastAsia="宋体" w:cs="Times New Roman"/>
                      <w:bCs/>
                      <w:snapToGrid w:val="0"/>
                      <w:color w:val="auto"/>
                      <w:spacing w:val="6"/>
                      <w:kern w:val="2"/>
                      <w:sz w:val="21"/>
                      <w:szCs w:val="21"/>
                      <w:lang w:val="en-US" w:eastAsia="zh-CN" w:bidi="ar"/>
                    </w:rPr>
                  </w:pPr>
                  <w:r>
                    <w:rPr>
                      <w:rFonts w:hint="default" w:ascii="Times New Roman" w:hAnsi="Times New Roman" w:eastAsia="宋体" w:cs="Times New Roman"/>
                      <w:bCs/>
                      <w:snapToGrid w:val="0"/>
                      <w:color w:val="auto"/>
                      <w:spacing w:val="6"/>
                      <w:kern w:val="2"/>
                      <w:sz w:val="21"/>
                      <w:szCs w:val="21"/>
                      <w:lang w:val="en-US" w:eastAsia="zh-CN" w:bidi="ar"/>
                    </w:rPr>
                    <w:t>浓液</w:t>
                  </w:r>
                </w:p>
              </w:tc>
              <w:tc>
                <w:tcPr>
                  <w:tcW w:w="779" w:type="pct"/>
                  <w:tcBorders>
                    <w:tl2br w:val="nil"/>
                    <w:tr2bl w:val="nil"/>
                  </w:tcBorders>
                  <w:shd w:val="clear" w:color="auto" w:fill="auto"/>
                  <w:vAlign w:val="center"/>
                </w:tcPr>
                <w:p w14:paraId="7DCFB489">
                  <w:pPr>
                    <w:widowControl/>
                    <w:jc w:val="center"/>
                    <w:rPr>
                      <w:rFonts w:hint="default" w:ascii="Times New Roman" w:hAnsi="Times New Roman" w:eastAsia="宋体" w:cs="Times New Roman"/>
                      <w:bCs/>
                      <w:snapToGrid w:val="0"/>
                      <w:color w:val="auto"/>
                      <w:spacing w:val="6"/>
                      <w:kern w:val="2"/>
                      <w:sz w:val="21"/>
                      <w:szCs w:val="21"/>
                      <w:lang w:val="en-US" w:eastAsia="zh-CN" w:bidi="ar"/>
                    </w:rPr>
                  </w:pPr>
                  <w:r>
                    <w:rPr>
                      <w:rFonts w:hint="eastAsia" w:cs="Times New Roman"/>
                      <w:bCs/>
                      <w:snapToGrid w:val="0"/>
                      <w:color w:val="auto"/>
                      <w:spacing w:val="6"/>
                      <w:kern w:val="2"/>
                      <w:sz w:val="21"/>
                      <w:szCs w:val="21"/>
                      <w:lang w:val="en-US" w:eastAsia="zh-CN" w:bidi="ar"/>
                    </w:rPr>
                    <w:t>废水处理</w:t>
                  </w:r>
                </w:p>
              </w:tc>
              <w:tc>
                <w:tcPr>
                  <w:tcW w:w="426" w:type="pct"/>
                  <w:tcBorders>
                    <w:tl2br w:val="nil"/>
                    <w:tr2bl w:val="nil"/>
                  </w:tcBorders>
                  <w:shd w:val="clear" w:color="auto" w:fill="auto"/>
                  <w:vAlign w:val="center"/>
                </w:tcPr>
                <w:p w14:paraId="06092B4A">
                  <w:pPr>
                    <w:widowControl/>
                    <w:jc w:val="center"/>
                    <w:rPr>
                      <w:rFonts w:hint="default" w:ascii="Times New Roman" w:hAnsi="Times New Roman" w:eastAsia="宋体" w:cs="Times New Roman"/>
                      <w:bCs/>
                      <w:snapToGrid w:val="0"/>
                      <w:color w:val="auto"/>
                      <w:spacing w:val="6"/>
                      <w:kern w:val="2"/>
                      <w:sz w:val="21"/>
                      <w:szCs w:val="21"/>
                      <w:lang w:val="en-US" w:eastAsia="zh-CN" w:bidi="ar"/>
                    </w:rPr>
                  </w:pPr>
                  <w:r>
                    <w:rPr>
                      <w:rFonts w:ascii="Times New Roman" w:hAnsi="Times New Roman"/>
                      <w:bCs/>
                      <w:color w:val="auto"/>
                      <w:sz w:val="21"/>
                      <w:szCs w:val="21"/>
                    </w:rPr>
                    <w:t>液态</w:t>
                  </w:r>
                </w:p>
              </w:tc>
              <w:tc>
                <w:tcPr>
                  <w:tcW w:w="720" w:type="pct"/>
                  <w:tcBorders>
                    <w:tl2br w:val="nil"/>
                    <w:tr2bl w:val="nil"/>
                  </w:tcBorders>
                  <w:shd w:val="clear" w:color="auto" w:fill="auto"/>
                  <w:vAlign w:val="center"/>
                </w:tcPr>
                <w:p w14:paraId="17470E4A">
                  <w:pPr>
                    <w:widowControl/>
                    <w:jc w:val="center"/>
                    <w:rPr>
                      <w:rFonts w:hint="default" w:ascii="Times New Roman" w:hAnsi="Times New Roman" w:eastAsia="宋体" w:cs="Times New Roman"/>
                      <w:color w:val="auto"/>
                      <w:spacing w:val="6"/>
                      <w:kern w:val="2"/>
                      <w:sz w:val="21"/>
                      <w:szCs w:val="21"/>
                      <w:lang w:val="en-US" w:eastAsia="zh-CN" w:bidi="ar"/>
                    </w:rPr>
                  </w:pPr>
                  <w:r>
                    <w:rPr>
                      <w:rFonts w:hint="eastAsia" w:cs="Times New Roman"/>
                      <w:color w:val="auto"/>
                      <w:spacing w:val="6"/>
                      <w:kern w:val="2"/>
                      <w:sz w:val="21"/>
                      <w:szCs w:val="21"/>
                      <w:lang w:val="en-US" w:eastAsia="zh-CN" w:bidi="ar"/>
                    </w:rPr>
                    <w:t>矿物油、清洗剂、防锈剂等</w:t>
                  </w:r>
                </w:p>
              </w:tc>
              <w:tc>
                <w:tcPr>
                  <w:tcW w:w="466" w:type="pct"/>
                  <w:tcBorders>
                    <w:tl2br w:val="nil"/>
                    <w:tr2bl w:val="nil"/>
                  </w:tcBorders>
                  <w:shd w:val="clear" w:color="auto" w:fill="auto"/>
                  <w:vAlign w:val="center"/>
                </w:tcPr>
                <w:p w14:paraId="2C763DCA">
                  <w:pPr>
                    <w:widowControl/>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8.44</w:t>
                  </w:r>
                </w:p>
              </w:tc>
              <w:tc>
                <w:tcPr>
                  <w:tcW w:w="312" w:type="pct"/>
                  <w:tcBorders>
                    <w:tl2br w:val="nil"/>
                    <w:tr2bl w:val="nil"/>
                  </w:tcBorders>
                  <w:shd w:val="clear" w:color="auto" w:fill="auto"/>
                  <w:vAlign w:val="center"/>
                </w:tcPr>
                <w:p w14:paraId="677F5A21">
                  <w:pPr>
                    <w:widowControl/>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bCs/>
                      <w:snapToGrid w:val="0"/>
                      <w:color w:val="auto"/>
                      <w:spacing w:val="6"/>
                      <w:sz w:val="21"/>
                      <w:szCs w:val="21"/>
                    </w:rPr>
                    <w:t>√</w:t>
                  </w:r>
                </w:p>
              </w:tc>
              <w:tc>
                <w:tcPr>
                  <w:tcW w:w="337" w:type="pct"/>
                  <w:tcBorders>
                    <w:tl2br w:val="nil"/>
                    <w:tr2bl w:val="nil"/>
                  </w:tcBorders>
                  <w:shd w:val="clear" w:color="auto" w:fill="auto"/>
                  <w:vAlign w:val="center"/>
                </w:tcPr>
                <w:p w14:paraId="6EF42855">
                  <w:pPr>
                    <w:pStyle w:val="22"/>
                    <w:widowControl w:val="0"/>
                    <w:adjustRightInd w:val="0"/>
                    <w:snapToGrid w:val="0"/>
                    <w:spacing w:before="24" w:beforeLines="10" w:beforeAutospacing="0" w:after="24" w:afterLines="10" w:afterAutospacing="0" w:line="256" w:lineRule="auto"/>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w:t>
                  </w:r>
                </w:p>
              </w:tc>
              <w:tc>
                <w:tcPr>
                  <w:tcW w:w="479" w:type="pct"/>
                  <w:tcBorders>
                    <w:tl2br w:val="nil"/>
                    <w:tr2bl w:val="nil"/>
                  </w:tcBorders>
                  <w:shd w:val="clear" w:color="auto" w:fill="auto"/>
                  <w:vAlign w:val="center"/>
                </w:tcPr>
                <w:p w14:paraId="70FDED2B">
                  <w:pPr>
                    <w:widowControl/>
                    <w:jc w:val="center"/>
                    <w:textAlignment w:val="bottom"/>
                    <w:rPr>
                      <w:rFonts w:hint="default" w:ascii="Times New Roman" w:hAnsi="Times New Roman" w:eastAsia="宋体" w:cs="Times New Roman"/>
                      <w:color w:val="auto"/>
                      <w:spacing w:val="5"/>
                      <w:kern w:val="0"/>
                      <w:sz w:val="21"/>
                      <w:szCs w:val="21"/>
                      <w:lang w:val="en-US" w:eastAsia="zh-CN" w:bidi="ar"/>
                    </w:rPr>
                  </w:pPr>
                  <w:r>
                    <w:rPr>
                      <w:rFonts w:hint="eastAsia" w:ascii="Times New Roman" w:hAnsi="Times New Roman" w:eastAsia="宋体" w:cs="Times New Roman"/>
                      <w:color w:val="auto"/>
                      <w:kern w:val="0"/>
                      <w:sz w:val="21"/>
                      <w:szCs w:val="21"/>
                      <w:lang w:val="en-US" w:eastAsia="zh-CN" w:bidi="ar"/>
                    </w:rPr>
                    <w:t>5.2k</w:t>
                  </w:r>
                  <w:r>
                    <w:rPr>
                      <w:rFonts w:ascii="Times New Roman" w:hAnsi="Times New Roman" w:eastAsia="宋体" w:cs="Times New Roman"/>
                      <w:color w:val="auto"/>
                      <w:kern w:val="0"/>
                      <w:sz w:val="21"/>
                      <w:szCs w:val="21"/>
                      <w:lang w:bidi="ar"/>
                    </w:rPr>
                    <w:t>)</w:t>
                  </w:r>
                </w:p>
              </w:tc>
              <w:tc>
                <w:tcPr>
                  <w:tcW w:w="542" w:type="pct"/>
                  <w:tcBorders>
                    <w:tl2br w:val="nil"/>
                    <w:tr2bl w:val="nil"/>
                  </w:tcBorders>
                  <w:shd w:val="clear" w:color="auto" w:fill="auto"/>
                  <w:vAlign w:val="center"/>
                </w:tcPr>
                <w:p w14:paraId="1CB0F4F5">
                  <w:pPr>
                    <w:widowControl/>
                    <w:jc w:val="center"/>
                    <w:textAlignment w:val="bottom"/>
                    <w:rPr>
                      <w:rFonts w:hint="default" w:ascii="Times New Roman" w:hAnsi="Times New Roman" w:eastAsia="宋体" w:cs="Times New Roman"/>
                      <w:color w:val="auto"/>
                      <w:spacing w:val="5"/>
                      <w:kern w:val="0"/>
                      <w:sz w:val="21"/>
                      <w:szCs w:val="21"/>
                      <w:lang w:val="en-US" w:eastAsia="zh-CN" w:bidi="ar"/>
                    </w:rPr>
                  </w:pPr>
                  <w:r>
                    <w:rPr>
                      <w:rFonts w:hint="eastAsia" w:ascii="Times New Roman" w:hAnsi="Times New Roman" w:eastAsia="宋体" w:cs="Times New Roman"/>
                      <w:color w:val="auto"/>
                      <w:kern w:val="0"/>
                      <w:sz w:val="21"/>
                      <w:szCs w:val="21"/>
                      <w:lang w:val="en-US" w:eastAsia="zh-CN" w:bidi="ar"/>
                    </w:rPr>
                    <w:t>7.1b</w:t>
                  </w:r>
                  <w:r>
                    <w:rPr>
                      <w:rFonts w:ascii="Times New Roman" w:hAnsi="Times New Roman" w:eastAsia="宋体" w:cs="Times New Roman"/>
                      <w:color w:val="auto"/>
                      <w:kern w:val="0"/>
                      <w:sz w:val="21"/>
                      <w:szCs w:val="21"/>
                      <w:lang w:bidi="ar"/>
                    </w:rPr>
                    <w:t>)</w:t>
                  </w:r>
                  <w:r>
                    <w:rPr>
                      <w:rFonts w:hint="eastAsia" w:ascii="Times New Roman" w:hAnsi="Times New Roman" w:eastAsia="宋体" w:cs="Times New Roman"/>
                      <w:color w:val="auto"/>
                      <w:kern w:val="0"/>
                      <w:sz w:val="21"/>
                      <w:szCs w:val="21"/>
                      <w:lang w:val="en-US" w:eastAsia="zh-CN" w:bidi="ar"/>
                    </w:rPr>
                    <w:t>/7.1c</w:t>
                  </w:r>
                  <w:r>
                    <w:rPr>
                      <w:rFonts w:ascii="Times New Roman" w:hAnsi="Times New Roman" w:eastAsia="宋体" w:cs="Times New Roman"/>
                      <w:color w:val="auto"/>
                      <w:kern w:val="0"/>
                      <w:sz w:val="21"/>
                      <w:szCs w:val="21"/>
                      <w:lang w:bidi="ar"/>
                    </w:rPr>
                    <w:t>)</w:t>
                  </w:r>
                </w:p>
              </w:tc>
            </w:tr>
            <w:tr w14:paraId="63188354">
              <w:tblPrEx>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CellMar>
                  <w:top w:w="0" w:type="dxa"/>
                  <w:left w:w="57" w:type="dxa"/>
                  <w:bottom w:w="0" w:type="dxa"/>
                  <w:right w:w="57" w:type="dxa"/>
                </w:tblCellMar>
              </w:tblPrEx>
              <w:trPr>
                <w:trHeight w:val="23" w:hRule="atLeast"/>
                <w:jc w:val="center"/>
              </w:trPr>
              <w:tc>
                <w:tcPr>
                  <w:tcW w:w="169" w:type="pct"/>
                  <w:tcBorders>
                    <w:tl2br w:val="nil"/>
                    <w:tr2bl w:val="nil"/>
                  </w:tcBorders>
                  <w:vAlign w:val="center"/>
                </w:tcPr>
                <w:p w14:paraId="6D2F8D0C">
                  <w:pPr>
                    <w:widowControl/>
                    <w:numPr>
                      <w:ilvl w:val="0"/>
                      <w:numId w:val="13"/>
                    </w:numPr>
                    <w:ind w:left="0" w:leftChars="0" w:firstLine="0" w:firstLineChars="0"/>
                    <w:jc w:val="center"/>
                    <w:rPr>
                      <w:rFonts w:hint="default" w:ascii="Times New Roman" w:hAnsi="Times New Roman" w:eastAsia="宋体" w:cs="Times New Roman"/>
                      <w:bCs/>
                      <w:snapToGrid w:val="0"/>
                      <w:color w:val="auto"/>
                      <w:spacing w:val="6"/>
                      <w:sz w:val="21"/>
                      <w:szCs w:val="21"/>
                    </w:rPr>
                  </w:pPr>
                </w:p>
              </w:tc>
              <w:tc>
                <w:tcPr>
                  <w:tcW w:w="765" w:type="pct"/>
                  <w:tcBorders>
                    <w:tl2br w:val="nil"/>
                    <w:tr2bl w:val="nil"/>
                  </w:tcBorders>
                  <w:shd w:val="clear" w:color="auto" w:fill="auto"/>
                  <w:vAlign w:val="center"/>
                </w:tcPr>
                <w:p w14:paraId="27F2D218">
                  <w:pPr>
                    <w:widowControl/>
                    <w:jc w:val="center"/>
                    <w:rPr>
                      <w:rFonts w:hint="default" w:ascii="Times New Roman" w:hAnsi="Times New Roman" w:eastAsia="宋体" w:cs="Times New Roman"/>
                      <w:bCs/>
                      <w:snapToGrid w:val="0"/>
                      <w:color w:val="auto"/>
                      <w:spacing w:val="6"/>
                      <w:kern w:val="2"/>
                      <w:sz w:val="21"/>
                      <w:szCs w:val="21"/>
                      <w:lang w:val="en-US" w:eastAsia="zh-CN" w:bidi="ar"/>
                    </w:rPr>
                  </w:pPr>
                  <w:r>
                    <w:rPr>
                      <w:rFonts w:hint="default" w:ascii="Times New Roman" w:hAnsi="Times New Roman" w:eastAsia="宋体" w:cs="Times New Roman"/>
                      <w:bCs/>
                      <w:snapToGrid w:val="0"/>
                      <w:color w:val="auto"/>
                      <w:spacing w:val="6"/>
                      <w:kern w:val="2"/>
                      <w:sz w:val="21"/>
                      <w:szCs w:val="21"/>
                      <w:lang w:val="en-US" w:eastAsia="zh-CN" w:bidi="ar"/>
                    </w:rPr>
                    <w:t>过滤材料</w:t>
                  </w:r>
                </w:p>
              </w:tc>
              <w:tc>
                <w:tcPr>
                  <w:tcW w:w="779" w:type="pct"/>
                  <w:tcBorders>
                    <w:tl2br w:val="nil"/>
                    <w:tr2bl w:val="nil"/>
                  </w:tcBorders>
                  <w:shd w:val="clear" w:color="auto" w:fill="auto"/>
                  <w:vAlign w:val="center"/>
                </w:tcPr>
                <w:p w14:paraId="1159AF17">
                  <w:pPr>
                    <w:widowControl/>
                    <w:jc w:val="center"/>
                    <w:rPr>
                      <w:rFonts w:hint="default" w:ascii="Times New Roman" w:hAnsi="Times New Roman" w:eastAsia="宋体" w:cs="Times New Roman"/>
                      <w:bCs/>
                      <w:snapToGrid w:val="0"/>
                      <w:color w:val="auto"/>
                      <w:spacing w:val="6"/>
                      <w:kern w:val="2"/>
                      <w:sz w:val="21"/>
                      <w:szCs w:val="21"/>
                      <w:lang w:val="en-US" w:eastAsia="zh-CN" w:bidi="ar"/>
                    </w:rPr>
                  </w:pPr>
                  <w:r>
                    <w:rPr>
                      <w:rFonts w:hint="eastAsia" w:cs="Times New Roman"/>
                      <w:bCs/>
                      <w:snapToGrid w:val="0"/>
                      <w:color w:val="auto"/>
                      <w:spacing w:val="6"/>
                      <w:kern w:val="2"/>
                      <w:sz w:val="21"/>
                      <w:szCs w:val="21"/>
                      <w:lang w:val="en-US" w:eastAsia="zh-CN" w:bidi="ar"/>
                    </w:rPr>
                    <w:t>废水处理</w:t>
                  </w:r>
                </w:p>
              </w:tc>
              <w:tc>
                <w:tcPr>
                  <w:tcW w:w="426" w:type="pct"/>
                  <w:tcBorders>
                    <w:tl2br w:val="nil"/>
                    <w:tr2bl w:val="nil"/>
                  </w:tcBorders>
                  <w:shd w:val="clear" w:color="auto" w:fill="auto"/>
                  <w:vAlign w:val="center"/>
                </w:tcPr>
                <w:p w14:paraId="518C7866">
                  <w:pPr>
                    <w:widowControl/>
                    <w:jc w:val="center"/>
                    <w:rPr>
                      <w:rFonts w:hint="default" w:ascii="Times New Roman" w:hAnsi="Times New Roman" w:eastAsia="宋体" w:cs="Times New Roman"/>
                      <w:bCs/>
                      <w:snapToGrid w:val="0"/>
                      <w:color w:val="auto"/>
                      <w:spacing w:val="6"/>
                      <w:kern w:val="2"/>
                      <w:sz w:val="21"/>
                      <w:szCs w:val="21"/>
                      <w:lang w:val="en-US" w:eastAsia="zh-CN" w:bidi="ar"/>
                    </w:rPr>
                  </w:pPr>
                  <w:r>
                    <w:rPr>
                      <w:rFonts w:hint="eastAsia" w:cs="Times New Roman"/>
                      <w:bCs/>
                      <w:snapToGrid w:val="0"/>
                      <w:color w:val="auto"/>
                      <w:spacing w:val="6"/>
                      <w:kern w:val="2"/>
                      <w:sz w:val="21"/>
                      <w:szCs w:val="21"/>
                      <w:lang w:val="en-US" w:eastAsia="zh-CN" w:bidi="ar"/>
                    </w:rPr>
                    <w:t>固态</w:t>
                  </w:r>
                </w:p>
              </w:tc>
              <w:tc>
                <w:tcPr>
                  <w:tcW w:w="720" w:type="pct"/>
                  <w:tcBorders>
                    <w:tl2br w:val="nil"/>
                    <w:tr2bl w:val="nil"/>
                  </w:tcBorders>
                  <w:shd w:val="clear" w:color="auto" w:fill="auto"/>
                  <w:vAlign w:val="center"/>
                </w:tcPr>
                <w:p w14:paraId="1931B7C2">
                  <w:pPr>
                    <w:widowControl/>
                    <w:jc w:val="center"/>
                    <w:rPr>
                      <w:rFonts w:hint="default" w:ascii="Times New Roman" w:hAnsi="Times New Roman" w:eastAsia="宋体" w:cs="Times New Roman"/>
                      <w:color w:val="auto"/>
                      <w:spacing w:val="6"/>
                      <w:kern w:val="2"/>
                      <w:sz w:val="21"/>
                      <w:szCs w:val="21"/>
                      <w:lang w:val="en-US" w:eastAsia="zh-CN" w:bidi="ar"/>
                    </w:rPr>
                  </w:pPr>
                  <w:r>
                    <w:rPr>
                      <w:rFonts w:hint="eastAsia" w:ascii="Times New Roman" w:hAnsi="Times New Roman" w:eastAsia="宋体" w:cs="Times New Roman"/>
                      <w:bCs/>
                      <w:snapToGrid w:val="0"/>
                      <w:color w:val="auto"/>
                      <w:spacing w:val="6"/>
                      <w:kern w:val="2"/>
                      <w:sz w:val="21"/>
                      <w:szCs w:val="21"/>
                      <w:lang w:val="en-US" w:eastAsia="zh-CN" w:bidi="ar"/>
                    </w:rPr>
                    <w:t>滤袋、陶瓷膜、矿物油等</w:t>
                  </w:r>
                </w:p>
              </w:tc>
              <w:tc>
                <w:tcPr>
                  <w:tcW w:w="466" w:type="pct"/>
                  <w:tcBorders>
                    <w:tl2br w:val="nil"/>
                    <w:tr2bl w:val="nil"/>
                  </w:tcBorders>
                  <w:shd w:val="clear" w:color="auto" w:fill="auto"/>
                  <w:vAlign w:val="center"/>
                </w:tcPr>
                <w:p w14:paraId="00A31270">
                  <w:pPr>
                    <w:widowControl/>
                    <w:jc w:val="center"/>
                    <w:rPr>
                      <w:rFonts w:hint="default" w:ascii="Times New Roman" w:hAnsi="Times New Roman" w:eastAsia="宋体" w:cs="Times New Roman"/>
                      <w:color w:val="auto"/>
                      <w:kern w:val="2"/>
                      <w:sz w:val="21"/>
                      <w:szCs w:val="21"/>
                      <w:lang w:val="en-US" w:eastAsia="zh-CN" w:bidi="ar-SA"/>
                    </w:rPr>
                  </w:pPr>
                  <w:r>
                    <w:rPr>
                      <w:rFonts w:hint="eastAsia"/>
                      <w:bCs/>
                      <w:color w:val="auto"/>
                      <w:sz w:val="24"/>
                      <w:szCs w:val="24"/>
                      <w:lang w:val="en-US" w:eastAsia="zh-CN"/>
                    </w:rPr>
                    <w:t>0.5t/2a</w:t>
                  </w:r>
                </w:p>
              </w:tc>
              <w:tc>
                <w:tcPr>
                  <w:tcW w:w="312" w:type="pct"/>
                  <w:tcBorders>
                    <w:tl2br w:val="nil"/>
                    <w:tr2bl w:val="nil"/>
                  </w:tcBorders>
                  <w:shd w:val="clear" w:color="auto" w:fill="auto"/>
                  <w:vAlign w:val="center"/>
                </w:tcPr>
                <w:p w14:paraId="4C19230C">
                  <w:pPr>
                    <w:widowControl/>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bCs/>
                      <w:snapToGrid w:val="0"/>
                      <w:color w:val="auto"/>
                      <w:spacing w:val="6"/>
                      <w:sz w:val="21"/>
                      <w:szCs w:val="21"/>
                    </w:rPr>
                    <w:t>√</w:t>
                  </w:r>
                </w:p>
              </w:tc>
              <w:tc>
                <w:tcPr>
                  <w:tcW w:w="337" w:type="pct"/>
                  <w:tcBorders>
                    <w:tl2br w:val="nil"/>
                    <w:tr2bl w:val="nil"/>
                  </w:tcBorders>
                  <w:shd w:val="clear" w:color="auto" w:fill="auto"/>
                  <w:vAlign w:val="center"/>
                </w:tcPr>
                <w:p w14:paraId="60A65A0F">
                  <w:pPr>
                    <w:pStyle w:val="22"/>
                    <w:widowControl w:val="0"/>
                    <w:adjustRightInd w:val="0"/>
                    <w:snapToGrid w:val="0"/>
                    <w:spacing w:before="24" w:beforeLines="10" w:beforeAutospacing="0" w:after="24" w:afterLines="10" w:afterAutospacing="0" w:line="256" w:lineRule="auto"/>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w:t>
                  </w:r>
                </w:p>
              </w:tc>
              <w:tc>
                <w:tcPr>
                  <w:tcW w:w="479" w:type="pct"/>
                  <w:tcBorders>
                    <w:tl2br w:val="nil"/>
                    <w:tr2bl w:val="nil"/>
                  </w:tcBorders>
                  <w:shd w:val="clear" w:color="auto" w:fill="auto"/>
                  <w:vAlign w:val="center"/>
                </w:tcPr>
                <w:p w14:paraId="2AAB4BD2">
                  <w:pPr>
                    <w:widowControl/>
                    <w:jc w:val="center"/>
                    <w:textAlignment w:val="bottom"/>
                    <w:rPr>
                      <w:rFonts w:hint="default" w:ascii="Times New Roman" w:hAnsi="Times New Roman" w:eastAsia="宋体" w:cs="Times New Roman"/>
                      <w:color w:val="auto"/>
                      <w:spacing w:val="5"/>
                      <w:kern w:val="0"/>
                      <w:sz w:val="21"/>
                      <w:szCs w:val="21"/>
                      <w:lang w:val="en-US" w:eastAsia="zh-CN" w:bidi="ar"/>
                    </w:rPr>
                  </w:pPr>
                  <w:r>
                    <w:rPr>
                      <w:rFonts w:hint="eastAsia" w:ascii="Times New Roman" w:hAnsi="Times New Roman" w:eastAsia="宋体" w:cs="Times New Roman"/>
                      <w:color w:val="auto"/>
                      <w:kern w:val="0"/>
                      <w:sz w:val="21"/>
                      <w:szCs w:val="21"/>
                      <w:lang w:val="en-US" w:eastAsia="zh-CN" w:bidi="ar"/>
                    </w:rPr>
                    <w:t>4.1d</w:t>
                  </w:r>
                  <w:r>
                    <w:rPr>
                      <w:rFonts w:ascii="Times New Roman" w:hAnsi="Times New Roman" w:eastAsia="宋体" w:cs="Times New Roman"/>
                      <w:color w:val="auto"/>
                      <w:kern w:val="0"/>
                      <w:sz w:val="21"/>
                      <w:szCs w:val="21"/>
                      <w:lang w:bidi="ar"/>
                    </w:rPr>
                    <w:t>)</w:t>
                  </w:r>
                </w:p>
              </w:tc>
              <w:tc>
                <w:tcPr>
                  <w:tcW w:w="542" w:type="pct"/>
                  <w:tcBorders>
                    <w:tl2br w:val="nil"/>
                    <w:tr2bl w:val="nil"/>
                  </w:tcBorders>
                  <w:shd w:val="clear" w:color="auto" w:fill="auto"/>
                  <w:vAlign w:val="center"/>
                </w:tcPr>
                <w:p w14:paraId="2CECCD0F">
                  <w:pPr>
                    <w:widowControl/>
                    <w:jc w:val="center"/>
                    <w:textAlignment w:val="bottom"/>
                    <w:rPr>
                      <w:rFonts w:hint="default" w:ascii="Times New Roman" w:hAnsi="Times New Roman" w:eastAsia="宋体" w:cs="Times New Roman"/>
                      <w:color w:val="auto"/>
                      <w:spacing w:val="5"/>
                      <w:kern w:val="0"/>
                      <w:sz w:val="21"/>
                      <w:szCs w:val="21"/>
                      <w:lang w:val="en-US" w:eastAsia="zh-CN" w:bidi="ar"/>
                    </w:rPr>
                  </w:pPr>
                  <w:r>
                    <w:rPr>
                      <w:rFonts w:hint="eastAsia" w:ascii="Times New Roman" w:hAnsi="Times New Roman" w:eastAsia="宋体" w:cs="Times New Roman"/>
                      <w:color w:val="auto"/>
                      <w:kern w:val="0"/>
                      <w:sz w:val="21"/>
                      <w:szCs w:val="21"/>
                      <w:lang w:val="en-US" w:eastAsia="zh-CN" w:bidi="ar"/>
                    </w:rPr>
                    <w:t>7.1b</w:t>
                  </w:r>
                  <w:r>
                    <w:rPr>
                      <w:rFonts w:ascii="Times New Roman" w:hAnsi="Times New Roman" w:eastAsia="宋体" w:cs="Times New Roman"/>
                      <w:color w:val="auto"/>
                      <w:kern w:val="0"/>
                      <w:sz w:val="21"/>
                      <w:szCs w:val="21"/>
                      <w:lang w:bidi="ar"/>
                    </w:rPr>
                    <w:t>)</w:t>
                  </w:r>
                  <w:r>
                    <w:rPr>
                      <w:rFonts w:hint="eastAsia" w:ascii="Times New Roman" w:hAnsi="Times New Roman" w:eastAsia="宋体" w:cs="Times New Roman"/>
                      <w:color w:val="auto"/>
                      <w:kern w:val="0"/>
                      <w:sz w:val="21"/>
                      <w:szCs w:val="21"/>
                      <w:lang w:val="en-US" w:eastAsia="zh-CN" w:bidi="ar"/>
                    </w:rPr>
                    <w:t>/7.1c</w:t>
                  </w:r>
                  <w:r>
                    <w:rPr>
                      <w:rFonts w:ascii="Times New Roman" w:hAnsi="Times New Roman" w:eastAsia="宋体" w:cs="Times New Roman"/>
                      <w:color w:val="auto"/>
                      <w:kern w:val="0"/>
                      <w:sz w:val="21"/>
                      <w:szCs w:val="21"/>
                      <w:lang w:bidi="ar"/>
                    </w:rPr>
                    <w:t>)</w:t>
                  </w:r>
                </w:p>
              </w:tc>
            </w:tr>
            <w:tr w14:paraId="05808535">
              <w:tblPrEx>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CellMar>
                  <w:top w:w="0" w:type="dxa"/>
                  <w:left w:w="57" w:type="dxa"/>
                  <w:bottom w:w="0" w:type="dxa"/>
                  <w:right w:w="57" w:type="dxa"/>
                </w:tblCellMar>
              </w:tblPrEx>
              <w:trPr>
                <w:trHeight w:val="23" w:hRule="atLeast"/>
                <w:jc w:val="center"/>
              </w:trPr>
              <w:tc>
                <w:tcPr>
                  <w:tcW w:w="169" w:type="pct"/>
                  <w:tcBorders>
                    <w:tl2br w:val="nil"/>
                    <w:tr2bl w:val="nil"/>
                  </w:tcBorders>
                  <w:vAlign w:val="center"/>
                </w:tcPr>
                <w:p w14:paraId="5792B4A7">
                  <w:pPr>
                    <w:widowControl/>
                    <w:numPr>
                      <w:ilvl w:val="0"/>
                      <w:numId w:val="13"/>
                    </w:numPr>
                    <w:ind w:left="0" w:leftChars="0" w:firstLine="0" w:firstLineChars="0"/>
                    <w:jc w:val="center"/>
                    <w:rPr>
                      <w:rFonts w:hint="default" w:ascii="Times New Roman" w:hAnsi="Times New Roman" w:eastAsia="宋体" w:cs="Times New Roman"/>
                      <w:bCs/>
                      <w:snapToGrid w:val="0"/>
                      <w:color w:val="auto"/>
                      <w:spacing w:val="6"/>
                      <w:sz w:val="21"/>
                      <w:szCs w:val="21"/>
                    </w:rPr>
                  </w:pPr>
                </w:p>
              </w:tc>
              <w:tc>
                <w:tcPr>
                  <w:tcW w:w="765" w:type="pct"/>
                  <w:tcBorders>
                    <w:tl2br w:val="nil"/>
                    <w:tr2bl w:val="nil"/>
                  </w:tcBorders>
                  <w:shd w:val="clear" w:color="auto" w:fill="auto"/>
                  <w:vAlign w:val="center"/>
                </w:tcPr>
                <w:p w14:paraId="0E999B13">
                  <w:pPr>
                    <w:widowControl/>
                    <w:jc w:val="center"/>
                    <w:rPr>
                      <w:rFonts w:hint="default" w:ascii="Times New Roman" w:hAnsi="Times New Roman" w:eastAsia="宋体" w:cs="Times New Roman"/>
                      <w:bCs/>
                      <w:snapToGrid w:val="0"/>
                      <w:color w:val="auto"/>
                      <w:spacing w:val="6"/>
                      <w:kern w:val="2"/>
                      <w:sz w:val="21"/>
                      <w:szCs w:val="21"/>
                      <w:lang w:val="en-US" w:eastAsia="zh-CN" w:bidi="ar"/>
                    </w:rPr>
                  </w:pPr>
                  <w:r>
                    <w:rPr>
                      <w:rFonts w:hint="eastAsia"/>
                      <w:bCs/>
                      <w:snapToGrid w:val="0"/>
                      <w:color w:val="auto"/>
                      <w:spacing w:val="6"/>
                    </w:rPr>
                    <w:t>空压机含油废水</w:t>
                  </w:r>
                </w:p>
              </w:tc>
              <w:tc>
                <w:tcPr>
                  <w:tcW w:w="779" w:type="pct"/>
                  <w:tcBorders>
                    <w:tl2br w:val="nil"/>
                    <w:tr2bl w:val="nil"/>
                  </w:tcBorders>
                  <w:shd w:val="clear" w:color="auto" w:fill="auto"/>
                  <w:vAlign w:val="center"/>
                </w:tcPr>
                <w:p w14:paraId="1A0A52A7">
                  <w:pPr>
                    <w:widowControl/>
                    <w:jc w:val="center"/>
                    <w:rPr>
                      <w:rFonts w:hint="eastAsia" w:ascii="Times New Roman" w:hAnsi="Times New Roman" w:eastAsia="宋体" w:cs="Times New Roman"/>
                      <w:bCs/>
                      <w:snapToGrid w:val="0"/>
                      <w:color w:val="auto"/>
                      <w:spacing w:val="6"/>
                      <w:kern w:val="2"/>
                      <w:sz w:val="21"/>
                      <w:szCs w:val="21"/>
                      <w:lang w:val="en-US" w:eastAsia="zh-CN" w:bidi="ar"/>
                    </w:rPr>
                  </w:pPr>
                  <w:r>
                    <w:rPr>
                      <w:rFonts w:hint="eastAsia"/>
                      <w:bCs/>
                      <w:snapToGrid w:val="0"/>
                      <w:color w:val="auto"/>
                      <w:spacing w:val="6"/>
                    </w:rPr>
                    <w:t>空压机</w:t>
                  </w:r>
                  <w:r>
                    <w:rPr>
                      <w:rFonts w:hint="eastAsia"/>
                      <w:bCs/>
                      <w:snapToGrid w:val="0"/>
                      <w:color w:val="auto"/>
                      <w:spacing w:val="6"/>
                      <w:lang w:val="en-US" w:eastAsia="zh-CN"/>
                    </w:rPr>
                    <w:t>运行</w:t>
                  </w:r>
                </w:p>
              </w:tc>
              <w:tc>
                <w:tcPr>
                  <w:tcW w:w="426" w:type="pct"/>
                  <w:tcBorders>
                    <w:tl2br w:val="nil"/>
                    <w:tr2bl w:val="nil"/>
                  </w:tcBorders>
                  <w:shd w:val="clear" w:color="auto" w:fill="auto"/>
                  <w:vAlign w:val="center"/>
                </w:tcPr>
                <w:p w14:paraId="59F382E8">
                  <w:pPr>
                    <w:widowControl/>
                    <w:jc w:val="center"/>
                    <w:rPr>
                      <w:rFonts w:hint="eastAsia" w:ascii="Times New Roman" w:hAnsi="Times New Roman" w:eastAsia="宋体" w:cs="Times New Roman"/>
                      <w:bCs/>
                      <w:snapToGrid w:val="0"/>
                      <w:color w:val="auto"/>
                      <w:spacing w:val="6"/>
                      <w:kern w:val="2"/>
                      <w:sz w:val="21"/>
                      <w:szCs w:val="21"/>
                      <w:lang w:val="en-US" w:eastAsia="zh-CN" w:bidi="ar"/>
                    </w:rPr>
                  </w:pPr>
                  <w:r>
                    <w:rPr>
                      <w:rFonts w:hint="eastAsia"/>
                      <w:bCs/>
                      <w:snapToGrid w:val="0"/>
                      <w:color w:val="auto"/>
                      <w:spacing w:val="6"/>
                      <w:lang w:val="en-US" w:eastAsia="zh-CN"/>
                    </w:rPr>
                    <w:t>液态</w:t>
                  </w:r>
                </w:p>
              </w:tc>
              <w:tc>
                <w:tcPr>
                  <w:tcW w:w="720" w:type="pct"/>
                  <w:tcBorders>
                    <w:tl2br w:val="nil"/>
                    <w:tr2bl w:val="nil"/>
                  </w:tcBorders>
                  <w:shd w:val="clear" w:color="auto" w:fill="auto"/>
                  <w:vAlign w:val="center"/>
                </w:tcPr>
                <w:p w14:paraId="5BED9718">
                  <w:pPr>
                    <w:widowControl/>
                    <w:jc w:val="center"/>
                    <w:rPr>
                      <w:rFonts w:hint="default" w:ascii="Times New Roman" w:hAnsi="Times New Roman" w:eastAsia="宋体" w:cs="Times New Roman"/>
                      <w:bCs/>
                      <w:snapToGrid w:val="0"/>
                      <w:color w:val="auto"/>
                      <w:spacing w:val="6"/>
                      <w:kern w:val="2"/>
                      <w:sz w:val="21"/>
                      <w:szCs w:val="21"/>
                      <w:lang w:val="en-US" w:eastAsia="zh-CN" w:bidi="ar"/>
                    </w:rPr>
                  </w:pPr>
                  <w:r>
                    <w:rPr>
                      <w:rFonts w:hint="eastAsia" w:ascii="Times New Roman" w:hAnsi="Times New Roman"/>
                      <w:color w:val="auto"/>
                      <w:sz w:val="21"/>
                      <w:szCs w:val="21"/>
                    </w:rPr>
                    <w:t>矿物油、水</w:t>
                  </w:r>
                </w:p>
              </w:tc>
              <w:tc>
                <w:tcPr>
                  <w:tcW w:w="466" w:type="pct"/>
                  <w:tcBorders>
                    <w:tl2br w:val="nil"/>
                    <w:tr2bl w:val="nil"/>
                  </w:tcBorders>
                  <w:shd w:val="clear" w:color="auto" w:fill="auto"/>
                  <w:vAlign w:val="center"/>
                </w:tcPr>
                <w:p w14:paraId="7BA87DAA">
                  <w:pPr>
                    <w:widowControl/>
                    <w:jc w:val="center"/>
                    <w:rPr>
                      <w:rFonts w:hint="eastAsia" w:ascii="Times New Roman" w:hAnsi="Times New Roman" w:eastAsia="宋体" w:cs="Times New Roman"/>
                      <w:bCs/>
                      <w:snapToGrid w:val="0"/>
                      <w:color w:val="auto"/>
                      <w:spacing w:val="6"/>
                      <w:kern w:val="2"/>
                      <w:sz w:val="21"/>
                      <w:szCs w:val="21"/>
                      <w:lang w:val="en-US" w:eastAsia="zh-CN" w:bidi="ar"/>
                    </w:rPr>
                  </w:pPr>
                  <w:r>
                    <w:rPr>
                      <w:rFonts w:hint="eastAsia"/>
                      <w:bCs/>
                      <w:snapToGrid w:val="0"/>
                      <w:color w:val="auto"/>
                      <w:spacing w:val="6"/>
                    </w:rPr>
                    <w:t>0.1</w:t>
                  </w:r>
                </w:p>
              </w:tc>
              <w:tc>
                <w:tcPr>
                  <w:tcW w:w="312" w:type="pct"/>
                  <w:tcBorders>
                    <w:tl2br w:val="nil"/>
                    <w:tr2bl w:val="nil"/>
                  </w:tcBorders>
                  <w:shd w:val="clear" w:color="auto" w:fill="auto"/>
                  <w:vAlign w:val="center"/>
                </w:tcPr>
                <w:p w14:paraId="1D58F48A">
                  <w:pPr>
                    <w:widowControl/>
                    <w:jc w:val="center"/>
                    <w:rPr>
                      <w:rFonts w:hint="default" w:ascii="Times New Roman" w:hAnsi="Times New Roman" w:eastAsia="宋体" w:cs="Times New Roman"/>
                      <w:bCs/>
                      <w:snapToGrid w:val="0"/>
                      <w:color w:val="auto"/>
                      <w:spacing w:val="6"/>
                      <w:kern w:val="2"/>
                      <w:sz w:val="21"/>
                      <w:szCs w:val="21"/>
                      <w:lang w:val="en-US" w:eastAsia="zh-CN" w:bidi="ar-SA"/>
                    </w:rPr>
                  </w:pPr>
                  <w:r>
                    <w:rPr>
                      <w:bCs/>
                      <w:snapToGrid w:val="0"/>
                      <w:color w:val="auto"/>
                      <w:spacing w:val="6"/>
                    </w:rPr>
                    <w:t>√</w:t>
                  </w:r>
                </w:p>
              </w:tc>
              <w:tc>
                <w:tcPr>
                  <w:tcW w:w="337" w:type="pct"/>
                  <w:tcBorders>
                    <w:tl2br w:val="nil"/>
                    <w:tr2bl w:val="nil"/>
                  </w:tcBorders>
                  <w:shd w:val="clear" w:color="auto" w:fill="auto"/>
                  <w:vAlign w:val="center"/>
                </w:tcPr>
                <w:p w14:paraId="2FCF8325">
                  <w:pPr>
                    <w:widowControl/>
                    <w:jc w:val="center"/>
                    <w:rPr>
                      <w:rFonts w:hint="default" w:ascii="Times New Roman" w:hAnsi="Times New Roman" w:eastAsia="宋体" w:cs="Times New Roman"/>
                      <w:bCs/>
                      <w:snapToGrid w:val="0"/>
                      <w:color w:val="auto"/>
                      <w:spacing w:val="6"/>
                      <w:kern w:val="2"/>
                      <w:sz w:val="21"/>
                      <w:szCs w:val="21"/>
                      <w:lang w:val="en-US" w:eastAsia="zh-CN" w:bidi="ar-SA"/>
                    </w:rPr>
                  </w:pPr>
                  <w:r>
                    <w:rPr>
                      <w:bCs/>
                      <w:snapToGrid w:val="0"/>
                      <w:color w:val="auto"/>
                      <w:spacing w:val="6"/>
                    </w:rPr>
                    <w:t>/</w:t>
                  </w:r>
                </w:p>
              </w:tc>
              <w:tc>
                <w:tcPr>
                  <w:tcW w:w="479" w:type="pct"/>
                  <w:tcBorders>
                    <w:tl2br w:val="nil"/>
                    <w:tr2bl w:val="nil"/>
                  </w:tcBorders>
                  <w:shd w:val="clear" w:color="auto" w:fill="auto"/>
                  <w:vAlign w:val="center"/>
                </w:tcPr>
                <w:p w14:paraId="0A12A12F">
                  <w:pPr>
                    <w:pStyle w:val="34"/>
                    <w:spacing w:before="24" w:after="24"/>
                    <w:ind w:firstLine="0" w:firstLineChars="0"/>
                    <w:rPr>
                      <w:rFonts w:hint="eastAsia" w:ascii="Times New Roman" w:hAnsi="Times New Roman" w:eastAsia="宋体" w:cs="Times New Roman"/>
                      <w:color w:val="auto"/>
                      <w:spacing w:val="-10"/>
                      <w:kern w:val="0"/>
                      <w:sz w:val="21"/>
                      <w:szCs w:val="21"/>
                      <w:lang w:val="en-US" w:eastAsia="zh-CN" w:bidi="ar-SA"/>
                    </w:rPr>
                  </w:pPr>
                  <w:r>
                    <w:rPr>
                      <w:rFonts w:hint="default" w:ascii="Times New Roman" w:hAnsi="Times New Roman" w:eastAsia="宋体" w:cs="Times New Roman"/>
                      <w:bCs/>
                      <w:snapToGrid w:val="0"/>
                      <w:color w:val="auto"/>
                      <w:spacing w:val="6"/>
                      <w:kern w:val="2"/>
                      <w:sz w:val="21"/>
                      <w:szCs w:val="21"/>
                      <w:lang w:val="en-US" w:eastAsia="zh-CN" w:bidi="ar-SA"/>
                    </w:rPr>
                    <w:t>4.1d)</w:t>
                  </w:r>
                </w:p>
              </w:tc>
              <w:tc>
                <w:tcPr>
                  <w:tcW w:w="542" w:type="pct"/>
                  <w:tcBorders>
                    <w:tl2br w:val="nil"/>
                    <w:tr2bl w:val="nil"/>
                  </w:tcBorders>
                  <w:shd w:val="clear" w:color="auto" w:fill="auto"/>
                  <w:vAlign w:val="center"/>
                </w:tcPr>
                <w:p w14:paraId="42271471">
                  <w:pPr>
                    <w:spacing w:before="24" w:after="24"/>
                    <w:ind w:firstLine="0" w:firstLineChars="0"/>
                    <w:jc w:val="center"/>
                    <w:rPr>
                      <w:rFonts w:hint="eastAsia" w:ascii="Times New Roman" w:hAnsi="Times New Roman" w:eastAsia="宋体" w:cs="Times New Roman"/>
                      <w:color w:val="auto"/>
                      <w:spacing w:val="-10"/>
                      <w:kern w:val="0"/>
                      <w:sz w:val="21"/>
                      <w:szCs w:val="21"/>
                      <w:lang w:val="en-US" w:eastAsia="zh-CN" w:bidi="ar-SA"/>
                    </w:rPr>
                  </w:pPr>
                  <w:r>
                    <w:rPr>
                      <w:rFonts w:hint="default" w:ascii="Times New Roman" w:hAnsi="Times New Roman" w:eastAsia="宋体" w:cs="Times New Roman"/>
                      <w:bCs/>
                      <w:snapToGrid w:val="0"/>
                      <w:color w:val="auto"/>
                      <w:spacing w:val="6"/>
                      <w:kern w:val="2"/>
                      <w:sz w:val="21"/>
                      <w:szCs w:val="21"/>
                      <w:lang w:val="en-US" w:eastAsia="zh-CN" w:bidi="ar-SA"/>
                    </w:rPr>
                    <w:t>7.1b)/7.1c)</w:t>
                  </w:r>
                </w:p>
              </w:tc>
            </w:tr>
            <w:tr w14:paraId="17799AA4">
              <w:tblPrEx>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CellMar>
                  <w:top w:w="0" w:type="dxa"/>
                  <w:left w:w="57" w:type="dxa"/>
                  <w:bottom w:w="0" w:type="dxa"/>
                  <w:right w:w="57" w:type="dxa"/>
                </w:tblCellMar>
              </w:tblPrEx>
              <w:trPr>
                <w:trHeight w:val="23" w:hRule="atLeast"/>
                <w:jc w:val="center"/>
              </w:trPr>
              <w:tc>
                <w:tcPr>
                  <w:tcW w:w="169" w:type="pct"/>
                  <w:tcBorders>
                    <w:tl2br w:val="nil"/>
                    <w:tr2bl w:val="nil"/>
                  </w:tcBorders>
                  <w:vAlign w:val="center"/>
                </w:tcPr>
                <w:p w14:paraId="2C281CA2">
                  <w:pPr>
                    <w:widowControl/>
                    <w:numPr>
                      <w:ilvl w:val="0"/>
                      <w:numId w:val="13"/>
                    </w:numPr>
                    <w:ind w:left="0" w:leftChars="0" w:firstLine="0" w:firstLineChars="0"/>
                    <w:jc w:val="center"/>
                    <w:rPr>
                      <w:rFonts w:hint="default" w:ascii="Times New Roman" w:hAnsi="Times New Roman" w:eastAsia="宋体" w:cs="Times New Roman"/>
                      <w:bCs/>
                      <w:snapToGrid w:val="0"/>
                      <w:color w:val="auto"/>
                      <w:spacing w:val="6"/>
                      <w:sz w:val="21"/>
                      <w:szCs w:val="21"/>
                    </w:rPr>
                  </w:pPr>
                </w:p>
              </w:tc>
              <w:tc>
                <w:tcPr>
                  <w:tcW w:w="765" w:type="pct"/>
                  <w:tcBorders>
                    <w:tl2br w:val="nil"/>
                    <w:tr2bl w:val="nil"/>
                  </w:tcBorders>
                  <w:shd w:val="clear" w:color="auto" w:fill="auto"/>
                  <w:vAlign w:val="center"/>
                </w:tcPr>
                <w:p w14:paraId="31073483">
                  <w:pPr>
                    <w:widowControl/>
                    <w:jc w:val="center"/>
                    <w:rPr>
                      <w:rFonts w:hint="eastAsia" w:ascii="Times New Roman" w:hAnsi="Times New Roman" w:eastAsia="宋体" w:cs="Times New Roman"/>
                      <w:bCs/>
                      <w:snapToGrid w:val="0"/>
                      <w:color w:val="auto"/>
                      <w:spacing w:val="6"/>
                      <w:kern w:val="2"/>
                      <w:sz w:val="21"/>
                      <w:szCs w:val="21"/>
                      <w:lang w:val="en-US" w:eastAsia="zh-CN" w:bidi="ar"/>
                    </w:rPr>
                  </w:pPr>
                  <w:r>
                    <w:rPr>
                      <w:rFonts w:hint="default" w:ascii="Times New Roman" w:hAnsi="Times New Roman" w:eastAsia="宋体" w:cs="Times New Roman"/>
                      <w:bCs/>
                      <w:snapToGrid w:val="0"/>
                      <w:color w:val="auto"/>
                      <w:spacing w:val="6"/>
                      <w:sz w:val="21"/>
                      <w:szCs w:val="21"/>
                    </w:rPr>
                    <w:t>抛光废料</w:t>
                  </w:r>
                </w:p>
              </w:tc>
              <w:tc>
                <w:tcPr>
                  <w:tcW w:w="779" w:type="pct"/>
                  <w:tcBorders>
                    <w:tl2br w:val="nil"/>
                    <w:tr2bl w:val="nil"/>
                  </w:tcBorders>
                  <w:shd w:val="clear" w:color="auto" w:fill="auto"/>
                  <w:vAlign w:val="center"/>
                </w:tcPr>
                <w:p w14:paraId="2E23CB41">
                  <w:pPr>
                    <w:widowControl/>
                    <w:jc w:val="center"/>
                    <w:rPr>
                      <w:rFonts w:hint="eastAsia" w:ascii="Times New Roman" w:hAnsi="Times New Roman" w:eastAsia="宋体" w:cs="Times New Roman"/>
                      <w:bCs/>
                      <w:snapToGrid w:val="0"/>
                      <w:color w:val="auto"/>
                      <w:spacing w:val="6"/>
                      <w:kern w:val="2"/>
                      <w:sz w:val="21"/>
                      <w:szCs w:val="21"/>
                      <w:lang w:val="en-US" w:eastAsia="zh-CN" w:bidi="ar"/>
                    </w:rPr>
                  </w:pPr>
                  <w:r>
                    <w:rPr>
                      <w:rFonts w:hint="default" w:ascii="Times New Roman" w:hAnsi="Times New Roman" w:eastAsia="宋体" w:cs="Times New Roman"/>
                      <w:bCs/>
                      <w:snapToGrid w:val="0"/>
                      <w:color w:val="auto"/>
                      <w:spacing w:val="6"/>
                      <w:sz w:val="21"/>
                      <w:szCs w:val="21"/>
                    </w:rPr>
                    <w:t>抛光测试</w:t>
                  </w:r>
                </w:p>
              </w:tc>
              <w:tc>
                <w:tcPr>
                  <w:tcW w:w="426" w:type="pct"/>
                  <w:tcBorders>
                    <w:tl2br w:val="nil"/>
                    <w:tr2bl w:val="nil"/>
                  </w:tcBorders>
                  <w:shd w:val="clear" w:color="auto" w:fill="auto"/>
                  <w:vAlign w:val="center"/>
                </w:tcPr>
                <w:p w14:paraId="72A09D56">
                  <w:pPr>
                    <w:widowControl/>
                    <w:jc w:val="center"/>
                    <w:rPr>
                      <w:rFonts w:hint="eastAsia" w:ascii="Times New Roman" w:hAnsi="Times New Roman" w:eastAsia="宋体" w:cs="Times New Roman"/>
                      <w:bCs/>
                      <w:snapToGrid w:val="0"/>
                      <w:color w:val="auto"/>
                      <w:spacing w:val="6"/>
                      <w:kern w:val="2"/>
                      <w:sz w:val="21"/>
                      <w:szCs w:val="21"/>
                      <w:lang w:val="en-US" w:eastAsia="zh-CN" w:bidi="ar"/>
                    </w:rPr>
                  </w:pPr>
                  <w:r>
                    <w:rPr>
                      <w:rFonts w:hint="default" w:ascii="Times New Roman" w:hAnsi="Times New Roman" w:eastAsia="宋体" w:cs="Times New Roman"/>
                      <w:bCs/>
                      <w:snapToGrid w:val="0"/>
                      <w:color w:val="auto"/>
                      <w:spacing w:val="6"/>
                      <w:sz w:val="21"/>
                      <w:szCs w:val="21"/>
                    </w:rPr>
                    <w:t>固态</w:t>
                  </w:r>
                </w:p>
              </w:tc>
              <w:tc>
                <w:tcPr>
                  <w:tcW w:w="720" w:type="pct"/>
                  <w:tcBorders>
                    <w:tl2br w:val="nil"/>
                    <w:tr2bl w:val="nil"/>
                  </w:tcBorders>
                  <w:shd w:val="clear" w:color="auto" w:fill="auto"/>
                  <w:vAlign w:val="center"/>
                </w:tcPr>
                <w:p w14:paraId="029ADAAE">
                  <w:pPr>
                    <w:widowControl/>
                    <w:jc w:val="center"/>
                    <w:rPr>
                      <w:rFonts w:hint="eastAsia" w:ascii="Times New Roman" w:hAnsi="Times New Roman" w:eastAsia="宋体" w:cs="Times New Roman"/>
                      <w:bCs/>
                      <w:snapToGrid w:val="0"/>
                      <w:color w:val="auto"/>
                      <w:spacing w:val="6"/>
                      <w:kern w:val="2"/>
                      <w:sz w:val="21"/>
                      <w:szCs w:val="21"/>
                      <w:lang w:val="en-US" w:eastAsia="zh-CN" w:bidi="ar"/>
                    </w:rPr>
                  </w:pPr>
                  <w:r>
                    <w:rPr>
                      <w:rFonts w:hint="eastAsia" w:cs="Times New Roman"/>
                      <w:bCs/>
                      <w:snapToGrid w:val="0"/>
                      <w:color w:val="auto"/>
                      <w:spacing w:val="6"/>
                      <w:sz w:val="21"/>
                      <w:szCs w:val="21"/>
                      <w:lang w:val="en-US" w:eastAsia="zh-CN"/>
                    </w:rPr>
                    <w:t>金刚砂、米糠、轻质白油等</w:t>
                  </w:r>
                </w:p>
              </w:tc>
              <w:tc>
                <w:tcPr>
                  <w:tcW w:w="466" w:type="pct"/>
                  <w:tcBorders>
                    <w:tl2br w:val="nil"/>
                    <w:tr2bl w:val="nil"/>
                  </w:tcBorders>
                  <w:shd w:val="clear" w:color="auto" w:fill="auto"/>
                  <w:vAlign w:val="center"/>
                </w:tcPr>
                <w:p w14:paraId="3BF88C03">
                  <w:pPr>
                    <w:widowControl/>
                    <w:jc w:val="center"/>
                    <w:rPr>
                      <w:rFonts w:hint="eastAsia" w:ascii="Times New Roman" w:hAnsi="Times New Roman" w:eastAsia="宋体" w:cs="Times New Roman"/>
                      <w:bCs/>
                      <w:snapToGrid w:val="0"/>
                      <w:color w:val="auto"/>
                      <w:spacing w:val="6"/>
                      <w:kern w:val="2"/>
                      <w:sz w:val="21"/>
                      <w:szCs w:val="21"/>
                      <w:lang w:val="en-US" w:eastAsia="zh-CN" w:bidi="ar"/>
                    </w:rPr>
                  </w:pPr>
                  <w:r>
                    <w:rPr>
                      <w:rFonts w:hint="eastAsia" w:ascii="Times New Roman" w:hAnsi="Times New Roman" w:eastAsia="宋体" w:cs="Times New Roman"/>
                      <w:bCs/>
                      <w:snapToGrid w:val="0"/>
                      <w:color w:val="auto"/>
                      <w:spacing w:val="6"/>
                      <w:kern w:val="2"/>
                      <w:sz w:val="21"/>
                      <w:szCs w:val="21"/>
                      <w:lang w:val="en-US" w:eastAsia="zh-CN" w:bidi="ar"/>
                    </w:rPr>
                    <w:t>14.3</w:t>
                  </w:r>
                </w:p>
              </w:tc>
              <w:tc>
                <w:tcPr>
                  <w:tcW w:w="312" w:type="pct"/>
                  <w:tcBorders>
                    <w:tl2br w:val="nil"/>
                    <w:tr2bl w:val="nil"/>
                  </w:tcBorders>
                  <w:shd w:val="clear" w:color="auto" w:fill="auto"/>
                  <w:vAlign w:val="center"/>
                </w:tcPr>
                <w:p w14:paraId="26C0169A">
                  <w:pPr>
                    <w:widowControl/>
                    <w:jc w:val="center"/>
                    <w:rPr>
                      <w:rFonts w:hint="default" w:ascii="Times New Roman" w:hAnsi="Times New Roman" w:eastAsia="宋体" w:cs="Times New Roman"/>
                      <w:bCs/>
                      <w:snapToGrid w:val="0"/>
                      <w:color w:val="auto"/>
                      <w:spacing w:val="6"/>
                      <w:kern w:val="2"/>
                      <w:sz w:val="21"/>
                      <w:szCs w:val="21"/>
                      <w:lang w:val="en-US" w:eastAsia="zh-CN" w:bidi="ar"/>
                    </w:rPr>
                  </w:pPr>
                  <w:r>
                    <w:rPr>
                      <w:rFonts w:hint="default" w:ascii="Times New Roman" w:hAnsi="Times New Roman" w:eastAsia="宋体" w:cs="Times New Roman"/>
                      <w:bCs/>
                      <w:snapToGrid w:val="0"/>
                      <w:color w:val="auto"/>
                      <w:spacing w:val="6"/>
                      <w:sz w:val="21"/>
                      <w:szCs w:val="21"/>
                    </w:rPr>
                    <w:t>√</w:t>
                  </w:r>
                </w:p>
              </w:tc>
              <w:tc>
                <w:tcPr>
                  <w:tcW w:w="337" w:type="pct"/>
                  <w:tcBorders>
                    <w:tl2br w:val="nil"/>
                    <w:tr2bl w:val="nil"/>
                  </w:tcBorders>
                  <w:shd w:val="clear" w:color="auto" w:fill="auto"/>
                  <w:vAlign w:val="center"/>
                </w:tcPr>
                <w:p w14:paraId="265A4CAC">
                  <w:pPr>
                    <w:widowControl/>
                    <w:jc w:val="center"/>
                    <w:rPr>
                      <w:rFonts w:hint="default" w:ascii="Times New Roman" w:hAnsi="Times New Roman" w:eastAsia="宋体" w:cs="Times New Roman"/>
                      <w:bCs/>
                      <w:snapToGrid w:val="0"/>
                      <w:color w:val="auto"/>
                      <w:spacing w:val="6"/>
                      <w:kern w:val="2"/>
                      <w:sz w:val="21"/>
                      <w:szCs w:val="21"/>
                      <w:lang w:val="en-US" w:eastAsia="zh-CN" w:bidi="ar"/>
                    </w:rPr>
                  </w:pPr>
                  <w:r>
                    <w:rPr>
                      <w:rFonts w:hint="default" w:ascii="Times New Roman" w:hAnsi="Times New Roman" w:eastAsia="宋体" w:cs="Times New Roman"/>
                      <w:bCs/>
                      <w:snapToGrid w:val="0"/>
                      <w:color w:val="auto"/>
                      <w:spacing w:val="6"/>
                      <w:sz w:val="21"/>
                      <w:szCs w:val="21"/>
                    </w:rPr>
                    <w:t>/</w:t>
                  </w:r>
                </w:p>
              </w:tc>
              <w:tc>
                <w:tcPr>
                  <w:tcW w:w="479" w:type="pct"/>
                  <w:tcBorders>
                    <w:tl2br w:val="nil"/>
                    <w:tr2bl w:val="nil"/>
                  </w:tcBorders>
                  <w:shd w:val="clear" w:color="auto" w:fill="auto"/>
                  <w:vAlign w:val="center"/>
                </w:tcPr>
                <w:p w14:paraId="69EBA5C6">
                  <w:pPr>
                    <w:widowControl/>
                    <w:jc w:val="center"/>
                    <w:textAlignment w:val="bottom"/>
                    <w:rPr>
                      <w:rFonts w:hint="default" w:ascii="Times New Roman" w:hAnsi="Times New Roman" w:eastAsia="宋体" w:cs="Times New Roman"/>
                      <w:color w:val="auto"/>
                      <w:kern w:val="0"/>
                      <w:sz w:val="21"/>
                      <w:szCs w:val="21"/>
                      <w:lang w:val="en-US" w:eastAsia="zh-CN" w:bidi="ar"/>
                    </w:rPr>
                  </w:pPr>
                  <w:r>
                    <w:rPr>
                      <w:rFonts w:hint="eastAsia" w:ascii="Times New Roman" w:hAnsi="Times New Roman" w:eastAsia="宋体" w:cs="Times New Roman"/>
                      <w:color w:val="auto"/>
                      <w:kern w:val="0"/>
                      <w:sz w:val="21"/>
                      <w:szCs w:val="21"/>
                      <w:lang w:bidi="ar"/>
                    </w:rPr>
                    <w:t>4.1</w:t>
                  </w:r>
                  <w:r>
                    <w:rPr>
                      <w:rFonts w:hint="eastAsia" w:ascii="Times New Roman" w:hAnsi="Times New Roman" w:eastAsia="宋体" w:cs="Times New Roman"/>
                      <w:color w:val="auto"/>
                      <w:kern w:val="0"/>
                      <w:sz w:val="21"/>
                      <w:szCs w:val="21"/>
                      <w:lang w:val="en-US" w:eastAsia="zh-CN" w:bidi="ar"/>
                    </w:rPr>
                    <w:t>f</w:t>
                  </w:r>
                  <w:r>
                    <w:rPr>
                      <w:rFonts w:ascii="Times New Roman" w:hAnsi="Times New Roman" w:eastAsia="宋体" w:cs="Times New Roman"/>
                      <w:color w:val="auto"/>
                      <w:kern w:val="0"/>
                      <w:sz w:val="21"/>
                      <w:szCs w:val="21"/>
                      <w:lang w:bidi="ar"/>
                    </w:rPr>
                    <w:t>)</w:t>
                  </w:r>
                </w:p>
              </w:tc>
              <w:tc>
                <w:tcPr>
                  <w:tcW w:w="542" w:type="pct"/>
                  <w:tcBorders>
                    <w:tl2br w:val="nil"/>
                    <w:tr2bl w:val="nil"/>
                  </w:tcBorders>
                  <w:shd w:val="clear" w:color="auto" w:fill="auto"/>
                  <w:vAlign w:val="center"/>
                </w:tcPr>
                <w:p w14:paraId="5F83BB6E">
                  <w:pPr>
                    <w:widowControl/>
                    <w:jc w:val="center"/>
                    <w:textAlignment w:val="bottom"/>
                    <w:rPr>
                      <w:rFonts w:hint="default" w:ascii="Times New Roman" w:hAnsi="Times New Roman" w:eastAsia="宋体" w:cs="Times New Roman"/>
                      <w:color w:val="auto"/>
                      <w:kern w:val="0"/>
                      <w:sz w:val="21"/>
                      <w:szCs w:val="21"/>
                      <w:lang w:val="en-US" w:eastAsia="zh-CN" w:bidi="ar"/>
                    </w:rPr>
                  </w:pPr>
                  <w:r>
                    <w:rPr>
                      <w:rFonts w:hint="eastAsia" w:cs="Times New Roman"/>
                      <w:color w:val="auto"/>
                      <w:kern w:val="2"/>
                      <w:sz w:val="21"/>
                      <w:szCs w:val="21"/>
                      <w:lang w:val="en-US" w:eastAsia="zh-CN" w:bidi="ar"/>
                    </w:rPr>
                    <w:t>7.1g</w:t>
                  </w:r>
                  <w:r>
                    <w:rPr>
                      <w:rFonts w:ascii="Times New Roman" w:hAnsi="Times New Roman" w:eastAsia="宋体" w:cs="Times New Roman"/>
                      <w:color w:val="auto"/>
                      <w:kern w:val="0"/>
                      <w:sz w:val="21"/>
                      <w:szCs w:val="21"/>
                      <w:lang w:bidi="ar"/>
                    </w:rPr>
                    <w:t>)</w:t>
                  </w:r>
                </w:p>
              </w:tc>
            </w:tr>
            <w:tr w14:paraId="76F8DA49">
              <w:tblPrEx>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CellMar>
                  <w:top w:w="0" w:type="dxa"/>
                  <w:left w:w="57" w:type="dxa"/>
                  <w:bottom w:w="0" w:type="dxa"/>
                  <w:right w:w="57" w:type="dxa"/>
                </w:tblCellMar>
              </w:tblPrEx>
              <w:trPr>
                <w:trHeight w:val="23" w:hRule="atLeast"/>
                <w:jc w:val="center"/>
              </w:trPr>
              <w:tc>
                <w:tcPr>
                  <w:tcW w:w="169" w:type="pct"/>
                  <w:tcBorders>
                    <w:tl2br w:val="nil"/>
                    <w:tr2bl w:val="nil"/>
                  </w:tcBorders>
                  <w:vAlign w:val="center"/>
                </w:tcPr>
                <w:p w14:paraId="52DDFD27">
                  <w:pPr>
                    <w:widowControl/>
                    <w:numPr>
                      <w:ilvl w:val="0"/>
                      <w:numId w:val="13"/>
                    </w:numPr>
                    <w:ind w:left="0" w:leftChars="0" w:firstLine="0" w:firstLineChars="0"/>
                    <w:jc w:val="center"/>
                    <w:rPr>
                      <w:rFonts w:hint="default" w:ascii="Times New Roman" w:hAnsi="Times New Roman" w:eastAsia="宋体" w:cs="Times New Roman"/>
                      <w:bCs/>
                      <w:snapToGrid w:val="0"/>
                      <w:color w:val="auto"/>
                      <w:spacing w:val="6"/>
                      <w:sz w:val="21"/>
                      <w:szCs w:val="21"/>
                    </w:rPr>
                  </w:pPr>
                </w:p>
              </w:tc>
              <w:tc>
                <w:tcPr>
                  <w:tcW w:w="765" w:type="pct"/>
                  <w:tcBorders>
                    <w:tl2br w:val="nil"/>
                    <w:tr2bl w:val="nil"/>
                  </w:tcBorders>
                  <w:shd w:val="clear" w:color="auto" w:fill="auto"/>
                  <w:vAlign w:val="center"/>
                </w:tcPr>
                <w:p w14:paraId="5D0A721D">
                  <w:pPr>
                    <w:widowControl/>
                    <w:jc w:val="center"/>
                    <w:rPr>
                      <w:rFonts w:hint="eastAsia"/>
                      <w:bCs/>
                      <w:snapToGrid w:val="0"/>
                      <w:color w:val="auto"/>
                      <w:spacing w:val="6"/>
                    </w:rPr>
                  </w:pPr>
                  <w:r>
                    <w:rPr>
                      <w:rFonts w:hint="eastAsia"/>
                      <w:bCs/>
                      <w:snapToGrid w:val="0"/>
                      <w:color w:val="auto"/>
                      <w:spacing w:val="6"/>
                    </w:rPr>
                    <w:t>废电池</w:t>
                  </w:r>
                </w:p>
              </w:tc>
              <w:tc>
                <w:tcPr>
                  <w:tcW w:w="779" w:type="pct"/>
                  <w:tcBorders>
                    <w:tl2br w:val="nil"/>
                    <w:tr2bl w:val="nil"/>
                  </w:tcBorders>
                  <w:shd w:val="clear" w:color="auto" w:fill="auto"/>
                  <w:vAlign w:val="center"/>
                </w:tcPr>
                <w:p w14:paraId="535F50D4">
                  <w:pPr>
                    <w:widowControl/>
                    <w:jc w:val="center"/>
                    <w:rPr>
                      <w:rFonts w:hint="eastAsia" w:ascii="Times New Roman" w:hAnsi="Times New Roman" w:eastAsia="宋体" w:cs="Times New Roman"/>
                      <w:bCs/>
                      <w:snapToGrid w:val="0"/>
                      <w:color w:val="auto"/>
                      <w:spacing w:val="6"/>
                      <w:kern w:val="2"/>
                      <w:sz w:val="21"/>
                      <w:szCs w:val="21"/>
                      <w:lang w:val="en-US" w:eastAsia="zh-CN" w:bidi="ar"/>
                    </w:rPr>
                  </w:pPr>
                  <w:r>
                    <w:rPr>
                      <w:rFonts w:hint="eastAsia"/>
                      <w:bCs/>
                      <w:snapToGrid w:val="0"/>
                      <w:color w:val="auto"/>
                      <w:spacing w:val="6"/>
                      <w:lang w:val="en-US" w:eastAsia="zh-CN"/>
                    </w:rPr>
                    <w:t>电叉车更换电池</w:t>
                  </w:r>
                </w:p>
              </w:tc>
              <w:tc>
                <w:tcPr>
                  <w:tcW w:w="426" w:type="pct"/>
                  <w:tcBorders>
                    <w:tl2br w:val="nil"/>
                    <w:tr2bl w:val="nil"/>
                  </w:tcBorders>
                  <w:shd w:val="clear" w:color="auto" w:fill="auto"/>
                  <w:vAlign w:val="center"/>
                </w:tcPr>
                <w:p w14:paraId="63BAF2D6">
                  <w:pPr>
                    <w:widowControl/>
                    <w:jc w:val="center"/>
                    <w:rPr>
                      <w:rFonts w:hint="eastAsia" w:ascii="Times New Roman" w:hAnsi="Times New Roman" w:eastAsia="宋体" w:cs="Times New Roman"/>
                      <w:bCs/>
                      <w:snapToGrid w:val="0"/>
                      <w:color w:val="auto"/>
                      <w:spacing w:val="6"/>
                      <w:kern w:val="2"/>
                      <w:sz w:val="21"/>
                      <w:szCs w:val="21"/>
                      <w:lang w:val="en-US" w:eastAsia="zh-CN" w:bidi="ar"/>
                    </w:rPr>
                  </w:pPr>
                  <w:r>
                    <w:rPr>
                      <w:bCs/>
                      <w:snapToGrid w:val="0"/>
                      <w:color w:val="auto"/>
                      <w:spacing w:val="6"/>
                    </w:rPr>
                    <w:t>固态</w:t>
                  </w:r>
                </w:p>
              </w:tc>
              <w:tc>
                <w:tcPr>
                  <w:tcW w:w="720" w:type="pct"/>
                  <w:tcBorders>
                    <w:tl2br w:val="nil"/>
                    <w:tr2bl w:val="nil"/>
                  </w:tcBorders>
                  <w:shd w:val="clear" w:color="auto" w:fill="auto"/>
                  <w:vAlign w:val="center"/>
                </w:tcPr>
                <w:p w14:paraId="7828DB1B">
                  <w:pPr>
                    <w:widowControl/>
                    <w:jc w:val="center"/>
                    <w:rPr>
                      <w:rFonts w:hint="eastAsia" w:ascii="Times New Roman" w:hAnsi="Times New Roman" w:eastAsia="宋体" w:cs="Times New Roman"/>
                      <w:bCs/>
                      <w:snapToGrid w:val="0"/>
                      <w:color w:val="auto"/>
                      <w:spacing w:val="6"/>
                      <w:kern w:val="2"/>
                      <w:sz w:val="21"/>
                      <w:szCs w:val="21"/>
                      <w:lang w:val="en-US" w:eastAsia="zh-CN" w:bidi="ar"/>
                    </w:rPr>
                  </w:pPr>
                  <w:r>
                    <w:rPr>
                      <w:rFonts w:hint="eastAsia"/>
                      <w:bCs/>
                      <w:snapToGrid w:val="0"/>
                      <w:color w:val="auto"/>
                      <w:spacing w:val="6"/>
                      <w:lang w:val="en-US" w:eastAsia="zh-CN"/>
                    </w:rPr>
                    <w:t>电池</w:t>
                  </w:r>
                </w:p>
              </w:tc>
              <w:tc>
                <w:tcPr>
                  <w:tcW w:w="466" w:type="pct"/>
                  <w:tcBorders>
                    <w:tl2br w:val="nil"/>
                    <w:tr2bl w:val="nil"/>
                  </w:tcBorders>
                  <w:shd w:val="clear" w:color="auto" w:fill="auto"/>
                  <w:vAlign w:val="center"/>
                </w:tcPr>
                <w:p w14:paraId="25559C56">
                  <w:pPr>
                    <w:widowControl/>
                    <w:jc w:val="center"/>
                    <w:rPr>
                      <w:rFonts w:hint="eastAsia" w:ascii="Times New Roman" w:hAnsi="Times New Roman" w:eastAsia="宋体" w:cs="Times New Roman"/>
                      <w:bCs/>
                      <w:snapToGrid w:val="0"/>
                      <w:color w:val="auto"/>
                      <w:spacing w:val="6"/>
                      <w:kern w:val="2"/>
                      <w:sz w:val="21"/>
                      <w:szCs w:val="21"/>
                      <w:lang w:val="en-US" w:eastAsia="zh-CN" w:bidi="ar"/>
                    </w:rPr>
                  </w:pPr>
                  <w:r>
                    <w:rPr>
                      <w:rFonts w:hint="eastAsia" w:ascii="Times New Roman" w:hAnsi="Times New Roman" w:eastAsia="宋体" w:cs="Times New Roman"/>
                      <w:bCs/>
                      <w:snapToGrid w:val="0"/>
                      <w:color w:val="auto"/>
                      <w:spacing w:val="6"/>
                      <w:kern w:val="2"/>
                      <w:sz w:val="21"/>
                      <w:szCs w:val="21"/>
                      <w:lang w:val="en-US" w:eastAsia="zh-CN" w:bidi="ar"/>
                    </w:rPr>
                    <w:t>0.25t/3a</w:t>
                  </w:r>
                </w:p>
              </w:tc>
              <w:tc>
                <w:tcPr>
                  <w:tcW w:w="312" w:type="pct"/>
                  <w:tcBorders>
                    <w:tl2br w:val="nil"/>
                    <w:tr2bl w:val="nil"/>
                  </w:tcBorders>
                  <w:shd w:val="clear" w:color="auto" w:fill="auto"/>
                  <w:vAlign w:val="center"/>
                </w:tcPr>
                <w:p w14:paraId="188030E4">
                  <w:pPr>
                    <w:widowControl/>
                    <w:jc w:val="center"/>
                    <w:rPr>
                      <w:rFonts w:hint="default" w:ascii="Times New Roman" w:hAnsi="Times New Roman" w:eastAsia="宋体" w:cs="Times New Roman"/>
                      <w:bCs/>
                      <w:snapToGrid w:val="0"/>
                      <w:color w:val="auto"/>
                      <w:spacing w:val="6"/>
                      <w:kern w:val="2"/>
                      <w:sz w:val="21"/>
                      <w:szCs w:val="21"/>
                      <w:lang w:val="en-US" w:eastAsia="zh-CN" w:bidi="ar-SA"/>
                    </w:rPr>
                  </w:pPr>
                  <w:r>
                    <w:rPr>
                      <w:bCs/>
                      <w:snapToGrid w:val="0"/>
                      <w:color w:val="auto"/>
                      <w:spacing w:val="6"/>
                    </w:rPr>
                    <w:t>√</w:t>
                  </w:r>
                </w:p>
              </w:tc>
              <w:tc>
                <w:tcPr>
                  <w:tcW w:w="337" w:type="pct"/>
                  <w:tcBorders>
                    <w:tl2br w:val="nil"/>
                    <w:tr2bl w:val="nil"/>
                  </w:tcBorders>
                  <w:shd w:val="clear" w:color="auto" w:fill="auto"/>
                  <w:vAlign w:val="center"/>
                </w:tcPr>
                <w:p w14:paraId="1FB61A9E">
                  <w:pPr>
                    <w:widowControl/>
                    <w:jc w:val="center"/>
                    <w:rPr>
                      <w:rFonts w:hint="default" w:ascii="Times New Roman" w:hAnsi="Times New Roman" w:eastAsia="宋体" w:cs="Times New Roman"/>
                      <w:bCs/>
                      <w:snapToGrid w:val="0"/>
                      <w:color w:val="auto"/>
                      <w:spacing w:val="6"/>
                      <w:kern w:val="2"/>
                      <w:sz w:val="21"/>
                      <w:szCs w:val="21"/>
                      <w:lang w:val="en-US" w:eastAsia="zh-CN" w:bidi="ar-SA"/>
                    </w:rPr>
                  </w:pPr>
                  <w:r>
                    <w:rPr>
                      <w:bCs/>
                      <w:snapToGrid w:val="0"/>
                      <w:color w:val="auto"/>
                      <w:spacing w:val="6"/>
                    </w:rPr>
                    <w:t>/</w:t>
                  </w:r>
                </w:p>
              </w:tc>
              <w:tc>
                <w:tcPr>
                  <w:tcW w:w="479" w:type="pct"/>
                  <w:tcBorders>
                    <w:tl2br w:val="nil"/>
                    <w:tr2bl w:val="nil"/>
                  </w:tcBorders>
                  <w:shd w:val="clear" w:color="auto" w:fill="auto"/>
                  <w:vAlign w:val="center"/>
                </w:tcPr>
                <w:p w14:paraId="205A1CD9">
                  <w:pPr>
                    <w:pStyle w:val="34"/>
                    <w:spacing w:before="24" w:after="24"/>
                    <w:ind w:firstLine="0" w:firstLineChars="0"/>
                    <w:rPr>
                      <w:rFonts w:hint="default" w:ascii="Times New Roman" w:hAnsi="Times New Roman" w:eastAsia="宋体" w:cs="Times New Roman"/>
                      <w:color w:val="auto"/>
                      <w:spacing w:val="-10"/>
                      <w:kern w:val="0"/>
                      <w:sz w:val="21"/>
                      <w:szCs w:val="21"/>
                      <w:lang w:val="en-US" w:eastAsia="zh-CN" w:bidi="ar-SA"/>
                    </w:rPr>
                  </w:pPr>
                  <w:r>
                    <w:rPr>
                      <w:rFonts w:hint="default" w:ascii="Times New Roman" w:hAnsi="Times New Roman" w:eastAsia="宋体" w:cs="Times New Roman"/>
                      <w:bCs/>
                      <w:snapToGrid w:val="0"/>
                      <w:color w:val="auto"/>
                      <w:spacing w:val="6"/>
                      <w:kern w:val="2"/>
                      <w:sz w:val="21"/>
                      <w:szCs w:val="21"/>
                      <w:lang w:val="en-US" w:eastAsia="zh-CN" w:bidi="ar-SA"/>
                    </w:rPr>
                    <w:t>4.1</w:t>
                  </w:r>
                  <w:r>
                    <w:rPr>
                      <w:rFonts w:hint="eastAsia" w:ascii="Times New Roman" w:hAnsi="Times New Roman" w:eastAsia="宋体" w:cs="Times New Roman"/>
                      <w:bCs/>
                      <w:snapToGrid w:val="0"/>
                      <w:color w:val="auto"/>
                      <w:spacing w:val="6"/>
                      <w:kern w:val="2"/>
                      <w:sz w:val="21"/>
                      <w:szCs w:val="21"/>
                      <w:lang w:val="en-US" w:eastAsia="zh-CN" w:bidi="ar-SA"/>
                    </w:rPr>
                    <w:t>g</w:t>
                  </w:r>
                  <w:r>
                    <w:rPr>
                      <w:rFonts w:hint="default" w:ascii="Times New Roman" w:hAnsi="Times New Roman" w:eastAsia="宋体" w:cs="Times New Roman"/>
                      <w:bCs/>
                      <w:snapToGrid w:val="0"/>
                      <w:color w:val="auto"/>
                      <w:spacing w:val="6"/>
                      <w:kern w:val="2"/>
                      <w:sz w:val="21"/>
                      <w:szCs w:val="21"/>
                      <w:lang w:val="en-US" w:eastAsia="zh-CN" w:bidi="ar-SA"/>
                    </w:rPr>
                    <w:t>)</w:t>
                  </w:r>
                </w:p>
              </w:tc>
              <w:tc>
                <w:tcPr>
                  <w:tcW w:w="542" w:type="pct"/>
                  <w:tcBorders>
                    <w:tl2br w:val="nil"/>
                    <w:tr2bl w:val="nil"/>
                  </w:tcBorders>
                  <w:shd w:val="clear" w:color="auto" w:fill="auto"/>
                  <w:vAlign w:val="center"/>
                </w:tcPr>
                <w:p w14:paraId="58CB1E43">
                  <w:pPr>
                    <w:spacing w:before="24" w:after="24"/>
                    <w:ind w:firstLine="0" w:firstLineChars="0"/>
                    <w:jc w:val="center"/>
                    <w:rPr>
                      <w:rFonts w:hint="default" w:ascii="Times New Roman" w:hAnsi="Times New Roman" w:eastAsia="宋体" w:cs="Times New Roman"/>
                      <w:color w:val="auto"/>
                      <w:spacing w:val="-10"/>
                      <w:kern w:val="0"/>
                      <w:sz w:val="21"/>
                      <w:szCs w:val="21"/>
                      <w:lang w:val="en-US" w:eastAsia="zh-CN" w:bidi="ar-SA"/>
                    </w:rPr>
                  </w:pPr>
                  <w:r>
                    <w:rPr>
                      <w:rFonts w:hint="default" w:ascii="Times New Roman" w:hAnsi="Times New Roman" w:eastAsia="宋体" w:cs="Times New Roman"/>
                      <w:bCs/>
                      <w:snapToGrid w:val="0"/>
                      <w:color w:val="auto"/>
                      <w:spacing w:val="6"/>
                      <w:kern w:val="2"/>
                      <w:sz w:val="21"/>
                      <w:szCs w:val="21"/>
                      <w:lang w:val="en-US" w:eastAsia="zh-CN" w:bidi="ar-SA"/>
                    </w:rPr>
                    <w:t>7.1b)/7.1c)</w:t>
                  </w:r>
                </w:p>
              </w:tc>
            </w:tr>
            <w:tr w14:paraId="07A8F0A1">
              <w:tblPrEx>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CellMar>
                  <w:top w:w="0" w:type="dxa"/>
                  <w:left w:w="57" w:type="dxa"/>
                  <w:bottom w:w="0" w:type="dxa"/>
                  <w:right w:w="57" w:type="dxa"/>
                </w:tblCellMar>
              </w:tblPrEx>
              <w:trPr>
                <w:trHeight w:val="23" w:hRule="atLeast"/>
                <w:jc w:val="center"/>
              </w:trPr>
              <w:tc>
                <w:tcPr>
                  <w:tcW w:w="169" w:type="pct"/>
                  <w:tcBorders>
                    <w:tl2br w:val="nil"/>
                    <w:tr2bl w:val="nil"/>
                  </w:tcBorders>
                  <w:vAlign w:val="center"/>
                </w:tcPr>
                <w:p w14:paraId="1E96E0C6">
                  <w:pPr>
                    <w:widowControl/>
                    <w:numPr>
                      <w:ilvl w:val="0"/>
                      <w:numId w:val="13"/>
                    </w:numPr>
                    <w:ind w:left="0" w:leftChars="0" w:firstLine="0" w:firstLineChars="0"/>
                    <w:jc w:val="center"/>
                    <w:rPr>
                      <w:rFonts w:hint="default" w:ascii="Times New Roman" w:hAnsi="Times New Roman" w:eastAsia="宋体" w:cs="Times New Roman"/>
                      <w:bCs/>
                      <w:snapToGrid w:val="0"/>
                      <w:color w:val="auto"/>
                      <w:spacing w:val="6"/>
                      <w:sz w:val="21"/>
                      <w:szCs w:val="21"/>
                    </w:rPr>
                  </w:pPr>
                </w:p>
              </w:tc>
              <w:tc>
                <w:tcPr>
                  <w:tcW w:w="765" w:type="pct"/>
                  <w:tcBorders>
                    <w:tl2br w:val="nil"/>
                    <w:tr2bl w:val="nil"/>
                  </w:tcBorders>
                  <w:shd w:val="clear" w:color="auto" w:fill="auto"/>
                  <w:vAlign w:val="center"/>
                </w:tcPr>
                <w:p w14:paraId="4CD08011">
                  <w:pPr>
                    <w:widowControl/>
                    <w:jc w:val="center"/>
                    <w:rPr>
                      <w:rFonts w:hint="eastAsia" w:ascii="Times New Roman" w:hAnsi="Times New Roman" w:eastAsia="宋体" w:cs="Times New Roman"/>
                      <w:bCs/>
                      <w:snapToGrid w:val="0"/>
                      <w:color w:val="auto"/>
                      <w:spacing w:val="6"/>
                      <w:kern w:val="2"/>
                      <w:sz w:val="21"/>
                      <w:szCs w:val="21"/>
                      <w:lang w:val="en-US" w:eastAsia="zh-CN" w:bidi="ar"/>
                    </w:rPr>
                  </w:pPr>
                  <w:r>
                    <w:rPr>
                      <w:rFonts w:hint="eastAsia" w:ascii="Times New Roman" w:hAnsi="Times New Roman" w:eastAsia="宋体" w:cs="Times New Roman"/>
                      <w:bCs/>
                      <w:snapToGrid w:val="0"/>
                      <w:color w:val="auto"/>
                      <w:spacing w:val="6"/>
                      <w:kern w:val="2"/>
                      <w:sz w:val="21"/>
                      <w:szCs w:val="21"/>
                      <w:lang w:val="en-US" w:eastAsia="zh-CN" w:bidi="ar"/>
                    </w:rPr>
                    <w:t>废油</w:t>
                  </w:r>
                </w:p>
              </w:tc>
              <w:tc>
                <w:tcPr>
                  <w:tcW w:w="779" w:type="pct"/>
                  <w:tcBorders>
                    <w:tl2br w:val="nil"/>
                    <w:tr2bl w:val="nil"/>
                  </w:tcBorders>
                  <w:shd w:val="clear" w:color="auto" w:fill="auto"/>
                  <w:vAlign w:val="center"/>
                </w:tcPr>
                <w:p w14:paraId="703D85EA">
                  <w:pPr>
                    <w:pStyle w:val="2"/>
                    <w:spacing w:before="0" w:after="0" w:line="240" w:lineRule="auto"/>
                    <w:jc w:val="center"/>
                    <w:rPr>
                      <w:rFonts w:hint="eastAsia" w:ascii="Times New Roman" w:hAnsi="Times New Roman" w:eastAsia="宋体" w:cs="Times New Roman"/>
                      <w:b w:val="0"/>
                      <w:bCs w:val="0"/>
                      <w:color w:val="auto"/>
                      <w:kern w:val="2"/>
                      <w:sz w:val="21"/>
                      <w:szCs w:val="21"/>
                      <w:lang w:val="en-US" w:eastAsia="zh-CN" w:bidi="ar"/>
                    </w:rPr>
                  </w:pPr>
                  <w:r>
                    <w:rPr>
                      <w:rFonts w:hint="default" w:ascii="Times New Roman" w:hAnsi="Times New Roman" w:eastAsia="宋体" w:cs="Times New Roman"/>
                      <w:b w:val="0"/>
                      <w:bCs w:val="0"/>
                      <w:color w:val="auto"/>
                      <w:kern w:val="2"/>
                      <w:sz w:val="21"/>
                      <w:szCs w:val="21"/>
                      <w:lang w:val="en-US" w:eastAsia="zh-CN" w:bidi="ar"/>
                    </w:rPr>
                    <w:t>钻孔、倒角、机械加工</w:t>
                  </w:r>
                </w:p>
              </w:tc>
              <w:tc>
                <w:tcPr>
                  <w:tcW w:w="426" w:type="pct"/>
                  <w:tcBorders>
                    <w:tl2br w:val="nil"/>
                    <w:tr2bl w:val="nil"/>
                  </w:tcBorders>
                  <w:shd w:val="clear" w:color="auto" w:fill="auto"/>
                  <w:vAlign w:val="center"/>
                </w:tcPr>
                <w:p w14:paraId="2CAD3FB1">
                  <w:pPr>
                    <w:pStyle w:val="2"/>
                    <w:spacing w:before="0" w:after="0" w:line="240" w:lineRule="auto"/>
                    <w:jc w:val="center"/>
                    <w:rPr>
                      <w:rFonts w:hint="eastAsia" w:ascii="Times New Roman" w:hAnsi="Times New Roman" w:eastAsia="宋体" w:cs="Times New Roman"/>
                      <w:b w:val="0"/>
                      <w:bCs w:val="0"/>
                      <w:color w:val="auto"/>
                      <w:kern w:val="2"/>
                      <w:sz w:val="21"/>
                      <w:szCs w:val="21"/>
                      <w:lang w:val="en-US" w:eastAsia="zh-CN" w:bidi="ar"/>
                    </w:rPr>
                  </w:pPr>
                  <w:r>
                    <w:rPr>
                      <w:rFonts w:hint="eastAsia" w:ascii="Times New Roman" w:hAnsi="Times New Roman" w:eastAsia="宋体" w:cs="Times New Roman"/>
                      <w:b w:val="0"/>
                      <w:bCs w:val="0"/>
                      <w:snapToGrid w:val="0"/>
                      <w:color w:val="auto"/>
                      <w:spacing w:val="6"/>
                      <w:sz w:val="21"/>
                      <w:szCs w:val="21"/>
                      <w:lang w:val="en-US" w:eastAsia="zh-CN"/>
                    </w:rPr>
                    <w:t>液态</w:t>
                  </w:r>
                </w:p>
              </w:tc>
              <w:tc>
                <w:tcPr>
                  <w:tcW w:w="720" w:type="pct"/>
                  <w:tcBorders>
                    <w:tl2br w:val="nil"/>
                    <w:tr2bl w:val="nil"/>
                  </w:tcBorders>
                  <w:shd w:val="clear" w:color="auto" w:fill="auto"/>
                  <w:vAlign w:val="center"/>
                </w:tcPr>
                <w:p w14:paraId="5F945D6B">
                  <w:pPr>
                    <w:pStyle w:val="2"/>
                    <w:spacing w:before="0" w:after="0" w:line="240" w:lineRule="auto"/>
                    <w:jc w:val="center"/>
                    <w:rPr>
                      <w:rFonts w:hint="default" w:ascii="Times New Roman" w:hAnsi="Times New Roman" w:eastAsia="宋体" w:cs="Times New Roman"/>
                      <w:b w:val="0"/>
                      <w:bCs w:val="0"/>
                      <w:color w:val="auto"/>
                      <w:spacing w:val="6"/>
                      <w:kern w:val="2"/>
                      <w:sz w:val="21"/>
                      <w:szCs w:val="21"/>
                      <w:lang w:val="en-US" w:eastAsia="zh-CN" w:bidi="ar"/>
                    </w:rPr>
                  </w:pPr>
                  <w:r>
                    <w:rPr>
                      <w:rFonts w:hint="eastAsia" w:ascii="Times New Roman" w:hAnsi="Times New Roman" w:eastAsia="宋体" w:cs="Times New Roman"/>
                      <w:b w:val="0"/>
                      <w:bCs w:val="0"/>
                      <w:color w:val="auto"/>
                      <w:spacing w:val="6"/>
                      <w:kern w:val="2"/>
                      <w:sz w:val="21"/>
                      <w:szCs w:val="21"/>
                      <w:lang w:val="en-US" w:eastAsia="zh-CN" w:bidi="ar"/>
                    </w:rPr>
                    <w:t>矿物油、水等</w:t>
                  </w:r>
                </w:p>
              </w:tc>
              <w:tc>
                <w:tcPr>
                  <w:tcW w:w="466" w:type="pct"/>
                  <w:tcBorders>
                    <w:tl2br w:val="nil"/>
                    <w:tr2bl w:val="nil"/>
                  </w:tcBorders>
                  <w:shd w:val="clear" w:color="auto" w:fill="auto"/>
                  <w:vAlign w:val="center"/>
                </w:tcPr>
                <w:p w14:paraId="00F8EEC9">
                  <w:pPr>
                    <w:pStyle w:val="2"/>
                    <w:spacing w:before="0" w:after="0" w:line="240" w:lineRule="auto"/>
                    <w:jc w:val="center"/>
                    <w:rPr>
                      <w:rFonts w:hint="eastAsia" w:ascii="Times New Roman" w:hAnsi="Times New Roman" w:eastAsia="宋体" w:cs="Times New Roman"/>
                      <w:b w:val="0"/>
                      <w:bCs w:val="0"/>
                      <w:color w:val="auto"/>
                      <w:kern w:val="2"/>
                      <w:sz w:val="21"/>
                      <w:szCs w:val="21"/>
                      <w:lang w:val="en-US" w:eastAsia="zh-CN" w:bidi="ar"/>
                    </w:rPr>
                  </w:pPr>
                  <w:r>
                    <w:rPr>
                      <w:rFonts w:hint="eastAsia" w:ascii="Times New Roman" w:hAnsi="Times New Roman" w:eastAsia="宋体" w:cs="Times New Roman"/>
                      <w:b w:val="0"/>
                      <w:bCs w:val="0"/>
                      <w:color w:val="auto"/>
                      <w:kern w:val="2"/>
                      <w:sz w:val="21"/>
                      <w:szCs w:val="21"/>
                      <w:lang w:val="en-US" w:eastAsia="zh-CN" w:bidi="ar"/>
                    </w:rPr>
                    <w:t>9.996</w:t>
                  </w:r>
                </w:p>
              </w:tc>
              <w:tc>
                <w:tcPr>
                  <w:tcW w:w="312" w:type="pct"/>
                  <w:tcBorders>
                    <w:tl2br w:val="nil"/>
                    <w:tr2bl w:val="nil"/>
                  </w:tcBorders>
                  <w:shd w:val="clear" w:color="auto" w:fill="auto"/>
                  <w:vAlign w:val="center"/>
                </w:tcPr>
                <w:p w14:paraId="4A1934F5">
                  <w:pPr>
                    <w:widowControl/>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bCs/>
                      <w:snapToGrid w:val="0"/>
                      <w:color w:val="auto"/>
                      <w:spacing w:val="6"/>
                      <w:sz w:val="21"/>
                      <w:szCs w:val="21"/>
                    </w:rPr>
                    <w:t>√</w:t>
                  </w:r>
                </w:p>
              </w:tc>
              <w:tc>
                <w:tcPr>
                  <w:tcW w:w="337" w:type="pct"/>
                  <w:tcBorders>
                    <w:tl2br w:val="nil"/>
                    <w:tr2bl w:val="nil"/>
                  </w:tcBorders>
                  <w:shd w:val="clear" w:color="auto" w:fill="auto"/>
                  <w:vAlign w:val="center"/>
                </w:tcPr>
                <w:p w14:paraId="77910F09">
                  <w:pPr>
                    <w:pStyle w:val="22"/>
                    <w:widowControl w:val="0"/>
                    <w:adjustRightInd w:val="0"/>
                    <w:snapToGrid w:val="0"/>
                    <w:spacing w:before="24" w:beforeLines="10" w:beforeAutospacing="0" w:after="24" w:afterLines="10" w:afterAutospacing="0" w:line="256" w:lineRule="auto"/>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w:t>
                  </w:r>
                </w:p>
              </w:tc>
              <w:tc>
                <w:tcPr>
                  <w:tcW w:w="479" w:type="pct"/>
                  <w:tcBorders>
                    <w:tl2br w:val="nil"/>
                    <w:tr2bl w:val="nil"/>
                  </w:tcBorders>
                  <w:shd w:val="clear" w:color="auto" w:fill="auto"/>
                  <w:vAlign w:val="center"/>
                </w:tcPr>
                <w:p w14:paraId="2A2117F0">
                  <w:pPr>
                    <w:pStyle w:val="22"/>
                    <w:widowControl w:val="0"/>
                    <w:snapToGrid w:val="0"/>
                    <w:spacing w:before="0" w:beforeAutospacing="0" w:after="0" w:afterAutospacing="0"/>
                    <w:jc w:val="center"/>
                    <w:outlineLvl w:val="8"/>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bCs/>
                      <w:snapToGrid w:val="0"/>
                      <w:color w:val="auto"/>
                      <w:spacing w:val="6"/>
                      <w:kern w:val="2"/>
                      <w:sz w:val="21"/>
                      <w:szCs w:val="21"/>
                      <w:lang w:val="en-US" w:eastAsia="zh-CN" w:bidi="ar-SA"/>
                    </w:rPr>
                    <w:t>4.1d)</w:t>
                  </w:r>
                </w:p>
              </w:tc>
              <w:tc>
                <w:tcPr>
                  <w:tcW w:w="542" w:type="pct"/>
                  <w:tcBorders>
                    <w:tl2br w:val="nil"/>
                    <w:tr2bl w:val="nil"/>
                  </w:tcBorders>
                  <w:shd w:val="clear" w:color="auto" w:fill="auto"/>
                  <w:vAlign w:val="center"/>
                </w:tcPr>
                <w:p w14:paraId="5EE98E24">
                  <w:pPr>
                    <w:pStyle w:val="22"/>
                    <w:widowControl w:val="0"/>
                    <w:snapToGrid w:val="0"/>
                    <w:spacing w:before="0" w:beforeAutospacing="0" w:after="0" w:afterAutospacing="0"/>
                    <w:jc w:val="center"/>
                    <w:outlineLvl w:val="8"/>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bCs/>
                      <w:snapToGrid w:val="0"/>
                      <w:color w:val="auto"/>
                      <w:spacing w:val="6"/>
                      <w:kern w:val="2"/>
                      <w:sz w:val="21"/>
                      <w:szCs w:val="21"/>
                      <w:lang w:val="en-US" w:eastAsia="zh-CN" w:bidi="ar-SA"/>
                    </w:rPr>
                    <w:t>7.1b)/7.1c)</w:t>
                  </w:r>
                </w:p>
              </w:tc>
            </w:tr>
            <w:tr w14:paraId="5A3BF7D0">
              <w:tblPrEx>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CellMar>
                  <w:top w:w="0" w:type="dxa"/>
                  <w:left w:w="57" w:type="dxa"/>
                  <w:bottom w:w="0" w:type="dxa"/>
                  <w:right w:w="57" w:type="dxa"/>
                </w:tblCellMar>
              </w:tblPrEx>
              <w:trPr>
                <w:trHeight w:val="23" w:hRule="atLeast"/>
                <w:jc w:val="center"/>
              </w:trPr>
              <w:tc>
                <w:tcPr>
                  <w:tcW w:w="169" w:type="pct"/>
                  <w:tcBorders>
                    <w:tl2br w:val="nil"/>
                    <w:tr2bl w:val="nil"/>
                  </w:tcBorders>
                  <w:vAlign w:val="center"/>
                </w:tcPr>
                <w:p w14:paraId="7F9D3F66">
                  <w:pPr>
                    <w:widowControl/>
                    <w:numPr>
                      <w:ilvl w:val="0"/>
                      <w:numId w:val="13"/>
                    </w:numPr>
                    <w:ind w:left="0" w:leftChars="0" w:firstLine="0" w:firstLineChars="0"/>
                    <w:jc w:val="center"/>
                    <w:rPr>
                      <w:rFonts w:hint="default" w:ascii="Times New Roman" w:hAnsi="Times New Roman" w:eastAsia="宋体" w:cs="Times New Roman"/>
                      <w:bCs/>
                      <w:snapToGrid w:val="0"/>
                      <w:color w:val="auto"/>
                      <w:spacing w:val="6"/>
                      <w:sz w:val="21"/>
                      <w:szCs w:val="21"/>
                    </w:rPr>
                  </w:pPr>
                </w:p>
              </w:tc>
              <w:tc>
                <w:tcPr>
                  <w:tcW w:w="765" w:type="pct"/>
                  <w:tcBorders>
                    <w:tl2br w:val="nil"/>
                    <w:tr2bl w:val="nil"/>
                  </w:tcBorders>
                  <w:shd w:val="clear" w:color="auto" w:fill="auto"/>
                  <w:vAlign w:val="center"/>
                </w:tcPr>
                <w:p w14:paraId="07F0106F">
                  <w:pPr>
                    <w:widowControl/>
                    <w:jc w:val="center"/>
                    <w:rPr>
                      <w:rFonts w:hint="eastAsia"/>
                      <w:bCs/>
                      <w:snapToGrid w:val="0"/>
                      <w:color w:val="auto"/>
                      <w:spacing w:val="6"/>
                    </w:rPr>
                  </w:pPr>
                  <w:r>
                    <w:rPr>
                      <w:rFonts w:hint="eastAsia"/>
                      <w:bCs/>
                      <w:snapToGrid w:val="0"/>
                      <w:color w:val="auto"/>
                      <w:spacing w:val="6"/>
                    </w:rPr>
                    <w:t>金属屑</w:t>
                  </w:r>
                </w:p>
              </w:tc>
              <w:tc>
                <w:tcPr>
                  <w:tcW w:w="779" w:type="pct"/>
                  <w:tcBorders>
                    <w:tl2br w:val="nil"/>
                    <w:tr2bl w:val="nil"/>
                  </w:tcBorders>
                  <w:shd w:val="clear" w:color="auto" w:fill="auto"/>
                  <w:vAlign w:val="center"/>
                </w:tcPr>
                <w:p w14:paraId="725EEC0C">
                  <w:pPr>
                    <w:widowControl/>
                    <w:jc w:val="center"/>
                    <w:rPr>
                      <w:rFonts w:hint="eastAsia"/>
                      <w:bCs/>
                      <w:snapToGrid w:val="0"/>
                      <w:color w:val="auto"/>
                      <w:spacing w:val="6"/>
                    </w:rPr>
                  </w:pPr>
                  <w:r>
                    <w:rPr>
                      <w:rFonts w:hint="default" w:ascii="Times New Roman" w:hAnsi="Times New Roman" w:eastAsia="宋体" w:cs="Times New Roman"/>
                      <w:b w:val="0"/>
                      <w:bCs w:val="0"/>
                      <w:color w:val="auto"/>
                      <w:kern w:val="2"/>
                      <w:sz w:val="21"/>
                      <w:szCs w:val="21"/>
                      <w:lang w:val="en-US" w:eastAsia="zh-CN" w:bidi="ar"/>
                    </w:rPr>
                    <w:t>钻孔、倒角、机械加工</w:t>
                  </w:r>
                </w:p>
              </w:tc>
              <w:tc>
                <w:tcPr>
                  <w:tcW w:w="426" w:type="pct"/>
                  <w:tcBorders>
                    <w:tl2br w:val="nil"/>
                    <w:tr2bl w:val="nil"/>
                  </w:tcBorders>
                  <w:shd w:val="clear" w:color="auto" w:fill="auto"/>
                  <w:vAlign w:val="center"/>
                </w:tcPr>
                <w:p w14:paraId="0A806466">
                  <w:pPr>
                    <w:widowControl/>
                    <w:jc w:val="center"/>
                    <w:rPr>
                      <w:rFonts w:hint="eastAsia"/>
                      <w:bCs/>
                      <w:snapToGrid w:val="0"/>
                      <w:color w:val="auto"/>
                      <w:spacing w:val="6"/>
                      <w:lang w:val="en-US" w:eastAsia="zh-CN"/>
                    </w:rPr>
                  </w:pPr>
                  <w:r>
                    <w:rPr>
                      <w:rFonts w:hint="default" w:ascii="Times New Roman" w:hAnsi="Times New Roman" w:eastAsia="宋体" w:cs="Times New Roman"/>
                      <w:b w:val="0"/>
                      <w:bCs w:val="0"/>
                      <w:snapToGrid w:val="0"/>
                      <w:color w:val="auto"/>
                      <w:spacing w:val="6"/>
                      <w:sz w:val="21"/>
                      <w:szCs w:val="21"/>
                    </w:rPr>
                    <w:t>固态</w:t>
                  </w:r>
                </w:p>
              </w:tc>
              <w:tc>
                <w:tcPr>
                  <w:tcW w:w="720" w:type="pct"/>
                  <w:tcBorders>
                    <w:tl2br w:val="nil"/>
                    <w:tr2bl w:val="nil"/>
                  </w:tcBorders>
                  <w:shd w:val="clear" w:color="auto" w:fill="auto"/>
                  <w:vAlign w:val="center"/>
                </w:tcPr>
                <w:p w14:paraId="13D15A8F">
                  <w:pPr>
                    <w:widowControl/>
                    <w:jc w:val="center"/>
                    <w:rPr>
                      <w:rFonts w:hint="eastAsia" w:ascii="Times New Roman" w:hAnsi="Times New Roman" w:eastAsia="宋体"/>
                      <w:color w:val="auto"/>
                      <w:sz w:val="21"/>
                      <w:szCs w:val="21"/>
                      <w:lang w:val="en-US" w:eastAsia="zh-CN"/>
                    </w:rPr>
                  </w:pPr>
                  <w:r>
                    <w:rPr>
                      <w:rFonts w:hint="eastAsia"/>
                      <w:color w:val="auto"/>
                      <w:sz w:val="21"/>
                      <w:szCs w:val="21"/>
                      <w:lang w:val="en-US" w:eastAsia="zh-CN"/>
                    </w:rPr>
                    <w:t>金属</w:t>
                  </w:r>
                </w:p>
              </w:tc>
              <w:tc>
                <w:tcPr>
                  <w:tcW w:w="466" w:type="pct"/>
                  <w:tcBorders>
                    <w:tl2br w:val="nil"/>
                    <w:tr2bl w:val="nil"/>
                  </w:tcBorders>
                  <w:shd w:val="clear" w:color="auto" w:fill="auto"/>
                  <w:vAlign w:val="center"/>
                </w:tcPr>
                <w:p w14:paraId="4D3ED4B2">
                  <w:pPr>
                    <w:widowControl/>
                    <w:jc w:val="center"/>
                    <w:rPr>
                      <w:rFonts w:hint="eastAsia"/>
                      <w:bCs/>
                      <w:snapToGrid w:val="0"/>
                      <w:color w:val="auto"/>
                      <w:spacing w:val="6"/>
                    </w:rPr>
                  </w:pPr>
                  <w:r>
                    <w:rPr>
                      <w:rFonts w:hint="eastAsia"/>
                      <w:bCs/>
                      <w:snapToGrid w:val="0"/>
                      <w:color w:val="auto"/>
                      <w:spacing w:val="6"/>
                    </w:rPr>
                    <w:t>650</w:t>
                  </w:r>
                </w:p>
              </w:tc>
              <w:tc>
                <w:tcPr>
                  <w:tcW w:w="312" w:type="pct"/>
                  <w:tcBorders>
                    <w:tl2br w:val="nil"/>
                    <w:tr2bl w:val="nil"/>
                  </w:tcBorders>
                  <w:shd w:val="clear" w:color="auto" w:fill="auto"/>
                  <w:vAlign w:val="center"/>
                </w:tcPr>
                <w:p w14:paraId="3F097A7C">
                  <w:pPr>
                    <w:widowControl/>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bCs/>
                      <w:snapToGrid w:val="0"/>
                      <w:color w:val="auto"/>
                      <w:spacing w:val="6"/>
                      <w:sz w:val="21"/>
                      <w:szCs w:val="21"/>
                    </w:rPr>
                    <w:t>√</w:t>
                  </w:r>
                </w:p>
              </w:tc>
              <w:tc>
                <w:tcPr>
                  <w:tcW w:w="337" w:type="pct"/>
                  <w:tcBorders>
                    <w:tl2br w:val="nil"/>
                    <w:tr2bl w:val="nil"/>
                  </w:tcBorders>
                  <w:shd w:val="clear" w:color="auto" w:fill="auto"/>
                  <w:vAlign w:val="center"/>
                </w:tcPr>
                <w:p w14:paraId="47166624">
                  <w:pPr>
                    <w:pStyle w:val="22"/>
                    <w:widowControl w:val="0"/>
                    <w:adjustRightInd w:val="0"/>
                    <w:snapToGrid w:val="0"/>
                    <w:spacing w:before="24" w:beforeLines="10" w:beforeAutospacing="0" w:after="24" w:afterLines="10" w:afterAutospacing="0" w:line="256" w:lineRule="auto"/>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w:t>
                  </w:r>
                </w:p>
              </w:tc>
              <w:tc>
                <w:tcPr>
                  <w:tcW w:w="479" w:type="pct"/>
                  <w:tcBorders>
                    <w:tl2br w:val="nil"/>
                    <w:tr2bl w:val="nil"/>
                  </w:tcBorders>
                  <w:shd w:val="clear" w:color="auto" w:fill="auto"/>
                  <w:vAlign w:val="center"/>
                </w:tcPr>
                <w:p w14:paraId="6A7CFF88">
                  <w:pPr>
                    <w:pStyle w:val="34"/>
                    <w:spacing w:before="24" w:after="24"/>
                    <w:ind w:firstLine="0" w:firstLineChars="0"/>
                    <w:rPr>
                      <w:rFonts w:hint="default" w:ascii="Times New Roman" w:hAnsi="Times New Roman" w:eastAsia="宋体" w:cs="Times New Roman"/>
                      <w:bCs/>
                      <w:snapToGrid w:val="0"/>
                      <w:color w:val="auto"/>
                      <w:spacing w:val="6"/>
                      <w:kern w:val="2"/>
                      <w:sz w:val="21"/>
                      <w:szCs w:val="21"/>
                      <w:lang w:val="en-US" w:eastAsia="zh-CN" w:bidi="ar-SA"/>
                    </w:rPr>
                  </w:pPr>
                  <w:r>
                    <w:rPr>
                      <w:rFonts w:hint="eastAsia" w:ascii="Times New Roman" w:hAnsi="Times New Roman" w:eastAsia="宋体" w:cs="Times New Roman"/>
                      <w:bCs/>
                      <w:snapToGrid w:val="0"/>
                      <w:color w:val="auto"/>
                      <w:spacing w:val="6"/>
                      <w:kern w:val="2"/>
                      <w:sz w:val="21"/>
                      <w:szCs w:val="21"/>
                      <w:lang w:val="en-US" w:eastAsia="zh-CN" w:bidi="ar-SA"/>
                    </w:rPr>
                    <w:t>/</w:t>
                  </w:r>
                </w:p>
              </w:tc>
              <w:tc>
                <w:tcPr>
                  <w:tcW w:w="542" w:type="pct"/>
                  <w:tcBorders>
                    <w:tl2br w:val="nil"/>
                    <w:tr2bl w:val="nil"/>
                  </w:tcBorders>
                  <w:shd w:val="clear" w:color="auto" w:fill="auto"/>
                  <w:vAlign w:val="center"/>
                </w:tcPr>
                <w:p w14:paraId="40A489CD">
                  <w:pPr>
                    <w:spacing w:before="24" w:after="24"/>
                    <w:ind w:firstLine="0" w:firstLineChars="0"/>
                    <w:jc w:val="center"/>
                    <w:rPr>
                      <w:rFonts w:hint="default" w:ascii="Times New Roman" w:hAnsi="Times New Roman" w:eastAsia="宋体" w:cs="Times New Roman"/>
                      <w:bCs/>
                      <w:snapToGrid w:val="0"/>
                      <w:color w:val="auto"/>
                      <w:spacing w:val="6"/>
                      <w:kern w:val="2"/>
                      <w:sz w:val="21"/>
                      <w:szCs w:val="21"/>
                      <w:lang w:val="en-US" w:eastAsia="zh-CN" w:bidi="ar-SA"/>
                    </w:rPr>
                  </w:pPr>
                  <w:r>
                    <w:rPr>
                      <w:rFonts w:hint="eastAsia" w:cs="Times New Roman"/>
                      <w:bCs/>
                      <w:snapToGrid w:val="0"/>
                      <w:color w:val="auto"/>
                      <w:spacing w:val="6"/>
                      <w:kern w:val="2"/>
                      <w:sz w:val="21"/>
                      <w:szCs w:val="21"/>
                      <w:lang w:val="en-US" w:eastAsia="zh-CN" w:bidi="ar-SA"/>
                    </w:rPr>
                    <w:t>/</w:t>
                  </w:r>
                </w:p>
              </w:tc>
            </w:tr>
          </w:tbl>
          <w:p w14:paraId="55078B1F">
            <w:pPr>
              <w:pStyle w:val="65"/>
              <w:jc w:val="both"/>
              <w:rPr>
                <w:color w:val="auto"/>
                <w:sz w:val="18"/>
                <w:szCs w:val="18"/>
              </w:rPr>
            </w:pPr>
            <w:r>
              <w:rPr>
                <w:rFonts w:hint="eastAsia"/>
                <w:color w:val="auto"/>
                <w:sz w:val="18"/>
                <w:szCs w:val="18"/>
              </w:rPr>
              <w:t>备</w:t>
            </w:r>
            <w:r>
              <w:rPr>
                <w:color w:val="auto"/>
                <w:sz w:val="18"/>
                <w:szCs w:val="18"/>
              </w:rPr>
              <w:t>注：上表中</w:t>
            </w:r>
            <w:r>
              <w:rPr>
                <w:rFonts w:hint="eastAsia"/>
                <w:color w:val="auto"/>
                <w:sz w:val="18"/>
                <w:szCs w:val="18"/>
              </w:rPr>
              <w:t>《固体废物鉴别标准 通则》（GB34330-2025）</w:t>
            </w:r>
            <w:r>
              <w:rPr>
                <w:color w:val="auto"/>
                <w:sz w:val="18"/>
                <w:szCs w:val="18"/>
              </w:rPr>
              <w:t>来源鉴别中</w:t>
            </w:r>
            <w:r>
              <w:rPr>
                <w:rFonts w:hint="eastAsia"/>
                <w:color w:val="auto"/>
                <w:sz w:val="18"/>
                <w:szCs w:val="18"/>
              </w:rPr>
              <w:t>“4.1</w:t>
            </w:r>
            <w:r>
              <w:rPr>
                <w:rFonts w:hint="eastAsia"/>
                <w:color w:val="auto"/>
                <w:sz w:val="18"/>
                <w:szCs w:val="18"/>
                <w:lang w:val="en-US" w:eastAsia="zh-CN"/>
              </w:rPr>
              <w:t>a</w:t>
            </w:r>
            <w:r>
              <w:rPr>
                <w:rFonts w:hint="eastAsia"/>
                <w:color w:val="auto"/>
                <w:sz w:val="18"/>
                <w:szCs w:val="18"/>
              </w:rPr>
              <w:t>）”表示：生活垃圾；</w:t>
            </w:r>
            <w:r>
              <w:rPr>
                <w:color w:val="auto"/>
                <w:sz w:val="18"/>
                <w:szCs w:val="18"/>
              </w:rPr>
              <w:t>“</w:t>
            </w:r>
            <w:r>
              <w:rPr>
                <w:rFonts w:hint="eastAsia"/>
                <w:color w:val="auto"/>
                <w:sz w:val="18"/>
                <w:szCs w:val="18"/>
              </w:rPr>
              <w:t>4.1d</w:t>
            </w:r>
            <w:r>
              <w:rPr>
                <w:color w:val="auto"/>
                <w:sz w:val="18"/>
                <w:szCs w:val="18"/>
              </w:rPr>
              <w:t>）”表示：</w:t>
            </w:r>
            <w:r>
              <w:rPr>
                <w:rFonts w:hint="eastAsia"/>
                <w:color w:val="auto"/>
                <w:sz w:val="18"/>
                <w:szCs w:val="18"/>
              </w:rPr>
              <w:t>生产活动使用过程中，因沾染、掺入、混杂无用或有害物质，或发生化学变化，使得其物质组成不能满足原使用者使用要求的生产物料</w:t>
            </w:r>
            <w:r>
              <w:rPr>
                <w:rFonts w:hint="eastAsia"/>
                <w:color w:val="auto"/>
                <w:sz w:val="18"/>
                <w:szCs w:val="18"/>
                <w:lang w:eastAsia="zh-CN"/>
              </w:rPr>
              <w:t>；“</w:t>
            </w:r>
            <w:r>
              <w:rPr>
                <w:rFonts w:hint="eastAsia"/>
                <w:color w:val="auto"/>
                <w:sz w:val="18"/>
                <w:szCs w:val="18"/>
              </w:rPr>
              <w:t>4.1</w:t>
            </w:r>
            <w:r>
              <w:rPr>
                <w:rFonts w:hint="eastAsia"/>
                <w:color w:val="auto"/>
                <w:sz w:val="18"/>
                <w:szCs w:val="18"/>
                <w:lang w:eastAsia="zh-CN"/>
              </w:rPr>
              <w:t>f</w:t>
            </w:r>
            <w:r>
              <w:rPr>
                <w:rFonts w:hint="eastAsia"/>
                <w:color w:val="auto"/>
                <w:sz w:val="18"/>
                <w:szCs w:val="18"/>
              </w:rPr>
              <w:t>）</w:t>
            </w:r>
            <w:r>
              <w:rPr>
                <w:rFonts w:hint="eastAsia"/>
                <w:color w:val="auto"/>
                <w:sz w:val="18"/>
                <w:szCs w:val="18"/>
                <w:lang w:eastAsia="zh-CN"/>
              </w:rPr>
              <w:t>”</w:t>
            </w:r>
            <w:r>
              <w:rPr>
                <w:rFonts w:hint="eastAsia"/>
                <w:color w:val="auto"/>
                <w:sz w:val="18"/>
                <w:szCs w:val="18"/>
              </w:rPr>
              <w:t>表示：</w:t>
            </w:r>
            <w:r>
              <w:rPr>
                <w:rFonts w:hint="eastAsia"/>
                <w:color w:val="auto"/>
                <w:sz w:val="18"/>
                <w:szCs w:val="18"/>
                <w:lang w:eastAsia="zh-CN"/>
              </w:rPr>
              <w:t>生产活动中产生的因外形、粒径组成、有效物质含量不能满足原使用者使用要求，而被放弃使用的生产物料[4.2.2a)规定的情形除外]；</w:t>
            </w:r>
            <w:r>
              <w:rPr>
                <w:color w:val="auto"/>
                <w:sz w:val="18"/>
                <w:szCs w:val="18"/>
              </w:rPr>
              <w:t>“</w:t>
            </w:r>
            <w:r>
              <w:rPr>
                <w:rFonts w:hint="default" w:ascii="Times New Roman" w:hAnsi="Times New Roman" w:eastAsia="宋体" w:cs="Times New Roman"/>
                <w:bCs/>
                <w:snapToGrid w:val="0"/>
                <w:color w:val="auto"/>
                <w:spacing w:val="6"/>
                <w:kern w:val="2"/>
                <w:sz w:val="18"/>
                <w:szCs w:val="18"/>
                <w:lang w:val="en-US" w:eastAsia="zh-CN" w:bidi="ar-SA"/>
              </w:rPr>
              <w:t>5.2a</w:t>
            </w:r>
            <w:r>
              <w:rPr>
                <w:rFonts w:hint="eastAsia"/>
                <w:color w:val="auto"/>
                <w:sz w:val="18"/>
                <w:szCs w:val="18"/>
              </w:rPr>
              <w:t>）</w:t>
            </w:r>
            <w:r>
              <w:rPr>
                <w:color w:val="auto"/>
                <w:sz w:val="18"/>
                <w:szCs w:val="18"/>
              </w:rPr>
              <w:t>”表示：</w:t>
            </w:r>
            <w:r>
              <w:rPr>
                <w:rFonts w:hint="default" w:ascii="Times New Roman" w:hAnsi="Times New Roman" w:eastAsia="宋体" w:cs="Times New Roman"/>
                <w:b/>
                <w:color w:val="auto"/>
                <w:sz w:val="18"/>
                <w:szCs w:val="18"/>
                <w:lang w:val="zh-CN" w:eastAsia="zh-CN"/>
              </w:rPr>
              <w:t>从商品整体上剥离下的包装物和使用后剩余的包装容器（不包括设计重复使用的周转容器）</w:t>
            </w:r>
            <w:r>
              <w:rPr>
                <w:rFonts w:hint="eastAsia" w:ascii="Times New Roman" w:hAnsi="Times New Roman" w:eastAsia="宋体" w:cs="Times New Roman"/>
                <w:b/>
                <w:color w:val="auto"/>
                <w:sz w:val="18"/>
                <w:szCs w:val="18"/>
                <w:lang w:val="en-US" w:eastAsia="zh-CN"/>
              </w:rPr>
              <w:t>；</w:t>
            </w:r>
            <w:r>
              <w:rPr>
                <w:rFonts w:hint="eastAsia"/>
                <w:color w:val="auto"/>
                <w:sz w:val="18"/>
                <w:szCs w:val="18"/>
              </w:rPr>
              <w:t>“5.2e）”表示：材料加工、改性、表面处理以及其他处理过程中产生的残余物质</w:t>
            </w:r>
            <w:r>
              <w:rPr>
                <w:rFonts w:hint="eastAsia"/>
                <w:color w:val="auto"/>
                <w:sz w:val="18"/>
                <w:szCs w:val="18"/>
                <w:lang w:eastAsia="zh-CN"/>
              </w:rPr>
              <w:t>；</w:t>
            </w:r>
            <w:r>
              <w:rPr>
                <w:rFonts w:hint="eastAsia" w:ascii="Times New Roman" w:hAnsi="Times New Roman" w:eastAsia="宋体" w:cs="Times New Roman"/>
                <w:b/>
                <w:color w:val="auto"/>
                <w:sz w:val="18"/>
                <w:szCs w:val="18"/>
                <w:lang w:val="en-US" w:eastAsia="zh-CN"/>
              </w:rPr>
              <w:t>“5.2k）”表示：</w:t>
            </w:r>
            <w:r>
              <w:rPr>
                <w:rFonts w:hint="default" w:ascii="Times New Roman" w:hAnsi="Times New Roman" w:eastAsia="宋体" w:cs="Times New Roman"/>
                <w:b/>
                <w:color w:val="auto"/>
                <w:sz w:val="18"/>
                <w:szCs w:val="18"/>
                <w:lang w:val="zh-CN" w:eastAsia="zh-CN"/>
              </w:rPr>
              <w:t>水净化和废水、废液处理产生的残余产物</w:t>
            </w:r>
            <w:r>
              <w:rPr>
                <w:rFonts w:hint="eastAsia" w:cs="Times New Roman"/>
                <w:b/>
                <w:color w:val="auto"/>
                <w:sz w:val="18"/>
                <w:szCs w:val="18"/>
                <w:lang w:val="en-US" w:eastAsia="zh-CN"/>
              </w:rPr>
              <w:t>。</w:t>
            </w:r>
            <w:r>
              <w:rPr>
                <w:rFonts w:hint="eastAsia" w:eastAsia="宋体" w:cs="Times New Roman"/>
                <w:b/>
                <w:color w:val="auto"/>
                <w:sz w:val="18"/>
                <w:szCs w:val="18"/>
                <w:lang w:val="en-US" w:eastAsia="zh-CN"/>
              </w:rPr>
              <w:t>②《固体废物鉴别标准 通则》（GB34330-2025）处置鉴别中</w:t>
            </w:r>
            <w:r>
              <w:rPr>
                <w:color w:val="auto"/>
                <w:sz w:val="18"/>
                <w:szCs w:val="18"/>
              </w:rPr>
              <w:t>“</w:t>
            </w:r>
            <w:r>
              <w:rPr>
                <w:rFonts w:hint="eastAsia" w:ascii="Times New Roman" w:hAnsi="Times New Roman" w:eastAsia="宋体" w:cs="Times New Roman"/>
                <w:color w:val="auto"/>
                <w:kern w:val="0"/>
                <w:sz w:val="18"/>
                <w:szCs w:val="18"/>
                <w:lang w:val="en-US" w:eastAsia="zh-CN" w:bidi="ar"/>
              </w:rPr>
              <w:t>7.1g</w:t>
            </w:r>
            <w:r>
              <w:rPr>
                <w:rFonts w:hint="eastAsia"/>
                <w:color w:val="auto"/>
                <w:sz w:val="18"/>
                <w:szCs w:val="18"/>
              </w:rPr>
              <w:t>）</w:t>
            </w:r>
            <w:r>
              <w:rPr>
                <w:color w:val="auto"/>
                <w:sz w:val="18"/>
                <w:szCs w:val="18"/>
              </w:rPr>
              <w:t>”表示</w:t>
            </w:r>
            <w:r>
              <w:rPr>
                <w:rFonts w:hint="eastAsia"/>
                <w:color w:val="auto"/>
                <w:sz w:val="18"/>
                <w:szCs w:val="18"/>
                <w:lang w:eastAsia="zh-CN"/>
              </w:rPr>
              <w:t>：</w:t>
            </w:r>
            <w:r>
              <w:rPr>
                <w:rFonts w:hint="eastAsia" w:ascii="Times New Roman" w:hAnsi="Times New Roman" w:eastAsia="宋体" w:cs="Times New Roman"/>
                <w:b/>
                <w:color w:val="auto"/>
                <w:sz w:val="18"/>
                <w:szCs w:val="18"/>
                <w:lang w:val="en-US" w:eastAsia="zh-CN"/>
              </w:rPr>
              <w:t>将不具有实际功能的物质作为原料或原料的替代品</w:t>
            </w:r>
            <w:r>
              <w:rPr>
                <w:rFonts w:hint="eastAsia"/>
                <w:color w:val="auto"/>
                <w:sz w:val="18"/>
                <w:szCs w:val="18"/>
                <w:lang w:eastAsia="zh-CN"/>
              </w:rPr>
              <w:t>；</w:t>
            </w:r>
            <w:r>
              <w:rPr>
                <w:rFonts w:hint="eastAsia" w:ascii="Times New Roman" w:hAnsi="Times New Roman" w:eastAsia="宋体" w:cs="Times New Roman"/>
                <w:b/>
                <w:color w:val="auto"/>
                <w:sz w:val="18"/>
                <w:szCs w:val="18"/>
                <w:lang w:val="en-US" w:eastAsia="zh-CN"/>
              </w:rPr>
              <w:t>“7.1b）”表示：填埋；“7.1c）”表示：焚烧</w:t>
            </w:r>
            <w:r>
              <w:rPr>
                <w:rFonts w:hint="eastAsia"/>
                <w:color w:val="auto"/>
                <w:sz w:val="18"/>
                <w:szCs w:val="18"/>
                <w:lang w:eastAsia="zh-CN"/>
              </w:rPr>
              <w:t>。</w:t>
            </w:r>
          </w:p>
          <w:p w14:paraId="661E2E9D">
            <w:pPr>
              <w:spacing w:line="360" w:lineRule="auto"/>
              <w:ind w:firstLine="480" w:firstLineChars="200"/>
              <w:rPr>
                <w:rFonts w:hint="default" w:ascii="Times New Roman" w:hAnsi="Times New Roman" w:cs="Times New Roman"/>
                <w:color w:val="auto"/>
                <w:sz w:val="24"/>
                <w:szCs w:val="24"/>
                <w:lang w:bidi="ar-SA"/>
              </w:rPr>
            </w:pPr>
            <w:r>
              <w:rPr>
                <w:rFonts w:hint="default" w:ascii="Times New Roman" w:hAnsi="Times New Roman" w:cs="Times New Roman"/>
                <w:color w:val="auto"/>
                <w:sz w:val="24"/>
                <w:szCs w:val="24"/>
                <w:lang w:bidi="ar-SA"/>
              </w:rPr>
              <w:t>本项目固体废物产生及排放情况分析结果汇总见表4-</w:t>
            </w:r>
            <w:r>
              <w:rPr>
                <w:rFonts w:hint="eastAsia" w:cs="Times New Roman"/>
                <w:color w:val="auto"/>
                <w:sz w:val="24"/>
                <w:szCs w:val="24"/>
                <w:lang w:val="en-US" w:eastAsia="zh-CN" w:bidi="ar-SA"/>
              </w:rPr>
              <w:t>21</w:t>
            </w:r>
            <w:r>
              <w:rPr>
                <w:rFonts w:hint="default" w:ascii="Times New Roman" w:hAnsi="Times New Roman" w:cs="Times New Roman"/>
                <w:color w:val="auto"/>
                <w:sz w:val="24"/>
                <w:szCs w:val="24"/>
                <w:lang w:bidi="ar-SA"/>
              </w:rPr>
              <w:t>，危险废物产生情况见表4-</w:t>
            </w:r>
            <w:r>
              <w:rPr>
                <w:rFonts w:hint="eastAsia" w:cs="Times New Roman"/>
                <w:color w:val="auto"/>
                <w:sz w:val="24"/>
                <w:szCs w:val="24"/>
                <w:lang w:val="en-US" w:eastAsia="zh-CN" w:bidi="ar-SA"/>
              </w:rPr>
              <w:t>22</w:t>
            </w:r>
            <w:r>
              <w:rPr>
                <w:rFonts w:hint="default" w:ascii="Times New Roman" w:hAnsi="Times New Roman" w:cs="Times New Roman"/>
                <w:color w:val="auto"/>
                <w:sz w:val="24"/>
                <w:szCs w:val="24"/>
                <w:lang w:bidi="ar-SA"/>
              </w:rPr>
              <w:t>。</w:t>
            </w:r>
          </w:p>
          <w:p w14:paraId="390EEE05">
            <w:pPr>
              <w:jc w:val="center"/>
              <w:rPr>
                <w:rFonts w:hint="eastAsia" w:ascii="Times New Roman" w:hAnsi="Times New Roman" w:cs="Times New Roman"/>
                <w:b/>
                <w:bCs/>
                <w:color w:val="auto"/>
                <w:sz w:val="24"/>
                <w:szCs w:val="24"/>
                <w:lang w:bidi="ar-SA"/>
              </w:rPr>
            </w:pPr>
          </w:p>
          <w:p w14:paraId="3D1B7B66">
            <w:pPr>
              <w:jc w:val="center"/>
              <w:rPr>
                <w:rFonts w:hint="eastAsia" w:ascii="Times New Roman" w:hAnsi="Times New Roman" w:cs="Times New Roman"/>
                <w:b/>
                <w:bCs/>
                <w:color w:val="auto"/>
                <w:sz w:val="24"/>
                <w:szCs w:val="24"/>
                <w:lang w:bidi="ar-SA"/>
              </w:rPr>
            </w:pPr>
          </w:p>
          <w:p w14:paraId="7195C327">
            <w:pPr>
              <w:jc w:val="center"/>
              <w:rPr>
                <w:rFonts w:hint="eastAsia" w:ascii="Times New Roman" w:hAnsi="Times New Roman" w:cs="Times New Roman"/>
                <w:b/>
                <w:bCs/>
                <w:color w:val="auto"/>
                <w:sz w:val="24"/>
                <w:szCs w:val="24"/>
                <w:lang w:bidi="ar-SA"/>
              </w:rPr>
            </w:pPr>
          </w:p>
          <w:p w14:paraId="240AC376">
            <w:pPr>
              <w:jc w:val="center"/>
              <w:rPr>
                <w:rFonts w:hint="default" w:ascii="Times New Roman" w:hAnsi="Times New Roman" w:cs="Times New Roman"/>
                <w:b/>
                <w:bCs/>
                <w:color w:val="auto"/>
                <w:sz w:val="24"/>
                <w:szCs w:val="24"/>
                <w:lang w:bidi="ar-SA"/>
              </w:rPr>
            </w:pPr>
            <w:r>
              <w:rPr>
                <w:rFonts w:hint="eastAsia" w:ascii="Times New Roman" w:hAnsi="Times New Roman" w:cs="Times New Roman"/>
                <w:b/>
                <w:bCs/>
                <w:color w:val="auto"/>
                <w:sz w:val="24"/>
                <w:szCs w:val="24"/>
                <w:lang w:bidi="ar-SA"/>
              </w:rPr>
              <w:t>表4-</w:t>
            </w:r>
            <w:r>
              <w:rPr>
                <w:rFonts w:hint="eastAsia" w:cs="Times New Roman"/>
                <w:b/>
                <w:bCs/>
                <w:color w:val="auto"/>
                <w:sz w:val="24"/>
                <w:szCs w:val="24"/>
                <w:lang w:val="en-US" w:eastAsia="zh-CN" w:bidi="ar-SA"/>
              </w:rPr>
              <w:t>21</w:t>
            </w:r>
            <w:r>
              <w:rPr>
                <w:rFonts w:hint="eastAsia" w:ascii="Times New Roman" w:hAnsi="Times New Roman" w:cs="Times New Roman"/>
                <w:b/>
                <w:bCs/>
                <w:color w:val="auto"/>
                <w:sz w:val="24"/>
                <w:szCs w:val="24"/>
                <w:lang w:bidi="ar-SA"/>
              </w:rPr>
              <w:t xml:space="preserve"> </w:t>
            </w:r>
            <w:r>
              <w:rPr>
                <w:rFonts w:hint="default" w:ascii="Times New Roman" w:hAnsi="Times New Roman" w:cs="Times New Roman"/>
                <w:b/>
                <w:bCs/>
                <w:color w:val="auto"/>
                <w:sz w:val="24"/>
                <w:szCs w:val="24"/>
                <w:lang w:bidi="ar-SA"/>
              </w:rPr>
              <w:t>建设项目</w:t>
            </w:r>
            <w:r>
              <w:rPr>
                <w:rFonts w:hint="eastAsia" w:ascii="Times New Roman" w:hAnsi="Times New Roman" w:cs="Times New Roman"/>
                <w:b/>
                <w:bCs/>
                <w:color w:val="auto"/>
                <w:sz w:val="24"/>
                <w:szCs w:val="24"/>
                <w:lang w:bidi="ar-SA"/>
              </w:rPr>
              <w:t>一般</w:t>
            </w:r>
            <w:r>
              <w:rPr>
                <w:rFonts w:hint="default" w:ascii="Times New Roman" w:hAnsi="Times New Roman" w:cs="Times New Roman"/>
                <w:b/>
                <w:bCs/>
                <w:color w:val="auto"/>
                <w:sz w:val="24"/>
                <w:szCs w:val="24"/>
                <w:lang w:bidi="ar-SA"/>
              </w:rPr>
              <w:t>固废产生及处置情况</w:t>
            </w:r>
          </w:p>
          <w:tbl>
            <w:tblPr>
              <w:tblStyle w:val="26"/>
              <w:tblW w:w="4995" w:type="pct"/>
              <w:jc w:val="center"/>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Layout w:type="fixed"/>
              <w:tblCellMar>
                <w:top w:w="0" w:type="dxa"/>
                <w:left w:w="28" w:type="dxa"/>
                <w:bottom w:w="0" w:type="dxa"/>
                <w:right w:w="28" w:type="dxa"/>
              </w:tblCellMar>
            </w:tblPr>
            <w:tblGrid>
              <w:gridCol w:w="381"/>
              <w:gridCol w:w="737"/>
              <w:gridCol w:w="335"/>
              <w:gridCol w:w="1168"/>
              <w:gridCol w:w="588"/>
              <w:gridCol w:w="669"/>
              <w:gridCol w:w="1824"/>
              <w:gridCol w:w="1221"/>
              <w:gridCol w:w="744"/>
              <w:gridCol w:w="486"/>
            </w:tblGrid>
            <w:tr w14:paraId="4BE5E789">
              <w:tblPrEx>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CellMar>
                  <w:top w:w="0" w:type="dxa"/>
                  <w:left w:w="28" w:type="dxa"/>
                  <w:bottom w:w="0" w:type="dxa"/>
                  <w:right w:w="28" w:type="dxa"/>
                </w:tblCellMar>
              </w:tblPrEx>
              <w:trPr>
                <w:trHeight w:val="23" w:hRule="atLeast"/>
                <w:jc w:val="center"/>
              </w:trPr>
              <w:tc>
                <w:tcPr>
                  <w:tcW w:w="233" w:type="pct"/>
                  <w:tcBorders>
                    <w:tl2br w:val="nil"/>
                    <w:tr2bl w:val="nil"/>
                  </w:tcBorders>
                  <w:vAlign w:val="center"/>
                </w:tcPr>
                <w:p w14:paraId="48ED6B44">
                  <w:pPr>
                    <w:widowControl/>
                    <w:adjustRightInd w:val="0"/>
                    <w:snapToGrid w:val="0"/>
                    <w:spacing w:before="0" w:beforeLines="0" w:after="0" w:afterLines="0" w:line="240" w:lineRule="auto"/>
                    <w:ind w:firstLine="0" w:firstLineChars="0"/>
                    <w:jc w:val="center"/>
                    <w:textAlignment w:val="baseline"/>
                    <w:rPr>
                      <w:rFonts w:ascii="Times New Roman" w:hAnsi="宋体" w:eastAsia="宋体" w:cs="Times New Roman"/>
                      <w:b/>
                      <w:color w:val="auto"/>
                      <w:spacing w:val="-10"/>
                      <w:kern w:val="0"/>
                      <w:sz w:val="21"/>
                      <w:szCs w:val="21"/>
                      <w:lang w:val="en-US" w:eastAsia="zh-CN" w:bidi="ar-SA"/>
                    </w:rPr>
                  </w:pPr>
                  <w:r>
                    <w:rPr>
                      <w:rFonts w:ascii="Times New Roman" w:hAnsi="宋体" w:eastAsia="宋体" w:cs="Times New Roman"/>
                      <w:b/>
                      <w:color w:val="auto"/>
                      <w:spacing w:val="-10"/>
                      <w:kern w:val="0"/>
                      <w:sz w:val="21"/>
                      <w:szCs w:val="21"/>
                      <w:lang w:val="en-US" w:eastAsia="zh-CN" w:bidi="ar-SA"/>
                    </w:rPr>
                    <w:t>序号</w:t>
                  </w:r>
                </w:p>
              </w:tc>
              <w:tc>
                <w:tcPr>
                  <w:tcW w:w="451" w:type="pct"/>
                  <w:tcBorders>
                    <w:tl2br w:val="nil"/>
                    <w:tr2bl w:val="nil"/>
                  </w:tcBorders>
                  <w:vAlign w:val="center"/>
                </w:tcPr>
                <w:p w14:paraId="67CF4803">
                  <w:pPr>
                    <w:widowControl/>
                    <w:adjustRightInd w:val="0"/>
                    <w:snapToGrid w:val="0"/>
                    <w:spacing w:before="0" w:beforeLines="0" w:after="0" w:afterLines="0" w:line="240" w:lineRule="auto"/>
                    <w:ind w:firstLine="0" w:firstLineChars="0"/>
                    <w:jc w:val="center"/>
                    <w:textAlignment w:val="baseline"/>
                    <w:rPr>
                      <w:rFonts w:ascii="Times New Roman" w:hAnsi="宋体" w:eastAsia="宋体" w:cs="Times New Roman"/>
                      <w:b/>
                      <w:color w:val="auto"/>
                      <w:spacing w:val="-10"/>
                      <w:kern w:val="0"/>
                      <w:sz w:val="21"/>
                      <w:szCs w:val="21"/>
                      <w:lang w:val="en-US" w:eastAsia="zh-CN" w:bidi="ar-SA"/>
                    </w:rPr>
                  </w:pPr>
                  <w:r>
                    <w:rPr>
                      <w:rFonts w:ascii="Times New Roman" w:hAnsi="宋体" w:eastAsia="宋体" w:cs="Times New Roman"/>
                      <w:b/>
                      <w:color w:val="auto"/>
                      <w:spacing w:val="-10"/>
                      <w:kern w:val="0"/>
                      <w:sz w:val="21"/>
                      <w:szCs w:val="21"/>
                      <w:lang w:val="en-US" w:eastAsia="zh-CN" w:bidi="ar-SA"/>
                    </w:rPr>
                    <w:t>固体</w:t>
                  </w:r>
                </w:p>
                <w:p w14:paraId="36BAD167">
                  <w:pPr>
                    <w:widowControl/>
                    <w:adjustRightInd w:val="0"/>
                    <w:snapToGrid w:val="0"/>
                    <w:spacing w:before="0" w:beforeLines="0" w:after="0" w:afterLines="0" w:line="240" w:lineRule="auto"/>
                    <w:ind w:firstLine="0" w:firstLineChars="0"/>
                    <w:jc w:val="center"/>
                    <w:textAlignment w:val="baseline"/>
                    <w:rPr>
                      <w:rFonts w:ascii="Times New Roman" w:hAnsi="宋体" w:eastAsia="宋体" w:cs="Times New Roman"/>
                      <w:b/>
                      <w:color w:val="auto"/>
                      <w:spacing w:val="-10"/>
                      <w:kern w:val="0"/>
                      <w:sz w:val="21"/>
                      <w:szCs w:val="21"/>
                      <w:lang w:val="en-US" w:eastAsia="zh-CN" w:bidi="ar-SA"/>
                    </w:rPr>
                  </w:pPr>
                  <w:r>
                    <w:rPr>
                      <w:rFonts w:ascii="Times New Roman" w:hAnsi="宋体" w:eastAsia="宋体" w:cs="Times New Roman"/>
                      <w:b/>
                      <w:color w:val="auto"/>
                      <w:spacing w:val="-10"/>
                      <w:kern w:val="0"/>
                      <w:sz w:val="21"/>
                      <w:szCs w:val="21"/>
                      <w:lang w:val="en-US" w:eastAsia="zh-CN" w:bidi="ar-SA"/>
                    </w:rPr>
                    <w:t>废物</w:t>
                  </w:r>
                </w:p>
              </w:tc>
              <w:tc>
                <w:tcPr>
                  <w:tcW w:w="205" w:type="pct"/>
                  <w:tcBorders>
                    <w:tl2br w:val="nil"/>
                    <w:tr2bl w:val="nil"/>
                  </w:tcBorders>
                  <w:vAlign w:val="center"/>
                </w:tcPr>
                <w:p w14:paraId="595BFD8E">
                  <w:pPr>
                    <w:widowControl/>
                    <w:adjustRightInd w:val="0"/>
                    <w:snapToGrid w:val="0"/>
                    <w:spacing w:before="0" w:beforeLines="0" w:after="0" w:afterLines="0" w:line="240" w:lineRule="auto"/>
                    <w:ind w:firstLine="0" w:firstLineChars="0"/>
                    <w:jc w:val="center"/>
                    <w:textAlignment w:val="baseline"/>
                    <w:rPr>
                      <w:rFonts w:ascii="Times New Roman" w:hAnsi="宋体" w:eastAsia="宋体" w:cs="Times New Roman"/>
                      <w:b/>
                      <w:color w:val="auto"/>
                      <w:spacing w:val="-10"/>
                      <w:kern w:val="0"/>
                      <w:sz w:val="21"/>
                      <w:szCs w:val="21"/>
                      <w:lang w:val="en-US" w:eastAsia="zh-CN" w:bidi="ar-SA"/>
                    </w:rPr>
                  </w:pPr>
                  <w:r>
                    <w:rPr>
                      <w:rFonts w:ascii="Times New Roman" w:hAnsi="宋体" w:eastAsia="宋体" w:cs="Times New Roman"/>
                      <w:b/>
                      <w:color w:val="auto"/>
                      <w:spacing w:val="-10"/>
                      <w:kern w:val="0"/>
                      <w:sz w:val="21"/>
                      <w:szCs w:val="21"/>
                      <w:lang w:val="en-US" w:eastAsia="zh-CN" w:bidi="ar-SA"/>
                    </w:rPr>
                    <w:t>属性</w:t>
                  </w:r>
                </w:p>
              </w:tc>
              <w:tc>
                <w:tcPr>
                  <w:tcW w:w="716" w:type="pct"/>
                  <w:tcBorders>
                    <w:tl2br w:val="nil"/>
                    <w:tr2bl w:val="nil"/>
                  </w:tcBorders>
                  <w:vAlign w:val="center"/>
                </w:tcPr>
                <w:p w14:paraId="0F60BFD0">
                  <w:pPr>
                    <w:widowControl/>
                    <w:adjustRightInd w:val="0"/>
                    <w:snapToGrid w:val="0"/>
                    <w:spacing w:before="0" w:beforeLines="0" w:after="0" w:afterLines="0" w:line="240" w:lineRule="auto"/>
                    <w:ind w:firstLine="0" w:firstLineChars="0"/>
                    <w:jc w:val="center"/>
                    <w:textAlignment w:val="baseline"/>
                    <w:rPr>
                      <w:rFonts w:ascii="Times New Roman" w:hAnsi="宋体" w:eastAsia="宋体" w:cs="Times New Roman"/>
                      <w:b/>
                      <w:color w:val="auto"/>
                      <w:spacing w:val="-10"/>
                      <w:kern w:val="0"/>
                      <w:sz w:val="21"/>
                      <w:szCs w:val="21"/>
                      <w:lang w:val="en-US" w:eastAsia="zh-CN" w:bidi="ar-SA"/>
                    </w:rPr>
                  </w:pPr>
                  <w:r>
                    <w:rPr>
                      <w:rFonts w:ascii="Times New Roman" w:hAnsi="宋体" w:eastAsia="宋体" w:cs="Times New Roman"/>
                      <w:b/>
                      <w:color w:val="auto"/>
                      <w:spacing w:val="-10"/>
                      <w:kern w:val="0"/>
                      <w:sz w:val="21"/>
                      <w:szCs w:val="21"/>
                      <w:lang w:val="en-US" w:eastAsia="zh-CN" w:bidi="ar-SA"/>
                    </w:rPr>
                    <w:t>产生</w:t>
                  </w:r>
                </w:p>
                <w:p w14:paraId="12729AEE">
                  <w:pPr>
                    <w:widowControl/>
                    <w:adjustRightInd w:val="0"/>
                    <w:snapToGrid w:val="0"/>
                    <w:spacing w:before="0" w:beforeLines="0" w:after="0" w:afterLines="0" w:line="240" w:lineRule="auto"/>
                    <w:ind w:firstLine="0" w:firstLineChars="0"/>
                    <w:jc w:val="center"/>
                    <w:textAlignment w:val="baseline"/>
                    <w:rPr>
                      <w:rFonts w:ascii="Times New Roman" w:hAnsi="宋体" w:eastAsia="宋体" w:cs="Times New Roman"/>
                      <w:b/>
                      <w:color w:val="auto"/>
                      <w:spacing w:val="-10"/>
                      <w:kern w:val="0"/>
                      <w:sz w:val="21"/>
                      <w:szCs w:val="21"/>
                      <w:lang w:val="en-US" w:eastAsia="zh-CN" w:bidi="ar-SA"/>
                    </w:rPr>
                  </w:pPr>
                  <w:r>
                    <w:rPr>
                      <w:rFonts w:ascii="Times New Roman" w:hAnsi="宋体" w:eastAsia="宋体" w:cs="Times New Roman"/>
                      <w:b/>
                      <w:color w:val="auto"/>
                      <w:spacing w:val="-10"/>
                      <w:kern w:val="0"/>
                      <w:sz w:val="21"/>
                      <w:szCs w:val="21"/>
                      <w:lang w:val="en-US" w:eastAsia="zh-CN" w:bidi="ar-SA"/>
                    </w:rPr>
                    <w:t>工序</w:t>
                  </w:r>
                </w:p>
              </w:tc>
              <w:tc>
                <w:tcPr>
                  <w:tcW w:w="360" w:type="pct"/>
                  <w:tcBorders>
                    <w:tl2br w:val="nil"/>
                    <w:tr2bl w:val="nil"/>
                  </w:tcBorders>
                  <w:vAlign w:val="center"/>
                </w:tcPr>
                <w:p w14:paraId="058AAF56">
                  <w:pPr>
                    <w:widowControl/>
                    <w:adjustRightInd w:val="0"/>
                    <w:snapToGrid w:val="0"/>
                    <w:spacing w:before="0" w:beforeLines="0" w:after="0" w:afterLines="0" w:line="240" w:lineRule="auto"/>
                    <w:ind w:firstLine="0" w:firstLineChars="0"/>
                    <w:jc w:val="center"/>
                    <w:textAlignment w:val="baseline"/>
                    <w:rPr>
                      <w:rFonts w:ascii="Times New Roman" w:hAnsi="宋体" w:eastAsia="宋体" w:cs="Times New Roman"/>
                      <w:b/>
                      <w:color w:val="auto"/>
                      <w:spacing w:val="-10"/>
                      <w:kern w:val="0"/>
                      <w:sz w:val="21"/>
                      <w:szCs w:val="21"/>
                      <w:lang w:val="en-US" w:eastAsia="zh-CN" w:bidi="ar-SA"/>
                    </w:rPr>
                  </w:pPr>
                  <w:r>
                    <w:rPr>
                      <w:rFonts w:ascii="Times New Roman" w:hAnsi="宋体" w:eastAsia="宋体" w:cs="Times New Roman"/>
                      <w:b/>
                      <w:color w:val="auto"/>
                      <w:spacing w:val="-10"/>
                      <w:kern w:val="0"/>
                      <w:sz w:val="21"/>
                      <w:szCs w:val="21"/>
                      <w:lang w:val="en-US" w:eastAsia="zh-CN" w:bidi="ar-SA"/>
                    </w:rPr>
                    <w:t>形态</w:t>
                  </w:r>
                </w:p>
              </w:tc>
              <w:tc>
                <w:tcPr>
                  <w:tcW w:w="410" w:type="pct"/>
                  <w:tcBorders>
                    <w:tl2br w:val="nil"/>
                    <w:tr2bl w:val="nil"/>
                  </w:tcBorders>
                  <w:vAlign w:val="center"/>
                </w:tcPr>
                <w:p w14:paraId="4F1B90E3">
                  <w:pPr>
                    <w:widowControl/>
                    <w:adjustRightInd w:val="0"/>
                    <w:snapToGrid w:val="0"/>
                    <w:spacing w:before="0" w:beforeLines="0" w:after="0" w:afterLines="0" w:line="240" w:lineRule="auto"/>
                    <w:ind w:firstLine="0" w:firstLineChars="0"/>
                    <w:jc w:val="center"/>
                    <w:textAlignment w:val="baseline"/>
                    <w:rPr>
                      <w:rFonts w:ascii="Times New Roman" w:hAnsi="宋体" w:eastAsia="宋体" w:cs="Times New Roman"/>
                      <w:b/>
                      <w:color w:val="auto"/>
                      <w:spacing w:val="-10"/>
                      <w:kern w:val="0"/>
                      <w:sz w:val="21"/>
                      <w:szCs w:val="21"/>
                      <w:lang w:val="en-US" w:eastAsia="zh-CN" w:bidi="ar-SA"/>
                    </w:rPr>
                  </w:pPr>
                  <w:r>
                    <w:rPr>
                      <w:rFonts w:ascii="Times New Roman" w:hAnsi="宋体" w:eastAsia="宋体" w:cs="Times New Roman"/>
                      <w:b/>
                      <w:color w:val="auto"/>
                      <w:spacing w:val="-10"/>
                      <w:kern w:val="0"/>
                      <w:sz w:val="21"/>
                      <w:szCs w:val="21"/>
                      <w:lang w:val="en-US" w:eastAsia="zh-CN" w:bidi="ar-SA"/>
                    </w:rPr>
                    <w:t>主要成分</w:t>
                  </w:r>
                </w:p>
              </w:tc>
              <w:tc>
                <w:tcPr>
                  <w:tcW w:w="1118" w:type="pct"/>
                  <w:tcBorders>
                    <w:tl2br w:val="nil"/>
                    <w:tr2bl w:val="nil"/>
                  </w:tcBorders>
                  <w:vAlign w:val="center"/>
                </w:tcPr>
                <w:p w14:paraId="7A8AD426">
                  <w:pPr>
                    <w:widowControl/>
                    <w:adjustRightInd w:val="0"/>
                    <w:snapToGrid w:val="0"/>
                    <w:spacing w:before="0" w:beforeLines="0" w:after="0" w:afterLines="0" w:line="240" w:lineRule="auto"/>
                    <w:ind w:firstLine="0" w:firstLineChars="0"/>
                    <w:jc w:val="center"/>
                    <w:textAlignment w:val="baseline"/>
                    <w:rPr>
                      <w:rFonts w:ascii="Times New Roman" w:hAnsi="宋体" w:eastAsia="宋体" w:cs="Times New Roman"/>
                      <w:b/>
                      <w:color w:val="auto"/>
                      <w:spacing w:val="-10"/>
                      <w:kern w:val="0"/>
                      <w:sz w:val="21"/>
                      <w:szCs w:val="21"/>
                      <w:lang w:val="en-US" w:eastAsia="zh-CN" w:bidi="ar-SA"/>
                    </w:rPr>
                  </w:pPr>
                  <w:r>
                    <w:rPr>
                      <w:rFonts w:ascii="Times New Roman" w:hAnsi="宋体" w:eastAsia="宋体" w:cs="Times New Roman"/>
                      <w:b/>
                      <w:color w:val="auto"/>
                      <w:spacing w:val="-10"/>
                      <w:kern w:val="0"/>
                      <w:sz w:val="21"/>
                      <w:szCs w:val="21"/>
                      <w:lang w:val="en-US" w:eastAsia="zh-CN" w:bidi="ar-SA"/>
                    </w:rPr>
                    <w:t>废物</w:t>
                  </w:r>
                </w:p>
                <w:p w14:paraId="27DC097A">
                  <w:pPr>
                    <w:widowControl/>
                    <w:adjustRightInd w:val="0"/>
                    <w:snapToGrid w:val="0"/>
                    <w:spacing w:before="0" w:beforeLines="0" w:after="0" w:afterLines="0" w:line="240" w:lineRule="auto"/>
                    <w:ind w:firstLine="0" w:firstLineChars="0"/>
                    <w:jc w:val="center"/>
                    <w:textAlignment w:val="baseline"/>
                    <w:rPr>
                      <w:rFonts w:ascii="Times New Roman" w:hAnsi="宋体" w:eastAsia="宋体" w:cs="Times New Roman"/>
                      <w:b/>
                      <w:color w:val="auto"/>
                      <w:spacing w:val="-10"/>
                      <w:kern w:val="0"/>
                      <w:sz w:val="21"/>
                      <w:szCs w:val="21"/>
                      <w:lang w:val="en-US" w:eastAsia="zh-CN" w:bidi="ar-SA"/>
                    </w:rPr>
                  </w:pPr>
                  <w:r>
                    <w:rPr>
                      <w:rFonts w:ascii="Times New Roman" w:hAnsi="宋体" w:eastAsia="宋体" w:cs="Times New Roman"/>
                      <w:b/>
                      <w:color w:val="auto"/>
                      <w:spacing w:val="-10"/>
                      <w:kern w:val="0"/>
                      <w:sz w:val="21"/>
                      <w:szCs w:val="21"/>
                      <w:lang w:val="en-US" w:eastAsia="zh-CN" w:bidi="ar-SA"/>
                    </w:rPr>
                    <w:t>类别</w:t>
                  </w:r>
                </w:p>
              </w:tc>
              <w:tc>
                <w:tcPr>
                  <w:tcW w:w="748" w:type="pct"/>
                  <w:tcBorders>
                    <w:tl2br w:val="nil"/>
                    <w:tr2bl w:val="nil"/>
                  </w:tcBorders>
                  <w:vAlign w:val="center"/>
                </w:tcPr>
                <w:p w14:paraId="338C78B0">
                  <w:pPr>
                    <w:widowControl/>
                    <w:adjustRightInd w:val="0"/>
                    <w:snapToGrid w:val="0"/>
                    <w:spacing w:before="0" w:beforeLines="0" w:after="0" w:afterLines="0" w:line="240" w:lineRule="auto"/>
                    <w:ind w:firstLine="0" w:firstLineChars="0"/>
                    <w:jc w:val="center"/>
                    <w:textAlignment w:val="baseline"/>
                    <w:rPr>
                      <w:rFonts w:ascii="Times New Roman" w:hAnsi="宋体" w:eastAsia="宋体" w:cs="Times New Roman"/>
                      <w:b/>
                      <w:color w:val="auto"/>
                      <w:spacing w:val="-10"/>
                      <w:kern w:val="0"/>
                      <w:sz w:val="21"/>
                      <w:szCs w:val="21"/>
                      <w:lang w:val="en-US" w:eastAsia="zh-CN" w:bidi="ar-SA"/>
                    </w:rPr>
                  </w:pPr>
                  <w:r>
                    <w:rPr>
                      <w:rFonts w:ascii="Times New Roman" w:hAnsi="宋体" w:eastAsia="宋体" w:cs="Times New Roman"/>
                      <w:b/>
                      <w:color w:val="auto"/>
                      <w:spacing w:val="-10"/>
                      <w:kern w:val="0"/>
                      <w:sz w:val="21"/>
                      <w:szCs w:val="21"/>
                      <w:lang w:val="en-US" w:eastAsia="zh-CN" w:bidi="ar-SA"/>
                    </w:rPr>
                    <w:t>废物</w:t>
                  </w:r>
                </w:p>
                <w:p w14:paraId="023F2700">
                  <w:pPr>
                    <w:widowControl/>
                    <w:adjustRightInd w:val="0"/>
                    <w:snapToGrid w:val="0"/>
                    <w:spacing w:before="0" w:beforeLines="0" w:after="0" w:afterLines="0" w:line="240" w:lineRule="auto"/>
                    <w:ind w:firstLine="0" w:firstLineChars="0"/>
                    <w:jc w:val="center"/>
                    <w:textAlignment w:val="baseline"/>
                    <w:rPr>
                      <w:rFonts w:ascii="Times New Roman" w:hAnsi="宋体" w:eastAsia="宋体" w:cs="Times New Roman"/>
                      <w:b/>
                      <w:color w:val="auto"/>
                      <w:spacing w:val="-10"/>
                      <w:kern w:val="0"/>
                      <w:sz w:val="21"/>
                      <w:szCs w:val="21"/>
                      <w:lang w:val="en-US" w:eastAsia="zh-CN" w:bidi="ar-SA"/>
                    </w:rPr>
                  </w:pPr>
                  <w:r>
                    <w:rPr>
                      <w:rFonts w:ascii="Times New Roman" w:hAnsi="宋体" w:eastAsia="宋体" w:cs="Times New Roman"/>
                      <w:b/>
                      <w:color w:val="auto"/>
                      <w:spacing w:val="-10"/>
                      <w:kern w:val="0"/>
                      <w:sz w:val="21"/>
                      <w:szCs w:val="21"/>
                      <w:lang w:val="en-US" w:eastAsia="zh-CN" w:bidi="ar-SA"/>
                    </w:rPr>
                    <w:t>代码</w:t>
                  </w:r>
                </w:p>
              </w:tc>
              <w:tc>
                <w:tcPr>
                  <w:tcW w:w="456" w:type="pct"/>
                  <w:tcBorders>
                    <w:tl2br w:val="nil"/>
                    <w:tr2bl w:val="nil"/>
                  </w:tcBorders>
                  <w:vAlign w:val="center"/>
                </w:tcPr>
                <w:p w14:paraId="642EAD98">
                  <w:pPr>
                    <w:widowControl/>
                    <w:adjustRightInd w:val="0"/>
                    <w:snapToGrid w:val="0"/>
                    <w:spacing w:before="0" w:beforeLines="0" w:after="0" w:afterLines="0" w:line="240" w:lineRule="auto"/>
                    <w:ind w:firstLine="0" w:firstLineChars="0"/>
                    <w:jc w:val="center"/>
                    <w:textAlignment w:val="baseline"/>
                    <w:rPr>
                      <w:rFonts w:ascii="Times New Roman" w:hAnsi="宋体" w:eastAsia="宋体" w:cs="Times New Roman"/>
                      <w:b/>
                      <w:color w:val="auto"/>
                      <w:spacing w:val="-10"/>
                      <w:kern w:val="0"/>
                      <w:sz w:val="21"/>
                      <w:szCs w:val="21"/>
                      <w:lang w:val="en-US" w:eastAsia="zh-CN" w:bidi="ar-SA"/>
                    </w:rPr>
                  </w:pPr>
                  <w:r>
                    <w:rPr>
                      <w:rFonts w:ascii="Times New Roman" w:hAnsi="宋体" w:eastAsia="宋体" w:cs="Times New Roman"/>
                      <w:b/>
                      <w:color w:val="auto"/>
                      <w:spacing w:val="-10"/>
                      <w:kern w:val="0"/>
                      <w:sz w:val="21"/>
                      <w:szCs w:val="21"/>
                      <w:lang w:val="en-US" w:eastAsia="zh-CN" w:bidi="ar-SA"/>
                    </w:rPr>
                    <w:t>产生量（t/a）</w:t>
                  </w:r>
                </w:p>
              </w:tc>
              <w:tc>
                <w:tcPr>
                  <w:tcW w:w="298" w:type="pct"/>
                  <w:tcBorders>
                    <w:tl2br w:val="nil"/>
                    <w:tr2bl w:val="nil"/>
                  </w:tcBorders>
                  <w:vAlign w:val="center"/>
                </w:tcPr>
                <w:p w14:paraId="0F465CD1">
                  <w:pPr>
                    <w:widowControl/>
                    <w:adjustRightInd w:val="0"/>
                    <w:snapToGrid w:val="0"/>
                    <w:spacing w:before="0" w:beforeLines="0" w:after="0" w:afterLines="0" w:line="240" w:lineRule="auto"/>
                    <w:ind w:firstLine="0" w:firstLineChars="0"/>
                    <w:jc w:val="center"/>
                    <w:textAlignment w:val="baseline"/>
                    <w:rPr>
                      <w:rFonts w:ascii="Times New Roman" w:hAnsi="宋体" w:eastAsia="宋体" w:cs="Times New Roman"/>
                      <w:b/>
                      <w:color w:val="auto"/>
                      <w:spacing w:val="-10"/>
                      <w:kern w:val="0"/>
                      <w:sz w:val="21"/>
                      <w:szCs w:val="21"/>
                      <w:lang w:val="en-US" w:eastAsia="zh-CN" w:bidi="ar-SA"/>
                    </w:rPr>
                  </w:pPr>
                  <w:r>
                    <w:rPr>
                      <w:rFonts w:ascii="Times New Roman" w:hAnsi="宋体" w:eastAsia="宋体" w:cs="Times New Roman"/>
                      <w:b/>
                      <w:color w:val="auto"/>
                      <w:spacing w:val="-10"/>
                      <w:kern w:val="0"/>
                      <w:sz w:val="21"/>
                      <w:szCs w:val="21"/>
                      <w:lang w:val="en-US" w:eastAsia="zh-CN" w:bidi="ar-SA"/>
                    </w:rPr>
                    <w:t>处置方式</w:t>
                  </w:r>
                </w:p>
              </w:tc>
            </w:tr>
            <w:tr w14:paraId="05AE5533">
              <w:tblPrEx>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CellMar>
                  <w:top w:w="0" w:type="dxa"/>
                  <w:left w:w="28" w:type="dxa"/>
                  <w:bottom w:w="0" w:type="dxa"/>
                  <w:right w:w="28" w:type="dxa"/>
                </w:tblCellMar>
              </w:tblPrEx>
              <w:trPr>
                <w:trHeight w:val="23" w:hRule="atLeast"/>
                <w:jc w:val="center"/>
              </w:trPr>
              <w:tc>
                <w:tcPr>
                  <w:tcW w:w="233" w:type="pct"/>
                  <w:tcBorders>
                    <w:tl2br w:val="nil"/>
                    <w:tr2bl w:val="nil"/>
                  </w:tcBorders>
                  <w:vAlign w:val="center"/>
                </w:tcPr>
                <w:p w14:paraId="14F67C50">
                  <w:pPr>
                    <w:snapToGrid w:val="0"/>
                    <w:jc w:val="center"/>
                    <w:textAlignment w:val="baseline"/>
                    <w:rPr>
                      <w:rFonts w:hint="default" w:ascii="Times New Roman" w:hAnsi="Times New Roman" w:cs="Times New Roman"/>
                      <w:color w:val="auto"/>
                      <w:sz w:val="21"/>
                      <w:szCs w:val="21"/>
                      <w:lang w:bidi="ar-SA"/>
                    </w:rPr>
                  </w:pPr>
                  <w:r>
                    <w:rPr>
                      <w:rFonts w:hint="default" w:ascii="Times New Roman" w:hAnsi="Times New Roman" w:cs="Times New Roman"/>
                      <w:color w:val="auto"/>
                      <w:sz w:val="21"/>
                      <w:szCs w:val="21"/>
                      <w:lang w:bidi="ar-SA"/>
                    </w:rPr>
                    <w:t>1</w:t>
                  </w:r>
                </w:p>
              </w:tc>
              <w:tc>
                <w:tcPr>
                  <w:tcW w:w="451" w:type="pct"/>
                  <w:tcBorders>
                    <w:tl2br w:val="nil"/>
                    <w:tr2bl w:val="nil"/>
                  </w:tcBorders>
                  <w:vAlign w:val="center"/>
                </w:tcPr>
                <w:p w14:paraId="174D8576">
                  <w:pPr>
                    <w:widowControl w:val="0"/>
                    <w:snapToGrid w:val="0"/>
                    <w:spacing w:before="0" w:beforeAutospacing="0" w:after="0" w:afterAutospacing="0"/>
                    <w:jc w:val="center"/>
                    <w:rPr>
                      <w:rFonts w:ascii="Times New Roman" w:hAnsi="Times New Roman" w:eastAsia="宋体" w:cs="Times New Roman"/>
                      <w:bCs/>
                      <w:color w:val="auto"/>
                      <w:kern w:val="2"/>
                      <w:sz w:val="21"/>
                      <w:szCs w:val="21"/>
                      <w:lang w:val="en-US" w:eastAsia="zh-CN" w:bidi="ar-SA"/>
                    </w:rPr>
                  </w:pPr>
                  <w:r>
                    <w:rPr>
                      <w:rFonts w:ascii="Times New Roman" w:hAnsi="Times New Roman" w:eastAsia="宋体" w:cs="Times New Roman"/>
                      <w:bCs/>
                      <w:color w:val="auto"/>
                      <w:kern w:val="0"/>
                      <w:sz w:val="21"/>
                      <w:szCs w:val="21"/>
                      <w:lang w:val="en-US" w:eastAsia="zh-CN" w:bidi="ar-SA"/>
                    </w:rPr>
                    <w:t>生活垃圾</w:t>
                  </w:r>
                </w:p>
              </w:tc>
              <w:tc>
                <w:tcPr>
                  <w:tcW w:w="205" w:type="pct"/>
                  <w:vMerge w:val="restart"/>
                  <w:tcBorders>
                    <w:tl2br w:val="nil"/>
                    <w:tr2bl w:val="nil"/>
                  </w:tcBorders>
                  <w:vAlign w:val="center"/>
                </w:tcPr>
                <w:p w14:paraId="795CCE52">
                  <w:pPr>
                    <w:snapToGrid w:val="0"/>
                    <w:jc w:val="center"/>
                    <w:textAlignment w:val="baseline"/>
                    <w:rPr>
                      <w:rFonts w:hint="default" w:ascii="Times New Roman" w:hAnsi="Times New Roman" w:cs="Times New Roman"/>
                      <w:color w:val="auto"/>
                      <w:sz w:val="21"/>
                      <w:szCs w:val="21"/>
                      <w:lang w:bidi="ar-SA"/>
                    </w:rPr>
                  </w:pPr>
                  <w:r>
                    <w:rPr>
                      <w:rFonts w:hint="default" w:ascii="Times New Roman" w:hAnsi="Times New Roman" w:cs="Times New Roman"/>
                      <w:color w:val="auto"/>
                      <w:sz w:val="21"/>
                      <w:szCs w:val="21"/>
                      <w:lang w:bidi="ar-SA"/>
                    </w:rPr>
                    <w:t>一般固废</w:t>
                  </w:r>
                </w:p>
              </w:tc>
              <w:tc>
                <w:tcPr>
                  <w:tcW w:w="716" w:type="pct"/>
                  <w:tcBorders>
                    <w:tl2br w:val="nil"/>
                    <w:tr2bl w:val="nil"/>
                  </w:tcBorders>
                  <w:vAlign w:val="center"/>
                </w:tcPr>
                <w:p w14:paraId="6A93D4CB">
                  <w:pPr>
                    <w:widowControl w:val="0"/>
                    <w:snapToGrid w:val="0"/>
                    <w:spacing w:before="0" w:beforeAutospacing="0" w:after="0" w:afterAutospacing="0"/>
                    <w:jc w:val="center"/>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bCs/>
                      <w:color w:val="auto"/>
                      <w:kern w:val="0"/>
                      <w:sz w:val="21"/>
                      <w:szCs w:val="21"/>
                      <w:lang w:val="en-US" w:eastAsia="zh-CN" w:bidi="ar-SA"/>
                    </w:rPr>
                    <w:t>员工生活</w:t>
                  </w:r>
                </w:p>
              </w:tc>
              <w:tc>
                <w:tcPr>
                  <w:tcW w:w="360" w:type="pct"/>
                  <w:tcBorders>
                    <w:tl2br w:val="nil"/>
                    <w:tr2bl w:val="nil"/>
                  </w:tcBorders>
                  <w:vAlign w:val="center"/>
                </w:tcPr>
                <w:p w14:paraId="69085D3A">
                  <w:pPr>
                    <w:widowControl/>
                    <w:adjustRightInd w:val="0"/>
                    <w:snapToGrid w:val="0"/>
                    <w:jc w:val="center"/>
                    <w:rPr>
                      <w:rFonts w:hint="default" w:ascii="Times New Roman" w:hAnsi="Times New Roman" w:cs="Times New Roman"/>
                      <w:color w:val="auto"/>
                      <w:sz w:val="21"/>
                      <w:szCs w:val="21"/>
                      <w:lang w:bidi="ar-SA"/>
                    </w:rPr>
                  </w:pPr>
                  <w:r>
                    <w:rPr>
                      <w:rFonts w:hint="default" w:ascii="Times New Roman" w:hAnsi="Times New Roman" w:cs="Times New Roman"/>
                      <w:color w:val="auto"/>
                      <w:kern w:val="0"/>
                      <w:sz w:val="21"/>
                      <w:szCs w:val="21"/>
                      <w:lang w:bidi="ar-SA"/>
                    </w:rPr>
                    <w:t>固态</w:t>
                  </w:r>
                </w:p>
              </w:tc>
              <w:tc>
                <w:tcPr>
                  <w:tcW w:w="410" w:type="pct"/>
                  <w:tcBorders>
                    <w:tl2br w:val="nil"/>
                    <w:tr2bl w:val="nil"/>
                  </w:tcBorders>
                  <w:vAlign w:val="center"/>
                </w:tcPr>
                <w:p w14:paraId="65C9B5F4">
                  <w:pPr>
                    <w:widowControl w:val="0"/>
                    <w:snapToGrid w:val="0"/>
                    <w:spacing w:before="0" w:beforeAutospacing="0" w:after="0" w:afterAutospacing="0"/>
                    <w:jc w:val="center"/>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bCs/>
                      <w:color w:val="auto"/>
                      <w:kern w:val="0"/>
                      <w:sz w:val="21"/>
                      <w:szCs w:val="21"/>
                      <w:lang w:val="en-US" w:eastAsia="zh-CN" w:bidi="ar-SA"/>
                    </w:rPr>
                    <w:t>纸张、塑料等</w:t>
                  </w:r>
                </w:p>
              </w:tc>
              <w:tc>
                <w:tcPr>
                  <w:tcW w:w="1118" w:type="pct"/>
                  <w:tcBorders>
                    <w:tl2br w:val="nil"/>
                    <w:tr2bl w:val="nil"/>
                  </w:tcBorders>
                  <w:vAlign w:val="center"/>
                </w:tcPr>
                <w:p w14:paraId="5A97D561">
                  <w:pPr>
                    <w:widowControl w:val="0"/>
                    <w:snapToGrid w:val="0"/>
                    <w:spacing w:before="0" w:beforeAutospacing="0" w:after="0" w:afterAutospacing="0"/>
                    <w:jc w:val="center"/>
                    <w:rPr>
                      <w:rFonts w:ascii="Times New Roman" w:hAnsi="Times New Roman" w:eastAsia="宋体" w:cs="Times New Roman"/>
                      <w:bCs/>
                      <w:color w:val="auto"/>
                      <w:kern w:val="0"/>
                      <w:sz w:val="21"/>
                      <w:szCs w:val="21"/>
                      <w:lang w:val="en-US" w:eastAsia="zh-CN" w:bidi="ar-SA"/>
                    </w:rPr>
                  </w:pPr>
                  <w:r>
                    <w:rPr>
                      <w:rFonts w:hint="eastAsia" w:ascii="Times New Roman" w:hAnsi="Times New Roman" w:eastAsia="宋体" w:cs="Times New Roman"/>
                      <w:bCs/>
                      <w:color w:val="auto"/>
                      <w:kern w:val="0"/>
                      <w:sz w:val="21"/>
                      <w:szCs w:val="21"/>
                      <w:lang w:val="en-US" w:eastAsia="zh-CN" w:bidi="ar-SA"/>
                    </w:rPr>
                    <w:t>SW62</w:t>
                  </w:r>
                </w:p>
                <w:p w14:paraId="7FEB432B">
                  <w:pPr>
                    <w:widowControl w:val="0"/>
                    <w:snapToGrid w:val="0"/>
                    <w:spacing w:before="0" w:beforeAutospacing="0" w:after="0" w:afterAutospacing="0"/>
                    <w:jc w:val="center"/>
                    <w:rPr>
                      <w:rFonts w:ascii="Times New Roman" w:hAnsi="Times New Roman" w:eastAsia="宋体" w:cs="Times New Roman"/>
                      <w:bCs/>
                      <w:color w:val="auto"/>
                      <w:kern w:val="0"/>
                      <w:sz w:val="21"/>
                      <w:szCs w:val="21"/>
                      <w:lang w:val="en-US" w:eastAsia="zh-CN" w:bidi="ar-SA"/>
                    </w:rPr>
                  </w:pPr>
                  <w:r>
                    <w:rPr>
                      <w:rFonts w:hint="eastAsia" w:ascii="Times New Roman" w:hAnsi="Times New Roman" w:eastAsia="宋体" w:cs="Times New Roman"/>
                      <w:bCs/>
                      <w:color w:val="auto"/>
                      <w:kern w:val="0"/>
                      <w:sz w:val="21"/>
                      <w:szCs w:val="21"/>
                      <w:lang w:val="en-US" w:eastAsia="zh-CN" w:bidi="ar-SA"/>
                    </w:rPr>
                    <w:t>可回收物</w:t>
                  </w:r>
                </w:p>
                <w:p w14:paraId="4FCCDBE9">
                  <w:pPr>
                    <w:widowControl w:val="0"/>
                    <w:snapToGrid w:val="0"/>
                    <w:spacing w:before="0" w:beforeAutospacing="0" w:after="0" w:afterAutospacing="0"/>
                    <w:jc w:val="center"/>
                    <w:rPr>
                      <w:rFonts w:ascii="Times New Roman" w:hAnsi="Times New Roman" w:eastAsia="宋体" w:cs="Times New Roman"/>
                      <w:bCs/>
                      <w:color w:val="auto"/>
                      <w:kern w:val="0"/>
                      <w:sz w:val="21"/>
                      <w:szCs w:val="21"/>
                      <w:lang w:val="en-US" w:eastAsia="zh-CN" w:bidi="ar-SA"/>
                    </w:rPr>
                  </w:pPr>
                  <w:r>
                    <w:rPr>
                      <w:rFonts w:hint="eastAsia" w:ascii="Times New Roman" w:hAnsi="Times New Roman" w:eastAsia="宋体" w:cs="Times New Roman"/>
                      <w:bCs/>
                      <w:color w:val="auto"/>
                      <w:kern w:val="0"/>
                      <w:sz w:val="21"/>
                      <w:szCs w:val="21"/>
                      <w:lang w:val="en-US" w:eastAsia="zh-CN" w:bidi="ar-SA"/>
                    </w:rPr>
                    <w:t>SW64</w:t>
                  </w:r>
                </w:p>
                <w:p w14:paraId="1B05C74A">
                  <w:pPr>
                    <w:widowControl w:val="0"/>
                    <w:snapToGrid w:val="0"/>
                    <w:spacing w:before="0" w:beforeAutospacing="0" w:after="0" w:afterAutospacing="0"/>
                    <w:jc w:val="center"/>
                    <w:rPr>
                      <w:rFonts w:ascii="Times New Roman" w:hAnsi="Times New Roman" w:eastAsia="宋体" w:cs="Times New Roman"/>
                      <w:bCs/>
                      <w:color w:val="auto"/>
                      <w:kern w:val="0"/>
                      <w:sz w:val="21"/>
                      <w:szCs w:val="21"/>
                      <w:lang w:val="en-US" w:eastAsia="zh-CN" w:bidi="ar-SA"/>
                    </w:rPr>
                  </w:pPr>
                  <w:r>
                    <w:rPr>
                      <w:rFonts w:hint="eastAsia" w:ascii="Times New Roman" w:hAnsi="Times New Roman" w:eastAsia="宋体" w:cs="Times New Roman"/>
                      <w:bCs/>
                      <w:color w:val="auto"/>
                      <w:kern w:val="0"/>
                      <w:sz w:val="21"/>
                      <w:szCs w:val="21"/>
                      <w:lang w:val="en-US" w:eastAsia="zh-CN" w:bidi="ar-SA"/>
                    </w:rPr>
                    <w:t>其他垃圾</w:t>
                  </w:r>
                </w:p>
              </w:tc>
              <w:tc>
                <w:tcPr>
                  <w:tcW w:w="748" w:type="pct"/>
                  <w:tcBorders>
                    <w:tl2br w:val="nil"/>
                    <w:tr2bl w:val="nil"/>
                  </w:tcBorders>
                  <w:vAlign w:val="center"/>
                </w:tcPr>
                <w:p w14:paraId="6F678354">
                  <w:pPr>
                    <w:widowControl w:val="0"/>
                    <w:snapToGrid w:val="0"/>
                    <w:spacing w:before="0" w:beforeAutospacing="0" w:after="0" w:afterAutospacing="0"/>
                    <w:jc w:val="center"/>
                    <w:rPr>
                      <w:rFonts w:ascii="Times New Roman" w:hAnsi="Times New Roman" w:eastAsia="宋体" w:cs="Times New Roman"/>
                      <w:bCs/>
                      <w:color w:val="auto"/>
                      <w:kern w:val="0"/>
                      <w:sz w:val="21"/>
                      <w:szCs w:val="21"/>
                      <w:lang w:val="en-US" w:eastAsia="zh-CN" w:bidi="ar-SA"/>
                    </w:rPr>
                  </w:pPr>
                  <w:r>
                    <w:rPr>
                      <w:rFonts w:hint="eastAsia" w:ascii="Times New Roman" w:hAnsi="Times New Roman" w:eastAsia="宋体" w:cs="Times New Roman"/>
                      <w:bCs/>
                      <w:color w:val="auto"/>
                      <w:kern w:val="0"/>
                      <w:sz w:val="21"/>
                      <w:szCs w:val="21"/>
                      <w:lang w:val="en-US" w:eastAsia="zh-CN" w:bidi="ar-SA"/>
                    </w:rPr>
                    <w:t>900-001-S62</w:t>
                  </w:r>
                </w:p>
                <w:p w14:paraId="4E1C2D3C">
                  <w:pPr>
                    <w:widowControl w:val="0"/>
                    <w:snapToGrid w:val="0"/>
                    <w:spacing w:before="0" w:beforeAutospacing="0" w:after="0" w:afterAutospacing="0"/>
                    <w:jc w:val="center"/>
                    <w:rPr>
                      <w:rFonts w:ascii="Times New Roman" w:hAnsi="Times New Roman" w:eastAsia="宋体" w:cs="Times New Roman"/>
                      <w:bCs/>
                      <w:color w:val="auto"/>
                      <w:kern w:val="0"/>
                      <w:sz w:val="21"/>
                      <w:szCs w:val="21"/>
                      <w:lang w:val="en-US" w:eastAsia="zh-CN" w:bidi="ar-SA"/>
                    </w:rPr>
                  </w:pPr>
                  <w:r>
                    <w:rPr>
                      <w:rFonts w:hint="eastAsia" w:ascii="Times New Roman" w:hAnsi="Times New Roman" w:eastAsia="宋体" w:cs="Times New Roman"/>
                      <w:bCs/>
                      <w:color w:val="auto"/>
                      <w:kern w:val="0"/>
                      <w:sz w:val="21"/>
                      <w:szCs w:val="21"/>
                      <w:lang w:val="en-US" w:eastAsia="zh-CN" w:bidi="ar-SA"/>
                    </w:rPr>
                    <w:t>900-002-S62</w:t>
                  </w:r>
                </w:p>
                <w:p w14:paraId="0AC58374">
                  <w:pPr>
                    <w:widowControl w:val="0"/>
                    <w:snapToGrid w:val="0"/>
                    <w:spacing w:before="0" w:beforeAutospacing="0" w:after="0" w:afterAutospacing="0"/>
                    <w:jc w:val="center"/>
                    <w:rPr>
                      <w:rFonts w:ascii="Times New Roman" w:hAnsi="Times New Roman" w:eastAsia="宋体" w:cs="Times New Roman"/>
                      <w:bCs/>
                      <w:color w:val="auto"/>
                      <w:kern w:val="0"/>
                      <w:sz w:val="21"/>
                      <w:szCs w:val="21"/>
                      <w:lang w:val="en-US" w:eastAsia="zh-CN" w:bidi="ar-SA"/>
                    </w:rPr>
                  </w:pPr>
                  <w:r>
                    <w:rPr>
                      <w:rFonts w:hint="eastAsia" w:ascii="Times New Roman" w:hAnsi="Times New Roman" w:eastAsia="宋体" w:cs="Times New Roman"/>
                      <w:bCs/>
                      <w:color w:val="auto"/>
                      <w:kern w:val="0"/>
                      <w:sz w:val="21"/>
                      <w:szCs w:val="21"/>
                      <w:lang w:val="en-US" w:eastAsia="zh-CN" w:bidi="ar-SA"/>
                    </w:rPr>
                    <w:t>900-002-S64</w:t>
                  </w:r>
                </w:p>
              </w:tc>
              <w:tc>
                <w:tcPr>
                  <w:tcW w:w="456" w:type="pct"/>
                  <w:tcBorders>
                    <w:tl2br w:val="nil"/>
                    <w:tr2bl w:val="nil"/>
                  </w:tcBorders>
                  <w:shd w:val="clear" w:color="auto" w:fill="auto"/>
                  <w:vAlign w:val="center"/>
                </w:tcPr>
                <w:p w14:paraId="6373066F">
                  <w:pPr>
                    <w:widowControl/>
                    <w:jc w:val="center"/>
                    <w:rPr>
                      <w:rFonts w:hint="default" w:ascii="Times New Roman" w:hAnsi="Times New Roman" w:eastAsia="宋体" w:cs="Times New Roman"/>
                      <w:bCs/>
                      <w:snapToGrid w:val="0"/>
                      <w:color w:val="auto"/>
                      <w:spacing w:val="6"/>
                      <w:kern w:val="2"/>
                      <w:sz w:val="21"/>
                      <w:szCs w:val="21"/>
                      <w:lang w:val="en-US" w:eastAsia="zh-CN" w:bidi="ar"/>
                    </w:rPr>
                  </w:pPr>
                  <w:r>
                    <w:rPr>
                      <w:rFonts w:hint="eastAsia" w:ascii="Times New Roman" w:hAnsi="Times New Roman" w:eastAsia="宋体" w:cs="Times New Roman"/>
                      <w:bCs/>
                      <w:snapToGrid w:val="0"/>
                      <w:color w:val="auto"/>
                      <w:spacing w:val="6"/>
                      <w:kern w:val="2"/>
                      <w:sz w:val="21"/>
                      <w:szCs w:val="21"/>
                      <w:lang w:val="en-US" w:eastAsia="zh-CN" w:bidi="ar"/>
                    </w:rPr>
                    <w:t>12.39</w:t>
                  </w:r>
                </w:p>
              </w:tc>
              <w:tc>
                <w:tcPr>
                  <w:tcW w:w="298" w:type="pct"/>
                  <w:tcBorders>
                    <w:tl2br w:val="nil"/>
                    <w:tr2bl w:val="nil"/>
                  </w:tcBorders>
                  <w:vAlign w:val="center"/>
                </w:tcPr>
                <w:p w14:paraId="70FFEA21">
                  <w:pPr>
                    <w:snapToGrid w:val="0"/>
                    <w:jc w:val="center"/>
                    <w:textAlignment w:val="baseline"/>
                    <w:rPr>
                      <w:rFonts w:hint="default" w:ascii="Times New Roman" w:hAnsi="Times New Roman" w:cs="Times New Roman"/>
                      <w:color w:val="auto"/>
                      <w:sz w:val="21"/>
                      <w:szCs w:val="21"/>
                      <w:lang w:bidi="ar-SA"/>
                    </w:rPr>
                  </w:pPr>
                  <w:r>
                    <w:rPr>
                      <w:rFonts w:hint="eastAsia" w:ascii="Times New Roman" w:hAnsi="Times New Roman" w:cs="Times New Roman"/>
                      <w:color w:val="auto"/>
                      <w:sz w:val="21"/>
                      <w:szCs w:val="21"/>
                      <w:lang w:bidi="ar-SA"/>
                    </w:rPr>
                    <w:t>环卫清运</w:t>
                  </w:r>
                </w:p>
              </w:tc>
            </w:tr>
            <w:tr w14:paraId="6143C2ED">
              <w:tblPrEx>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CellMar>
                  <w:top w:w="0" w:type="dxa"/>
                  <w:left w:w="28" w:type="dxa"/>
                  <w:bottom w:w="0" w:type="dxa"/>
                  <w:right w:w="28" w:type="dxa"/>
                </w:tblCellMar>
              </w:tblPrEx>
              <w:trPr>
                <w:trHeight w:val="23" w:hRule="atLeast"/>
                <w:jc w:val="center"/>
              </w:trPr>
              <w:tc>
                <w:tcPr>
                  <w:tcW w:w="233" w:type="pct"/>
                  <w:tcBorders>
                    <w:tl2br w:val="nil"/>
                    <w:tr2bl w:val="nil"/>
                  </w:tcBorders>
                  <w:vAlign w:val="center"/>
                </w:tcPr>
                <w:p w14:paraId="42EA8F78">
                  <w:pPr>
                    <w:snapToGrid w:val="0"/>
                    <w:jc w:val="center"/>
                    <w:textAlignment w:val="baseline"/>
                    <w:rPr>
                      <w:rFonts w:hint="eastAsia" w:ascii="Times New Roman" w:hAnsi="Times New Roman" w:eastAsia="宋体"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2</w:t>
                  </w:r>
                </w:p>
              </w:tc>
              <w:tc>
                <w:tcPr>
                  <w:tcW w:w="451" w:type="pct"/>
                  <w:tcBorders>
                    <w:tl2br w:val="nil"/>
                    <w:tr2bl w:val="nil"/>
                  </w:tcBorders>
                  <w:shd w:val="clear" w:color="auto" w:fill="auto"/>
                  <w:vAlign w:val="center"/>
                </w:tcPr>
                <w:p w14:paraId="7CCB8FBB">
                  <w:pPr>
                    <w:widowControl/>
                    <w:jc w:val="center"/>
                    <w:rPr>
                      <w:rFonts w:hint="default" w:ascii="Times New Roman" w:hAnsi="Times New Roman" w:eastAsia="宋体" w:cs="Times New Roman"/>
                      <w:bCs/>
                      <w:snapToGrid w:val="0"/>
                      <w:color w:val="auto"/>
                      <w:spacing w:val="6"/>
                      <w:kern w:val="2"/>
                      <w:sz w:val="21"/>
                      <w:szCs w:val="21"/>
                      <w:lang w:val="en-US" w:eastAsia="zh-CN" w:bidi="ar"/>
                    </w:rPr>
                  </w:pPr>
                  <w:r>
                    <w:rPr>
                      <w:rFonts w:hint="default" w:ascii="Times New Roman" w:hAnsi="Times New Roman" w:eastAsia="宋体" w:cs="Times New Roman"/>
                      <w:bCs/>
                      <w:snapToGrid w:val="0"/>
                      <w:color w:val="auto"/>
                      <w:spacing w:val="6"/>
                      <w:sz w:val="21"/>
                      <w:szCs w:val="21"/>
                      <w:lang w:eastAsia="zh-CN"/>
                    </w:rPr>
                    <w:t>边角料</w:t>
                  </w:r>
                </w:p>
              </w:tc>
              <w:tc>
                <w:tcPr>
                  <w:tcW w:w="205" w:type="pct"/>
                  <w:vMerge w:val="continue"/>
                  <w:tcBorders>
                    <w:tl2br w:val="nil"/>
                    <w:tr2bl w:val="nil"/>
                  </w:tcBorders>
                  <w:vAlign w:val="center"/>
                </w:tcPr>
                <w:p w14:paraId="1F4E2007">
                  <w:pPr>
                    <w:snapToGrid w:val="0"/>
                    <w:jc w:val="center"/>
                    <w:textAlignment w:val="baseline"/>
                    <w:rPr>
                      <w:rFonts w:hint="default" w:ascii="Times New Roman" w:hAnsi="Times New Roman" w:cs="Times New Roman"/>
                      <w:color w:val="auto"/>
                      <w:sz w:val="21"/>
                      <w:szCs w:val="21"/>
                      <w:lang w:bidi="ar-SA"/>
                    </w:rPr>
                  </w:pPr>
                </w:p>
              </w:tc>
              <w:tc>
                <w:tcPr>
                  <w:tcW w:w="716" w:type="pct"/>
                  <w:tcBorders>
                    <w:tl2br w:val="nil"/>
                    <w:tr2bl w:val="nil"/>
                  </w:tcBorders>
                  <w:shd w:val="clear" w:color="auto" w:fill="auto"/>
                  <w:vAlign w:val="center"/>
                </w:tcPr>
                <w:p w14:paraId="0697928D">
                  <w:pPr>
                    <w:widowControl/>
                    <w:jc w:val="center"/>
                    <w:rPr>
                      <w:rFonts w:hint="default" w:ascii="Times New Roman" w:hAnsi="Times New Roman" w:eastAsia="宋体" w:cs="Times New Roman"/>
                      <w:bCs/>
                      <w:snapToGrid w:val="0"/>
                      <w:color w:val="auto"/>
                      <w:spacing w:val="6"/>
                      <w:kern w:val="2"/>
                      <w:sz w:val="21"/>
                      <w:szCs w:val="21"/>
                      <w:lang w:val="en-US" w:eastAsia="zh-CN" w:bidi="ar"/>
                    </w:rPr>
                  </w:pPr>
                  <w:r>
                    <w:rPr>
                      <w:rFonts w:hint="default" w:ascii="Times New Roman" w:hAnsi="Times New Roman" w:eastAsia="宋体" w:cs="Times New Roman"/>
                      <w:bCs/>
                      <w:snapToGrid w:val="0"/>
                      <w:color w:val="auto"/>
                      <w:spacing w:val="6"/>
                      <w:sz w:val="21"/>
                      <w:szCs w:val="21"/>
                      <w:lang w:val="en-US" w:eastAsia="zh-CN"/>
                    </w:rPr>
                    <w:t>精加工</w:t>
                  </w:r>
                </w:p>
              </w:tc>
              <w:tc>
                <w:tcPr>
                  <w:tcW w:w="360" w:type="pct"/>
                  <w:tcBorders>
                    <w:tl2br w:val="nil"/>
                    <w:tr2bl w:val="nil"/>
                  </w:tcBorders>
                  <w:shd w:val="clear" w:color="auto" w:fill="auto"/>
                  <w:vAlign w:val="center"/>
                </w:tcPr>
                <w:p w14:paraId="186E15BF">
                  <w:pPr>
                    <w:widowControl/>
                    <w:jc w:val="center"/>
                    <w:rPr>
                      <w:rFonts w:hint="default" w:ascii="Times New Roman" w:hAnsi="Times New Roman" w:eastAsia="宋体" w:cs="Times New Roman"/>
                      <w:bCs/>
                      <w:snapToGrid w:val="0"/>
                      <w:color w:val="auto"/>
                      <w:spacing w:val="6"/>
                      <w:kern w:val="2"/>
                      <w:sz w:val="21"/>
                      <w:szCs w:val="21"/>
                      <w:lang w:val="en-US" w:eastAsia="zh-CN" w:bidi="ar"/>
                    </w:rPr>
                  </w:pPr>
                  <w:r>
                    <w:rPr>
                      <w:rFonts w:hint="default" w:ascii="Times New Roman" w:hAnsi="Times New Roman" w:eastAsia="宋体" w:cs="Times New Roman"/>
                      <w:bCs/>
                      <w:snapToGrid w:val="0"/>
                      <w:color w:val="auto"/>
                      <w:spacing w:val="6"/>
                      <w:sz w:val="21"/>
                      <w:szCs w:val="21"/>
                    </w:rPr>
                    <w:t>固态</w:t>
                  </w:r>
                </w:p>
              </w:tc>
              <w:tc>
                <w:tcPr>
                  <w:tcW w:w="410" w:type="pct"/>
                  <w:tcBorders>
                    <w:tl2br w:val="nil"/>
                    <w:tr2bl w:val="nil"/>
                  </w:tcBorders>
                  <w:shd w:val="clear" w:color="auto" w:fill="auto"/>
                  <w:vAlign w:val="center"/>
                </w:tcPr>
                <w:p w14:paraId="71C58CFA">
                  <w:pPr>
                    <w:widowControl/>
                    <w:jc w:val="center"/>
                    <w:rPr>
                      <w:rFonts w:hint="default" w:ascii="Times New Roman" w:hAnsi="Times New Roman" w:eastAsia="宋体" w:cs="Times New Roman"/>
                      <w:bCs/>
                      <w:snapToGrid w:val="0"/>
                      <w:color w:val="auto"/>
                      <w:spacing w:val="6"/>
                      <w:kern w:val="2"/>
                      <w:sz w:val="21"/>
                      <w:szCs w:val="21"/>
                      <w:lang w:val="en-US" w:eastAsia="zh-CN" w:bidi="ar"/>
                    </w:rPr>
                  </w:pPr>
                  <w:r>
                    <w:rPr>
                      <w:rFonts w:hint="eastAsia" w:cs="Times New Roman"/>
                      <w:bCs/>
                      <w:snapToGrid w:val="0"/>
                      <w:color w:val="auto"/>
                      <w:spacing w:val="6"/>
                      <w:sz w:val="21"/>
                      <w:szCs w:val="21"/>
                      <w:lang w:val="en-US" w:eastAsia="zh-CN"/>
                    </w:rPr>
                    <w:t>钢</w:t>
                  </w:r>
                </w:p>
              </w:tc>
              <w:tc>
                <w:tcPr>
                  <w:tcW w:w="1118" w:type="pct"/>
                  <w:tcBorders>
                    <w:tl2br w:val="nil"/>
                    <w:tr2bl w:val="nil"/>
                  </w:tcBorders>
                  <w:shd w:val="clear" w:color="auto" w:fill="auto"/>
                  <w:vAlign w:val="center"/>
                </w:tcPr>
                <w:p w14:paraId="2366BBFE">
                  <w:pPr>
                    <w:widowControl w:val="0"/>
                    <w:snapToGrid w:val="0"/>
                    <w:spacing w:before="0" w:beforeAutospacing="0" w:after="0" w:afterAutospacing="0"/>
                    <w:jc w:val="center"/>
                    <w:rPr>
                      <w:rFonts w:hint="eastAsia" w:ascii="Times New Roman" w:hAnsi="Times New Roman" w:eastAsia="宋体" w:cs="Times New Roman"/>
                      <w:bCs/>
                      <w:color w:val="auto"/>
                      <w:kern w:val="0"/>
                      <w:sz w:val="21"/>
                      <w:szCs w:val="21"/>
                      <w:lang w:val="en-US" w:eastAsia="zh-CN" w:bidi="ar-SA"/>
                    </w:rPr>
                  </w:pPr>
                  <w:r>
                    <w:rPr>
                      <w:rFonts w:hint="eastAsia" w:ascii="Times New Roman" w:hAnsi="Times New Roman" w:eastAsia="宋体" w:cs="Times New Roman"/>
                      <w:bCs/>
                      <w:color w:val="auto"/>
                      <w:kern w:val="0"/>
                      <w:sz w:val="21"/>
                      <w:szCs w:val="21"/>
                      <w:lang w:val="en-US" w:eastAsia="zh-CN" w:bidi="ar-SA"/>
                    </w:rPr>
                    <w:t>SW17</w:t>
                  </w:r>
                </w:p>
                <w:p w14:paraId="31113521">
                  <w:pPr>
                    <w:widowControl w:val="0"/>
                    <w:snapToGrid w:val="0"/>
                    <w:spacing w:before="0" w:beforeAutospacing="0" w:after="0" w:afterAutospacing="0"/>
                    <w:jc w:val="center"/>
                    <w:rPr>
                      <w:rFonts w:hint="eastAsia" w:ascii="Times New Roman" w:hAnsi="Times New Roman" w:eastAsia="宋体" w:cs="Times New Roman"/>
                      <w:bCs/>
                      <w:color w:val="auto"/>
                      <w:kern w:val="0"/>
                      <w:sz w:val="21"/>
                      <w:szCs w:val="21"/>
                      <w:lang w:val="en-US" w:eastAsia="zh-CN" w:bidi="ar-SA"/>
                    </w:rPr>
                  </w:pPr>
                  <w:r>
                    <w:rPr>
                      <w:rFonts w:hint="eastAsia" w:ascii="Times New Roman" w:hAnsi="Times New Roman" w:eastAsia="宋体" w:cs="Times New Roman"/>
                      <w:bCs/>
                      <w:color w:val="auto"/>
                      <w:kern w:val="0"/>
                      <w:sz w:val="21"/>
                      <w:szCs w:val="21"/>
                      <w:lang w:val="en-US" w:eastAsia="zh-CN" w:bidi="ar-SA"/>
                    </w:rPr>
                    <w:t>可再生类废物</w:t>
                  </w:r>
                </w:p>
              </w:tc>
              <w:tc>
                <w:tcPr>
                  <w:tcW w:w="748" w:type="pct"/>
                  <w:tcBorders>
                    <w:tl2br w:val="nil"/>
                    <w:tr2bl w:val="nil"/>
                  </w:tcBorders>
                  <w:shd w:val="clear" w:color="auto" w:fill="auto"/>
                  <w:vAlign w:val="center"/>
                </w:tcPr>
                <w:p w14:paraId="68CF4718">
                  <w:pPr>
                    <w:widowControl w:val="0"/>
                    <w:snapToGrid w:val="0"/>
                    <w:spacing w:before="0" w:beforeAutospacing="0" w:after="0" w:afterAutospacing="0"/>
                    <w:jc w:val="center"/>
                    <w:rPr>
                      <w:rFonts w:hint="eastAsia" w:ascii="Times New Roman" w:hAnsi="Times New Roman" w:eastAsia="宋体" w:cs="Times New Roman"/>
                      <w:bCs/>
                      <w:color w:val="auto"/>
                      <w:kern w:val="0"/>
                      <w:sz w:val="21"/>
                      <w:szCs w:val="21"/>
                      <w:lang w:val="en-US" w:eastAsia="zh-CN" w:bidi="ar-SA"/>
                    </w:rPr>
                  </w:pPr>
                  <w:r>
                    <w:rPr>
                      <w:rFonts w:hint="eastAsia" w:ascii="Times New Roman" w:hAnsi="Times New Roman" w:eastAsia="宋体" w:cs="Times New Roman"/>
                      <w:bCs/>
                      <w:color w:val="auto"/>
                      <w:kern w:val="0"/>
                      <w:sz w:val="21"/>
                      <w:szCs w:val="21"/>
                      <w:lang w:val="en-US" w:eastAsia="zh-CN" w:bidi="ar-SA"/>
                    </w:rPr>
                    <w:t>900-001-S17</w:t>
                  </w:r>
                </w:p>
              </w:tc>
              <w:tc>
                <w:tcPr>
                  <w:tcW w:w="456" w:type="pct"/>
                  <w:tcBorders>
                    <w:tl2br w:val="nil"/>
                    <w:tr2bl w:val="nil"/>
                  </w:tcBorders>
                  <w:shd w:val="clear" w:color="auto" w:fill="auto"/>
                  <w:vAlign w:val="center"/>
                </w:tcPr>
                <w:p w14:paraId="3A1737D7">
                  <w:pPr>
                    <w:widowControl/>
                    <w:jc w:val="center"/>
                    <w:rPr>
                      <w:rFonts w:hint="eastAsia" w:ascii="Times New Roman" w:hAnsi="Times New Roman" w:eastAsia="宋体" w:cs="Times New Roman"/>
                      <w:bCs/>
                      <w:snapToGrid w:val="0"/>
                      <w:color w:val="auto"/>
                      <w:spacing w:val="6"/>
                      <w:kern w:val="2"/>
                      <w:sz w:val="21"/>
                      <w:szCs w:val="21"/>
                      <w:lang w:val="en-US" w:eastAsia="zh-CN" w:bidi="ar"/>
                    </w:rPr>
                  </w:pPr>
                  <w:r>
                    <w:rPr>
                      <w:rFonts w:hint="eastAsia" w:ascii="Times New Roman" w:hAnsi="Times New Roman" w:eastAsia="宋体" w:cs="Times New Roman"/>
                      <w:bCs/>
                      <w:snapToGrid w:val="0"/>
                      <w:color w:val="auto"/>
                      <w:spacing w:val="6"/>
                      <w:kern w:val="2"/>
                      <w:sz w:val="21"/>
                      <w:szCs w:val="21"/>
                      <w:lang w:val="en-US" w:eastAsia="zh-CN" w:bidi="ar"/>
                    </w:rPr>
                    <w:t>10</w:t>
                  </w:r>
                  <w:r>
                    <w:rPr>
                      <w:rFonts w:hint="eastAsia" w:cs="Times New Roman"/>
                      <w:bCs/>
                      <w:snapToGrid w:val="0"/>
                      <w:color w:val="auto"/>
                      <w:spacing w:val="6"/>
                      <w:kern w:val="2"/>
                      <w:sz w:val="21"/>
                      <w:szCs w:val="21"/>
                      <w:lang w:val="en-US" w:eastAsia="zh-CN" w:bidi="ar"/>
                    </w:rPr>
                    <w:t>0</w:t>
                  </w:r>
                </w:p>
              </w:tc>
              <w:tc>
                <w:tcPr>
                  <w:tcW w:w="298" w:type="pct"/>
                  <w:vMerge w:val="restart"/>
                  <w:tcBorders>
                    <w:tl2br w:val="nil"/>
                    <w:tr2bl w:val="nil"/>
                  </w:tcBorders>
                  <w:vAlign w:val="center"/>
                </w:tcPr>
                <w:p w14:paraId="49A3E342">
                  <w:pPr>
                    <w:snapToGrid w:val="0"/>
                    <w:jc w:val="center"/>
                    <w:textAlignment w:val="baseline"/>
                    <w:rPr>
                      <w:rFonts w:hint="eastAsia" w:ascii="Times New Roman" w:hAnsi="Times New Roman" w:cs="Times New Roman"/>
                      <w:color w:val="auto"/>
                      <w:sz w:val="21"/>
                      <w:szCs w:val="21"/>
                      <w:lang w:bidi="ar-SA"/>
                    </w:rPr>
                  </w:pPr>
                  <w:r>
                    <w:rPr>
                      <w:rFonts w:hint="eastAsia" w:ascii="Times New Roman" w:hAnsi="Times New Roman" w:cs="Times New Roman"/>
                      <w:color w:val="auto"/>
                      <w:sz w:val="21"/>
                      <w:szCs w:val="21"/>
                      <w:lang w:bidi="ar-SA"/>
                    </w:rPr>
                    <w:t>集中收集后外售综合利用</w:t>
                  </w:r>
                </w:p>
              </w:tc>
            </w:tr>
            <w:tr w14:paraId="6AF2BC56">
              <w:tblPrEx>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CellMar>
                  <w:top w:w="0" w:type="dxa"/>
                  <w:left w:w="28" w:type="dxa"/>
                  <w:bottom w:w="0" w:type="dxa"/>
                  <w:right w:w="28" w:type="dxa"/>
                </w:tblCellMar>
              </w:tblPrEx>
              <w:trPr>
                <w:trHeight w:val="23" w:hRule="atLeast"/>
                <w:jc w:val="center"/>
              </w:trPr>
              <w:tc>
                <w:tcPr>
                  <w:tcW w:w="233" w:type="pct"/>
                  <w:tcBorders>
                    <w:tl2br w:val="nil"/>
                    <w:tr2bl w:val="nil"/>
                  </w:tcBorders>
                  <w:vAlign w:val="center"/>
                </w:tcPr>
                <w:p w14:paraId="3ED175F5">
                  <w:pPr>
                    <w:snapToGrid w:val="0"/>
                    <w:jc w:val="center"/>
                    <w:textAlignment w:val="baseline"/>
                    <w:rPr>
                      <w:rFonts w:hint="default" w:ascii="Times New Roman" w:hAnsi="Times New Roman" w:cs="Times New Roman"/>
                      <w:color w:val="auto"/>
                      <w:sz w:val="21"/>
                      <w:szCs w:val="21"/>
                      <w:lang w:val="en-US" w:eastAsia="zh-CN" w:bidi="ar-SA"/>
                    </w:rPr>
                  </w:pPr>
                  <w:r>
                    <w:rPr>
                      <w:rFonts w:hint="eastAsia" w:cs="Times New Roman"/>
                      <w:color w:val="auto"/>
                      <w:sz w:val="21"/>
                      <w:szCs w:val="21"/>
                      <w:lang w:val="en-US" w:eastAsia="zh-CN" w:bidi="ar-SA"/>
                    </w:rPr>
                    <w:t>3</w:t>
                  </w:r>
                </w:p>
              </w:tc>
              <w:tc>
                <w:tcPr>
                  <w:tcW w:w="451" w:type="pct"/>
                  <w:tcBorders>
                    <w:tl2br w:val="nil"/>
                    <w:tr2bl w:val="nil"/>
                  </w:tcBorders>
                  <w:shd w:val="clear" w:color="auto" w:fill="auto"/>
                  <w:vAlign w:val="center"/>
                </w:tcPr>
                <w:p w14:paraId="433B870C">
                  <w:pPr>
                    <w:widowControl/>
                    <w:jc w:val="center"/>
                    <w:rPr>
                      <w:rFonts w:hint="default" w:ascii="Times New Roman" w:hAnsi="Times New Roman" w:eastAsia="宋体" w:cs="Times New Roman"/>
                      <w:bCs/>
                      <w:snapToGrid w:val="0"/>
                      <w:color w:val="auto"/>
                      <w:spacing w:val="6"/>
                      <w:kern w:val="2"/>
                      <w:sz w:val="21"/>
                      <w:szCs w:val="21"/>
                      <w:lang w:val="en-US" w:eastAsia="zh-CN" w:bidi="ar"/>
                    </w:rPr>
                  </w:pPr>
                  <w:r>
                    <w:rPr>
                      <w:rFonts w:hint="default" w:ascii="Times New Roman" w:hAnsi="Times New Roman" w:eastAsia="宋体" w:cs="Times New Roman"/>
                      <w:bCs/>
                      <w:snapToGrid w:val="0"/>
                      <w:color w:val="auto"/>
                      <w:spacing w:val="6"/>
                      <w:sz w:val="21"/>
                      <w:szCs w:val="21"/>
                    </w:rPr>
                    <w:t>废布袋</w:t>
                  </w:r>
                </w:p>
              </w:tc>
              <w:tc>
                <w:tcPr>
                  <w:tcW w:w="205" w:type="pct"/>
                  <w:vMerge w:val="continue"/>
                  <w:tcBorders>
                    <w:tl2br w:val="nil"/>
                    <w:tr2bl w:val="nil"/>
                  </w:tcBorders>
                  <w:vAlign w:val="center"/>
                </w:tcPr>
                <w:p w14:paraId="7B6E5296">
                  <w:pPr>
                    <w:snapToGrid w:val="0"/>
                    <w:jc w:val="center"/>
                    <w:textAlignment w:val="baseline"/>
                    <w:rPr>
                      <w:rFonts w:hint="default" w:ascii="Times New Roman" w:hAnsi="Times New Roman" w:cs="Times New Roman"/>
                      <w:color w:val="auto"/>
                      <w:sz w:val="21"/>
                      <w:szCs w:val="21"/>
                      <w:lang w:bidi="ar-SA"/>
                    </w:rPr>
                  </w:pPr>
                </w:p>
              </w:tc>
              <w:tc>
                <w:tcPr>
                  <w:tcW w:w="716" w:type="pct"/>
                  <w:tcBorders>
                    <w:tl2br w:val="nil"/>
                    <w:tr2bl w:val="nil"/>
                  </w:tcBorders>
                  <w:shd w:val="clear" w:color="auto" w:fill="auto"/>
                  <w:vAlign w:val="center"/>
                </w:tcPr>
                <w:p w14:paraId="340D4096">
                  <w:pPr>
                    <w:widowControl/>
                    <w:jc w:val="center"/>
                    <w:rPr>
                      <w:rFonts w:hint="default" w:ascii="Times New Roman" w:hAnsi="Times New Roman" w:eastAsia="宋体" w:cs="Times New Roman"/>
                      <w:bCs/>
                      <w:snapToGrid w:val="0"/>
                      <w:color w:val="auto"/>
                      <w:spacing w:val="6"/>
                      <w:kern w:val="2"/>
                      <w:sz w:val="21"/>
                      <w:szCs w:val="21"/>
                      <w:lang w:val="en-US" w:eastAsia="zh-CN" w:bidi="ar"/>
                    </w:rPr>
                  </w:pPr>
                  <w:r>
                    <w:rPr>
                      <w:rFonts w:hint="eastAsia" w:cs="Times New Roman"/>
                      <w:bCs/>
                      <w:snapToGrid w:val="0"/>
                      <w:color w:val="auto"/>
                      <w:spacing w:val="6"/>
                      <w:kern w:val="2"/>
                      <w:sz w:val="21"/>
                      <w:szCs w:val="21"/>
                      <w:lang w:val="en-US" w:eastAsia="zh-CN" w:bidi="ar"/>
                    </w:rPr>
                    <w:t>废气处理</w:t>
                  </w:r>
                </w:p>
              </w:tc>
              <w:tc>
                <w:tcPr>
                  <w:tcW w:w="360" w:type="pct"/>
                  <w:tcBorders>
                    <w:tl2br w:val="nil"/>
                    <w:tr2bl w:val="nil"/>
                  </w:tcBorders>
                  <w:shd w:val="clear" w:color="auto" w:fill="auto"/>
                  <w:vAlign w:val="center"/>
                </w:tcPr>
                <w:p w14:paraId="76F09FB9">
                  <w:pPr>
                    <w:widowControl/>
                    <w:jc w:val="center"/>
                    <w:rPr>
                      <w:rFonts w:hint="default" w:ascii="Times New Roman" w:hAnsi="Times New Roman" w:eastAsia="宋体" w:cs="Times New Roman"/>
                      <w:bCs/>
                      <w:snapToGrid w:val="0"/>
                      <w:color w:val="auto"/>
                      <w:spacing w:val="6"/>
                      <w:kern w:val="2"/>
                      <w:sz w:val="21"/>
                      <w:szCs w:val="21"/>
                      <w:lang w:val="en-US" w:eastAsia="zh-CN" w:bidi="ar"/>
                    </w:rPr>
                  </w:pPr>
                  <w:r>
                    <w:rPr>
                      <w:rFonts w:hint="default" w:ascii="Times New Roman" w:hAnsi="Times New Roman" w:eastAsia="宋体" w:cs="Times New Roman"/>
                      <w:b w:val="0"/>
                      <w:bCs w:val="0"/>
                      <w:snapToGrid w:val="0"/>
                      <w:color w:val="auto"/>
                      <w:spacing w:val="6"/>
                      <w:sz w:val="21"/>
                      <w:szCs w:val="21"/>
                    </w:rPr>
                    <w:t>固态</w:t>
                  </w:r>
                </w:p>
              </w:tc>
              <w:tc>
                <w:tcPr>
                  <w:tcW w:w="410" w:type="pct"/>
                  <w:tcBorders>
                    <w:tl2br w:val="nil"/>
                    <w:tr2bl w:val="nil"/>
                  </w:tcBorders>
                  <w:shd w:val="clear" w:color="auto" w:fill="auto"/>
                  <w:vAlign w:val="center"/>
                </w:tcPr>
                <w:p w14:paraId="111DDFF0">
                  <w:pPr>
                    <w:widowControl/>
                    <w:jc w:val="center"/>
                    <w:rPr>
                      <w:rFonts w:hint="default" w:ascii="Times New Roman" w:hAnsi="Times New Roman" w:eastAsia="宋体" w:cs="Times New Roman"/>
                      <w:color w:val="auto"/>
                      <w:spacing w:val="6"/>
                      <w:kern w:val="2"/>
                      <w:sz w:val="21"/>
                      <w:szCs w:val="21"/>
                      <w:lang w:val="en-US" w:eastAsia="zh-CN" w:bidi="ar"/>
                    </w:rPr>
                  </w:pPr>
                  <w:r>
                    <w:rPr>
                      <w:rFonts w:hint="eastAsia" w:cs="Times New Roman"/>
                      <w:color w:val="auto"/>
                      <w:spacing w:val="6"/>
                      <w:kern w:val="2"/>
                      <w:sz w:val="21"/>
                      <w:szCs w:val="21"/>
                      <w:lang w:val="en-US" w:eastAsia="zh-CN" w:bidi="ar"/>
                    </w:rPr>
                    <w:t>颗粒物、布袋</w:t>
                  </w:r>
                </w:p>
              </w:tc>
              <w:tc>
                <w:tcPr>
                  <w:tcW w:w="1118" w:type="pct"/>
                  <w:tcBorders>
                    <w:tl2br w:val="nil"/>
                    <w:tr2bl w:val="nil"/>
                  </w:tcBorders>
                  <w:shd w:val="clear" w:color="auto" w:fill="auto"/>
                  <w:vAlign w:val="center"/>
                </w:tcPr>
                <w:p w14:paraId="567F5215">
                  <w:pPr>
                    <w:pStyle w:val="22"/>
                    <w:widowControl w:val="0"/>
                    <w:snapToGrid w:val="0"/>
                    <w:spacing w:before="0" w:beforeAutospacing="0" w:after="0" w:afterAutospacing="0"/>
                    <w:jc w:val="center"/>
                    <w:rPr>
                      <w:rFonts w:ascii="Times New Roman" w:hAnsi="Times New Roman"/>
                      <w:bCs/>
                      <w:color w:val="auto"/>
                      <w:sz w:val="21"/>
                      <w:szCs w:val="21"/>
                    </w:rPr>
                  </w:pPr>
                  <w:r>
                    <w:rPr>
                      <w:rFonts w:hint="eastAsia" w:ascii="Times New Roman" w:hAnsi="Times New Roman"/>
                      <w:bCs/>
                      <w:color w:val="auto"/>
                      <w:sz w:val="21"/>
                      <w:szCs w:val="21"/>
                    </w:rPr>
                    <w:t>SW59</w:t>
                  </w:r>
                </w:p>
                <w:p w14:paraId="5EA72759">
                  <w:pPr>
                    <w:pStyle w:val="22"/>
                    <w:widowControl w:val="0"/>
                    <w:snapToGrid w:val="0"/>
                    <w:spacing w:before="0" w:beforeAutospacing="0" w:after="0" w:afterAutospacing="0"/>
                    <w:jc w:val="center"/>
                    <w:rPr>
                      <w:rFonts w:hint="eastAsia" w:ascii="Times New Roman" w:hAnsi="Times New Roman" w:eastAsia="宋体" w:cs="Times New Roman"/>
                      <w:bCs/>
                      <w:color w:val="auto"/>
                      <w:kern w:val="2"/>
                      <w:sz w:val="21"/>
                      <w:szCs w:val="21"/>
                      <w:lang w:val="en-US" w:eastAsia="zh-CN" w:bidi="ar-SA"/>
                    </w:rPr>
                  </w:pPr>
                  <w:r>
                    <w:rPr>
                      <w:rFonts w:hint="eastAsia" w:ascii="Times New Roman" w:hAnsi="Times New Roman"/>
                      <w:bCs/>
                      <w:color w:val="auto"/>
                      <w:sz w:val="21"/>
                      <w:szCs w:val="21"/>
                    </w:rPr>
                    <w:t>其他工业固体废物</w:t>
                  </w:r>
                </w:p>
              </w:tc>
              <w:tc>
                <w:tcPr>
                  <w:tcW w:w="748" w:type="pct"/>
                  <w:tcBorders>
                    <w:tl2br w:val="nil"/>
                    <w:tr2bl w:val="nil"/>
                  </w:tcBorders>
                  <w:shd w:val="clear" w:color="auto" w:fill="auto"/>
                  <w:vAlign w:val="center"/>
                </w:tcPr>
                <w:p w14:paraId="652C30A7">
                  <w:pPr>
                    <w:pStyle w:val="22"/>
                    <w:spacing w:before="0" w:beforeAutospacing="0" w:after="0"/>
                    <w:jc w:val="center"/>
                    <w:rPr>
                      <w:rFonts w:hint="eastAsia" w:ascii="Times New Roman" w:hAnsi="Times New Roman" w:eastAsia="宋体" w:cs="Times New Roman"/>
                      <w:bCs/>
                      <w:color w:val="auto"/>
                      <w:kern w:val="2"/>
                      <w:sz w:val="21"/>
                      <w:szCs w:val="21"/>
                      <w:lang w:val="en-US" w:eastAsia="zh-CN" w:bidi="ar-SA"/>
                    </w:rPr>
                  </w:pPr>
                  <w:r>
                    <w:rPr>
                      <w:rFonts w:hint="eastAsia" w:ascii="Times New Roman" w:hAnsi="Times New Roman"/>
                      <w:bCs/>
                      <w:color w:val="auto"/>
                      <w:kern w:val="2"/>
                      <w:sz w:val="21"/>
                      <w:szCs w:val="21"/>
                    </w:rPr>
                    <w:t>900-009-S59</w:t>
                  </w:r>
                </w:p>
              </w:tc>
              <w:tc>
                <w:tcPr>
                  <w:tcW w:w="456" w:type="pct"/>
                  <w:tcBorders>
                    <w:tl2br w:val="nil"/>
                    <w:tr2bl w:val="nil"/>
                  </w:tcBorders>
                  <w:shd w:val="clear" w:color="auto" w:fill="auto"/>
                  <w:vAlign w:val="center"/>
                </w:tcPr>
                <w:p w14:paraId="00C31C9A">
                  <w:pPr>
                    <w:widowControl/>
                    <w:jc w:val="center"/>
                    <w:rPr>
                      <w:rFonts w:hint="eastAsia" w:ascii="Times New Roman" w:hAnsi="Times New Roman" w:eastAsia="宋体" w:cs="Times New Roman"/>
                      <w:bCs/>
                      <w:snapToGrid w:val="0"/>
                      <w:color w:val="auto"/>
                      <w:spacing w:val="6"/>
                      <w:kern w:val="2"/>
                      <w:sz w:val="21"/>
                      <w:szCs w:val="21"/>
                      <w:lang w:val="en-US" w:eastAsia="zh-CN" w:bidi="ar"/>
                    </w:rPr>
                  </w:pPr>
                  <w:r>
                    <w:rPr>
                      <w:rFonts w:hint="eastAsia" w:cs="Times New Roman"/>
                      <w:bCs/>
                      <w:snapToGrid w:val="0"/>
                      <w:color w:val="auto"/>
                      <w:spacing w:val="6"/>
                      <w:kern w:val="2"/>
                      <w:sz w:val="21"/>
                      <w:szCs w:val="21"/>
                      <w:lang w:val="en-US" w:eastAsia="zh-CN" w:bidi="ar"/>
                    </w:rPr>
                    <w:t>0.05</w:t>
                  </w:r>
                </w:p>
              </w:tc>
              <w:tc>
                <w:tcPr>
                  <w:tcW w:w="298" w:type="pct"/>
                  <w:vMerge w:val="continue"/>
                  <w:tcBorders>
                    <w:tl2br w:val="nil"/>
                    <w:tr2bl w:val="nil"/>
                  </w:tcBorders>
                  <w:vAlign w:val="center"/>
                </w:tcPr>
                <w:p w14:paraId="7419D552">
                  <w:pPr>
                    <w:snapToGrid w:val="0"/>
                    <w:jc w:val="center"/>
                    <w:textAlignment w:val="baseline"/>
                    <w:rPr>
                      <w:rFonts w:hint="eastAsia" w:ascii="Times New Roman" w:hAnsi="Times New Roman" w:cs="Times New Roman"/>
                      <w:color w:val="auto"/>
                      <w:sz w:val="21"/>
                      <w:szCs w:val="21"/>
                      <w:lang w:bidi="ar-SA"/>
                    </w:rPr>
                  </w:pPr>
                </w:p>
              </w:tc>
            </w:tr>
            <w:tr w14:paraId="22468C1A">
              <w:tblPrEx>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CellMar>
                  <w:top w:w="0" w:type="dxa"/>
                  <w:left w:w="28" w:type="dxa"/>
                  <w:bottom w:w="0" w:type="dxa"/>
                  <w:right w:w="28" w:type="dxa"/>
                </w:tblCellMar>
              </w:tblPrEx>
              <w:trPr>
                <w:trHeight w:val="23" w:hRule="atLeast"/>
                <w:jc w:val="center"/>
              </w:trPr>
              <w:tc>
                <w:tcPr>
                  <w:tcW w:w="233" w:type="pct"/>
                  <w:tcBorders>
                    <w:tl2br w:val="nil"/>
                    <w:tr2bl w:val="nil"/>
                  </w:tcBorders>
                  <w:vAlign w:val="center"/>
                </w:tcPr>
                <w:p w14:paraId="4BDE66B4">
                  <w:pPr>
                    <w:snapToGrid w:val="0"/>
                    <w:jc w:val="center"/>
                    <w:textAlignment w:val="baseline"/>
                    <w:rPr>
                      <w:rFonts w:hint="default" w:ascii="Times New Roman" w:hAnsi="Times New Roman" w:cs="Times New Roman"/>
                      <w:color w:val="auto"/>
                      <w:sz w:val="21"/>
                      <w:szCs w:val="21"/>
                      <w:lang w:val="en-US" w:eastAsia="zh-CN" w:bidi="ar-SA"/>
                    </w:rPr>
                  </w:pPr>
                  <w:r>
                    <w:rPr>
                      <w:rFonts w:hint="eastAsia" w:cs="Times New Roman"/>
                      <w:color w:val="auto"/>
                      <w:sz w:val="21"/>
                      <w:szCs w:val="21"/>
                      <w:lang w:val="en-US" w:eastAsia="zh-CN" w:bidi="ar-SA"/>
                    </w:rPr>
                    <w:t>4</w:t>
                  </w:r>
                </w:p>
              </w:tc>
              <w:tc>
                <w:tcPr>
                  <w:tcW w:w="451" w:type="pct"/>
                  <w:tcBorders>
                    <w:tl2br w:val="nil"/>
                    <w:tr2bl w:val="nil"/>
                  </w:tcBorders>
                  <w:shd w:val="clear" w:color="auto" w:fill="auto"/>
                  <w:vAlign w:val="center"/>
                </w:tcPr>
                <w:p w14:paraId="332C2C84">
                  <w:pPr>
                    <w:widowControl/>
                    <w:jc w:val="center"/>
                    <w:rPr>
                      <w:rFonts w:hint="default" w:ascii="Times New Roman" w:hAnsi="Times New Roman" w:eastAsia="宋体" w:cs="Times New Roman"/>
                      <w:bCs/>
                      <w:snapToGrid w:val="0"/>
                      <w:color w:val="auto"/>
                      <w:spacing w:val="6"/>
                      <w:kern w:val="2"/>
                      <w:sz w:val="21"/>
                      <w:szCs w:val="21"/>
                      <w:lang w:val="en-US" w:eastAsia="zh-CN" w:bidi="ar"/>
                    </w:rPr>
                  </w:pPr>
                  <w:r>
                    <w:rPr>
                      <w:rFonts w:hint="default" w:ascii="Times New Roman" w:hAnsi="Times New Roman" w:eastAsia="宋体" w:cs="Times New Roman"/>
                      <w:bCs/>
                      <w:snapToGrid w:val="0"/>
                      <w:color w:val="auto"/>
                      <w:spacing w:val="6"/>
                      <w:sz w:val="21"/>
                      <w:szCs w:val="21"/>
                    </w:rPr>
                    <w:t>收集尘</w:t>
                  </w:r>
                </w:p>
              </w:tc>
              <w:tc>
                <w:tcPr>
                  <w:tcW w:w="205" w:type="pct"/>
                  <w:vMerge w:val="continue"/>
                  <w:tcBorders>
                    <w:tl2br w:val="nil"/>
                    <w:tr2bl w:val="nil"/>
                  </w:tcBorders>
                  <w:vAlign w:val="center"/>
                </w:tcPr>
                <w:p w14:paraId="69021923">
                  <w:pPr>
                    <w:snapToGrid w:val="0"/>
                    <w:jc w:val="center"/>
                    <w:textAlignment w:val="baseline"/>
                    <w:rPr>
                      <w:rFonts w:hint="default" w:ascii="Times New Roman" w:hAnsi="Times New Roman" w:cs="Times New Roman"/>
                      <w:color w:val="auto"/>
                      <w:sz w:val="21"/>
                      <w:szCs w:val="21"/>
                      <w:lang w:bidi="ar-SA"/>
                    </w:rPr>
                  </w:pPr>
                </w:p>
              </w:tc>
              <w:tc>
                <w:tcPr>
                  <w:tcW w:w="716" w:type="pct"/>
                  <w:tcBorders>
                    <w:tl2br w:val="nil"/>
                    <w:tr2bl w:val="nil"/>
                  </w:tcBorders>
                  <w:shd w:val="clear" w:color="auto" w:fill="auto"/>
                  <w:vAlign w:val="center"/>
                </w:tcPr>
                <w:p w14:paraId="5854439E">
                  <w:pPr>
                    <w:widowControl/>
                    <w:jc w:val="center"/>
                    <w:rPr>
                      <w:rFonts w:hint="default" w:ascii="Times New Roman" w:hAnsi="Times New Roman" w:eastAsia="宋体" w:cs="Times New Roman"/>
                      <w:bCs/>
                      <w:snapToGrid w:val="0"/>
                      <w:color w:val="auto"/>
                      <w:spacing w:val="6"/>
                      <w:kern w:val="2"/>
                      <w:sz w:val="21"/>
                      <w:szCs w:val="21"/>
                      <w:lang w:val="en-US" w:eastAsia="zh-CN" w:bidi="ar"/>
                    </w:rPr>
                  </w:pPr>
                  <w:r>
                    <w:rPr>
                      <w:rFonts w:hint="eastAsia" w:cs="Times New Roman"/>
                      <w:bCs/>
                      <w:snapToGrid w:val="0"/>
                      <w:color w:val="auto"/>
                      <w:spacing w:val="6"/>
                      <w:kern w:val="2"/>
                      <w:sz w:val="21"/>
                      <w:szCs w:val="21"/>
                      <w:lang w:val="en-US" w:eastAsia="zh-CN" w:bidi="ar"/>
                    </w:rPr>
                    <w:t>废气处理</w:t>
                  </w:r>
                </w:p>
              </w:tc>
              <w:tc>
                <w:tcPr>
                  <w:tcW w:w="360" w:type="pct"/>
                  <w:tcBorders>
                    <w:tl2br w:val="nil"/>
                    <w:tr2bl w:val="nil"/>
                  </w:tcBorders>
                  <w:shd w:val="clear" w:color="auto" w:fill="auto"/>
                  <w:vAlign w:val="center"/>
                </w:tcPr>
                <w:p w14:paraId="62D2DE79">
                  <w:pPr>
                    <w:widowControl/>
                    <w:jc w:val="center"/>
                    <w:rPr>
                      <w:rFonts w:hint="default" w:ascii="Times New Roman" w:hAnsi="Times New Roman" w:eastAsia="宋体" w:cs="Times New Roman"/>
                      <w:bCs/>
                      <w:snapToGrid w:val="0"/>
                      <w:color w:val="auto"/>
                      <w:spacing w:val="6"/>
                      <w:kern w:val="2"/>
                      <w:sz w:val="21"/>
                      <w:szCs w:val="21"/>
                      <w:lang w:val="en-US" w:eastAsia="zh-CN" w:bidi="ar"/>
                    </w:rPr>
                  </w:pPr>
                  <w:r>
                    <w:rPr>
                      <w:rFonts w:hint="default" w:ascii="Times New Roman" w:hAnsi="Times New Roman" w:eastAsia="宋体" w:cs="Times New Roman"/>
                      <w:b w:val="0"/>
                      <w:bCs w:val="0"/>
                      <w:snapToGrid w:val="0"/>
                      <w:color w:val="auto"/>
                      <w:spacing w:val="6"/>
                      <w:sz w:val="21"/>
                      <w:szCs w:val="21"/>
                    </w:rPr>
                    <w:t>固态</w:t>
                  </w:r>
                </w:p>
              </w:tc>
              <w:tc>
                <w:tcPr>
                  <w:tcW w:w="410" w:type="pct"/>
                  <w:tcBorders>
                    <w:tl2br w:val="nil"/>
                    <w:tr2bl w:val="nil"/>
                  </w:tcBorders>
                  <w:shd w:val="clear" w:color="auto" w:fill="auto"/>
                  <w:vAlign w:val="center"/>
                </w:tcPr>
                <w:p w14:paraId="2642579F">
                  <w:pPr>
                    <w:widowControl/>
                    <w:jc w:val="center"/>
                    <w:rPr>
                      <w:rFonts w:hint="default" w:ascii="Times New Roman" w:hAnsi="Times New Roman" w:eastAsia="宋体" w:cs="Times New Roman"/>
                      <w:color w:val="auto"/>
                      <w:spacing w:val="6"/>
                      <w:kern w:val="2"/>
                      <w:sz w:val="21"/>
                      <w:szCs w:val="21"/>
                      <w:lang w:val="en-US" w:eastAsia="zh-CN" w:bidi="ar"/>
                    </w:rPr>
                  </w:pPr>
                  <w:r>
                    <w:rPr>
                      <w:rFonts w:hint="eastAsia" w:cs="Times New Roman"/>
                      <w:color w:val="auto"/>
                      <w:spacing w:val="6"/>
                      <w:kern w:val="2"/>
                      <w:sz w:val="21"/>
                      <w:szCs w:val="21"/>
                      <w:lang w:val="en-US" w:eastAsia="zh-CN" w:bidi="ar"/>
                    </w:rPr>
                    <w:t>颗粒物</w:t>
                  </w:r>
                </w:p>
              </w:tc>
              <w:tc>
                <w:tcPr>
                  <w:tcW w:w="1118" w:type="pct"/>
                  <w:tcBorders>
                    <w:tl2br w:val="nil"/>
                    <w:tr2bl w:val="nil"/>
                  </w:tcBorders>
                  <w:shd w:val="clear" w:color="auto" w:fill="auto"/>
                  <w:vAlign w:val="center"/>
                </w:tcPr>
                <w:p w14:paraId="5023952F">
                  <w:pPr>
                    <w:pStyle w:val="22"/>
                    <w:widowControl w:val="0"/>
                    <w:snapToGrid w:val="0"/>
                    <w:spacing w:before="0" w:beforeAutospacing="0" w:after="0" w:afterAutospacing="0"/>
                    <w:jc w:val="center"/>
                    <w:rPr>
                      <w:rFonts w:ascii="Times New Roman" w:hAnsi="Times New Roman"/>
                      <w:bCs/>
                      <w:color w:val="auto"/>
                      <w:sz w:val="21"/>
                      <w:szCs w:val="21"/>
                    </w:rPr>
                  </w:pPr>
                  <w:r>
                    <w:rPr>
                      <w:rFonts w:hint="eastAsia" w:ascii="Times New Roman" w:hAnsi="Times New Roman"/>
                      <w:bCs/>
                      <w:color w:val="auto"/>
                      <w:sz w:val="21"/>
                      <w:szCs w:val="21"/>
                    </w:rPr>
                    <w:t>SW59</w:t>
                  </w:r>
                </w:p>
                <w:p w14:paraId="74E169A4">
                  <w:pPr>
                    <w:pStyle w:val="22"/>
                    <w:widowControl w:val="0"/>
                    <w:snapToGrid w:val="0"/>
                    <w:spacing w:before="0" w:beforeAutospacing="0" w:after="0" w:afterAutospacing="0"/>
                    <w:jc w:val="center"/>
                    <w:rPr>
                      <w:rFonts w:hint="eastAsia" w:ascii="Times New Roman" w:hAnsi="Times New Roman" w:eastAsia="宋体" w:cs="Times New Roman"/>
                      <w:bCs/>
                      <w:color w:val="auto"/>
                      <w:kern w:val="2"/>
                      <w:sz w:val="21"/>
                      <w:szCs w:val="21"/>
                      <w:lang w:val="en-US" w:eastAsia="zh-CN" w:bidi="ar-SA"/>
                    </w:rPr>
                  </w:pPr>
                  <w:r>
                    <w:rPr>
                      <w:rFonts w:hint="eastAsia" w:ascii="Times New Roman" w:hAnsi="Times New Roman"/>
                      <w:bCs/>
                      <w:color w:val="auto"/>
                      <w:sz w:val="21"/>
                      <w:szCs w:val="21"/>
                    </w:rPr>
                    <w:t>其他工业固体废物</w:t>
                  </w:r>
                </w:p>
              </w:tc>
              <w:tc>
                <w:tcPr>
                  <w:tcW w:w="748" w:type="pct"/>
                  <w:tcBorders>
                    <w:tl2br w:val="nil"/>
                    <w:tr2bl w:val="nil"/>
                  </w:tcBorders>
                  <w:shd w:val="clear" w:color="auto" w:fill="auto"/>
                  <w:vAlign w:val="center"/>
                </w:tcPr>
                <w:p w14:paraId="78B4090A">
                  <w:pPr>
                    <w:pStyle w:val="22"/>
                    <w:spacing w:before="0" w:beforeAutospacing="0" w:after="0"/>
                    <w:jc w:val="center"/>
                    <w:rPr>
                      <w:rFonts w:hint="eastAsia" w:ascii="Times New Roman" w:hAnsi="Times New Roman" w:eastAsia="宋体" w:cs="Times New Roman"/>
                      <w:bCs/>
                      <w:color w:val="auto"/>
                      <w:kern w:val="2"/>
                      <w:sz w:val="21"/>
                      <w:szCs w:val="21"/>
                      <w:lang w:val="en-US" w:eastAsia="zh-CN" w:bidi="ar-SA"/>
                    </w:rPr>
                  </w:pPr>
                  <w:r>
                    <w:rPr>
                      <w:rFonts w:hint="eastAsia" w:ascii="Times New Roman" w:hAnsi="Times New Roman"/>
                      <w:bCs/>
                      <w:color w:val="auto"/>
                      <w:kern w:val="2"/>
                      <w:sz w:val="21"/>
                      <w:szCs w:val="21"/>
                    </w:rPr>
                    <w:t>900-0</w:t>
                  </w:r>
                  <w:r>
                    <w:rPr>
                      <w:rFonts w:hint="eastAsia" w:ascii="Times New Roman" w:hAnsi="Times New Roman"/>
                      <w:bCs/>
                      <w:color w:val="auto"/>
                      <w:kern w:val="2"/>
                      <w:sz w:val="21"/>
                      <w:szCs w:val="21"/>
                      <w:lang w:val="en-US" w:eastAsia="zh-CN"/>
                    </w:rPr>
                    <w:t>9</w:t>
                  </w:r>
                  <w:r>
                    <w:rPr>
                      <w:rFonts w:hint="eastAsia" w:ascii="Times New Roman" w:hAnsi="Times New Roman"/>
                      <w:bCs/>
                      <w:color w:val="auto"/>
                      <w:kern w:val="2"/>
                      <w:sz w:val="21"/>
                      <w:szCs w:val="21"/>
                    </w:rPr>
                    <w:t>9-S59</w:t>
                  </w:r>
                </w:p>
              </w:tc>
              <w:tc>
                <w:tcPr>
                  <w:tcW w:w="456" w:type="pct"/>
                  <w:tcBorders>
                    <w:tl2br w:val="nil"/>
                    <w:tr2bl w:val="nil"/>
                  </w:tcBorders>
                  <w:shd w:val="clear" w:color="auto" w:fill="auto"/>
                  <w:vAlign w:val="center"/>
                </w:tcPr>
                <w:p w14:paraId="32BA0FD4">
                  <w:pPr>
                    <w:widowControl/>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0.1637</w:t>
                  </w:r>
                </w:p>
              </w:tc>
              <w:tc>
                <w:tcPr>
                  <w:tcW w:w="298" w:type="pct"/>
                  <w:vMerge w:val="continue"/>
                  <w:tcBorders>
                    <w:tl2br w:val="nil"/>
                    <w:tr2bl w:val="nil"/>
                  </w:tcBorders>
                  <w:vAlign w:val="center"/>
                </w:tcPr>
                <w:p w14:paraId="763C3553">
                  <w:pPr>
                    <w:snapToGrid w:val="0"/>
                    <w:jc w:val="center"/>
                    <w:textAlignment w:val="baseline"/>
                    <w:rPr>
                      <w:rFonts w:hint="eastAsia" w:ascii="Times New Roman" w:hAnsi="Times New Roman" w:cs="Times New Roman"/>
                      <w:color w:val="auto"/>
                      <w:sz w:val="21"/>
                      <w:szCs w:val="21"/>
                      <w:lang w:bidi="ar-SA"/>
                    </w:rPr>
                  </w:pPr>
                </w:p>
              </w:tc>
            </w:tr>
            <w:tr w14:paraId="4927C944">
              <w:tblPrEx>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CellMar>
                  <w:top w:w="0" w:type="dxa"/>
                  <w:left w:w="28" w:type="dxa"/>
                  <w:bottom w:w="0" w:type="dxa"/>
                  <w:right w:w="28" w:type="dxa"/>
                </w:tblCellMar>
              </w:tblPrEx>
              <w:trPr>
                <w:trHeight w:val="23" w:hRule="atLeast"/>
                <w:jc w:val="center"/>
              </w:trPr>
              <w:tc>
                <w:tcPr>
                  <w:tcW w:w="233" w:type="pct"/>
                  <w:tcBorders>
                    <w:tl2br w:val="nil"/>
                    <w:tr2bl w:val="nil"/>
                  </w:tcBorders>
                  <w:vAlign w:val="center"/>
                </w:tcPr>
                <w:p w14:paraId="12AC7B09">
                  <w:pPr>
                    <w:snapToGrid w:val="0"/>
                    <w:jc w:val="center"/>
                    <w:textAlignment w:val="baseline"/>
                    <w:rPr>
                      <w:rFonts w:hint="default" w:ascii="Times New Roman" w:hAnsi="Times New Roman" w:cs="Times New Roman"/>
                      <w:color w:val="auto"/>
                      <w:sz w:val="21"/>
                      <w:szCs w:val="21"/>
                      <w:lang w:val="en-US" w:eastAsia="zh-CN" w:bidi="ar-SA"/>
                    </w:rPr>
                  </w:pPr>
                  <w:r>
                    <w:rPr>
                      <w:rFonts w:hint="eastAsia" w:cs="Times New Roman"/>
                      <w:color w:val="auto"/>
                      <w:sz w:val="21"/>
                      <w:szCs w:val="21"/>
                      <w:lang w:val="en-US" w:eastAsia="zh-CN" w:bidi="ar-SA"/>
                    </w:rPr>
                    <w:t>5</w:t>
                  </w:r>
                </w:p>
              </w:tc>
              <w:tc>
                <w:tcPr>
                  <w:tcW w:w="451" w:type="pct"/>
                  <w:tcBorders>
                    <w:tl2br w:val="nil"/>
                    <w:tr2bl w:val="nil"/>
                  </w:tcBorders>
                  <w:shd w:val="clear" w:color="auto" w:fill="auto"/>
                  <w:vAlign w:val="center"/>
                </w:tcPr>
                <w:p w14:paraId="139D2BEA">
                  <w:pPr>
                    <w:widowControl/>
                    <w:jc w:val="center"/>
                    <w:rPr>
                      <w:rFonts w:hint="default" w:ascii="Times New Roman" w:hAnsi="Times New Roman" w:eastAsia="宋体" w:cs="Times New Roman"/>
                      <w:bCs/>
                      <w:snapToGrid w:val="0"/>
                      <w:color w:val="auto"/>
                      <w:spacing w:val="6"/>
                      <w:kern w:val="2"/>
                      <w:sz w:val="21"/>
                      <w:szCs w:val="21"/>
                      <w:lang w:val="en-US" w:eastAsia="zh-CN" w:bidi="ar"/>
                    </w:rPr>
                  </w:pPr>
                  <w:r>
                    <w:rPr>
                      <w:rFonts w:hint="default" w:ascii="Times New Roman" w:hAnsi="Times New Roman" w:eastAsia="宋体" w:cs="Times New Roman"/>
                      <w:bCs/>
                      <w:snapToGrid w:val="0"/>
                      <w:color w:val="auto"/>
                      <w:spacing w:val="6"/>
                      <w:sz w:val="21"/>
                      <w:szCs w:val="21"/>
                    </w:rPr>
                    <w:t>废包装材料</w:t>
                  </w:r>
                </w:p>
              </w:tc>
              <w:tc>
                <w:tcPr>
                  <w:tcW w:w="205" w:type="pct"/>
                  <w:vMerge w:val="continue"/>
                  <w:tcBorders>
                    <w:tl2br w:val="nil"/>
                    <w:tr2bl w:val="nil"/>
                  </w:tcBorders>
                  <w:vAlign w:val="center"/>
                </w:tcPr>
                <w:p w14:paraId="1FB0D69A">
                  <w:pPr>
                    <w:snapToGrid w:val="0"/>
                    <w:jc w:val="center"/>
                    <w:textAlignment w:val="baseline"/>
                    <w:rPr>
                      <w:rFonts w:hint="default" w:ascii="Times New Roman" w:hAnsi="Times New Roman" w:cs="Times New Roman"/>
                      <w:color w:val="auto"/>
                      <w:sz w:val="21"/>
                      <w:szCs w:val="21"/>
                      <w:lang w:bidi="ar-SA"/>
                    </w:rPr>
                  </w:pPr>
                </w:p>
              </w:tc>
              <w:tc>
                <w:tcPr>
                  <w:tcW w:w="716" w:type="pct"/>
                  <w:tcBorders>
                    <w:tl2br w:val="nil"/>
                    <w:tr2bl w:val="nil"/>
                  </w:tcBorders>
                  <w:shd w:val="clear" w:color="auto" w:fill="auto"/>
                  <w:vAlign w:val="center"/>
                </w:tcPr>
                <w:p w14:paraId="42CF4CD3">
                  <w:pPr>
                    <w:widowControl/>
                    <w:jc w:val="center"/>
                    <w:rPr>
                      <w:rFonts w:hint="default" w:ascii="Times New Roman" w:hAnsi="Times New Roman" w:eastAsia="宋体" w:cs="Times New Roman"/>
                      <w:bCs/>
                      <w:snapToGrid w:val="0"/>
                      <w:color w:val="auto"/>
                      <w:spacing w:val="6"/>
                      <w:kern w:val="2"/>
                      <w:sz w:val="21"/>
                      <w:szCs w:val="21"/>
                      <w:lang w:val="en-US" w:eastAsia="zh-CN" w:bidi="ar"/>
                    </w:rPr>
                  </w:pPr>
                  <w:r>
                    <w:rPr>
                      <w:rFonts w:hint="eastAsia" w:ascii="Times New Roman" w:hAnsi="Times New Roman" w:cs="Times New Roman"/>
                      <w:bCs/>
                      <w:color w:val="auto"/>
                      <w:sz w:val="21"/>
                      <w:szCs w:val="21"/>
                      <w:lang w:val="en-US" w:eastAsia="zh-CN"/>
                    </w:rPr>
                    <w:t>原料</w:t>
                  </w:r>
                  <w:r>
                    <w:rPr>
                      <w:rFonts w:hint="default" w:ascii="Times New Roman" w:hAnsi="Times New Roman" w:eastAsia="宋体" w:cs="Times New Roman"/>
                      <w:bCs/>
                      <w:color w:val="auto"/>
                      <w:sz w:val="21"/>
                      <w:szCs w:val="21"/>
                    </w:rPr>
                    <w:t>包装</w:t>
                  </w:r>
                </w:p>
              </w:tc>
              <w:tc>
                <w:tcPr>
                  <w:tcW w:w="360" w:type="pct"/>
                  <w:tcBorders>
                    <w:tl2br w:val="nil"/>
                    <w:tr2bl w:val="nil"/>
                  </w:tcBorders>
                  <w:shd w:val="clear" w:color="auto" w:fill="auto"/>
                  <w:vAlign w:val="center"/>
                </w:tcPr>
                <w:p w14:paraId="49689C10">
                  <w:pPr>
                    <w:widowControl/>
                    <w:jc w:val="center"/>
                    <w:rPr>
                      <w:rFonts w:hint="default" w:ascii="Times New Roman" w:hAnsi="Times New Roman" w:eastAsia="宋体" w:cs="Times New Roman"/>
                      <w:bCs/>
                      <w:snapToGrid w:val="0"/>
                      <w:color w:val="auto"/>
                      <w:spacing w:val="6"/>
                      <w:kern w:val="2"/>
                      <w:sz w:val="21"/>
                      <w:szCs w:val="21"/>
                      <w:lang w:val="en-US" w:eastAsia="zh-CN" w:bidi="ar"/>
                    </w:rPr>
                  </w:pPr>
                  <w:r>
                    <w:rPr>
                      <w:rFonts w:hint="default" w:ascii="Times New Roman" w:hAnsi="Times New Roman" w:eastAsia="宋体" w:cs="Times New Roman"/>
                      <w:b w:val="0"/>
                      <w:bCs w:val="0"/>
                      <w:snapToGrid w:val="0"/>
                      <w:color w:val="auto"/>
                      <w:spacing w:val="6"/>
                      <w:sz w:val="21"/>
                      <w:szCs w:val="21"/>
                    </w:rPr>
                    <w:t>固态</w:t>
                  </w:r>
                </w:p>
              </w:tc>
              <w:tc>
                <w:tcPr>
                  <w:tcW w:w="410" w:type="pct"/>
                  <w:tcBorders>
                    <w:tl2br w:val="nil"/>
                    <w:tr2bl w:val="nil"/>
                  </w:tcBorders>
                  <w:shd w:val="clear" w:color="auto" w:fill="auto"/>
                  <w:vAlign w:val="center"/>
                </w:tcPr>
                <w:p w14:paraId="4615D87C">
                  <w:pPr>
                    <w:widowControl/>
                    <w:jc w:val="center"/>
                    <w:rPr>
                      <w:rFonts w:hint="default" w:ascii="Times New Roman" w:hAnsi="Times New Roman" w:eastAsia="宋体" w:cs="Times New Roman"/>
                      <w:color w:val="auto"/>
                      <w:spacing w:val="6"/>
                      <w:kern w:val="2"/>
                      <w:sz w:val="21"/>
                      <w:szCs w:val="21"/>
                      <w:lang w:val="en-US" w:eastAsia="zh-CN" w:bidi="ar"/>
                    </w:rPr>
                  </w:pPr>
                  <w:r>
                    <w:rPr>
                      <w:rFonts w:hint="default" w:ascii="Times New Roman" w:hAnsi="Times New Roman" w:eastAsia="宋体" w:cs="Times New Roman"/>
                      <w:color w:val="auto"/>
                      <w:spacing w:val="6"/>
                      <w:kern w:val="2"/>
                      <w:sz w:val="21"/>
                      <w:szCs w:val="21"/>
                      <w:lang w:val="en-US" w:eastAsia="zh-CN" w:bidi="ar"/>
                    </w:rPr>
                    <w:t>包装材料</w:t>
                  </w:r>
                </w:p>
              </w:tc>
              <w:tc>
                <w:tcPr>
                  <w:tcW w:w="1118" w:type="pct"/>
                  <w:tcBorders>
                    <w:tl2br w:val="nil"/>
                    <w:tr2bl w:val="nil"/>
                  </w:tcBorders>
                  <w:shd w:val="clear" w:color="auto" w:fill="auto"/>
                  <w:vAlign w:val="center"/>
                </w:tcPr>
                <w:p w14:paraId="3CF69D33">
                  <w:pPr>
                    <w:pStyle w:val="34"/>
                    <w:spacing w:before="24" w:after="24"/>
                    <w:ind w:firstLine="0" w:firstLineChars="0"/>
                    <w:rPr>
                      <w:rFonts w:hint="eastAsia" w:ascii="Times New Roman" w:hAnsi="宋体" w:eastAsia="宋体" w:cs="Times New Roman"/>
                      <w:color w:val="auto"/>
                      <w:spacing w:val="-10"/>
                      <w:kern w:val="0"/>
                      <w:sz w:val="21"/>
                      <w:szCs w:val="21"/>
                      <w:lang w:val="en-US" w:eastAsia="zh-CN" w:bidi="ar"/>
                    </w:rPr>
                  </w:pPr>
                  <w:r>
                    <w:rPr>
                      <w:rFonts w:ascii="Times New Roman" w:eastAsia="宋体"/>
                      <w:color w:val="auto"/>
                      <w:szCs w:val="21"/>
                    </w:rPr>
                    <w:t>SW59其他工业固体废物</w:t>
                  </w:r>
                </w:p>
              </w:tc>
              <w:tc>
                <w:tcPr>
                  <w:tcW w:w="748" w:type="pct"/>
                  <w:tcBorders>
                    <w:tl2br w:val="nil"/>
                    <w:tr2bl w:val="nil"/>
                  </w:tcBorders>
                  <w:shd w:val="clear" w:color="auto" w:fill="auto"/>
                  <w:vAlign w:val="center"/>
                </w:tcPr>
                <w:p w14:paraId="6B2EEEE7">
                  <w:pPr>
                    <w:pStyle w:val="34"/>
                    <w:spacing w:before="24" w:after="24"/>
                    <w:ind w:firstLine="0" w:firstLineChars="0"/>
                    <w:rPr>
                      <w:rFonts w:hint="eastAsia" w:ascii="Times New Roman" w:hAnsi="宋体" w:eastAsia="宋体" w:cs="Times New Roman"/>
                      <w:color w:val="auto"/>
                      <w:spacing w:val="-10"/>
                      <w:kern w:val="0"/>
                      <w:sz w:val="21"/>
                      <w:szCs w:val="21"/>
                      <w:lang w:val="en-US" w:eastAsia="zh-CN" w:bidi="ar"/>
                    </w:rPr>
                  </w:pPr>
                  <w:r>
                    <w:rPr>
                      <w:rFonts w:ascii="Times New Roman" w:eastAsia="宋体"/>
                      <w:color w:val="auto"/>
                      <w:szCs w:val="21"/>
                    </w:rPr>
                    <w:t>900-099-S59</w:t>
                  </w:r>
                </w:p>
              </w:tc>
              <w:tc>
                <w:tcPr>
                  <w:tcW w:w="456" w:type="pct"/>
                  <w:tcBorders>
                    <w:tl2br w:val="nil"/>
                    <w:tr2bl w:val="nil"/>
                  </w:tcBorders>
                  <w:shd w:val="clear" w:color="auto" w:fill="auto"/>
                  <w:vAlign w:val="center"/>
                </w:tcPr>
                <w:p w14:paraId="3D711697">
                  <w:pPr>
                    <w:widowControl/>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0.5</w:t>
                  </w:r>
                </w:p>
              </w:tc>
              <w:tc>
                <w:tcPr>
                  <w:tcW w:w="298" w:type="pct"/>
                  <w:vMerge w:val="continue"/>
                  <w:tcBorders>
                    <w:tl2br w:val="nil"/>
                    <w:tr2bl w:val="nil"/>
                  </w:tcBorders>
                  <w:vAlign w:val="center"/>
                </w:tcPr>
                <w:p w14:paraId="5DE5B8BF">
                  <w:pPr>
                    <w:snapToGrid w:val="0"/>
                    <w:jc w:val="center"/>
                    <w:textAlignment w:val="baseline"/>
                    <w:rPr>
                      <w:rFonts w:hint="eastAsia" w:ascii="Times New Roman" w:hAnsi="Times New Roman" w:cs="Times New Roman"/>
                      <w:color w:val="auto"/>
                      <w:sz w:val="21"/>
                      <w:szCs w:val="21"/>
                      <w:lang w:bidi="ar-SA"/>
                    </w:rPr>
                  </w:pPr>
                </w:p>
              </w:tc>
            </w:tr>
            <w:tr w14:paraId="193DB9C7">
              <w:tblPrEx>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CellMar>
                  <w:top w:w="0" w:type="dxa"/>
                  <w:left w:w="28" w:type="dxa"/>
                  <w:bottom w:w="0" w:type="dxa"/>
                  <w:right w:w="28" w:type="dxa"/>
                </w:tblCellMar>
              </w:tblPrEx>
              <w:trPr>
                <w:trHeight w:val="23" w:hRule="atLeast"/>
                <w:jc w:val="center"/>
              </w:trPr>
              <w:tc>
                <w:tcPr>
                  <w:tcW w:w="233" w:type="pct"/>
                  <w:tcBorders>
                    <w:tl2br w:val="nil"/>
                    <w:tr2bl w:val="nil"/>
                  </w:tcBorders>
                  <w:vAlign w:val="center"/>
                </w:tcPr>
                <w:p w14:paraId="2C45FE41">
                  <w:pPr>
                    <w:snapToGrid w:val="0"/>
                    <w:jc w:val="center"/>
                    <w:textAlignment w:val="baseline"/>
                    <w:rPr>
                      <w:rFonts w:hint="default" w:cs="Times New Roman"/>
                      <w:color w:val="auto"/>
                      <w:sz w:val="21"/>
                      <w:szCs w:val="21"/>
                      <w:lang w:val="en-US" w:eastAsia="zh-CN" w:bidi="ar-SA"/>
                    </w:rPr>
                  </w:pPr>
                  <w:r>
                    <w:rPr>
                      <w:rFonts w:hint="eastAsia" w:cs="Times New Roman"/>
                      <w:color w:val="auto"/>
                      <w:sz w:val="21"/>
                      <w:szCs w:val="21"/>
                      <w:lang w:val="en-US" w:eastAsia="zh-CN" w:bidi="ar-SA"/>
                    </w:rPr>
                    <w:t>6</w:t>
                  </w:r>
                </w:p>
              </w:tc>
              <w:tc>
                <w:tcPr>
                  <w:tcW w:w="451" w:type="pct"/>
                  <w:tcBorders>
                    <w:tl2br w:val="nil"/>
                    <w:tr2bl w:val="nil"/>
                  </w:tcBorders>
                  <w:shd w:val="clear" w:color="auto" w:fill="auto"/>
                  <w:vAlign w:val="center"/>
                </w:tcPr>
                <w:p w14:paraId="25393ADF">
                  <w:pPr>
                    <w:widowControl/>
                    <w:jc w:val="center"/>
                    <w:rPr>
                      <w:rFonts w:hint="default" w:ascii="Times New Roman" w:hAnsi="Times New Roman" w:eastAsia="宋体" w:cs="Times New Roman"/>
                      <w:bCs/>
                      <w:snapToGrid w:val="0"/>
                      <w:color w:val="auto"/>
                      <w:spacing w:val="6"/>
                      <w:sz w:val="21"/>
                      <w:szCs w:val="21"/>
                    </w:rPr>
                  </w:pPr>
                  <w:r>
                    <w:rPr>
                      <w:rFonts w:hint="default" w:ascii="Times New Roman" w:hAnsi="Times New Roman" w:eastAsia="宋体" w:cs="Times New Roman"/>
                      <w:bCs/>
                      <w:snapToGrid w:val="0"/>
                      <w:color w:val="auto"/>
                      <w:spacing w:val="6"/>
                      <w:sz w:val="21"/>
                      <w:szCs w:val="21"/>
                    </w:rPr>
                    <w:t>废耐火材料</w:t>
                  </w:r>
                </w:p>
              </w:tc>
              <w:tc>
                <w:tcPr>
                  <w:tcW w:w="205" w:type="pct"/>
                  <w:vMerge w:val="continue"/>
                  <w:tcBorders>
                    <w:tl2br w:val="nil"/>
                    <w:tr2bl w:val="nil"/>
                  </w:tcBorders>
                  <w:vAlign w:val="center"/>
                </w:tcPr>
                <w:p w14:paraId="1BF83EF1">
                  <w:pPr>
                    <w:snapToGrid w:val="0"/>
                    <w:jc w:val="center"/>
                    <w:textAlignment w:val="baseline"/>
                    <w:rPr>
                      <w:rFonts w:hint="default" w:ascii="Times New Roman" w:hAnsi="Times New Roman" w:cs="Times New Roman"/>
                      <w:color w:val="auto"/>
                      <w:sz w:val="21"/>
                      <w:szCs w:val="21"/>
                      <w:lang w:bidi="ar-SA"/>
                    </w:rPr>
                  </w:pPr>
                </w:p>
              </w:tc>
              <w:tc>
                <w:tcPr>
                  <w:tcW w:w="716" w:type="pct"/>
                  <w:tcBorders>
                    <w:tl2br w:val="nil"/>
                    <w:tr2bl w:val="nil"/>
                  </w:tcBorders>
                  <w:shd w:val="clear" w:color="auto" w:fill="auto"/>
                  <w:vAlign w:val="center"/>
                </w:tcPr>
                <w:p w14:paraId="4ABB3A06">
                  <w:pPr>
                    <w:widowControl/>
                    <w:jc w:val="center"/>
                    <w:rPr>
                      <w:rFonts w:hint="eastAsia" w:ascii="Times New Roman" w:hAnsi="Times New Roman" w:eastAsia="宋体" w:cs="Times New Roman"/>
                      <w:bCs/>
                      <w:color w:val="auto"/>
                      <w:kern w:val="2"/>
                      <w:sz w:val="21"/>
                      <w:szCs w:val="21"/>
                      <w:lang w:val="en-US" w:eastAsia="zh-CN" w:bidi="ar"/>
                    </w:rPr>
                  </w:pPr>
                  <w:r>
                    <w:rPr>
                      <w:rFonts w:hint="eastAsia" w:cs="Times New Roman"/>
                      <w:bCs/>
                      <w:color w:val="auto"/>
                      <w:sz w:val="21"/>
                      <w:szCs w:val="21"/>
                      <w:lang w:val="en-US" w:eastAsia="zh-CN"/>
                    </w:rPr>
                    <w:t>真空炉耐火材料更换</w:t>
                  </w:r>
                </w:p>
              </w:tc>
              <w:tc>
                <w:tcPr>
                  <w:tcW w:w="360" w:type="pct"/>
                  <w:tcBorders>
                    <w:tl2br w:val="nil"/>
                    <w:tr2bl w:val="nil"/>
                  </w:tcBorders>
                  <w:shd w:val="clear" w:color="auto" w:fill="auto"/>
                  <w:vAlign w:val="center"/>
                </w:tcPr>
                <w:p w14:paraId="0C8985A8">
                  <w:pPr>
                    <w:widowControl/>
                    <w:jc w:val="center"/>
                    <w:rPr>
                      <w:rFonts w:hint="default" w:ascii="Times New Roman" w:hAnsi="Times New Roman" w:eastAsia="宋体" w:cs="Times New Roman"/>
                      <w:b w:val="0"/>
                      <w:bCs w:val="0"/>
                      <w:snapToGrid w:val="0"/>
                      <w:color w:val="auto"/>
                      <w:spacing w:val="6"/>
                      <w:kern w:val="2"/>
                      <w:sz w:val="21"/>
                      <w:szCs w:val="21"/>
                      <w:lang w:val="en-US" w:eastAsia="zh-CN" w:bidi="ar"/>
                    </w:rPr>
                  </w:pPr>
                  <w:r>
                    <w:rPr>
                      <w:rFonts w:hint="default" w:ascii="Times New Roman" w:hAnsi="Times New Roman" w:eastAsia="宋体" w:cs="Times New Roman"/>
                      <w:b w:val="0"/>
                      <w:bCs w:val="0"/>
                      <w:snapToGrid w:val="0"/>
                      <w:color w:val="auto"/>
                      <w:spacing w:val="6"/>
                      <w:sz w:val="21"/>
                      <w:szCs w:val="21"/>
                    </w:rPr>
                    <w:t>固态</w:t>
                  </w:r>
                </w:p>
              </w:tc>
              <w:tc>
                <w:tcPr>
                  <w:tcW w:w="410" w:type="pct"/>
                  <w:tcBorders>
                    <w:tl2br w:val="nil"/>
                    <w:tr2bl w:val="nil"/>
                  </w:tcBorders>
                  <w:shd w:val="clear" w:color="auto" w:fill="auto"/>
                  <w:vAlign w:val="center"/>
                </w:tcPr>
                <w:p w14:paraId="2041FD18">
                  <w:pPr>
                    <w:widowControl/>
                    <w:jc w:val="center"/>
                    <w:rPr>
                      <w:rFonts w:hint="default" w:ascii="Times New Roman" w:hAnsi="Times New Roman" w:eastAsia="宋体" w:cs="Times New Roman"/>
                      <w:color w:val="auto"/>
                      <w:spacing w:val="6"/>
                      <w:kern w:val="2"/>
                      <w:sz w:val="21"/>
                      <w:szCs w:val="21"/>
                      <w:lang w:val="en-US" w:eastAsia="zh-CN" w:bidi="ar"/>
                    </w:rPr>
                  </w:pPr>
                  <w:r>
                    <w:rPr>
                      <w:rFonts w:hint="eastAsia" w:cs="Times New Roman"/>
                      <w:bCs/>
                      <w:color w:val="auto"/>
                      <w:sz w:val="21"/>
                      <w:szCs w:val="21"/>
                      <w:lang w:val="en-US" w:eastAsia="zh-CN"/>
                    </w:rPr>
                    <w:t>耐火材料</w:t>
                  </w:r>
                </w:p>
              </w:tc>
              <w:tc>
                <w:tcPr>
                  <w:tcW w:w="1118" w:type="pct"/>
                  <w:tcBorders>
                    <w:tl2br w:val="nil"/>
                    <w:tr2bl w:val="nil"/>
                  </w:tcBorders>
                  <w:shd w:val="clear" w:color="auto" w:fill="auto"/>
                  <w:vAlign w:val="center"/>
                </w:tcPr>
                <w:p w14:paraId="7E1E044A">
                  <w:pPr>
                    <w:pStyle w:val="22"/>
                    <w:widowControl w:val="0"/>
                    <w:snapToGrid w:val="0"/>
                    <w:spacing w:before="0" w:beforeAutospacing="0" w:after="0" w:afterAutospacing="0"/>
                    <w:jc w:val="center"/>
                    <w:rPr>
                      <w:rFonts w:ascii="Times New Roman" w:hAnsi="Times New Roman"/>
                      <w:bCs/>
                      <w:color w:val="auto"/>
                      <w:sz w:val="21"/>
                      <w:szCs w:val="21"/>
                    </w:rPr>
                  </w:pPr>
                  <w:r>
                    <w:rPr>
                      <w:rFonts w:hint="eastAsia" w:ascii="Times New Roman" w:hAnsi="Times New Roman"/>
                      <w:bCs/>
                      <w:color w:val="auto"/>
                      <w:sz w:val="21"/>
                      <w:szCs w:val="21"/>
                    </w:rPr>
                    <w:t>SW59</w:t>
                  </w:r>
                </w:p>
                <w:p w14:paraId="1DA4DE6B">
                  <w:pPr>
                    <w:pStyle w:val="22"/>
                    <w:widowControl w:val="0"/>
                    <w:snapToGrid w:val="0"/>
                    <w:spacing w:before="0" w:beforeAutospacing="0" w:after="0" w:afterAutospacing="0"/>
                    <w:jc w:val="center"/>
                    <w:rPr>
                      <w:rFonts w:hint="default" w:ascii="Times New Roman" w:hAnsi="Times New Roman" w:eastAsia="宋体" w:cs="Times New Roman"/>
                      <w:bCs/>
                      <w:color w:val="auto"/>
                      <w:kern w:val="0"/>
                      <w:sz w:val="21"/>
                      <w:szCs w:val="21"/>
                      <w:lang w:val="en-US" w:eastAsia="zh-CN" w:bidi="ar"/>
                    </w:rPr>
                  </w:pPr>
                  <w:r>
                    <w:rPr>
                      <w:rFonts w:hint="eastAsia" w:ascii="Times New Roman" w:hAnsi="Times New Roman"/>
                      <w:bCs/>
                      <w:color w:val="auto"/>
                      <w:sz w:val="21"/>
                      <w:szCs w:val="21"/>
                    </w:rPr>
                    <w:t>其他工业固体废物</w:t>
                  </w:r>
                </w:p>
              </w:tc>
              <w:tc>
                <w:tcPr>
                  <w:tcW w:w="748" w:type="pct"/>
                  <w:tcBorders>
                    <w:tl2br w:val="nil"/>
                    <w:tr2bl w:val="nil"/>
                  </w:tcBorders>
                  <w:shd w:val="clear" w:color="auto" w:fill="auto"/>
                  <w:vAlign w:val="center"/>
                </w:tcPr>
                <w:p w14:paraId="7D719A31">
                  <w:pPr>
                    <w:pStyle w:val="22"/>
                    <w:spacing w:before="0" w:beforeAutospacing="0" w:after="0"/>
                    <w:jc w:val="center"/>
                    <w:rPr>
                      <w:rFonts w:hint="default" w:ascii="Times New Roman" w:hAnsi="Times New Roman" w:eastAsia="宋体" w:cs="Times New Roman"/>
                      <w:bCs/>
                      <w:color w:val="auto"/>
                      <w:kern w:val="2"/>
                      <w:sz w:val="21"/>
                      <w:szCs w:val="21"/>
                      <w:lang w:val="en-US" w:eastAsia="zh-CN" w:bidi="ar"/>
                    </w:rPr>
                  </w:pPr>
                  <w:r>
                    <w:rPr>
                      <w:rFonts w:hint="eastAsia" w:ascii="Times New Roman" w:hAnsi="Times New Roman"/>
                      <w:bCs/>
                      <w:color w:val="auto"/>
                      <w:kern w:val="2"/>
                      <w:sz w:val="21"/>
                      <w:szCs w:val="21"/>
                    </w:rPr>
                    <w:t>900-002-S59</w:t>
                  </w:r>
                </w:p>
              </w:tc>
              <w:tc>
                <w:tcPr>
                  <w:tcW w:w="456" w:type="pct"/>
                  <w:tcBorders>
                    <w:tl2br w:val="nil"/>
                    <w:tr2bl w:val="nil"/>
                  </w:tcBorders>
                  <w:shd w:val="clear" w:color="auto" w:fill="auto"/>
                  <w:vAlign w:val="center"/>
                </w:tcPr>
                <w:p w14:paraId="1DBA3619">
                  <w:pPr>
                    <w:widowControl/>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0.3t/5a</w:t>
                  </w:r>
                </w:p>
              </w:tc>
              <w:tc>
                <w:tcPr>
                  <w:tcW w:w="298" w:type="pct"/>
                  <w:vMerge w:val="continue"/>
                  <w:tcBorders>
                    <w:tl2br w:val="nil"/>
                    <w:tr2bl w:val="nil"/>
                  </w:tcBorders>
                  <w:vAlign w:val="center"/>
                </w:tcPr>
                <w:p w14:paraId="79891191">
                  <w:pPr>
                    <w:snapToGrid w:val="0"/>
                    <w:jc w:val="center"/>
                    <w:textAlignment w:val="baseline"/>
                    <w:rPr>
                      <w:rFonts w:hint="eastAsia" w:ascii="Times New Roman" w:hAnsi="Times New Roman" w:cs="Times New Roman"/>
                      <w:color w:val="auto"/>
                      <w:sz w:val="21"/>
                      <w:szCs w:val="21"/>
                      <w:lang w:bidi="ar-SA"/>
                    </w:rPr>
                  </w:pPr>
                </w:p>
              </w:tc>
            </w:tr>
          </w:tbl>
          <w:p w14:paraId="42E8C8CA">
            <w:pPr>
              <w:spacing w:line="360" w:lineRule="auto"/>
              <w:ind w:firstLine="361" w:firstLineChars="200"/>
              <w:rPr>
                <w:color w:val="auto"/>
                <w:sz w:val="24"/>
                <w:szCs w:val="24"/>
              </w:rPr>
            </w:pPr>
            <w:r>
              <w:rPr>
                <w:rFonts w:hint="default" w:ascii="Times New Roman" w:hAnsi="Times New Roman" w:cs="Times New Roman"/>
                <w:b/>
                <w:bCs/>
                <w:color w:val="auto"/>
                <w:sz w:val="18"/>
                <w:szCs w:val="18"/>
                <w:lang w:bidi="ar-SA"/>
              </w:rPr>
              <w:t>注：废物类别和废物代码</w:t>
            </w:r>
            <w:r>
              <w:rPr>
                <w:rFonts w:hint="eastAsia" w:ascii="Times New Roman" w:hAnsi="Times New Roman" w:cs="Times New Roman"/>
                <w:b/>
                <w:bCs/>
                <w:color w:val="auto"/>
                <w:sz w:val="18"/>
                <w:szCs w:val="18"/>
                <w:lang w:bidi="ar-SA"/>
              </w:rPr>
              <w:t>参照《固体废物分类与代码目录》（公告2024年第4号）</w:t>
            </w:r>
            <w:r>
              <w:rPr>
                <w:rFonts w:hint="default" w:ascii="Times New Roman" w:hAnsi="Times New Roman" w:cs="Times New Roman"/>
                <w:b/>
                <w:bCs/>
                <w:color w:val="auto"/>
                <w:sz w:val="18"/>
                <w:szCs w:val="18"/>
                <w:lang w:bidi="ar-SA"/>
              </w:rPr>
              <w:t>。</w:t>
            </w:r>
          </w:p>
          <w:p w14:paraId="5811D591">
            <w:pPr>
              <w:jc w:val="center"/>
              <w:rPr>
                <w:b/>
                <w:bCs/>
                <w:color w:val="auto"/>
                <w:sz w:val="24"/>
                <w:szCs w:val="24"/>
              </w:rPr>
            </w:pPr>
            <w:r>
              <w:rPr>
                <w:rFonts w:hint="eastAsia"/>
                <w:b/>
                <w:bCs/>
                <w:color w:val="auto"/>
                <w:sz w:val="24"/>
                <w:szCs w:val="24"/>
              </w:rPr>
              <w:t>表4-</w:t>
            </w:r>
            <w:r>
              <w:rPr>
                <w:rFonts w:hint="eastAsia"/>
                <w:b/>
                <w:bCs/>
                <w:color w:val="auto"/>
                <w:sz w:val="24"/>
                <w:szCs w:val="24"/>
                <w:lang w:val="en-US" w:eastAsia="zh-CN"/>
              </w:rPr>
              <w:t>22</w:t>
            </w:r>
            <w:r>
              <w:rPr>
                <w:rFonts w:hint="eastAsia"/>
                <w:b/>
                <w:bCs/>
                <w:color w:val="auto"/>
                <w:sz w:val="24"/>
                <w:szCs w:val="24"/>
              </w:rPr>
              <w:t xml:space="preserve"> </w:t>
            </w:r>
            <w:r>
              <w:rPr>
                <w:b/>
                <w:bCs/>
                <w:color w:val="auto"/>
                <w:sz w:val="24"/>
                <w:szCs w:val="24"/>
              </w:rPr>
              <w:t>建设项目危险废物产生情况</w:t>
            </w:r>
          </w:p>
          <w:tbl>
            <w:tblPr>
              <w:tblStyle w:val="26"/>
              <w:tblW w:w="4998" w:type="pct"/>
              <w:jc w:val="right"/>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28" w:type="dxa"/>
                <w:bottom w:w="0" w:type="dxa"/>
                <w:right w:w="28" w:type="dxa"/>
              </w:tblCellMar>
            </w:tblPr>
            <w:tblGrid>
              <w:gridCol w:w="306"/>
              <w:gridCol w:w="900"/>
              <w:gridCol w:w="373"/>
              <w:gridCol w:w="626"/>
              <w:gridCol w:w="307"/>
              <w:gridCol w:w="906"/>
              <w:gridCol w:w="524"/>
              <w:gridCol w:w="555"/>
              <w:gridCol w:w="966"/>
              <w:gridCol w:w="524"/>
              <w:gridCol w:w="507"/>
              <w:gridCol w:w="572"/>
              <w:gridCol w:w="293"/>
              <w:gridCol w:w="360"/>
              <w:gridCol w:w="439"/>
            </w:tblGrid>
            <w:tr w14:paraId="3EB1940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40" w:hRule="atLeast"/>
                <w:jc w:val="right"/>
              </w:trPr>
              <w:tc>
                <w:tcPr>
                  <w:tcW w:w="187" w:type="pct"/>
                  <w:vMerge w:val="restart"/>
                  <w:tcBorders>
                    <w:tl2br w:val="nil"/>
                    <w:tr2bl w:val="nil"/>
                  </w:tcBorders>
                  <w:vAlign w:val="center"/>
                </w:tcPr>
                <w:p w14:paraId="3EDE1ECB">
                  <w:pPr>
                    <w:pStyle w:val="22"/>
                    <w:widowControl w:val="0"/>
                    <w:snapToGrid w:val="0"/>
                    <w:spacing w:before="0" w:beforeAutospacing="0" w:after="0" w:afterAutospacing="0"/>
                    <w:jc w:val="center"/>
                    <w:rPr>
                      <w:rFonts w:ascii="Times New Roman" w:hAnsi="Times New Roman"/>
                      <w:color w:val="auto"/>
                      <w:sz w:val="21"/>
                      <w:szCs w:val="21"/>
                    </w:rPr>
                  </w:pPr>
                  <w:r>
                    <w:rPr>
                      <w:rFonts w:ascii="Times New Roman" w:hAnsi="Times New Roman"/>
                      <w:b/>
                      <w:color w:val="auto"/>
                      <w:sz w:val="21"/>
                      <w:szCs w:val="21"/>
                    </w:rPr>
                    <w:t>序号</w:t>
                  </w:r>
                </w:p>
              </w:tc>
              <w:tc>
                <w:tcPr>
                  <w:tcW w:w="551" w:type="pct"/>
                  <w:vMerge w:val="restart"/>
                  <w:tcBorders>
                    <w:tl2br w:val="nil"/>
                    <w:tr2bl w:val="nil"/>
                  </w:tcBorders>
                  <w:vAlign w:val="center"/>
                </w:tcPr>
                <w:p w14:paraId="727B1169">
                  <w:pPr>
                    <w:pStyle w:val="22"/>
                    <w:widowControl w:val="0"/>
                    <w:snapToGrid w:val="0"/>
                    <w:spacing w:before="0" w:beforeAutospacing="0" w:after="0" w:afterAutospacing="0"/>
                    <w:jc w:val="center"/>
                    <w:rPr>
                      <w:rFonts w:ascii="Times New Roman" w:hAnsi="Times New Roman"/>
                      <w:b/>
                      <w:color w:val="auto"/>
                      <w:sz w:val="21"/>
                      <w:szCs w:val="21"/>
                    </w:rPr>
                  </w:pPr>
                  <w:r>
                    <w:rPr>
                      <w:rFonts w:ascii="Times New Roman" w:hAnsi="Times New Roman"/>
                      <w:b/>
                      <w:color w:val="auto"/>
                      <w:sz w:val="21"/>
                      <w:szCs w:val="21"/>
                    </w:rPr>
                    <w:t>固体</w:t>
                  </w:r>
                </w:p>
                <w:p w14:paraId="3A3A101B">
                  <w:pPr>
                    <w:pStyle w:val="22"/>
                    <w:widowControl w:val="0"/>
                    <w:snapToGrid w:val="0"/>
                    <w:spacing w:before="0" w:beforeAutospacing="0" w:after="0" w:afterAutospacing="0"/>
                    <w:jc w:val="center"/>
                    <w:rPr>
                      <w:rFonts w:ascii="Times New Roman" w:hAnsi="Times New Roman"/>
                      <w:color w:val="auto"/>
                      <w:sz w:val="21"/>
                      <w:szCs w:val="21"/>
                    </w:rPr>
                  </w:pPr>
                  <w:r>
                    <w:rPr>
                      <w:rFonts w:ascii="Times New Roman" w:hAnsi="Times New Roman"/>
                      <w:b/>
                      <w:color w:val="auto"/>
                      <w:sz w:val="21"/>
                      <w:szCs w:val="21"/>
                    </w:rPr>
                    <w:t>废物</w:t>
                  </w:r>
                </w:p>
              </w:tc>
              <w:tc>
                <w:tcPr>
                  <w:tcW w:w="228" w:type="pct"/>
                  <w:vMerge w:val="restart"/>
                  <w:tcBorders>
                    <w:tl2br w:val="nil"/>
                    <w:tr2bl w:val="nil"/>
                  </w:tcBorders>
                  <w:vAlign w:val="center"/>
                </w:tcPr>
                <w:p w14:paraId="57A9057D">
                  <w:pPr>
                    <w:pStyle w:val="22"/>
                    <w:widowControl w:val="0"/>
                    <w:snapToGrid w:val="0"/>
                    <w:spacing w:before="0" w:beforeAutospacing="0" w:after="0" w:afterAutospacing="0"/>
                    <w:jc w:val="center"/>
                    <w:rPr>
                      <w:rFonts w:ascii="Times New Roman" w:hAnsi="Times New Roman"/>
                      <w:color w:val="auto"/>
                      <w:sz w:val="21"/>
                      <w:szCs w:val="21"/>
                    </w:rPr>
                  </w:pPr>
                  <w:r>
                    <w:rPr>
                      <w:rFonts w:ascii="Times New Roman" w:hAnsi="Times New Roman"/>
                      <w:b/>
                      <w:color w:val="auto"/>
                      <w:sz w:val="21"/>
                      <w:szCs w:val="21"/>
                    </w:rPr>
                    <w:t>属性</w:t>
                  </w:r>
                </w:p>
              </w:tc>
              <w:tc>
                <w:tcPr>
                  <w:tcW w:w="383" w:type="pct"/>
                  <w:vMerge w:val="restart"/>
                  <w:tcBorders>
                    <w:tl2br w:val="nil"/>
                    <w:tr2bl w:val="nil"/>
                  </w:tcBorders>
                  <w:vAlign w:val="center"/>
                </w:tcPr>
                <w:p w14:paraId="40918F47">
                  <w:pPr>
                    <w:pStyle w:val="22"/>
                    <w:widowControl w:val="0"/>
                    <w:snapToGrid w:val="0"/>
                    <w:spacing w:before="0" w:beforeAutospacing="0" w:after="0" w:afterAutospacing="0"/>
                    <w:jc w:val="center"/>
                    <w:rPr>
                      <w:rFonts w:ascii="Times New Roman" w:hAnsi="Times New Roman"/>
                      <w:b/>
                      <w:color w:val="auto"/>
                      <w:sz w:val="21"/>
                      <w:szCs w:val="21"/>
                    </w:rPr>
                  </w:pPr>
                  <w:r>
                    <w:rPr>
                      <w:rFonts w:ascii="Times New Roman" w:hAnsi="Times New Roman"/>
                      <w:b/>
                      <w:color w:val="auto"/>
                      <w:sz w:val="21"/>
                      <w:szCs w:val="21"/>
                    </w:rPr>
                    <w:t>产生</w:t>
                  </w:r>
                </w:p>
                <w:p w14:paraId="75B7BA2C">
                  <w:pPr>
                    <w:pStyle w:val="22"/>
                    <w:widowControl w:val="0"/>
                    <w:snapToGrid w:val="0"/>
                    <w:spacing w:before="0" w:beforeAutospacing="0" w:after="0" w:afterAutospacing="0"/>
                    <w:jc w:val="center"/>
                    <w:rPr>
                      <w:rFonts w:ascii="Times New Roman" w:hAnsi="Times New Roman"/>
                      <w:color w:val="auto"/>
                      <w:sz w:val="21"/>
                      <w:szCs w:val="21"/>
                    </w:rPr>
                  </w:pPr>
                  <w:r>
                    <w:rPr>
                      <w:rFonts w:ascii="Times New Roman" w:hAnsi="Times New Roman"/>
                      <w:b/>
                      <w:color w:val="auto"/>
                      <w:sz w:val="21"/>
                      <w:szCs w:val="21"/>
                    </w:rPr>
                    <w:t>工序</w:t>
                  </w:r>
                </w:p>
              </w:tc>
              <w:tc>
                <w:tcPr>
                  <w:tcW w:w="188" w:type="pct"/>
                  <w:vMerge w:val="restart"/>
                  <w:tcBorders>
                    <w:tl2br w:val="nil"/>
                    <w:tr2bl w:val="nil"/>
                  </w:tcBorders>
                  <w:vAlign w:val="center"/>
                </w:tcPr>
                <w:p w14:paraId="7CAB30B4">
                  <w:pPr>
                    <w:pStyle w:val="22"/>
                    <w:widowControl w:val="0"/>
                    <w:snapToGrid w:val="0"/>
                    <w:spacing w:before="0" w:beforeAutospacing="0" w:after="0" w:afterAutospacing="0"/>
                    <w:jc w:val="center"/>
                    <w:rPr>
                      <w:rFonts w:ascii="Times New Roman" w:hAnsi="Times New Roman"/>
                      <w:color w:val="auto"/>
                      <w:sz w:val="21"/>
                      <w:szCs w:val="21"/>
                    </w:rPr>
                  </w:pPr>
                  <w:r>
                    <w:rPr>
                      <w:rFonts w:ascii="Times New Roman" w:hAnsi="Times New Roman"/>
                      <w:b/>
                      <w:color w:val="auto"/>
                      <w:sz w:val="21"/>
                      <w:szCs w:val="21"/>
                    </w:rPr>
                    <w:t>形态</w:t>
                  </w:r>
                </w:p>
              </w:tc>
              <w:tc>
                <w:tcPr>
                  <w:tcW w:w="555" w:type="pct"/>
                  <w:vMerge w:val="restart"/>
                  <w:tcBorders>
                    <w:tl2br w:val="nil"/>
                    <w:tr2bl w:val="nil"/>
                  </w:tcBorders>
                  <w:vAlign w:val="center"/>
                </w:tcPr>
                <w:p w14:paraId="6EC639D8">
                  <w:pPr>
                    <w:pStyle w:val="22"/>
                    <w:widowControl w:val="0"/>
                    <w:snapToGrid w:val="0"/>
                    <w:spacing w:before="0" w:beforeAutospacing="0" w:after="0" w:afterAutospacing="0"/>
                    <w:jc w:val="center"/>
                    <w:rPr>
                      <w:rFonts w:ascii="Times New Roman" w:hAnsi="Times New Roman"/>
                      <w:color w:val="auto"/>
                      <w:sz w:val="21"/>
                      <w:szCs w:val="21"/>
                    </w:rPr>
                  </w:pPr>
                  <w:r>
                    <w:rPr>
                      <w:rFonts w:ascii="Times New Roman" w:hAnsi="Times New Roman"/>
                      <w:b/>
                      <w:color w:val="auto"/>
                      <w:sz w:val="21"/>
                      <w:szCs w:val="21"/>
                    </w:rPr>
                    <w:t>主要成分</w:t>
                  </w:r>
                </w:p>
              </w:tc>
              <w:tc>
                <w:tcPr>
                  <w:tcW w:w="321" w:type="pct"/>
                  <w:vMerge w:val="restart"/>
                  <w:tcBorders>
                    <w:tl2br w:val="nil"/>
                    <w:tr2bl w:val="nil"/>
                  </w:tcBorders>
                  <w:vAlign w:val="center"/>
                </w:tcPr>
                <w:p w14:paraId="523562C6">
                  <w:pPr>
                    <w:pStyle w:val="22"/>
                    <w:widowControl w:val="0"/>
                    <w:snapToGrid w:val="0"/>
                    <w:spacing w:before="0" w:beforeAutospacing="0" w:after="0" w:afterAutospacing="0"/>
                    <w:jc w:val="center"/>
                    <w:rPr>
                      <w:rFonts w:ascii="Times New Roman" w:hAnsi="Times New Roman"/>
                      <w:b/>
                      <w:color w:val="auto"/>
                      <w:sz w:val="21"/>
                      <w:szCs w:val="21"/>
                    </w:rPr>
                  </w:pPr>
                  <w:r>
                    <w:rPr>
                      <w:rFonts w:ascii="Times New Roman" w:hAnsi="Times New Roman"/>
                      <w:b/>
                      <w:color w:val="auto"/>
                      <w:sz w:val="21"/>
                      <w:szCs w:val="21"/>
                    </w:rPr>
                    <w:t>危险</w:t>
                  </w:r>
                </w:p>
                <w:p w14:paraId="75B445DE">
                  <w:pPr>
                    <w:pStyle w:val="22"/>
                    <w:widowControl w:val="0"/>
                    <w:snapToGrid w:val="0"/>
                    <w:spacing w:before="0" w:beforeAutospacing="0" w:after="0" w:afterAutospacing="0"/>
                    <w:jc w:val="center"/>
                    <w:rPr>
                      <w:rFonts w:ascii="Times New Roman" w:hAnsi="Times New Roman"/>
                      <w:color w:val="auto"/>
                      <w:sz w:val="21"/>
                      <w:szCs w:val="21"/>
                    </w:rPr>
                  </w:pPr>
                  <w:r>
                    <w:rPr>
                      <w:rFonts w:ascii="Times New Roman" w:hAnsi="Times New Roman"/>
                      <w:b/>
                      <w:color w:val="auto"/>
                      <w:sz w:val="21"/>
                      <w:szCs w:val="21"/>
                    </w:rPr>
                    <w:t>特性</w:t>
                  </w:r>
                </w:p>
              </w:tc>
              <w:tc>
                <w:tcPr>
                  <w:tcW w:w="340" w:type="pct"/>
                  <w:vMerge w:val="restart"/>
                  <w:tcBorders>
                    <w:tl2br w:val="nil"/>
                    <w:tr2bl w:val="nil"/>
                  </w:tcBorders>
                  <w:vAlign w:val="center"/>
                </w:tcPr>
                <w:p w14:paraId="4FF68E19">
                  <w:pPr>
                    <w:pStyle w:val="22"/>
                    <w:widowControl w:val="0"/>
                    <w:snapToGrid w:val="0"/>
                    <w:spacing w:before="0" w:beforeAutospacing="0" w:after="0" w:afterAutospacing="0"/>
                    <w:jc w:val="center"/>
                    <w:rPr>
                      <w:rFonts w:ascii="Times New Roman" w:hAnsi="Times New Roman"/>
                      <w:color w:val="auto"/>
                      <w:sz w:val="21"/>
                      <w:szCs w:val="21"/>
                    </w:rPr>
                  </w:pPr>
                  <w:r>
                    <w:rPr>
                      <w:rFonts w:ascii="Times New Roman" w:hAnsi="Times New Roman"/>
                      <w:b/>
                      <w:color w:val="auto"/>
                      <w:sz w:val="21"/>
                      <w:szCs w:val="21"/>
                    </w:rPr>
                    <w:t>危险废物类别</w:t>
                  </w:r>
                </w:p>
              </w:tc>
              <w:tc>
                <w:tcPr>
                  <w:tcW w:w="592" w:type="pct"/>
                  <w:vMerge w:val="restart"/>
                  <w:tcBorders>
                    <w:tl2br w:val="nil"/>
                    <w:tr2bl w:val="nil"/>
                  </w:tcBorders>
                  <w:vAlign w:val="center"/>
                </w:tcPr>
                <w:p w14:paraId="151EBB02">
                  <w:pPr>
                    <w:pStyle w:val="22"/>
                    <w:widowControl w:val="0"/>
                    <w:snapToGrid w:val="0"/>
                    <w:spacing w:before="0" w:beforeAutospacing="0" w:after="0" w:afterAutospacing="0"/>
                    <w:jc w:val="center"/>
                    <w:rPr>
                      <w:rFonts w:ascii="Times New Roman" w:hAnsi="Times New Roman"/>
                      <w:b/>
                      <w:color w:val="auto"/>
                      <w:sz w:val="21"/>
                      <w:szCs w:val="21"/>
                    </w:rPr>
                  </w:pPr>
                  <w:r>
                    <w:rPr>
                      <w:rFonts w:ascii="Times New Roman" w:hAnsi="Times New Roman"/>
                      <w:b/>
                      <w:color w:val="auto"/>
                      <w:sz w:val="21"/>
                      <w:szCs w:val="21"/>
                    </w:rPr>
                    <w:t>危险废物</w:t>
                  </w:r>
                </w:p>
                <w:p w14:paraId="03DBC8BC">
                  <w:pPr>
                    <w:pStyle w:val="22"/>
                    <w:widowControl w:val="0"/>
                    <w:snapToGrid w:val="0"/>
                    <w:spacing w:before="0" w:beforeAutospacing="0" w:after="0" w:afterAutospacing="0"/>
                    <w:jc w:val="center"/>
                    <w:rPr>
                      <w:rFonts w:ascii="Times New Roman" w:hAnsi="Times New Roman"/>
                      <w:color w:val="auto"/>
                      <w:sz w:val="21"/>
                      <w:szCs w:val="21"/>
                    </w:rPr>
                  </w:pPr>
                  <w:r>
                    <w:rPr>
                      <w:rFonts w:ascii="Times New Roman" w:hAnsi="Times New Roman"/>
                      <w:b/>
                      <w:color w:val="auto"/>
                      <w:sz w:val="21"/>
                      <w:szCs w:val="21"/>
                    </w:rPr>
                    <w:t>代码</w:t>
                  </w:r>
                </w:p>
              </w:tc>
              <w:tc>
                <w:tcPr>
                  <w:tcW w:w="321" w:type="pct"/>
                  <w:vMerge w:val="restart"/>
                  <w:tcBorders>
                    <w:tl2br w:val="nil"/>
                    <w:tr2bl w:val="nil"/>
                  </w:tcBorders>
                  <w:vAlign w:val="center"/>
                </w:tcPr>
                <w:p w14:paraId="31F724C2">
                  <w:pPr>
                    <w:pStyle w:val="22"/>
                    <w:widowControl w:val="0"/>
                    <w:snapToGrid w:val="0"/>
                    <w:spacing w:before="0" w:beforeAutospacing="0" w:after="0" w:afterAutospacing="0"/>
                    <w:jc w:val="center"/>
                    <w:rPr>
                      <w:rFonts w:ascii="Times New Roman" w:hAnsi="Times New Roman"/>
                      <w:color w:val="auto"/>
                      <w:sz w:val="21"/>
                      <w:szCs w:val="21"/>
                    </w:rPr>
                  </w:pPr>
                  <w:r>
                    <w:rPr>
                      <w:rFonts w:ascii="Times New Roman" w:hAnsi="Times New Roman"/>
                      <w:b/>
                      <w:color w:val="auto"/>
                      <w:sz w:val="21"/>
                      <w:szCs w:val="21"/>
                    </w:rPr>
                    <w:t>产生量(t/a)</w:t>
                  </w:r>
                </w:p>
              </w:tc>
              <w:tc>
                <w:tcPr>
                  <w:tcW w:w="310" w:type="pct"/>
                  <w:vMerge w:val="restart"/>
                  <w:tcBorders>
                    <w:tl2br w:val="nil"/>
                    <w:tr2bl w:val="nil"/>
                  </w:tcBorders>
                  <w:vAlign w:val="center"/>
                </w:tcPr>
                <w:p w14:paraId="16936F20">
                  <w:pPr>
                    <w:pStyle w:val="22"/>
                    <w:widowControl w:val="0"/>
                    <w:snapToGrid w:val="0"/>
                    <w:spacing w:before="0" w:beforeAutospacing="0" w:after="0" w:afterAutospacing="0"/>
                    <w:jc w:val="center"/>
                    <w:rPr>
                      <w:rFonts w:ascii="Times New Roman" w:hAnsi="Times New Roman"/>
                      <w:b/>
                      <w:color w:val="auto"/>
                      <w:sz w:val="21"/>
                      <w:szCs w:val="21"/>
                    </w:rPr>
                  </w:pPr>
                  <w:r>
                    <w:rPr>
                      <w:rFonts w:hint="eastAsia" w:ascii="Times New Roman" w:hAnsi="Times New Roman"/>
                      <w:b/>
                      <w:color w:val="auto"/>
                      <w:sz w:val="21"/>
                      <w:szCs w:val="21"/>
                    </w:rPr>
                    <w:t>环境风险分级</w:t>
                  </w:r>
                </w:p>
              </w:tc>
              <w:tc>
                <w:tcPr>
                  <w:tcW w:w="350" w:type="pct"/>
                  <w:vMerge w:val="restart"/>
                  <w:tcBorders>
                    <w:tl2br w:val="nil"/>
                    <w:tr2bl w:val="nil"/>
                  </w:tcBorders>
                  <w:vAlign w:val="center"/>
                </w:tcPr>
                <w:p w14:paraId="27AE902D">
                  <w:pPr>
                    <w:pStyle w:val="22"/>
                    <w:widowControl w:val="0"/>
                    <w:snapToGrid w:val="0"/>
                    <w:spacing w:before="0" w:beforeAutospacing="0" w:after="0" w:afterAutospacing="0"/>
                    <w:jc w:val="center"/>
                    <w:rPr>
                      <w:rFonts w:ascii="Times New Roman" w:hAnsi="Times New Roman"/>
                      <w:color w:val="auto"/>
                      <w:sz w:val="21"/>
                      <w:szCs w:val="21"/>
                    </w:rPr>
                  </w:pPr>
                  <w:r>
                    <w:rPr>
                      <w:rFonts w:ascii="Times New Roman" w:hAnsi="Times New Roman"/>
                      <w:b/>
                      <w:color w:val="auto"/>
                      <w:sz w:val="21"/>
                      <w:szCs w:val="21"/>
                    </w:rPr>
                    <w:t>处置方式</w:t>
                  </w:r>
                </w:p>
              </w:tc>
              <w:tc>
                <w:tcPr>
                  <w:tcW w:w="669" w:type="pct"/>
                  <w:gridSpan w:val="3"/>
                  <w:tcBorders>
                    <w:tl2br w:val="nil"/>
                    <w:tr2bl w:val="nil"/>
                  </w:tcBorders>
                  <w:vAlign w:val="center"/>
                </w:tcPr>
                <w:p w14:paraId="47028125">
                  <w:pPr>
                    <w:pStyle w:val="22"/>
                    <w:widowControl w:val="0"/>
                    <w:snapToGrid w:val="0"/>
                    <w:spacing w:before="0" w:beforeAutospacing="0" w:after="0" w:afterAutospacing="0"/>
                    <w:jc w:val="center"/>
                    <w:rPr>
                      <w:rFonts w:ascii="Times New Roman" w:hAnsi="Times New Roman"/>
                      <w:b/>
                      <w:color w:val="auto"/>
                      <w:sz w:val="21"/>
                      <w:szCs w:val="21"/>
                    </w:rPr>
                  </w:pPr>
                  <w:r>
                    <w:rPr>
                      <w:rFonts w:hint="eastAsia" w:ascii="Times New Roman" w:hAnsi="Times New Roman"/>
                      <w:b/>
                      <w:color w:val="auto"/>
                      <w:sz w:val="21"/>
                      <w:szCs w:val="21"/>
                    </w:rPr>
                    <w:t xml:space="preserve">危险废物等级 </w:t>
                  </w:r>
                </w:p>
              </w:tc>
            </w:tr>
            <w:tr w14:paraId="21519DA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90" w:hRule="atLeast"/>
                <w:jc w:val="right"/>
              </w:trPr>
              <w:tc>
                <w:tcPr>
                  <w:tcW w:w="187" w:type="pct"/>
                  <w:vMerge w:val="continue"/>
                  <w:tcBorders>
                    <w:tl2br w:val="nil"/>
                    <w:tr2bl w:val="nil"/>
                  </w:tcBorders>
                  <w:vAlign w:val="center"/>
                </w:tcPr>
                <w:p w14:paraId="5916FA8E">
                  <w:pPr>
                    <w:pStyle w:val="22"/>
                    <w:widowControl w:val="0"/>
                    <w:snapToGrid w:val="0"/>
                    <w:spacing w:before="0" w:beforeAutospacing="0" w:after="0" w:afterAutospacing="0"/>
                    <w:jc w:val="center"/>
                    <w:rPr>
                      <w:color w:val="auto"/>
                      <w:sz w:val="21"/>
                      <w:szCs w:val="21"/>
                    </w:rPr>
                  </w:pPr>
                </w:p>
              </w:tc>
              <w:tc>
                <w:tcPr>
                  <w:tcW w:w="551" w:type="pct"/>
                  <w:vMerge w:val="continue"/>
                  <w:tcBorders>
                    <w:tl2br w:val="nil"/>
                    <w:tr2bl w:val="nil"/>
                  </w:tcBorders>
                  <w:vAlign w:val="center"/>
                </w:tcPr>
                <w:p w14:paraId="769AB145">
                  <w:pPr>
                    <w:pStyle w:val="22"/>
                    <w:widowControl w:val="0"/>
                    <w:snapToGrid w:val="0"/>
                    <w:spacing w:before="0" w:beforeAutospacing="0" w:after="0" w:afterAutospacing="0"/>
                    <w:jc w:val="center"/>
                    <w:rPr>
                      <w:color w:val="auto"/>
                      <w:sz w:val="21"/>
                      <w:szCs w:val="21"/>
                    </w:rPr>
                  </w:pPr>
                </w:p>
              </w:tc>
              <w:tc>
                <w:tcPr>
                  <w:tcW w:w="228" w:type="pct"/>
                  <w:vMerge w:val="continue"/>
                  <w:tcBorders>
                    <w:tl2br w:val="nil"/>
                    <w:tr2bl w:val="nil"/>
                  </w:tcBorders>
                  <w:vAlign w:val="center"/>
                </w:tcPr>
                <w:p w14:paraId="2B021DBC">
                  <w:pPr>
                    <w:pStyle w:val="22"/>
                    <w:widowControl w:val="0"/>
                    <w:snapToGrid w:val="0"/>
                    <w:spacing w:before="0" w:beforeAutospacing="0" w:after="0" w:afterAutospacing="0"/>
                    <w:jc w:val="center"/>
                    <w:rPr>
                      <w:color w:val="auto"/>
                      <w:sz w:val="21"/>
                      <w:szCs w:val="21"/>
                    </w:rPr>
                  </w:pPr>
                </w:p>
              </w:tc>
              <w:tc>
                <w:tcPr>
                  <w:tcW w:w="383" w:type="pct"/>
                  <w:vMerge w:val="continue"/>
                  <w:tcBorders>
                    <w:tl2br w:val="nil"/>
                    <w:tr2bl w:val="nil"/>
                  </w:tcBorders>
                  <w:vAlign w:val="center"/>
                </w:tcPr>
                <w:p w14:paraId="03C4C45F">
                  <w:pPr>
                    <w:pStyle w:val="22"/>
                    <w:widowControl w:val="0"/>
                    <w:snapToGrid w:val="0"/>
                    <w:spacing w:before="0" w:beforeAutospacing="0" w:after="0" w:afterAutospacing="0"/>
                    <w:jc w:val="center"/>
                    <w:rPr>
                      <w:color w:val="auto"/>
                      <w:sz w:val="21"/>
                      <w:szCs w:val="21"/>
                    </w:rPr>
                  </w:pPr>
                </w:p>
              </w:tc>
              <w:tc>
                <w:tcPr>
                  <w:tcW w:w="188" w:type="pct"/>
                  <w:vMerge w:val="continue"/>
                  <w:tcBorders>
                    <w:tl2br w:val="nil"/>
                    <w:tr2bl w:val="nil"/>
                  </w:tcBorders>
                  <w:vAlign w:val="center"/>
                </w:tcPr>
                <w:p w14:paraId="0033C68C">
                  <w:pPr>
                    <w:pStyle w:val="22"/>
                    <w:widowControl w:val="0"/>
                    <w:snapToGrid w:val="0"/>
                    <w:spacing w:before="0" w:beforeAutospacing="0" w:after="0" w:afterAutospacing="0"/>
                    <w:jc w:val="center"/>
                    <w:rPr>
                      <w:color w:val="auto"/>
                      <w:sz w:val="21"/>
                      <w:szCs w:val="21"/>
                    </w:rPr>
                  </w:pPr>
                </w:p>
              </w:tc>
              <w:tc>
                <w:tcPr>
                  <w:tcW w:w="555" w:type="pct"/>
                  <w:vMerge w:val="continue"/>
                  <w:tcBorders>
                    <w:tl2br w:val="nil"/>
                    <w:tr2bl w:val="nil"/>
                  </w:tcBorders>
                  <w:vAlign w:val="center"/>
                </w:tcPr>
                <w:p w14:paraId="64C86844">
                  <w:pPr>
                    <w:pStyle w:val="22"/>
                    <w:widowControl w:val="0"/>
                    <w:snapToGrid w:val="0"/>
                    <w:spacing w:before="0" w:beforeAutospacing="0" w:after="0" w:afterAutospacing="0"/>
                    <w:jc w:val="center"/>
                    <w:rPr>
                      <w:color w:val="auto"/>
                      <w:sz w:val="21"/>
                      <w:szCs w:val="21"/>
                    </w:rPr>
                  </w:pPr>
                </w:p>
              </w:tc>
              <w:tc>
                <w:tcPr>
                  <w:tcW w:w="321" w:type="pct"/>
                  <w:vMerge w:val="continue"/>
                  <w:tcBorders>
                    <w:tl2br w:val="nil"/>
                    <w:tr2bl w:val="nil"/>
                  </w:tcBorders>
                  <w:vAlign w:val="center"/>
                </w:tcPr>
                <w:p w14:paraId="7631AE8C">
                  <w:pPr>
                    <w:pStyle w:val="22"/>
                    <w:widowControl w:val="0"/>
                    <w:snapToGrid w:val="0"/>
                    <w:spacing w:before="0" w:beforeAutospacing="0" w:after="0" w:afterAutospacing="0"/>
                    <w:jc w:val="center"/>
                    <w:rPr>
                      <w:color w:val="auto"/>
                      <w:sz w:val="21"/>
                      <w:szCs w:val="21"/>
                    </w:rPr>
                  </w:pPr>
                </w:p>
              </w:tc>
              <w:tc>
                <w:tcPr>
                  <w:tcW w:w="340" w:type="pct"/>
                  <w:vMerge w:val="continue"/>
                  <w:tcBorders>
                    <w:tl2br w:val="nil"/>
                    <w:tr2bl w:val="nil"/>
                  </w:tcBorders>
                  <w:vAlign w:val="center"/>
                </w:tcPr>
                <w:p w14:paraId="2AB33A35">
                  <w:pPr>
                    <w:pStyle w:val="22"/>
                    <w:widowControl w:val="0"/>
                    <w:snapToGrid w:val="0"/>
                    <w:spacing w:before="0" w:beforeAutospacing="0" w:after="0" w:afterAutospacing="0"/>
                    <w:jc w:val="center"/>
                    <w:rPr>
                      <w:color w:val="auto"/>
                      <w:sz w:val="21"/>
                      <w:szCs w:val="21"/>
                    </w:rPr>
                  </w:pPr>
                </w:p>
              </w:tc>
              <w:tc>
                <w:tcPr>
                  <w:tcW w:w="592" w:type="pct"/>
                  <w:vMerge w:val="continue"/>
                  <w:tcBorders>
                    <w:tl2br w:val="nil"/>
                    <w:tr2bl w:val="nil"/>
                  </w:tcBorders>
                  <w:vAlign w:val="center"/>
                </w:tcPr>
                <w:p w14:paraId="48F51C95">
                  <w:pPr>
                    <w:pStyle w:val="22"/>
                    <w:widowControl w:val="0"/>
                    <w:snapToGrid w:val="0"/>
                    <w:spacing w:before="0" w:beforeAutospacing="0" w:after="0" w:afterAutospacing="0"/>
                    <w:jc w:val="center"/>
                    <w:rPr>
                      <w:color w:val="auto"/>
                      <w:sz w:val="21"/>
                      <w:szCs w:val="21"/>
                    </w:rPr>
                  </w:pPr>
                </w:p>
              </w:tc>
              <w:tc>
                <w:tcPr>
                  <w:tcW w:w="321" w:type="pct"/>
                  <w:vMerge w:val="continue"/>
                  <w:tcBorders>
                    <w:tl2br w:val="nil"/>
                    <w:tr2bl w:val="nil"/>
                  </w:tcBorders>
                  <w:vAlign w:val="center"/>
                </w:tcPr>
                <w:p w14:paraId="2436787A">
                  <w:pPr>
                    <w:pStyle w:val="22"/>
                    <w:widowControl w:val="0"/>
                    <w:snapToGrid w:val="0"/>
                    <w:spacing w:before="0" w:beforeAutospacing="0" w:after="0" w:afterAutospacing="0"/>
                    <w:jc w:val="center"/>
                    <w:rPr>
                      <w:color w:val="auto"/>
                      <w:sz w:val="21"/>
                      <w:szCs w:val="21"/>
                    </w:rPr>
                  </w:pPr>
                </w:p>
              </w:tc>
              <w:tc>
                <w:tcPr>
                  <w:tcW w:w="310" w:type="pct"/>
                  <w:vMerge w:val="continue"/>
                  <w:tcBorders>
                    <w:tl2br w:val="nil"/>
                    <w:tr2bl w:val="nil"/>
                  </w:tcBorders>
                  <w:vAlign w:val="center"/>
                </w:tcPr>
                <w:p w14:paraId="33A6AFB8">
                  <w:pPr>
                    <w:pStyle w:val="22"/>
                    <w:widowControl w:val="0"/>
                    <w:snapToGrid w:val="0"/>
                    <w:spacing w:before="0" w:beforeAutospacing="0" w:after="0" w:afterAutospacing="0"/>
                    <w:jc w:val="center"/>
                    <w:rPr>
                      <w:color w:val="auto"/>
                      <w:sz w:val="21"/>
                      <w:szCs w:val="21"/>
                    </w:rPr>
                  </w:pPr>
                </w:p>
              </w:tc>
              <w:tc>
                <w:tcPr>
                  <w:tcW w:w="350" w:type="pct"/>
                  <w:vMerge w:val="continue"/>
                  <w:tcBorders>
                    <w:tl2br w:val="nil"/>
                    <w:tr2bl w:val="nil"/>
                  </w:tcBorders>
                  <w:vAlign w:val="center"/>
                </w:tcPr>
                <w:p w14:paraId="1E1AEC8F">
                  <w:pPr>
                    <w:pStyle w:val="22"/>
                    <w:widowControl w:val="0"/>
                    <w:snapToGrid w:val="0"/>
                    <w:spacing w:before="0" w:beforeAutospacing="0" w:after="0" w:afterAutospacing="0"/>
                    <w:jc w:val="center"/>
                    <w:rPr>
                      <w:color w:val="auto"/>
                      <w:sz w:val="21"/>
                      <w:szCs w:val="21"/>
                    </w:rPr>
                  </w:pPr>
                </w:p>
              </w:tc>
              <w:tc>
                <w:tcPr>
                  <w:tcW w:w="179" w:type="pct"/>
                  <w:tcBorders>
                    <w:tl2br w:val="nil"/>
                    <w:tr2bl w:val="nil"/>
                  </w:tcBorders>
                  <w:vAlign w:val="center"/>
                </w:tcPr>
                <w:p w14:paraId="6ECAC8FE">
                  <w:pPr>
                    <w:pStyle w:val="22"/>
                    <w:widowControl w:val="0"/>
                    <w:snapToGrid w:val="0"/>
                    <w:spacing w:before="0" w:beforeAutospacing="0" w:after="0" w:afterAutospacing="0"/>
                    <w:jc w:val="center"/>
                    <w:rPr>
                      <w:rFonts w:ascii="Times New Roman" w:hAnsi="Times New Roman"/>
                      <w:b/>
                      <w:bCs/>
                      <w:color w:val="auto"/>
                      <w:sz w:val="21"/>
                      <w:szCs w:val="21"/>
                    </w:rPr>
                  </w:pPr>
                  <w:r>
                    <w:rPr>
                      <w:rFonts w:ascii="Times New Roman" w:hAnsi="Times New Roman"/>
                      <w:b/>
                      <w:bCs/>
                      <w:color w:val="auto"/>
                      <w:sz w:val="21"/>
                      <w:szCs w:val="21"/>
                    </w:rPr>
                    <w:fldChar w:fldCharType="begin"/>
                  </w:r>
                  <w:r>
                    <w:rPr>
                      <w:rFonts w:ascii="Times New Roman" w:hAnsi="Times New Roman"/>
                      <w:b/>
                      <w:bCs/>
                      <w:color w:val="auto"/>
                      <w:sz w:val="21"/>
                      <w:szCs w:val="21"/>
                    </w:rPr>
                    <w:instrText xml:space="preserve"> = 1 \* ROMAN \* MERGEFORMAT </w:instrText>
                  </w:r>
                  <w:r>
                    <w:rPr>
                      <w:rFonts w:ascii="Times New Roman" w:hAnsi="Times New Roman"/>
                      <w:b/>
                      <w:bCs/>
                      <w:color w:val="auto"/>
                      <w:sz w:val="21"/>
                      <w:szCs w:val="21"/>
                    </w:rPr>
                    <w:fldChar w:fldCharType="separate"/>
                  </w:r>
                  <w:r>
                    <w:rPr>
                      <w:rFonts w:ascii="Times New Roman" w:hAnsi="Times New Roman"/>
                      <w:b/>
                      <w:bCs/>
                      <w:color w:val="auto"/>
                      <w:sz w:val="21"/>
                      <w:szCs w:val="21"/>
                    </w:rPr>
                    <w:t>I</w:t>
                  </w:r>
                  <w:r>
                    <w:rPr>
                      <w:rFonts w:ascii="Times New Roman" w:hAnsi="Times New Roman"/>
                      <w:b/>
                      <w:bCs/>
                      <w:color w:val="auto"/>
                      <w:sz w:val="21"/>
                      <w:szCs w:val="21"/>
                    </w:rPr>
                    <w:fldChar w:fldCharType="end"/>
                  </w:r>
                </w:p>
              </w:tc>
              <w:tc>
                <w:tcPr>
                  <w:tcW w:w="220" w:type="pct"/>
                  <w:tcBorders>
                    <w:tl2br w:val="nil"/>
                    <w:tr2bl w:val="nil"/>
                  </w:tcBorders>
                  <w:vAlign w:val="center"/>
                </w:tcPr>
                <w:p w14:paraId="099E9560">
                  <w:pPr>
                    <w:pStyle w:val="22"/>
                    <w:widowControl w:val="0"/>
                    <w:snapToGrid w:val="0"/>
                    <w:spacing w:before="0" w:beforeAutospacing="0" w:after="0" w:afterAutospacing="0"/>
                    <w:jc w:val="center"/>
                    <w:rPr>
                      <w:rFonts w:ascii="Times New Roman" w:hAnsi="Times New Roman"/>
                      <w:b/>
                      <w:bCs/>
                      <w:color w:val="auto"/>
                      <w:sz w:val="21"/>
                      <w:szCs w:val="21"/>
                    </w:rPr>
                  </w:pPr>
                  <w:r>
                    <w:rPr>
                      <w:rFonts w:ascii="Times New Roman" w:hAnsi="Times New Roman"/>
                      <w:b/>
                      <w:bCs/>
                      <w:color w:val="auto"/>
                      <w:sz w:val="21"/>
                      <w:szCs w:val="21"/>
                    </w:rPr>
                    <w:fldChar w:fldCharType="begin"/>
                  </w:r>
                  <w:r>
                    <w:rPr>
                      <w:rFonts w:ascii="Times New Roman" w:hAnsi="Times New Roman"/>
                      <w:b/>
                      <w:bCs/>
                      <w:color w:val="auto"/>
                      <w:sz w:val="21"/>
                      <w:szCs w:val="21"/>
                    </w:rPr>
                    <w:instrText xml:space="preserve"> = 2 \* ROMAN \* MERGEFORMAT </w:instrText>
                  </w:r>
                  <w:r>
                    <w:rPr>
                      <w:rFonts w:ascii="Times New Roman" w:hAnsi="Times New Roman"/>
                      <w:b/>
                      <w:bCs/>
                      <w:color w:val="auto"/>
                      <w:sz w:val="21"/>
                      <w:szCs w:val="21"/>
                    </w:rPr>
                    <w:fldChar w:fldCharType="separate"/>
                  </w:r>
                  <w:r>
                    <w:rPr>
                      <w:rFonts w:ascii="Times New Roman" w:hAnsi="Times New Roman"/>
                      <w:b/>
                      <w:bCs/>
                      <w:color w:val="auto"/>
                      <w:sz w:val="21"/>
                      <w:szCs w:val="21"/>
                    </w:rPr>
                    <w:t>II</w:t>
                  </w:r>
                  <w:r>
                    <w:rPr>
                      <w:rFonts w:ascii="Times New Roman" w:hAnsi="Times New Roman"/>
                      <w:b/>
                      <w:bCs/>
                      <w:color w:val="auto"/>
                      <w:sz w:val="21"/>
                      <w:szCs w:val="21"/>
                    </w:rPr>
                    <w:fldChar w:fldCharType="end"/>
                  </w:r>
                </w:p>
              </w:tc>
              <w:tc>
                <w:tcPr>
                  <w:tcW w:w="269" w:type="pct"/>
                  <w:tcBorders>
                    <w:tl2br w:val="nil"/>
                    <w:tr2bl w:val="nil"/>
                  </w:tcBorders>
                  <w:vAlign w:val="center"/>
                </w:tcPr>
                <w:p w14:paraId="3AF50AFB">
                  <w:pPr>
                    <w:pStyle w:val="22"/>
                    <w:widowControl w:val="0"/>
                    <w:snapToGrid w:val="0"/>
                    <w:spacing w:before="0" w:beforeAutospacing="0" w:after="0" w:afterAutospacing="0"/>
                    <w:jc w:val="center"/>
                    <w:rPr>
                      <w:rFonts w:ascii="Times New Roman" w:hAnsi="Times New Roman"/>
                      <w:b/>
                      <w:bCs/>
                      <w:color w:val="auto"/>
                      <w:sz w:val="21"/>
                      <w:szCs w:val="21"/>
                    </w:rPr>
                  </w:pPr>
                  <w:r>
                    <w:rPr>
                      <w:rFonts w:ascii="Times New Roman" w:hAnsi="Times New Roman"/>
                      <w:b/>
                      <w:bCs/>
                      <w:color w:val="auto"/>
                      <w:sz w:val="21"/>
                      <w:szCs w:val="21"/>
                    </w:rPr>
                    <w:fldChar w:fldCharType="begin"/>
                  </w:r>
                  <w:r>
                    <w:rPr>
                      <w:rFonts w:ascii="Times New Roman" w:hAnsi="Times New Roman"/>
                      <w:b/>
                      <w:bCs/>
                      <w:color w:val="auto"/>
                      <w:sz w:val="21"/>
                      <w:szCs w:val="21"/>
                    </w:rPr>
                    <w:instrText xml:space="preserve"> = 3 \* ROMAN \* MERGEFORMAT </w:instrText>
                  </w:r>
                  <w:r>
                    <w:rPr>
                      <w:rFonts w:ascii="Times New Roman" w:hAnsi="Times New Roman"/>
                      <w:b/>
                      <w:bCs/>
                      <w:color w:val="auto"/>
                      <w:sz w:val="21"/>
                      <w:szCs w:val="21"/>
                    </w:rPr>
                    <w:fldChar w:fldCharType="separate"/>
                  </w:r>
                  <w:r>
                    <w:rPr>
                      <w:rFonts w:ascii="Times New Roman" w:hAnsi="Times New Roman"/>
                      <w:b/>
                      <w:bCs/>
                      <w:color w:val="auto"/>
                      <w:sz w:val="21"/>
                      <w:szCs w:val="21"/>
                    </w:rPr>
                    <w:t>III</w:t>
                  </w:r>
                  <w:r>
                    <w:rPr>
                      <w:rFonts w:ascii="Times New Roman" w:hAnsi="Times New Roman"/>
                      <w:b/>
                      <w:bCs/>
                      <w:color w:val="auto"/>
                      <w:sz w:val="21"/>
                      <w:szCs w:val="21"/>
                    </w:rPr>
                    <w:fldChar w:fldCharType="end"/>
                  </w:r>
                </w:p>
              </w:tc>
            </w:tr>
            <w:tr w14:paraId="6BAAE27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36" w:hRule="atLeast"/>
                <w:jc w:val="right"/>
              </w:trPr>
              <w:tc>
                <w:tcPr>
                  <w:tcW w:w="187" w:type="pct"/>
                  <w:tcBorders>
                    <w:tl2br w:val="nil"/>
                    <w:tr2bl w:val="nil"/>
                  </w:tcBorders>
                  <w:vAlign w:val="center"/>
                </w:tcPr>
                <w:p w14:paraId="1B7B483D">
                  <w:pPr>
                    <w:pStyle w:val="22"/>
                    <w:widowControl w:val="0"/>
                    <w:numPr>
                      <w:ilvl w:val="0"/>
                      <w:numId w:val="14"/>
                    </w:numPr>
                    <w:snapToGrid w:val="0"/>
                    <w:spacing w:before="0" w:beforeAutospacing="0" w:after="0" w:afterAutospacing="0"/>
                    <w:ind w:left="0" w:leftChars="0" w:firstLine="0" w:firstLineChars="0"/>
                    <w:jc w:val="center"/>
                    <w:rPr>
                      <w:rFonts w:hint="eastAsia" w:ascii="Times New Roman" w:hAnsi="Times New Roman"/>
                      <w:bCs/>
                      <w:color w:val="auto"/>
                      <w:sz w:val="21"/>
                      <w:szCs w:val="21"/>
                    </w:rPr>
                  </w:pPr>
                  <w:bookmarkStart w:id="36" w:name="OLE_LINK132" w:colFirst="9" w:colLast="9"/>
                </w:p>
              </w:tc>
              <w:tc>
                <w:tcPr>
                  <w:tcW w:w="551" w:type="pct"/>
                  <w:tcBorders>
                    <w:tl2br w:val="nil"/>
                    <w:tr2bl w:val="nil"/>
                  </w:tcBorders>
                  <w:shd w:val="clear" w:color="auto" w:fill="auto"/>
                  <w:vAlign w:val="center"/>
                </w:tcPr>
                <w:p w14:paraId="305166E0">
                  <w:pPr>
                    <w:widowControl/>
                    <w:jc w:val="center"/>
                    <w:rPr>
                      <w:rFonts w:hint="default" w:ascii="Times New Roman" w:hAnsi="Times New Roman" w:eastAsia="宋体" w:cs="Times New Roman"/>
                      <w:bCs/>
                      <w:snapToGrid w:val="0"/>
                      <w:color w:val="auto"/>
                      <w:spacing w:val="6"/>
                      <w:kern w:val="2"/>
                      <w:sz w:val="21"/>
                      <w:szCs w:val="21"/>
                      <w:lang w:val="en-US" w:eastAsia="zh-CN" w:bidi="ar"/>
                    </w:rPr>
                  </w:pPr>
                  <w:r>
                    <w:rPr>
                      <w:rFonts w:hint="default" w:ascii="Times New Roman" w:hAnsi="Times New Roman" w:eastAsia="宋体" w:cs="Times New Roman"/>
                      <w:bCs/>
                      <w:snapToGrid w:val="0"/>
                      <w:color w:val="auto"/>
                      <w:spacing w:val="6"/>
                      <w:sz w:val="21"/>
                      <w:szCs w:val="21"/>
                    </w:rPr>
                    <w:t>废深孔钻油</w:t>
                  </w:r>
                </w:p>
              </w:tc>
              <w:tc>
                <w:tcPr>
                  <w:tcW w:w="228" w:type="pct"/>
                  <w:vMerge w:val="restart"/>
                  <w:tcBorders>
                    <w:tl2br w:val="nil"/>
                    <w:tr2bl w:val="nil"/>
                  </w:tcBorders>
                  <w:shd w:val="clear" w:color="auto" w:fill="auto"/>
                  <w:vAlign w:val="center"/>
                </w:tcPr>
                <w:p w14:paraId="4AFA49F9">
                  <w:pPr>
                    <w:pStyle w:val="22"/>
                    <w:widowControl w:val="0"/>
                    <w:snapToGrid w:val="0"/>
                    <w:spacing w:before="0" w:beforeAutospacing="0" w:after="0" w:afterAutospacing="0"/>
                    <w:jc w:val="center"/>
                    <w:rPr>
                      <w:rFonts w:hint="default" w:ascii="Times New Roman" w:hAnsi="Times New Roman" w:eastAsia="宋体" w:cs="Times New Roman"/>
                      <w:bCs/>
                      <w:color w:val="auto"/>
                      <w:kern w:val="0"/>
                      <w:sz w:val="21"/>
                      <w:szCs w:val="21"/>
                      <w:lang w:val="en-US" w:eastAsia="zh-CN" w:bidi="ar-SA"/>
                    </w:rPr>
                  </w:pPr>
                  <w:r>
                    <w:rPr>
                      <w:rFonts w:hint="eastAsia" w:ascii="Times New Roman" w:hAnsi="Times New Roman" w:eastAsia="宋体" w:cs="Times New Roman"/>
                      <w:bCs/>
                      <w:color w:val="auto"/>
                      <w:kern w:val="0"/>
                      <w:sz w:val="21"/>
                      <w:szCs w:val="21"/>
                      <w:lang w:val="en-US" w:eastAsia="zh-CN" w:bidi="ar-SA"/>
                    </w:rPr>
                    <w:t>危险废物</w:t>
                  </w:r>
                </w:p>
              </w:tc>
              <w:tc>
                <w:tcPr>
                  <w:tcW w:w="383" w:type="pct"/>
                  <w:tcBorders>
                    <w:tl2br w:val="nil"/>
                    <w:tr2bl w:val="nil"/>
                  </w:tcBorders>
                  <w:shd w:val="clear" w:color="auto" w:fill="auto"/>
                  <w:vAlign w:val="center"/>
                </w:tcPr>
                <w:p w14:paraId="5020EB50">
                  <w:pPr>
                    <w:pStyle w:val="2"/>
                    <w:spacing w:before="0" w:after="0" w:line="240" w:lineRule="auto"/>
                    <w:jc w:val="center"/>
                    <w:rPr>
                      <w:rFonts w:hint="default" w:ascii="Times New Roman" w:hAnsi="Times New Roman" w:eastAsia="宋体" w:cs="Times New Roman"/>
                      <w:b w:val="0"/>
                      <w:bCs w:val="0"/>
                      <w:color w:val="auto"/>
                      <w:kern w:val="2"/>
                      <w:sz w:val="21"/>
                      <w:szCs w:val="21"/>
                      <w:lang w:val="en-US" w:eastAsia="zh-CN" w:bidi="ar"/>
                    </w:rPr>
                  </w:pPr>
                  <w:r>
                    <w:rPr>
                      <w:rFonts w:hint="default" w:ascii="Times New Roman" w:hAnsi="Times New Roman" w:eastAsia="宋体" w:cs="Times New Roman"/>
                      <w:b w:val="0"/>
                      <w:bCs w:val="0"/>
                      <w:color w:val="auto"/>
                      <w:kern w:val="2"/>
                      <w:sz w:val="21"/>
                      <w:szCs w:val="21"/>
                      <w:lang w:val="en-US" w:eastAsia="zh-CN" w:bidi="ar"/>
                    </w:rPr>
                    <w:t>钻孔、倒角</w:t>
                  </w:r>
                </w:p>
              </w:tc>
              <w:tc>
                <w:tcPr>
                  <w:tcW w:w="188" w:type="pct"/>
                  <w:tcBorders>
                    <w:tl2br w:val="nil"/>
                    <w:tr2bl w:val="nil"/>
                  </w:tcBorders>
                  <w:shd w:val="clear" w:color="auto" w:fill="auto"/>
                  <w:vAlign w:val="center"/>
                </w:tcPr>
                <w:p w14:paraId="72E62526">
                  <w:pPr>
                    <w:pStyle w:val="2"/>
                    <w:spacing w:before="0" w:after="0" w:line="240" w:lineRule="auto"/>
                    <w:jc w:val="center"/>
                    <w:rPr>
                      <w:rFonts w:hint="default" w:ascii="Times New Roman" w:hAnsi="Times New Roman" w:eastAsia="宋体" w:cs="Times New Roman"/>
                      <w:b w:val="0"/>
                      <w:bCs w:val="0"/>
                      <w:color w:val="auto"/>
                      <w:kern w:val="2"/>
                      <w:sz w:val="21"/>
                      <w:szCs w:val="21"/>
                      <w:lang w:val="en-US" w:eastAsia="zh-CN" w:bidi="ar"/>
                    </w:rPr>
                  </w:pPr>
                  <w:r>
                    <w:rPr>
                      <w:rFonts w:hint="eastAsia" w:ascii="Times New Roman" w:hAnsi="Times New Roman" w:cs="Times New Roman"/>
                      <w:b w:val="0"/>
                      <w:bCs w:val="0"/>
                      <w:color w:val="auto"/>
                      <w:kern w:val="2"/>
                      <w:sz w:val="21"/>
                      <w:szCs w:val="21"/>
                      <w:lang w:val="en-US" w:eastAsia="zh-CN" w:bidi="ar"/>
                    </w:rPr>
                    <w:t>液态</w:t>
                  </w:r>
                </w:p>
              </w:tc>
              <w:tc>
                <w:tcPr>
                  <w:tcW w:w="555" w:type="pct"/>
                  <w:tcBorders>
                    <w:tl2br w:val="nil"/>
                    <w:tr2bl w:val="nil"/>
                  </w:tcBorders>
                  <w:shd w:val="clear" w:color="auto" w:fill="auto"/>
                  <w:vAlign w:val="center"/>
                </w:tcPr>
                <w:p w14:paraId="7F5787CA">
                  <w:pPr>
                    <w:pStyle w:val="2"/>
                    <w:spacing w:before="0" w:after="0" w:line="240" w:lineRule="auto"/>
                    <w:jc w:val="center"/>
                    <w:rPr>
                      <w:rFonts w:hint="default" w:ascii="Times New Roman" w:hAnsi="Times New Roman" w:eastAsia="宋体" w:cs="Times New Roman"/>
                      <w:b w:val="0"/>
                      <w:bCs w:val="0"/>
                      <w:color w:val="auto"/>
                      <w:spacing w:val="6"/>
                      <w:kern w:val="2"/>
                      <w:sz w:val="21"/>
                      <w:szCs w:val="21"/>
                      <w:lang w:val="en-US" w:eastAsia="zh-CN" w:bidi="ar"/>
                    </w:rPr>
                  </w:pPr>
                  <w:r>
                    <w:rPr>
                      <w:rFonts w:hint="eastAsia" w:ascii="Times New Roman" w:hAnsi="Times New Roman" w:cs="Times New Roman"/>
                      <w:b w:val="0"/>
                      <w:bCs w:val="0"/>
                      <w:color w:val="auto"/>
                      <w:spacing w:val="6"/>
                      <w:kern w:val="2"/>
                      <w:sz w:val="21"/>
                      <w:szCs w:val="21"/>
                      <w:lang w:val="en-US" w:eastAsia="zh-CN" w:bidi="ar"/>
                    </w:rPr>
                    <w:t>矿物油等</w:t>
                  </w:r>
                </w:p>
              </w:tc>
              <w:tc>
                <w:tcPr>
                  <w:tcW w:w="321" w:type="pct"/>
                  <w:tcBorders>
                    <w:tl2br w:val="nil"/>
                    <w:tr2bl w:val="nil"/>
                  </w:tcBorders>
                  <w:shd w:val="clear" w:color="auto" w:fill="auto"/>
                  <w:vAlign w:val="center"/>
                </w:tcPr>
                <w:p w14:paraId="18B7BFD0">
                  <w:pPr>
                    <w:pStyle w:val="2"/>
                    <w:spacing w:before="0" w:after="0" w:line="240" w:lineRule="auto"/>
                    <w:jc w:val="center"/>
                    <w:rPr>
                      <w:rFonts w:hint="default" w:ascii="Times New Roman" w:hAnsi="Times New Roman" w:eastAsia="宋体" w:cs="Times New Roman"/>
                      <w:b w:val="0"/>
                      <w:bCs w:val="0"/>
                      <w:color w:val="auto"/>
                      <w:kern w:val="2"/>
                      <w:sz w:val="21"/>
                      <w:szCs w:val="21"/>
                      <w:lang w:val="en-US" w:eastAsia="zh-CN" w:bidi="ar"/>
                    </w:rPr>
                  </w:pPr>
                  <w:r>
                    <w:rPr>
                      <w:rFonts w:hint="default" w:ascii="Times New Roman" w:hAnsi="Times New Roman" w:eastAsia="宋体" w:cs="Times New Roman"/>
                      <w:b w:val="0"/>
                      <w:bCs w:val="0"/>
                      <w:color w:val="auto"/>
                      <w:kern w:val="2"/>
                      <w:sz w:val="21"/>
                      <w:szCs w:val="21"/>
                      <w:lang w:val="en-US" w:eastAsia="zh-CN" w:bidi="ar"/>
                    </w:rPr>
                    <w:t>T，I</w:t>
                  </w:r>
                </w:p>
              </w:tc>
              <w:tc>
                <w:tcPr>
                  <w:tcW w:w="340" w:type="pct"/>
                  <w:tcBorders>
                    <w:tl2br w:val="nil"/>
                    <w:tr2bl w:val="nil"/>
                  </w:tcBorders>
                  <w:shd w:val="clear" w:color="auto" w:fill="auto"/>
                  <w:vAlign w:val="center"/>
                </w:tcPr>
                <w:p w14:paraId="045B741E">
                  <w:pPr>
                    <w:pStyle w:val="2"/>
                    <w:spacing w:before="0" w:after="0" w:line="240" w:lineRule="auto"/>
                    <w:jc w:val="center"/>
                    <w:rPr>
                      <w:rFonts w:hint="default" w:ascii="Times New Roman" w:hAnsi="Times New Roman" w:eastAsia="宋体" w:cs="Times New Roman"/>
                      <w:b w:val="0"/>
                      <w:bCs w:val="0"/>
                      <w:color w:val="auto"/>
                      <w:kern w:val="2"/>
                      <w:sz w:val="21"/>
                      <w:szCs w:val="21"/>
                      <w:lang w:val="en-US" w:eastAsia="zh-CN" w:bidi="ar"/>
                    </w:rPr>
                  </w:pPr>
                  <w:r>
                    <w:rPr>
                      <w:rFonts w:hint="default" w:ascii="Times New Roman" w:hAnsi="Times New Roman" w:eastAsia="宋体" w:cs="Times New Roman"/>
                      <w:b w:val="0"/>
                      <w:bCs w:val="0"/>
                      <w:color w:val="auto"/>
                      <w:kern w:val="2"/>
                      <w:sz w:val="21"/>
                      <w:szCs w:val="21"/>
                      <w:lang w:val="en-US" w:eastAsia="zh-CN" w:bidi="ar"/>
                    </w:rPr>
                    <w:t>HW08</w:t>
                  </w:r>
                </w:p>
              </w:tc>
              <w:tc>
                <w:tcPr>
                  <w:tcW w:w="592" w:type="pct"/>
                  <w:tcBorders>
                    <w:tl2br w:val="nil"/>
                    <w:tr2bl w:val="nil"/>
                  </w:tcBorders>
                  <w:shd w:val="clear" w:color="auto" w:fill="auto"/>
                  <w:vAlign w:val="center"/>
                </w:tcPr>
                <w:p w14:paraId="43BD1CF8">
                  <w:pPr>
                    <w:pStyle w:val="2"/>
                    <w:spacing w:before="0" w:after="0" w:line="240" w:lineRule="auto"/>
                    <w:jc w:val="center"/>
                    <w:rPr>
                      <w:rFonts w:hint="default" w:ascii="Times New Roman" w:hAnsi="Times New Roman" w:eastAsia="宋体" w:cs="Times New Roman"/>
                      <w:b w:val="0"/>
                      <w:bCs w:val="0"/>
                      <w:color w:val="auto"/>
                      <w:kern w:val="2"/>
                      <w:sz w:val="21"/>
                      <w:szCs w:val="21"/>
                      <w:lang w:val="en-US" w:eastAsia="zh-CN" w:bidi="ar"/>
                    </w:rPr>
                  </w:pPr>
                  <w:r>
                    <w:rPr>
                      <w:rFonts w:hint="default" w:ascii="Times New Roman" w:hAnsi="Times New Roman" w:eastAsia="宋体" w:cs="Times New Roman"/>
                      <w:b w:val="0"/>
                      <w:bCs w:val="0"/>
                      <w:color w:val="auto"/>
                      <w:kern w:val="2"/>
                      <w:sz w:val="21"/>
                      <w:szCs w:val="21"/>
                      <w:lang w:val="en-US" w:eastAsia="zh-CN" w:bidi="ar"/>
                    </w:rPr>
                    <w:t>900-249-08</w:t>
                  </w:r>
                </w:p>
              </w:tc>
              <w:tc>
                <w:tcPr>
                  <w:tcW w:w="321" w:type="pct"/>
                  <w:tcBorders>
                    <w:tl2br w:val="nil"/>
                    <w:tr2bl w:val="nil"/>
                  </w:tcBorders>
                  <w:shd w:val="clear" w:color="auto" w:fill="auto"/>
                  <w:vAlign w:val="center"/>
                </w:tcPr>
                <w:p w14:paraId="513FAF2D">
                  <w:pPr>
                    <w:pStyle w:val="2"/>
                    <w:spacing w:before="0" w:after="0" w:line="240" w:lineRule="auto"/>
                    <w:jc w:val="center"/>
                    <w:rPr>
                      <w:rFonts w:hint="default" w:ascii="Times New Roman" w:hAnsi="Times New Roman" w:eastAsia="宋体" w:cs="Times New Roman"/>
                      <w:b w:val="0"/>
                      <w:bCs w:val="0"/>
                      <w:color w:val="auto"/>
                      <w:kern w:val="2"/>
                      <w:sz w:val="21"/>
                      <w:szCs w:val="21"/>
                      <w:lang w:val="en-US" w:eastAsia="zh-CN" w:bidi="ar"/>
                    </w:rPr>
                  </w:pPr>
                  <w:r>
                    <w:rPr>
                      <w:rFonts w:hint="eastAsia" w:ascii="Times New Roman" w:hAnsi="Times New Roman" w:eastAsia="宋体" w:cs="Times New Roman"/>
                      <w:b w:val="0"/>
                      <w:bCs w:val="0"/>
                      <w:color w:val="auto"/>
                      <w:kern w:val="2"/>
                      <w:sz w:val="21"/>
                      <w:szCs w:val="21"/>
                      <w:lang w:val="en-US" w:eastAsia="zh-CN" w:bidi="ar"/>
                    </w:rPr>
                    <w:t>10.8</w:t>
                  </w:r>
                </w:p>
              </w:tc>
              <w:tc>
                <w:tcPr>
                  <w:tcW w:w="310" w:type="pct"/>
                  <w:tcBorders>
                    <w:tl2br w:val="nil"/>
                    <w:tr2bl w:val="nil"/>
                  </w:tcBorders>
                  <w:shd w:val="clear" w:color="auto" w:fill="auto"/>
                  <w:vAlign w:val="center"/>
                </w:tcPr>
                <w:p w14:paraId="4D865D68">
                  <w:pPr>
                    <w:widowControl w:val="0"/>
                    <w:snapToGrid w:val="0"/>
                    <w:spacing w:before="0" w:beforeAutospacing="0" w:after="0" w:afterAutospacing="0"/>
                    <w:jc w:val="center"/>
                    <w:rPr>
                      <w:rFonts w:hint="eastAsia" w:ascii="Times New Roman" w:hAnsi="Times New Roman" w:eastAsia="宋体" w:cs="Times New Roman"/>
                      <w:bCs/>
                      <w:snapToGrid w:val="0"/>
                      <w:color w:val="auto"/>
                      <w:spacing w:val="6"/>
                      <w:sz w:val="21"/>
                      <w:szCs w:val="21"/>
                      <w:lang w:val="en-US" w:eastAsia="zh-CN"/>
                    </w:rPr>
                  </w:pPr>
                  <w:r>
                    <w:rPr>
                      <w:rFonts w:hint="eastAsia" w:ascii="Times New Roman" w:hAnsi="Times New Roman"/>
                      <w:bCs/>
                      <w:color w:val="auto"/>
                      <w:sz w:val="21"/>
                      <w:szCs w:val="21"/>
                    </w:rPr>
                    <w:t>II</w:t>
                  </w:r>
                </w:p>
              </w:tc>
              <w:tc>
                <w:tcPr>
                  <w:tcW w:w="350" w:type="pct"/>
                  <w:vMerge w:val="restart"/>
                  <w:tcBorders>
                    <w:tl2br w:val="nil"/>
                    <w:tr2bl w:val="nil"/>
                  </w:tcBorders>
                  <w:vAlign w:val="center"/>
                </w:tcPr>
                <w:p w14:paraId="2738992C">
                  <w:pPr>
                    <w:pStyle w:val="22"/>
                    <w:widowControl w:val="0"/>
                    <w:snapToGrid w:val="0"/>
                    <w:spacing w:before="0" w:beforeAutospacing="0" w:after="0" w:afterAutospacing="0"/>
                    <w:jc w:val="center"/>
                    <w:rPr>
                      <w:rFonts w:hint="eastAsia" w:ascii="Times New Roman" w:hAnsi="Times New Roman"/>
                      <w:bCs/>
                      <w:color w:val="auto"/>
                      <w:sz w:val="21"/>
                      <w:szCs w:val="21"/>
                    </w:rPr>
                  </w:pPr>
                  <w:r>
                    <w:rPr>
                      <w:rFonts w:hint="eastAsia" w:ascii="Times New Roman" w:hAnsi="Times New Roman"/>
                      <w:bCs/>
                      <w:color w:val="auto"/>
                      <w:sz w:val="21"/>
                      <w:szCs w:val="21"/>
                    </w:rPr>
                    <w:t>委托资质单位处置</w:t>
                  </w:r>
                </w:p>
              </w:tc>
              <w:tc>
                <w:tcPr>
                  <w:tcW w:w="179" w:type="pct"/>
                  <w:vMerge w:val="restart"/>
                  <w:tcBorders>
                    <w:tl2br w:val="nil"/>
                    <w:tr2bl w:val="nil"/>
                  </w:tcBorders>
                  <w:vAlign w:val="center"/>
                </w:tcPr>
                <w:p w14:paraId="0C4EBE58">
                  <w:pPr>
                    <w:pStyle w:val="22"/>
                    <w:widowControl w:val="0"/>
                    <w:snapToGrid w:val="0"/>
                    <w:spacing w:before="0" w:beforeAutospacing="0" w:after="0" w:afterAutospacing="0"/>
                    <w:jc w:val="center"/>
                    <w:rPr>
                      <w:rFonts w:hint="default" w:ascii="Times New Roman" w:hAnsi="Times New Roman"/>
                      <w:bCs/>
                      <w:color w:val="auto"/>
                      <w:sz w:val="21"/>
                      <w:szCs w:val="21"/>
                      <w:lang w:val="en-US" w:eastAsia="zh-CN"/>
                    </w:rPr>
                  </w:pPr>
                  <w:r>
                    <w:rPr>
                      <w:rFonts w:hint="eastAsia" w:ascii="Times New Roman" w:hAnsi="Times New Roman"/>
                      <w:bCs/>
                      <w:color w:val="auto"/>
                      <w:sz w:val="21"/>
                      <w:szCs w:val="21"/>
                      <w:lang w:val="en-US" w:eastAsia="zh-CN"/>
                    </w:rPr>
                    <w:t>0</w:t>
                  </w:r>
                </w:p>
              </w:tc>
              <w:tc>
                <w:tcPr>
                  <w:tcW w:w="220" w:type="pct"/>
                  <w:vMerge w:val="restart"/>
                  <w:tcBorders>
                    <w:tl2br w:val="nil"/>
                    <w:tr2bl w:val="nil"/>
                  </w:tcBorders>
                  <w:vAlign w:val="center"/>
                </w:tcPr>
                <w:p w14:paraId="40BA46D5">
                  <w:pPr>
                    <w:keepNext w:val="0"/>
                    <w:keepLines w:val="0"/>
                    <w:widowControl/>
                    <w:suppressLineNumbers w:val="0"/>
                    <w:jc w:val="center"/>
                    <w:textAlignment w:val="center"/>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33.765</w:t>
                  </w:r>
                </w:p>
              </w:tc>
              <w:tc>
                <w:tcPr>
                  <w:tcW w:w="269" w:type="pct"/>
                  <w:vMerge w:val="restart"/>
                  <w:tcBorders>
                    <w:tl2br w:val="nil"/>
                    <w:tr2bl w:val="nil"/>
                  </w:tcBorders>
                  <w:vAlign w:val="center"/>
                </w:tcPr>
                <w:p w14:paraId="2BF973D0">
                  <w:pPr>
                    <w:keepNext w:val="0"/>
                    <w:keepLines w:val="0"/>
                    <w:widowControl/>
                    <w:suppressLineNumbers w:val="0"/>
                    <w:jc w:val="center"/>
                    <w:textAlignment w:val="center"/>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683.831</w:t>
                  </w:r>
                </w:p>
              </w:tc>
            </w:tr>
            <w:tr w14:paraId="1763E00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36" w:hRule="atLeast"/>
                <w:jc w:val="right"/>
              </w:trPr>
              <w:tc>
                <w:tcPr>
                  <w:tcW w:w="187" w:type="pct"/>
                  <w:tcBorders>
                    <w:tl2br w:val="nil"/>
                    <w:tr2bl w:val="nil"/>
                  </w:tcBorders>
                  <w:vAlign w:val="center"/>
                </w:tcPr>
                <w:p w14:paraId="2E461AE5">
                  <w:pPr>
                    <w:pStyle w:val="22"/>
                    <w:widowControl w:val="0"/>
                    <w:numPr>
                      <w:ilvl w:val="0"/>
                      <w:numId w:val="14"/>
                    </w:numPr>
                    <w:snapToGrid w:val="0"/>
                    <w:spacing w:before="0" w:beforeAutospacing="0" w:after="0" w:afterAutospacing="0"/>
                    <w:ind w:left="0" w:leftChars="0" w:firstLine="0" w:firstLineChars="0"/>
                    <w:jc w:val="center"/>
                    <w:rPr>
                      <w:rFonts w:hint="eastAsia" w:ascii="Times New Roman" w:hAnsi="Times New Roman"/>
                      <w:bCs/>
                      <w:color w:val="auto"/>
                      <w:sz w:val="21"/>
                      <w:szCs w:val="21"/>
                    </w:rPr>
                  </w:pPr>
                </w:p>
              </w:tc>
              <w:tc>
                <w:tcPr>
                  <w:tcW w:w="551" w:type="pct"/>
                  <w:tcBorders>
                    <w:tl2br w:val="nil"/>
                    <w:tr2bl w:val="nil"/>
                  </w:tcBorders>
                  <w:shd w:val="clear" w:color="auto" w:fill="auto"/>
                  <w:vAlign w:val="center"/>
                </w:tcPr>
                <w:p w14:paraId="7AA3F2A8">
                  <w:pPr>
                    <w:widowControl/>
                    <w:jc w:val="center"/>
                    <w:rPr>
                      <w:rFonts w:hint="default" w:ascii="Times New Roman" w:hAnsi="Times New Roman" w:eastAsia="宋体" w:cs="Times New Roman"/>
                      <w:bCs/>
                      <w:snapToGrid w:val="0"/>
                      <w:color w:val="auto"/>
                      <w:spacing w:val="6"/>
                      <w:kern w:val="2"/>
                      <w:sz w:val="21"/>
                      <w:szCs w:val="21"/>
                      <w:lang w:val="en-US" w:eastAsia="zh-CN" w:bidi="ar"/>
                    </w:rPr>
                  </w:pPr>
                  <w:r>
                    <w:rPr>
                      <w:rFonts w:hint="default" w:ascii="Times New Roman" w:hAnsi="Times New Roman" w:eastAsia="宋体" w:cs="Times New Roman"/>
                      <w:bCs/>
                      <w:snapToGrid w:val="0"/>
                      <w:color w:val="auto"/>
                      <w:spacing w:val="6"/>
                      <w:sz w:val="21"/>
                      <w:szCs w:val="21"/>
                    </w:rPr>
                    <w:t>废切削液</w:t>
                  </w:r>
                </w:p>
              </w:tc>
              <w:tc>
                <w:tcPr>
                  <w:tcW w:w="228" w:type="pct"/>
                  <w:vMerge w:val="continue"/>
                  <w:tcBorders>
                    <w:tl2br w:val="nil"/>
                    <w:tr2bl w:val="nil"/>
                  </w:tcBorders>
                  <w:shd w:val="clear" w:color="auto" w:fill="auto"/>
                  <w:vAlign w:val="center"/>
                </w:tcPr>
                <w:p w14:paraId="0C8F1DC1">
                  <w:pPr>
                    <w:pStyle w:val="22"/>
                    <w:widowControl w:val="0"/>
                    <w:snapToGrid w:val="0"/>
                    <w:spacing w:before="0" w:beforeAutospacing="0" w:after="0" w:afterAutospacing="0"/>
                    <w:jc w:val="center"/>
                    <w:rPr>
                      <w:rFonts w:hint="eastAsia" w:ascii="Times New Roman" w:hAnsi="Times New Roman" w:eastAsia="宋体" w:cs="Times New Roman"/>
                      <w:bCs/>
                      <w:color w:val="auto"/>
                      <w:kern w:val="0"/>
                      <w:sz w:val="21"/>
                      <w:szCs w:val="21"/>
                      <w:lang w:val="en-US" w:eastAsia="zh-CN" w:bidi="ar-SA"/>
                    </w:rPr>
                  </w:pPr>
                </w:p>
              </w:tc>
              <w:tc>
                <w:tcPr>
                  <w:tcW w:w="383" w:type="pct"/>
                  <w:tcBorders>
                    <w:tl2br w:val="nil"/>
                    <w:tr2bl w:val="nil"/>
                  </w:tcBorders>
                  <w:shd w:val="clear" w:color="auto" w:fill="auto"/>
                  <w:vAlign w:val="center"/>
                </w:tcPr>
                <w:p w14:paraId="1064FC6A">
                  <w:pPr>
                    <w:pStyle w:val="2"/>
                    <w:spacing w:before="0" w:after="0" w:line="240" w:lineRule="auto"/>
                    <w:jc w:val="center"/>
                    <w:rPr>
                      <w:rFonts w:hint="eastAsia" w:ascii="Times New Roman" w:hAnsi="Times New Roman" w:eastAsia="宋体" w:cs="Times New Roman"/>
                      <w:b w:val="0"/>
                      <w:bCs w:val="0"/>
                      <w:color w:val="auto"/>
                      <w:kern w:val="2"/>
                      <w:sz w:val="21"/>
                      <w:szCs w:val="21"/>
                      <w:lang w:val="en-US" w:eastAsia="zh-CN" w:bidi="ar"/>
                    </w:rPr>
                  </w:pPr>
                  <w:r>
                    <w:rPr>
                      <w:rFonts w:hint="default" w:ascii="Times New Roman" w:hAnsi="Times New Roman" w:eastAsia="宋体" w:cs="Times New Roman"/>
                      <w:b w:val="0"/>
                      <w:bCs w:val="0"/>
                      <w:color w:val="auto"/>
                      <w:kern w:val="2"/>
                      <w:sz w:val="21"/>
                      <w:szCs w:val="21"/>
                      <w:lang w:val="en-US" w:eastAsia="zh-CN" w:bidi="ar"/>
                    </w:rPr>
                    <w:t>精加工</w:t>
                  </w:r>
                </w:p>
              </w:tc>
              <w:tc>
                <w:tcPr>
                  <w:tcW w:w="188" w:type="pct"/>
                  <w:tcBorders>
                    <w:tl2br w:val="nil"/>
                    <w:tr2bl w:val="nil"/>
                  </w:tcBorders>
                  <w:shd w:val="clear" w:color="auto" w:fill="auto"/>
                  <w:vAlign w:val="center"/>
                </w:tcPr>
                <w:p w14:paraId="7A0F905F">
                  <w:pPr>
                    <w:pStyle w:val="2"/>
                    <w:spacing w:before="0" w:after="0" w:line="240" w:lineRule="auto"/>
                    <w:jc w:val="center"/>
                    <w:rPr>
                      <w:rFonts w:hint="default" w:ascii="Times New Roman" w:hAnsi="Times New Roman" w:eastAsia="宋体" w:cs="Times New Roman"/>
                      <w:b w:val="0"/>
                      <w:bCs w:val="0"/>
                      <w:color w:val="auto"/>
                      <w:kern w:val="2"/>
                      <w:sz w:val="21"/>
                      <w:szCs w:val="21"/>
                      <w:lang w:val="en-US" w:eastAsia="zh-CN" w:bidi="ar"/>
                    </w:rPr>
                  </w:pPr>
                  <w:r>
                    <w:rPr>
                      <w:rFonts w:hint="eastAsia" w:ascii="Times New Roman" w:hAnsi="Times New Roman" w:cs="Times New Roman"/>
                      <w:b w:val="0"/>
                      <w:bCs w:val="0"/>
                      <w:color w:val="auto"/>
                      <w:kern w:val="2"/>
                      <w:sz w:val="21"/>
                      <w:szCs w:val="21"/>
                      <w:lang w:val="en-US" w:eastAsia="zh-CN" w:bidi="ar"/>
                    </w:rPr>
                    <w:t>液态</w:t>
                  </w:r>
                </w:p>
              </w:tc>
              <w:tc>
                <w:tcPr>
                  <w:tcW w:w="555" w:type="pct"/>
                  <w:tcBorders>
                    <w:tl2br w:val="nil"/>
                    <w:tr2bl w:val="nil"/>
                  </w:tcBorders>
                  <w:shd w:val="clear" w:color="auto" w:fill="auto"/>
                  <w:vAlign w:val="center"/>
                </w:tcPr>
                <w:p w14:paraId="6954D34C">
                  <w:pPr>
                    <w:pStyle w:val="2"/>
                    <w:spacing w:before="0" w:after="0" w:line="240" w:lineRule="auto"/>
                    <w:jc w:val="center"/>
                    <w:rPr>
                      <w:rFonts w:hint="default" w:ascii="Times New Roman" w:hAnsi="Times New Roman" w:eastAsia="宋体" w:cs="Times New Roman"/>
                      <w:b w:val="0"/>
                      <w:bCs w:val="0"/>
                      <w:color w:val="auto"/>
                      <w:spacing w:val="6"/>
                      <w:kern w:val="2"/>
                      <w:sz w:val="21"/>
                      <w:szCs w:val="21"/>
                      <w:lang w:val="en-US" w:eastAsia="zh-CN" w:bidi="ar"/>
                    </w:rPr>
                  </w:pPr>
                  <w:r>
                    <w:rPr>
                      <w:rFonts w:hint="default" w:ascii="Times New Roman" w:hAnsi="Times New Roman" w:eastAsia="宋体" w:cs="Times New Roman"/>
                      <w:b w:val="0"/>
                      <w:bCs w:val="0"/>
                      <w:color w:val="auto"/>
                      <w:spacing w:val="6"/>
                      <w:kern w:val="2"/>
                      <w:sz w:val="21"/>
                      <w:szCs w:val="21"/>
                      <w:lang w:val="en-US" w:eastAsia="zh-CN" w:bidi="ar"/>
                    </w:rPr>
                    <w:t>水、切削液</w:t>
                  </w:r>
                </w:p>
              </w:tc>
              <w:tc>
                <w:tcPr>
                  <w:tcW w:w="321" w:type="pct"/>
                  <w:tcBorders>
                    <w:tl2br w:val="nil"/>
                    <w:tr2bl w:val="nil"/>
                  </w:tcBorders>
                  <w:shd w:val="clear" w:color="auto" w:fill="auto"/>
                  <w:vAlign w:val="center"/>
                </w:tcPr>
                <w:p w14:paraId="6CEB0547">
                  <w:pPr>
                    <w:pStyle w:val="22"/>
                    <w:widowControl w:val="0"/>
                    <w:snapToGrid w:val="0"/>
                    <w:spacing w:before="0" w:beforeAutospacing="0" w:after="0" w:afterAutospacing="0"/>
                    <w:jc w:val="center"/>
                    <w:rPr>
                      <w:rFonts w:hint="eastAsia" w:ascii="Times New Roman" w:hAnsi="Times New Roman" w:eastAsia="宋体" w:cs="Times New Roman"/>
                      <w:bCs/>
                      <w:color w:val="auto"/>
                      <w:kern w:val="0"/>
                      <w:sz w:val="21"/>
                      <w:szCs w:val="21"/>
                      <w:lang w:val="en-US" w:eastAsia="zh-CN" w:bidi="ar"/>
                    </w:rPr>
                  </w:pPr>
                  <w:r>
                    <w:rPr>
                      <w:rFonts w:ascii="Times New Roman" w:hAnsi="Times New Roman"/>
                      <w:color w:val="auto"/>
                      <w:sz w:val="21"/>
                      <w:szCs w:val="21"/>
                    </w:rPr>
                    <w:t>T</w:t>
                  </w:r>
                </w:p>
              </w:tc>
              <w:tc>
                <w:tcPr>
                  <w:tcW w:w="340" w:type="pct"/>
                  <w:tcBorders>
                    <w:tl2br w:val="nil"/>
                    <w:tr2bl w:val="nil"/>
                  </w:tcBorders>
                  <w:shd w:val="clear" w:color="auto" w:fill="auto"/>
                  <w:vAlign w:val="center"/>
                </w:tcPr>
                <w:p w14:paraId="30FF9E27">
                  <w:pPr>
                    <w:topLinePunct/>
                    <w:contextualSpacing/>
                    <w:jc w:val="center"/>
                    <w:outlineLvl w:val="8"/>
                    <w:rPr>
                      <w:rFonts w:hint="default" w:ascii="Times New Roman" w:hAnsi="Times New Roman" w:eastAsia="宋体" w:cs="Times New Roman"/>
                      <w:color w:val="auto"/>
                      <w:kern w:val="2"/>
                      <w:sz w:val="21"/>
                      <w:szCs w:val="21"/>
                      <w:lang w:val="en-US" w:eastAsia="zh-CN" w:bidi="ar"/>
                    </w:rPr>
                  </w:pPr>
                  <w:r>
                    <w:rPr>
                      <w:color w:val="auto"/>
                    </w:rPr>
                    <w:t>HW09</w:t>
                  </w:r>
                </w:p>
              </w:tc>
              <w:tc>
                <w:tcPr>
                  <w:tcW w:w="592" w:type="pct"/>
                  <w:tcBorders>
                    <w:tl2br w:val="nil"/>
                    <w:tr2bl w:val="nil"/>
                  </w:tcBorders>
                  <w:shd w:val="clear" w:color="auto" w:fill="auto"/>
                  <w:vAlign w:val="center"/>
                </w:tcPr>
                <w:p w14:paraId="1B349B16">
                  <w:pPr>
                    <w:contextualSpacing/>
                    <w:jc w:val="center"/>
                    <w:outlineLvl w:val="8"/>
                    <w:rPr>
                      <w:rFonts w:hint="default" w:ascii="Times New Roman" w:hAnsi="Times New Roman" w:eastAsia="宋体" w:cs="Times New Roman"/>
                      <w:color w:val="auto"/>
                      <w:kern w:val="2"/>
                      <w:sz w:val="21"/>
                      <w:szCs w:val="21"/>
                      <w:lang w:val="en-US" w:eastAsia="zh-CN" w:bidi="ar"/>
                    </w:rPr>
                  </w:pPr>
                  <w:r>
                    <w:rPr>
                      <w:color w:val="auto"/>
                    </w:rPr>
                    <w:t>900-006-09</w:t>
                  </w:r>
                </w:p>
              </w:tc>
              <w:tc>
                <w:tcPr>
                  <w:tcW w:w="321" w:type="pct"/>
                  <w:tcBorders>
                    <w:tl2br w:val="nil"/>
                    <w:tr2bl w:val="nil"/>
                  </w:tcBorders>
                  <w:shd w:val="clear" w:color="auto" w:fill="auto"/>
                  <w:vAlign w:val="center"/>
                </w:tcPr>
                <w:p w14:paraId="7A71A87C">
                  <w:pPr>
                    <w:pStyle w:val="2"/>
                    <w:spacing w:before="0" w:after="0" w:line="240" w:lineRule="auto"/>
                    <w:jc w:val="center"/>
                    <w:rPr>
                      <w:rFonts w:hint="default" w:ascii="Times New Roman" w:hAnsi="Times New Roman" w:eastAsia="宋体" w:cs="Times New Roman"/>
                      <w:b w:val="0"/>
                      <w:bCs w:val="0"/>
                      <w:color w:val="auto"/>
                      <w:kern w:val="2"/>
                      <w:sz w:val="21"/>
                      <w:szCs w:val="21"/>
                      <w:lang w:val="en-US" w:eastAsia="zh-CN" w:bidi="ar"/>
                    </w:rPr>
                  </w:pPr>
                  <w:r>
                    <w:rPr>
                      <w:rFonts w:hint="eastAsia" w:ascii="Times New Roman" w:hAnsi="Times New Roman" w:eastAsia="宋体" w:cs="Times New Roman"/>
                      <w:b w:val="0"/>
                      <w:bCs w:val="0"/>
                      <w:color w:val="auto"/>
                      <w:kern w:val="2"/>
                      <w:sz w:val="21"/>
                      <w:szCs w:val="21"/>
                      <w:lang w:val="en-US" w:eastAsia="zh-CN" w:bidi="ar"/>
                    </w:rPr>
                    <w:t>14</w:t>
                  </w:r>
                </w:p>
              </w:tc>
              <w:tc>
                <w:tcPr>
                  <w:tcW w:w="310" w:type="pct"/>
                  <w:tcBorders>
                    <w:tl2br w:val="nil"/>
                    <w:tr2bl w:val="nil"/>
                  </w:tcBorders>
                  <w:shd w:val="clear" w:color="auto" w:fill="auto"/>
                  <w:vAlign w:val="center"/>
                </w:tcPr>
                <w:p w14:paraId="130997C6">
                  <w:pPr>
                    <w:widowControl w:val="0"/>
                    <w:snapToGrid w:val="0"/>
                    <w:spacing w:before="0" w:beforeAutospacing="0" w:after="0" w:afterAutospacing="0"/>
                    <w:jc w:val="center"/>
                    <w:rPr>
                      <w:rFonts w:hint="eastAsia" w:ascii="Times New Roman" w:hAnsi="Times New Roman" w:eastAsia="宋体" w:cs="Times New Roman"/>
                      <w:bCs/>
                      <w:snapToGrid w:val="0"/>
                      <w:color w:val="auto"/>
                      <w:spacing w:val="6"/>
                      <w:sz w:val="21"/>
                      <w:szCs w:val="21"/>
                      <w:lang w:val="en-US" w:eastAsia="zh-CN"/>
                    </w:rPr>
                  </w:pPr>
                  <w:r>
                    <w:rPr>
                      <w:rFonts w:hint="eastAsia" w:ascii="Times New Roman" w:hAnsi="Times New Roman" w:eastAsia="宋体" w:cs="Times New Roman"/>
                      <w:bCs/>
                      <w:snapToGrid w:val="0"/>
                      <w:color w:val="auto"/>
                      <w:spacing w:val="6"/>
                      <w:sz w:val="21"/>
                      <w:szCs w:val="21"/>
                      <w:lang w:val="en-US" w:eastAsia="zh-CN"/>
                    </w:rPr>
                    <w:t>III</w:t>
                  </w:r>
                </w:p>
              </w:tc>
              <w:tc>
                <w:tcPr>
                  <w:tcW w:w="350" w:type="pct"/>
                  <w:vMerge w:val="continue"/>
                  <w:tcBorders>
                    <w:tl2br w:val="nil"/>
                    <w:tr2bl w:val="nil"/>
                  </w:tcBorders>
                  <w:vAlign w:val="center"/>
                </w:tcPr>
                <w:p w14:paraId="41427E93">
                  <w:pPr>
                    <w:pStyle w:val="22"/>
                    <w:widowControl w:val="0"/>
                    <w:snapToGrid w:val="0"/>
                    <w:spacing w:before="0" w:beforeAutospacing="0" w:after="0" w:afterAutospacing="0"/>
                    <w:jc w:val="center"/>
                    <w:rPr>
                      <w:rFonts w:hint="eastAsia" w:ascii="Times New Roman" w:hAnsi="Times New Roman"/>
                      <w:bCs/>
                      <w:color w:val="auto"/>
                      <w:sz w:val="21"/>
                      <w:szCs w:val="21"/>
                    </w:rPr>
                  </w:pPr>
                </w:p>
              </w:tc>
              <w:tc>
                <w:tcPr>
                  <w:tcW w:w="179" w:type="pct"/>
                  <w:vMerge w:val="continue"/>
                  <w:tcBorders>
                    <w:tl2br w:val="nil"/>
                    <w:tr2bl w:val="nil"/>
                  </w:tcBorders>
                  <w:vAlign w:val="center"/>
                </w:tcPr>
                <w:p w14:paraId="70864D9D">
                  <w:pPr>
                    <w:pStyle w:val="22"/>
                    <w:widowControl w:val="0"/>
                    <w:snapToGrid w:val="0"/>
                    <w:spacing w:before="0" w:beforeAutospacing="0" w:after="0" w:afterAutospacing="0"/>
                    <w:jc w:val="center"/>
                    <w:rPr>
                      <w:rFonts w:hint="eastAsia" w:ascii="Times New Roman" w:hAnsi="Times New Roman"/>
                      <w:bCs/>
                      <w:color w:val="auto"/>
                      <w:sz w:val="21"/>
                      <w:szCs w:val="21"/>
                      <w:lang w:val="en-US" w:eastAsia="zh-CN"/>
                    </w:rPr>
                  </w:pPr>
                </w:p>
              </w:tc>
              <w:tc>
                <w:tcPr>
                  <w:tcW w:w="220" w:type="pct"/>
                  <w:vMerge w:val="continue"/>
                  <w:tcBorders>
                    <w:tl2br w:val="nil"/>
                    <w:tr2bl w:val="nil"/>
                  </w:tcBorders>
                  <w:vAlign w:val="center"/>
                </w:tcPr>
                <w:p w14:paraId="2A9F5BBB">
                  <w:pPr>
                    <w:keepNext w:val="0"/>
                    <w:keepLines w:val="0"/>
                    <w:widowControl/>
                    <w:suppressLineNumbers w:val="0"/>
                    <w:jc w:val="center"/>
                    <w:textAlignment w:val="center"/>
                    <w:rPr>
                      <w:rFonts w:hint="default" w:ascii="Times New Roman" w:hAnsi="Times New Roman" w:eastAsia="宋体" w:cs="Times New Roman"/>
                      <w:bCs/>
                      <w:color w:val="auto"/>
                      <w:sz w:val="21"/>
                      <w:szCs w:val="21"/>
                      <w:lang w:val="en-US" w:eastAsia="zh-CN"/>
                    </w:rPr>
                  </w:pPr>
                </w:p>
              </w:tc>
              <w:tc>
                <w:tcPr>
                  <w:tcW w:w="269" w:type="pct"/>
                  <w:vMerge w:val="continue"/>
                  <w:tcBorders>
                    <w:tl2br w:val="nil"/>
                    <w:tr2bl w:val="nil"/>
                  </w:tcBorders>
                  <w:vAlign w:val="center"/>
                </w:tcPr>
                <w:p w14:paraId="6EF2FA1F">
                  <w:pPr>
                    <w:keepNext w:val="0"/>
                    <w:keepLines w:val="0"/>
                    <w:widowControl/>
                    <w:suppressLineNumbers w:val="0"/>
                    <w:jc w:val="center"/>
                    <w:textAlignment w:val="center"/>
                    <w:rPr>
                      <w:rFonts w:hint="default" w:ascii="Times New Roman" w:hAnsi="Times New Roman" w:eastAsia="宋体" w:cs="Times New Roman"/>
                      <w:bCs/>
                      <w:color w:val="auto"/>
                      <w:sz w:val="21"/>
                      <w:szCs w:val="21"/>
                      <w:lang w:val="en-US" w:eastAsia="zh-CN"/>
                    </w:rPr>
                  </w:pPr>
                </w:p>
              </w:tc>
            </w:tr>
            <w:tr w14:paraId="78FE89D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36" w:hRule="atLeast"/>
                <w:jc w:val="right"/>
              </w:trPr>
              <w:tc>
                <w:tcPr>
                  <w:tcW w:w="187" w:type="pct"/>
                  <w:tcBorders>
                    <w:tl2br w:val="nil"/>
                    <w:tr2bl w:val="nil"/>
                  </w:tcBorders>
                  <w:vAlign w:val="center"/>
                </w:tcPr>
                <w:p w14:paraId="6E0CC334">
                  <w:pPr>
                    <w:pStyle w:val="22"/>
                    <w:widowControl w:val="0"/>
                    <w:numPr>
                      <w:ilvl w:val="0"/>
                      <w:numId w:val="14"/>
                    </w:numPr>
                    <w:snapToGrid w:val="0"/>
                    <w:spacing w:before="0" w:beforeAutospacing="0" w:after="0" w:afterAutospacing="0"/>
                    <w:ind w:left="0" w:leftChars="0" w:firstLine="0" w:firstLineChars="0"/>
                    <w:jc w:val="center"/>
                    <w:rPr>
                      <w:rFonts w:hint="eastAsia" w:ascii="Times New Roman" w:hAnsi="Times New Roman"/>
                      <w:bCs/>
                      <w:color w:val="auto"/>
                      <w:sz w:val="21"/>
                      <w:szCs w:val="21"/>
                    </w:rPr>
                  </w:pPr>
                </w:p>
              </w:tc>
              <w:tc>
                <w:tcPr>
                  <w:tcW w:w="551" w:type="pct"/>
                  <w:tcBorders>
                    <w:tl2br w:val="nil"/>
                    <w:tr2bl w:val="nil"/>
                  </w:tcBorders>
                  <w:shd w:val="clear" w:color="auto" w:fill="auto"/>
                  <w:vAlign w:val="center"/>
                </w:tcPr>
                <w:p w14:paraId="511C78F2">
                  <w:pPr>
                    <w:widowControl/>
                    <w:jc w:val="center"/>
                    <w:rPr>
                      <w:rFonts w:hint="default" w:ascii="Times New Roman" w:hAnsi="Times New Roman" w:eastAsia="宋体" w:cs="Times New Roman"/>
                      <w:bCs/>
                      <w:snapToGrid w:val="0"/>
                      <w:color w:val="auto"/>
                      <w:spacing w:val="6"/>
                      <w:kern w:val="2"/>
                      <w:sz w:val="21"/>
                      <w:szCs w:val="21"/>
                      <w:lang w:val="en-US" w:eastAsia="zh-CN" w:bidi="ar"/>
                    </w:rPr>
                  </w:pPr>
                  <w:r>
                    <w:rPr>
                      <w:rFonts w:hint="default" w:ascii="Times New Roman" w:hAnsi="Times New Roman" w:eastAsia="宋体" w:cs="Times New Roman"/>
                      <w:bCs/>
                      <w:snapToGrid w:val="0"/>
                      <w:color w:val="auto"/>
                      <w:spacing w:val="6"/>
                      <w:sz w:val="21"/>
                      <w:szCs w:val="21"/>
                    </w:rPr>
                    <w:t>废刷子</w:t>
                  </w:r>
                </w:p>
              </w:tc>
              <w:tc>
                <w:tcPr>
                  <w:tcW w:w="228" w:type="pct"/>
                  <w:vMerge w:val="continue"/>
                  <w:tcBorders>
                    <w:tl2br w:val="nil"/>
                    <w:tr2bl w:val="nil"/>
                  </w:tcBorders>
                  <w:shd w:val="clear" w:color="auto" w:fill="auto"/>
                  <w:vAlign w:val="center"/>
                </w:tcPr>
                <w:p w14:paraId="02E348E8">
                  <w:pPr>
                    <w:pStyle w:val="22"/>
                    <w:widowControl w:val="0"/>
                    <w:snapToGrid w:val="0"/>
                    <w:spacing w:before="0" w:beforeAutospacing="0" w:after="0" w:afterAutospacing="0"/>
                    <w:jc w:val="center"/>
                    <w:rPr>
                      <w:rFonts w:hint="eastAsia" w:ascii="Times New Roman" w:hAnsi="Times New Roman" w:eastAsia="宋体" w:cs="Times New Roman"/>
                      <w:bCs/>
                      <w:color w:val="auto"/>
                      <w:kern w:val="0"/>
                      <w:sz w:val="21"/>
                      <w:szCs w:val="21"/>
                      <w:lang w:val="en-US" w:eastAsia="zh-CN" w:bidi="ar-SA"/>
                    </w:rPr>
                  </w:pPr>
                </w:p>
              </w:tc>
              <w:tc>
                <w:tcPr>
                  <w:tcW w:w="383" w:type="pct"/>
                  <w:tcBorders>
                    <w:tl2br w:val="nil"/>
                    <w:tr2bl w:val="nil"/>
                  </w:tcBorders>
                  <w:shd w:val="clear" w:color="auto" w:fill="auto"/>
                  <w:vAlign w:val="center"/>
                </w:tcPr>
                <w:p w14:paraId="1FA65AAF">
                  <w:pPr>
                    <w:pStyle w:val="2"/>
                    <w:spacing w:before="0" w:after="0" w:line="240" w:lineRule="auto"/>
                    <w:jc w:val="center"/>
                    <w:rPr>
                      <w:rFonts w:hint="eastAsia" w:ascii="Times New Roman" w:hAnsi="Times New Roman" w:eastAsia="宋体" w:cs="Times New Roman"/>
                      <w:b w:val="0"/>
                      <w:bCs w:val="0"/>
                      <w:color w:val="auto"/>
                      <w:kern w:val="2"/>
                      <w:sz w:val="21"/>
                      <w:szCs w:val="21"/>
                      <w:lang w:val="en-US" w:eastAsia="zh-CN" w:bidi="ar"/>
                    </w:rPr>
                  </w:pPr>
                  <w:r>
                    <w:rPr>
                      <w:rFonts w:hint="default" w:ascii="Times New Roman" w:hAnsi="Times New Roman" w:eastAsia="宋体" w:cs="Times New Roman"/>
                      <w:b w:val="0"/>
                      <w:bCs w:val="0"/>
                      <w:color w:val="auto"/>
                      <w:kern w:val="2"/>
                      <w:sz w:val="21"/>
                      <w:szCs w:val="21"/>
                      <w:lang w:val="en-US" w:eastAsia="zh-CN" w:bidi="ar"/>
                    </w:rPr>
                    <w:t>包装</w:t>
                  </w:r>
                </w:p>
              </w:tc>
              <w:tc>
                <w:tcPr>
                  <w:tcW w:w="188" w:type="pct"/>
                  <w:tcBorders>
                    <w:tl2br w:val="nil"/>
                    <w:tr2bl w:val="nil"/>
                  </w:tcBorders>
                  <w:shd w:val="clear" w:color="auto" w:fill="auto"/>
                  <w:vAlign w:val="center"/>
                </w:tcPr>
                <w:p w14:paraId="42DDA14A">
                  <w:pPr>
                    <w:pStyle w:val="2"/>
                    <w:spacing w:before="0" w:after="0" w:line="240" w:lineRule="auto"/>
                    <w:jc w:val="center"/>
                    <w:rPr>
                      <w:rFonts w:hint="default" w:ascii="Times New Roman" w:hAnsi="Times New Roman" w:eastAsia="宋体" w:cs="Times New Roman"/>
                      <w:b w:val="0"/>
                      <w:bCs w:val="0"/>
                      <w:color w:val="auto"/>
                      <w:kern w:val="2"/>
                      <w:sz w:val="21"/>
                      <w:szCs w:val="21"/>
                      <w:lang w:val="en-US" w:eastAsia="zh-CN" w:bidi="ar"/>
                    </w:rPr>
                  </w:pPr>
                  <w:r>
                    <w:rPr>
                      <w:rFonts w:hint="default" w:ascii="Times New Roman" w:hAnsi="Times New Roman" w:eastAsia="宋体" w:cs="Times New Roman"/>
                      <w:b w:val="0"/>
                      <w:bCs w:val="0"/>
                      <w:snapToGrid w:val="0"/>
                      <w:color w:val="auto"/>
                      <w:spacing w:val="6"/>
                      <w:sz w:val="21"/>
                      <w:szCs w:val="21"/>
                    </w:rPr>
                    <w:t>固态</w:t>
                  </w:r>
                </w:p>
              </w:tc>
              <w:tc>
                <w:tcPr>
                  <w:tcW w:w="555" w:type="pct"/>
                  <w:tcBorders>
                    <w:tl2br w:val="nil"/>
                    <w:tr2bl w:val="nil"/>
                  </w:tcBorders>
                  <w:shd w:val="clear" w:color="auto" w:fill="auto"/>
                  <w:vAlign w:val="center"/>
                </w:tcPr>
                <w:p w14:paraId="66F7009F">
                  <w:pPr>
                    <w:widowControl/>
                    <w:jc w:val="center"/>
                    <w:rPr>
                      <w:rFonts w:hint="default" w:ascii="Times New Roman" w:hAnsi="Times New Roman" w:eastAsia="宋体" w:cs="Times New Roman"/>
                      <w:color w:val="auto"/>
                      <w:spacing w:val="6"/>
                      <w:kern w:val="2"/>
                      <w:sz w:val="21"/>
                      <w:szCs w:val="21"/>
                      <w:lang w:val="en-US" w:eastAsia="zh-CN" w:bidi="ar"/>
                    </w:rPr>
                  </w:pPr>
                  <w:r>
                    <w:rPr>
                      <w:rFonts w:hint="default" w:ascii="Times New Roman" w:hAnsi="Times New Roman" w:eastAsia="宋体" w:cs="Times New Roman"/>
                      <w:bCs/>
                      <w:snapToGrid w:val="0"/>
                      <w:color w:val="auto"/>
                      <w:spacing w:val="6"/>
                      <w:kern w:val="2"/>
                      <w:sz w:val="21"/>
                      <w:szCs w:val="21"/>
                      <w:lang w:val="en-US" w:eastAsia="zh-CN" w:bidi="ar"/>
                    </w:rPr>
                    <w:t>刷子</w:t>
                  </w:r>
                  <w:r>
                    <w:rPr>
                      <w:rFonts w:hint="eastAsia" w:ascii="Times New Roman" w:hAnsi="Times New Roman" w:eastAsia="宋体" w:cs="Times New Roman"/>
                      <w:bCs/>
                      <w:snapToGrid w:val="0"/>
                      <w:color w:val="auto"/>
                      <w:spacing w:val="6"/>
                      <w:kern w:val="2"/>
                      <w:sz w:val="21"/>
                      <w:szCs w:val="21"/>
                      <w:lang w:val="en-US" w:eastAsia="zh-CN" w:bidi="ar"/>
                    </w:rPr>
                    <w:t>、有机物</w:t>
                  </w:r>
                </w:p>
              </w:tc>
              <w:tc>
                <w:tcPr>
                  <w:tcW w:w="321" w:type="pct"/>
                  <w:tcBorders>
                    <w:tl2br w:val="nil"/>
                    <w:tr2bl w:val="nil"/>
                  </w:tcBorders>
                  <w:shd w:val="clear" w:color="auto" w:fill="auto"/>
                  <w:vAlign w:val="center"/>
                </w:tcPr>
                <w:p w14:paraId="542E0105">
                  <w:pPr>
                    <w:pStyle w:val="22"/>
                    <w:widowControl w:val="0"/>
                    <w:snapToGrid w:val="0"/>
                    <w:spacing w:before="0" w:beforeAutospacing="0" w:after="0" w:afterAutospacing="0"/>
                    <w:jc w:val="center"/>
                    <w:rPr>
                      <w:rFonts w:hint="eastAsia" w:ascii="Times New Roman" w:hAnsi="Times New Roman" w:eastAsia="宋体" w:cs="Times New Roman"/>
                      <w:bCs/>
                      <w:color w:val="auto"/>
                      <w:kern w:val="0"/>
                      <w:sz w:val="21"/>
                      <w:szCs w:val="21"/>
                      <w:lang w:val="en-US" w:eastAsia="zh-CN" w:bidi="ar-SA"/>
                    </w:rPr>
                  </w:pPr>
                  <w:r>
                    <w:rPr>
                      <w:rFonts w:ascii="Times New Roman" w:hAnsi="Times New Roman"/>
                      <w:bCs/>
                      <w:color w:val="auto"/>
                      <w:sz w:val="21"/>
                      <w:szCs w:val="21"/>
                    </w:rPr>
                    <w:t>T/In</w:t>
                  </w:r>
                </w:p>
              </w:tc>
              <w:tc>
                <w:tcPr>
                  <w:tcW w:w="340" w:type="pct"/>
                  <w:tcBorders>
                    <w:tl2br w:val="nil"/>
                    <w:tr2bl w:val="nil"/>
                  </w:tcBorders>
                  <w:shd w:val="clear" w:color="auto" w:fill="auto"/>
                  <w:vAlign w:val="center"/>
                </w:tcPr>
                <w:p w14:paraId="3545D8D7">
                  <w:pPr>
                    <w:pStyle w:val="22"/>
                    <w:widowControl w:val="0"/>
                    <w:snapToGrid w:val="0"/>
                    <w:spacing w:before="0" w:beforeAutospacing="0" w:after="0" w:afterAutospacing="0"/>
                    <w:jc w:val="center"/>
                    <w:rPr>
                      <w:rFonts w:hint="default" w:ascii="宋体" w:hAnsi="宋体" w:eastAsia="宋体" w:cs="Times New Roman"/>
                      <w:color w:val="auto"/>
                      <w:kern w:val="0"/>
                      <w:sz w:val="21"/>
                      <w:szCs w:val="21"/>
                      <w:lang w:val="en-US" w:eastAsia="zh-CN" w:bidi="ar-SA"/>
                    </w:rPr>
                  </w:pPr>
                  <w:r>
                    <w:rPr>
                      <w:rFonts w:ascii="Times New Roman" w:hAnsi="Times New Roman"/>
                      <w:bCs/>
                      <w:color w:val="auto"/>
                      <w:sz w:val="21"/>
                      <w:szCs w:val="21"/>
                    </w:rPr>
                    <w:t>HW49</w:t>
                  </w:r>
                </w:p>
              </w:tc>
              <w:tc>
                <w:tcPr>
                  <w:tcW w:w="592" w:type="pct"/>
                  <w:tcBorders>
                    <w:tl2br w:val="nil"/>
                    <w:tr2bl w:val="nil"/>
                  </w:tcBorders>
                  <w:shd w:val="clear" w:color="auto" w:fill="auto"/>
                  <w:vAlign w:val="center"/>
                </w:tcPr>
                <w:p w14:paraId="019AFB61">
                  <w:pPr>
                    <w:pStyle w:val="22"/>
                    <w:widowControl w:val="0"/>
                    <w:snapToGrid w:val="0"/>
                    <w:spacing w:before="0" w:beforeAutospacing="0" w:after="0" w:afterAutospacing="0"/>
                    <w:jc w:val="center"/>
                    <w:rPr>
                      <w:rFonts w:hint="default" w:ascii="宋体" w:hAnsi="宋体" w:eastAsia="宋体" w:cs="Times New Roman"/>
                      <w:color w:val="auto"/>
                      <w:kern w:val="0"/>
                      <w:sz w:val="21"/>
                      <w:szCs w:val="21"/>
                      <w:lang w:val="en-US" w:eastAsia="zh-CN" w:bidi="ar-SA"/>
                    </w:rPr>
                  </w:pPr>
                  <w:r>
                    <w:rPr>
                      <w:rFonts w:ascii="Times New Roman" w:hAnsi="Times New Roman"/>
                      <w:bCs/>
                      <w:color w:val="auto"/>
                      <w:sz w:val="21"/>
                      <w:szCs w:val="21"/>
                    </w:rPr>
                    <w:t>900-041-49</w:t>
                  </w:r>
                </w:p>
              </w:tc>
              <w:tc>
                <w:tcPr>
                  <w:tcW w:w="321" w:type="pct"/>
                  <w:tcBorders>
                    <w:tl2br w:val="nil"/>
                    <w:tr2bl w:val="nil"/>
                  </w:tcBorders>
                  <w:shd w:val="clear" w:color="auto" w:fill="auto"/>
                  <w:vAlign w:val="center"/>
                </w:tcPr>
                <w:p w14:paraId="0D8886D9">
                  <w:pPr>
                    <w:widowControl/>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0.3</w:t>
                  </w:r>
                </w:p>
              </w:tc>
              <w:tc>
                <w:tcPr>
                  <w:tcW w:w="310" w:type="pct"/>
                  <w:tcBorders>
                    <w:tl2br w:val="nil"/>
                    <w:tr2bl w:val="nil"/>
                  </w:tcBorders>
                  <w:shd w:val="clear" w:color="auto" w:fill="auto"/>
                  <w:vAlign w:val="center"/>
                </w:tcPr>
                <w:p w14:paraId="5212BC0C">
                  <w:pPr>
                    <w:widowControl w:val="0"/>
                    <w:snapToGrid w:val="0"/>
                    <w:spacing w:before="0" w:beforeAutospacing="0" w:after="0" w:afterAutospacing="0"/>
                    <w:jc w:val="center"/>
                    <w:rPr>
                      <w:rFonts w:hint="eastAsia" w:ascii="Times New Roman" w:hAnsi="Times New Roman" w:eastAsia="宋体" w:cs="Times New Roman"/>
                      <w:bCs/>
                      <w:snapToGrid w:val="0"/>
                      <w:color w:val="auto"/>
                      <w:spacing w:val="6"/>
                      <w:sz w:val="21"/>
                      <w:szCs w:val="21"/>
                      <w:lang w:val="en-US" w:eastAsia="zh-CN"/>
                    </w:rPr>
                  </w:pPr>
                  <w:r>
                    <w:rPr>
                      <w:rFonts w:hint="eastAsia" w:ascii="Times New Roman" w:hAnsi="Times New Roman" w:eastAsia="宋体" w:cs="Times New Roman"/>
                      <w:bCs/>
                      <w:snapToGrid w:val="0"/>
                      <w:color w:val="auto"/>
                      <w:spacing w:val="6"/>
                      <w:sz w:val="21"/>
                      <w:szCs w:val="21"/>
                      <w:lang w:val="en-US" w:eastAsia="zh-CN"/>
                    </w:rPr>
                    <w:t>III</w:t>
                  </w:r>
                </w:p>
              </w:tc>
              <w:tc>
                <w:tcPr>
                  <w:tcW w:w="350" w:type="pct"/>
                  <w:vMerge w:val="continue"/>
                  <w:tcBorders>
                    <w:tl2br w:val="nil"/>
                    <w:tr2bl w:val="nil"/>
                  </w:tcBorders>
                  <w:vAlign w:val="center"/>
                </w:tcPr>
                <w:p w14:paraId="0C5A2A7E">
                  <w:pPr>
                    <w:pStyle w:val="22"/>
                    <w:widowControl w:val="0"/>
                    <w:snapToGrid w:val="0"/>
                    <w:spacing w:before="0" w:beforeAutospacing="0" w:after="0" w:afterAutospacing="0"/>
                    <w:jc w:val="center"/>
                    <w:rPr>
                      <w:rFonts w:hint="eastAsia" w:ascii="Times New Roman" w:hAnsi="Times New Roman"/>
                      <w:bCs/>
                      <w:color w:val="auto"/>
                      <w:sz w:val="21"/>
                      <w:szCs w:val="21"/>
                    </w:rPr>
                  </w:pPr>
                </w:p>
              </w:tc>
              <w:tc>
                <w:tcPr>
                  <w:tcW w:w="179" w:type="pct"/>
                  <w:vMerge w:val="continue"/>
                  <w:tcBorders>
                    <w:tl2br w:val="nil"/>
                    <w:tr2bl w:val="nil"/>
                  </w:tcBorders>
                  <w:vAlign w:val="center"/>
                </w:tcPr>
                <w:p w14:paraId="2D5EE0B6">
                  <w:pPr>
                    <w:pStyle w:val="22"/>
                    <w:widowControl w:val="0"/>
                    <w:snapToGrid w:val="0"/>
                    <w:spacing w:before="0" w:beforeAutospacing="0" w:after="0" w:afterAutospacing="0"/>
                    <w:jc w:val="center"/>
                    <w:rPr>
                      <w:rFonts w:hint="eastAsia" w:ascii="Times New Roman" w:hAnsi="Times New Roman"/>
                      <w:bCs/>
                      <w:color w:val="auto"/>
                      <w:sz w:val="21"/>
                      <w:szCs w:val="21"/>
                      <w:lang w:val="en-US" w:eastAsia="zh-CN"/>
                    </w:rPr>
                  </w:pPr>
                </w:p>
              </w:tc>
              <w:tc>
                <w:tcPr>
                  <w:tcW w:w="220" w:type="pct"/>
                  <w:vMerge w:val="continue"/>
                  <w:tcBorders>
                    <w:tl2br w:val="nil"/>
                    <w:tr2bl w:val="nil"/>
                  </w:tcBorders>
                  <w:vAlign w:val="center"/>
                </w:tcPr>
                <w:p w14:paraId="3C17FCDF">
                  <w:pPr>
                    <w:keepNext w:val="0"/>
                    <w:keepLines w:val="0"/>
                    <w:widowControl/>
                    <w:suppressLineNumbers w:val="0"/>
                    <w:jc w:val="center"/>
                    <w:textAlignment w:val="center"/>
                    <w:rPr>
                      <w:rFonts w:hint="default" w:ascii="Times New Roman" w:hAnsi="Times New Roman" w:eastAsia="宋体" w:cs="Times New Roman"/>
                      <w:bCs/>
                      <w:color w:val="auto"/>
                      <w:sz w:val="21"/>
                      <w:szCs w:val="21"/>
                      <w:lang w:val="en-US" w:eastAsia="zh-CN"/>
                    </w:rPr>
                  </w:pPr>
                </w:p>
              </w:tc>
              <w:tc>
                <w:tcPr>
                  <w:tcW w:w="269" w:type="pct"/>
                  <w:vMerge w:val="continue"/>
                  <w:tcBorders>
                    <w:tl2br w:val="nil"/>
                    <w:tr2bl w:val="nil"/>
                  </w:tcBorders>
                  <w:vAlign w:val="center"/>
                </w:tcPr>
                <w:p w14:paraId="112EAFFA">
                  <w:pPr>
                    <w:keepNext w:val="0"/>
                    <w:keepLines w:val="0"/>
                    <w:widowControl/>
                    <w:suppressLineNumbers w:val="0"/>
                    <w:jc w:val="center"/>
                    <w:textAlignment w:val="center"/>
                    <w:rPr>
                      <w:rFonts w:hint="default" w:ascii="Times New Roman" w:hAnsi="Times New Roman" w:eastAsia="宋体" w:cs="Times New Roman"/>
                      <w:bCs/>
                      <w:color w:val="auto"/>
                      <w:sz w:val="21"/>
                      <w:szCs w:val="21"/>
                      <w:lang w:val="en-US" w:eastAsia="zh-CN"/>
                    </w:rPr>
                  </w:pPr>
                </w:p>
              </w:tc>
            </w:tr>
            <w:tr w14:paraId="6D2E3E8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36" w:hRule="atLeast"/>
                <w:jc w:val="right"/>
              </w:trPr>
              <w:tc>
                <w:tcPr>
                  <w:tcW w:w="187" w:type="pct"/>
                  <w:tcBorders>
                    <w:tl2br w:val="nil"/>
                    <w:tr2bl w:val="nil"/>
                  </w:tcBorders>
                  <w:vAlign w:val="center"/>
                </w:tcPr>
                <w:p w14:paraId="63E4B00B">
                  <w:pPr>
                    <w:pStyle w:val="22"/>
                    <w:widowControl w:val="0"/>
                    <w:numPr>
                      <w:ilvl w:val="0"/>
                      <w:numId w:val="14"/>
                    </w:numPr>
                    <w:snapToGrid w:val="0"/>
                    <w:spacing w:before="0" w:beforeAutospacing="0" w:after="0" w:afterAutospacing="0"/>
                    <w:ind w:left="0" w:leftChars="0" w:firstLine="0" w:firstLineChars="0"/>
                    <w:jc w:val="center"/>
                    <w:rPr>
                      <w:rFonts w:hint="eastAsia" w:ascii="Times New Roman" w:hAnsi="Times New Roman"/>
                      <w:bCs/>
                      <w:color w:val="auto"/>
                      <w:sz w:val="21"/>
                      <w:szCs w:val="21"/>
                    </w:rPr>
                  </w:pPr>
                </w:p>
              </w:tc>
              <w:tc>
                <w:tcPr>
                  <w:tcW w:w="551" w:type="pct"/>
                  <w:tcBorders>
                    <w:tl2br w:val="nil"/>
                    <w:tr2bl w:val="nil"/>
                  </w:tcBorders>
                  <w:shd w:val="clear" w:color="auto" w:fill="auto"/>
                  <w:vAlign w:val="center"/>
                </w:tcPr>
                <w:p w14:paraId="48E2EAE0">
                  <w:pPr>
                    <w:widowControl/>
                    <w:jc w:val="center"/>
                    <w:rPr>
                      <w:rFonts w:hint="default" w:ascii="Times New Roman" w:hAnsi="Times New Roman" w:eastAsia="宋体" w:cs="Times New Roman"/>
                      <w:bCs/>
                      <w:snapToGrid w:val="0"/>
                      <w:color w:val="auto"/>
                      <w:spacing w:val="6"/>
                      <w:kern w:val="2"/>
                      <w:sz w:val="21"/>
                      <w:szCs w:val="21"/>
                      <w:lang w:val="en-US" w:eastAsia="zh-CN" w:bidi="ar"/>
                    </w:rPr>
                  </w:pPr>
                  <w:r>
                    <w:rPr>
                      <w:rFonts w:hint="default" w:ascii="Times New Roman" w:hAnsi="Times New Roman" w:eastAsia="宋体" w:cs="Times New Roman"/>
                      <w:bCs/>
                      <w:snapToGrid w:val="0"/>
                      <w:color w:val="auto"/>
                      <w:spacing w:val="6"/>
                      <w:sz w:val="21"/>
                      <w:szCs w:val="21"/>
                    </w:rPr>
                    <w:t>废抹布及手套</w:t>
                  </w:r>
                </w:p>
              </w:tc>
              <w:tc>
                <w:tcPr>
                  <w:tcW w:w="228" w:type="pct"/>
                  <w:vMerge w:val="continue"/>
                  <w:tcBorders>
                    <w:tl2br w:val="nil"/>
                    <w:tr2bl w:val="nil"/>
                  </w:tcBorders>
                  <w:shd w:val="clear" w:color="auto" w:fill="auto"/>
                  <w:vAlign w:val="center"/>
                </w:tcPr>
                <w:p w14:paraId="1949FF9F">
                  <w:pPr>
                    <w:pStyle w:val="22"/>
                    <w:widowControl w:val="0"/>
                    <w:snapToGrid w:val="0"/>
                    <w:spacing w:before="0" w:beforeAutospacing="0" w:after="0" w:afterAutospacing="0"/>
                    <w:jc w:val="center"/>
                    <w:rPr>
                      <w:rFonts w:hint="eastAsia" w:ascii="Times New Roman" w:hAnsi="Times New Roman" w:eastAsia="宋体" w:cs="Times New Roman"/>
                      <w:bCs/>
                      <w:color w:val="auto"/>
                      <w:kern w:val="0"/>
                      <w:sz w:val="21"/>
                      <w:szCs w:val="21"/>
                      <w:lang w:val="en-US" w:eastAsia="zh-CN" w:bidi="ar-SA"/>
                    </w:rPr>
                  </w:pPr>
                </w:p>
              </w:tc>
              <w:tc>
                <w:tcPr>
                  <w:tcW w:w="383" w:type="pct"/>
                  <w:tcBorders>
                    <w:tl2br w:val="nil"/>
                    <w:tr2bl w:val="nil"/>
                  </w:tcBorders>
                  <w:shd w:val="clear" w:color="auto" w:fill="auto"/>
                  <w:vAlign w:val="center"/>
                </w:tcPr>
                <w:p w14:paraId="19C5DBF9">
                  <w:pPr>
                    <w:widowControl/>
                    <w:jc w:val="center"/>
                    <w:rPr>
                      <w:rFonts w:hint="eastAsia" w:ascii="Times New Roman" w:hAnsi="Times New Roman" w:eastAsia="宋体" w:cs="Times New Roman"/>
                      <w:bCs/>
                      <w:snapToGrid w:val="0"/>
                      <w:color w:val="auto"/>
                      <w:spacing w:val="6"/>
                      <w:kern w:val="2"/>
                      <w:sz w:val="21"/>
                      <w:szCs w:val="21"/>
                      <w:lang w:val="en-US" w:eastAsia="zh-CN" w:bidi="ar-SA"/>
                    </w:rPr>
                  </w:pPr>
                  <w:r>
                    <w:rPr>
                      <w:rFonts w:hint="default" w:ascii="Times New Roman" w:hAnsi="Times New Roman" w:eastAsia="宋体" w:cs="Times New Roman"/>
                      <w:bCs/>
                      <w:snapToGrid w:val="0"/>
                      <w:color w:val="auto"/>
                      <w:spacing w:val="6"/>
                      <w:sz w:val="21"/>
                      <w:szCs w:val="21"/>
                    </w:rPr>
                    <w:t>员工操作</w:t>
                  </w:r>
                </w:p>
              </w:tc>
              <w:tc>
                <w:tcPr>
                  <w:tcW w:w="188" w:type="pct"/>
                  <w:tcBorders>
                    <w:tl2br w:val="nil"/>
                    <w:tr2bl w:val="nil"/>
                  </w:tcBorders>
                  <w:shd w:val="clear" w:color="auto" w:fill="auto"/>
                  <w:vAlign w:val="center"/>
                </w:tcPr>
                <w:p w14:paraId="42BBFA13">
                  <w:pPr>
                    <w:widowControl/>
                    <w:jc w:val="center"/>
                    <w:rPr>
                      <w:rFonts w:hint="default" w:ascii="Times New Roman" w:hAnsi="Times New Roman" w:eastAsia="宋体" w:cs="Times New Roman"/>
                      <w:bCs/>
                      <w:snapToGrid w:val="0"/>
                      <w:color w:val="auto"/>
                      <w:spacing w:val="6"/>
                      <w:kern w:val="2"/>
                      <w:sz w:val="21"/>
                      <w:szCs w:val="21"/>
                      <w:lang w:val="en-US" w:eastAsia="zh-CN" w:bidi="ar-SA"/>
                    </w:rPr>
                  </w:pPr>
                  <w:r>
                    <w:rPr>
                      <w:rFonts w:hint="default" w:ascii="Times New Roman" w:hAnsi="Times New Roman" w:eastAsia="宋体" w:cs="Times New Roman"/>
                      <w:bCs/>
                      <w:snapToGrid w:val="0"/>
                      <w:color w:val="auto"/>
                      <w:spacing w:val="6"/>
                      <w:sz w:val="21"/>
                      <w:szCs w:val="21"/>
                    </w:rPr>
                    <w:t>固态</w:t>
                  </w:r>
                </w:p>
              </w:tc>
              <w:tc>
                <w:tcPr>
                  <w:tcW w:w="555" w:type="pct"/>
                  <w:tcBorders>
                    <w:tl2br w:val="nil"/>
                    <w:tr2bl w:val="nil"/>
                  </w:tcBorders>
                  <w:shd w:val="clear" w:color="auto" w:fill="auto"/>
                  <w:vAlign w:val="center"/>
                </w:tcPr>
                <w:p w14:paraId="47F766DE">
                  <w:pPr>
                    <w:widowControl/>
                    <w:jc w:val="center"/>
                    <w:rPr>
                      <w:rFonts w:hint="default" w:ascii="Times New Roman" w:hAnsi="Times New Roman" w:eastAsia="宋体" w:cs="Times New Roman"/>
                      <w:bCs/>
                      <w:snapToGrid w:val="0"/>
                      <w:color w:val="auto"/>
                      <w:spacing w:val="6"/>
                      <w:kern w:val="2"/>
                      <w:sz w:val="21"/>
                      <w:szCs w:val="21"/>
                      <w:lang w:val="en-US" w:eastAsia="zh-CN" w:bidi="ar-SA"/>
                    </w:rPr>
                  </w:pPr>
                  <w:r>
                    <w:rPr>
                      <w:rFonts w:hint="default" w:ascii="Times New Roman" w:hAnsi="Times New Roman" w:eastAsia="宋体" w:cs="Times New Roman"/>
                      <w:bCs/>
                      <w:snapToGrid w:val="0"/>
                      <w:color w:val="auto"/>
                      <w:spacing w:val="6"/>
                      <w:sz w:val="21"/>
                      <w:szCs w:val="21"/>
                    </w:rPr>
                    <w:t>抹布手套、有机物</w:t>
                  </w:r>
                </w:p>
              </w:tc>
              <w:tc>
                <w:tcPr>
                  <w:tcW w:w="321" w:type="pct"/>
                  <w:tcBorders>
                    <w:tl2br w:val="nil"/>
                    <w:tr2bl w:val="nil"/>
                  </w:tcBorders>
                  <w:shd w:val="clear" w:color="auto" w:fill="auto"/>
                  <w:vAlign w:val="center"/>
                </w:tcPr>
                <w:p w14:paraId="6F0B165C">
                  <w:pPr>
                    <w:pStyle w:val="22"/>
                    <w:widowControl w:val="0"/>
                    <w:snapToGrid w:val="0"/>
                    <w:spacing w:before="0" w:beforeAutospacing="0" w:after="0" w:afterAutospacing="0"/>
                    <w:jc w:val="center"/>
                    <w:rPr>
                      <w:rFonts w:hint="eastAsia" w:ascii="Times New Roman" w:hAnsi="Times New Roman" w:eastAsia="宋体" w:cs="Times New Roman"/>
                      <w:bCs/>
                      <w:color w:val="auto"/>
                      <w:kern w:val="0"/>
                      <w:sz w:val="21"/>
                      <w:szCs w:val="21"/>
                      <w:lang w:val="en-US" w:eastAsia="zh-CN" w:bidi="ar-SA"/>
                    </w:rPr>
                  </w:pPr>
                  <w:r>
                    <w:rPr>
                      <w:rFonts w:ascii="Times New Roman" w:hAnsi="Times New Roman"/>
                      <w:bCs/>
                      <w:color w:val="auto"/>
                      <w:sz w:val="21"/>
                      <w:szCs w:val="21"/>
                    </w:rPr>
                    <w:t>T/In</w:t>
                  </w:r>
                </w:p>
              </w:tc>
              <w:tc>
                <w:tcPr>
                  <w:tcW w:w="340" w:type="pct"/>
                  <w:tcBorders>
                    <w:tl2br w:val="nil"/>
                    <w:tr2bl w:val="nil"/>
                  </w:tcBorders>
                  <w:shd w:val="clear" w:color="auto" w:fill="auto"/>
                  <w:vAlign w:val="center"/>
                </w:tcPr>
                <w:p w14:paraId="532816E5">
                  <w:pPr>
                    <w:pStyle w:val="22"/>
                    <w:widowControl w:val="0"/>
                    <w:snapToGrid w:val="0"/>
                    <w:spacing w:before="0" w:beforeAutospacing="0" w:after="0" w:afterAutospacing="0"/>
                    <w:jc w:val="center"/>
                    <w:rPr>
                      <w:rFonts w:hint="default" w:ascii="宋体" w:hAnsi="宋体" w:eastAsia="宋体" w:cs="Times New Roman"/>
                      <w:color w:val="auto"/>
                      <w:kern w:val="0"/>
                      <w:sz w:val="21"/>
                      <w:szCs w:val="21"/>
                      <w:lang w:val="en-US" w:eastAsia="zh-CN" w:bidi="ar-SA"/>
                    </w:rPr>
                  </w:pPr>
                  <w:r>
                    <w:rPr>
                      <w:rFonts w:ascii="Times New Roman" w:hAnsi="Times New Roman"/>
                      <w:bCs/>
                      <w:color w:val="auto"/>
                      <w:sz w:val="21"/>
                      <w:szCs w:val="21"/>
                    </w:rPr>
                    <w:t>HW49</w:t>
                  </w:r>
                </w:p>
              </w:tc>
              <w:tc>
                <w:tcPr>
                  <w:tcW w:w="592" w:type="pct"/>
                  <w:tcBorders>
                    <w:tl2br w:val="nil"/>
                    <w:tr2bl w:val="nil"/>
                  </w:tcBorders>
                  <w:shd w:val="clear" w:color="auto" w:fill="auto"/>
                  <w:vAlign w:val="center"/>
                </w:tcPr>
                <w:p w14:paraId="549B469B">
                  <w:pPr>
                    <w:pStyle w:val="22"/>
                    <w:widowControl w:val="0"/>
                    <w:snapToGrid w:val="0"/>
                    <w:spacing w:before="0" w:beforeAutospacing="0" w:after="0" w:afterAutospacing="0"/>
                    <w:jc w:val="center"/>
                    <w:rPr>
                      <w:rFonts w:hint="default" w:ascii="宋体" w:hAnsi="宋体" w:eastAsia="宋体" w:cs="Times New Roman"/>
                      <w:color w:val="auto"/>
                      <w:kern w:val="0"/>
                      <w:sz w:val="21"/>
                      <w:szCs w:val="21"/>
                      <w:lang w:val="en-US" w:eastAsia="zh-CN" w:bidi="ar-SA"/>
                    </w:rPr>
                  </w:pPr>
                  <w:r>
                    <w:rPr>
                      <w:rFonts w:ascii="Times New Roman" w:hAnsi="Times New Roman"/>
                      <w:bCs/>
                      <w:color w:val="auto"/>
                      <w:sz w:val="21"/>
                      <w:szCs w:val="21"/>
                    </w:rPr>
                    <w:t>900-041-49</w:t>
                  </w:r>
                </w:p>
              </w:tc>
              <w:tc>
                <w:tcPr>
                  <w:tcW w:w="321" w:type="pct"/>
                  <w:tcBorders>
                    <w:tl2br w:val="nil"/>
                    <w:tr2bl w:val="nil"/>
                  </w:tcBorders>
                  <w:shd w:val="clear" w:color="auto" w:fill="auto"/>
                  <w:vAlign w:val="center"/>
                </w:tcPr>
                <w:p w14:paraId="082CDBA4">
                  <w:pPr>
                    <w:widowControl/>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0.05</w:t>
                  </w:r>
                </w:p>
              </w:tc>
              <w:tc>
                <w:tcPr>
                  <w:tcW w:w="310" w:type="pct"/>
                  <w:tcBorders>
                    <w:tl2br w:val="nil"/>
                    <w:tr2bl w:val="nil"/>
                  </w:tcBorders>
                  <w:shd w:val="clear" w:color="auto" w:fill="auto"/>
                  <w:vAlign w:val="center"/>
                </w:tcPr>
                <w:p w14:paraId="3BC1A9D2">
                  <w:pPr>
                    <w:widowControl w:val="0"/>
                    <w:snapToGrid w:val="0"/>
                    <w:spacing w:before="0" w:beforeAutospacing="0" w:after="0" w:afterAutospacing="0"/>
                    <w:jc w:val="center"/>
                    <w:rPr>
                      <w:rFonts w:hint="eastAsia" w:ascii="Times New Roman" w:hAnsi="Times New Roman" w:eastAsia="宋体" w:cs="Times New Roman"/>
                      <w:bCs/>
                      <w:snapToGrid w:val="0"/>
                      <w:color w:val="auto"/>
                      <w:spacing w:val="6"/>
                      <w:sz w:val="21"/>
                      <w:szCs w:val="21"/>
                      <w:lang w:val="en-US" w:eastAsia="zh-CN"/>
                    </w:rPr>
                  </w:pPr>
                  <w:r>
                    <w:rPr>
                      <w:rFonts w:hint="eastAsia" w:ascii="Times New Roman" w:hAnsi="Times New Roman" w:eastAsia="宋体" w:cs="Times New Roman"/>
                      <w:bCs/>
                      <w:snapToGrid w:val="0"/>
                      <w:color w:val="auto"/>
                      <w:spacing w:val="6"/>
                      <w:sz w:val="21"/>
                      <w:szCs w:val="21"/>
                      <w:lang w:val="en-US" w:eastAsia="zh-CN"/>
                    </w:rPr>
                    <w:t>III</w:t>
                  </w:r>
                </w:p>
              </w:tc>
              <w:tc>
                <w:tcPr>
                  <w:tcW w:w="350" w:type="pct"/>
                  <w:vMerge w:val="continue"/>
                  <w:tcBorders>
                    <w:tl2br w:val="nil"/>
                    <w:tr2bl w:val="nil"/>
                  </w:tcBorders>
                  <w:vAlign w:val="center"/>
                </w:tcPr>
                <w:p w14:paraId="7DB440DA">
                  <w:pPr>
                    <w:pStyle w:val="22"/>
                    <w:widowControl w:val="0"/>
                    <w:snapToGrid w:val="0"/>
                    <w:spacing w:before="0" w:beforeAutospacing="0" w:after="0" w:afterAutospacing="0"/>
                    <w:jc w:val="center"/>
                    <w:rPr>
                      <w:rFonts w:hint="eastAsia" w:ascii="Times New Roman" w:hAnsi="Times New Roman"/>
                      <w:bCs/>
                      <w:color w:val="auto"/>
                      <w:sz w:val="21"/>
                      <w:szCs w:val="21"/>
                    </w:rPr>
                  </w:pPr>
                </w:p>
              </w:tc>
              <w:tc>
                <w:tcPr>
                  <w:tcW w:w="179" w:type="pct"/>
                  <w:vMerge w:val="continue"/>
                  <w:tcBorders>
                    <w:tl2br w:val="nil"/>
                    <w:tr2bl w:val="nil"/>
                  </w:tcBorders>
                  <w:vAlign w:val="center"/>
                </w:tcPr>
                <w:p w14:paraId="6756DD2B">
                  <w:pPr>
                    <w:pStyle w:val="22"/>
                    <w:widowControl w:val="0"/>
                    <w:snapToGrid w:val="0"/>
                    <w:spacing w:before="0" w:beforeAutospacing="0" w:after="0" w:afterAutospacing="0"/>
                    <w:jc w:val="center"/>
                    <w:rPr>
                      <w:rFonts w:hint="eastAsia" w:ascii="Times New Roman" w:hAnsi="Times New Roman"/>
                      <w:bCs/>
                      <w:color w:val="auto"/>
                      <w:sz w:val="21"/>
                      <w:szCs w:val="21"/>
                      <w:lang w:val="en-US" w:eastAsia="zh-CN"/>
                    </w:rPr>
                  </w:pPr>
                </w:p>
              </w:tc>
              <w:tc>
                <w:tcPr>
                  <w:tcW w:w="220" w:type="pct"/>
                  <w:vMerge w:val="continue"/>
                  <w:tcBorders>
                    <w:tl2br w:val="nil"/>
                    <w:tr2bl w:val="nil"/>
                  </w:tcBorders>
                  <w:vAlign w:val="center"/>
                </w:tcPr>
                <w:p w14:paraId="6ED320F6">
                  <w:pPr>
                    <w:keepNext w:val="0"/>
                    <w:keepLines w:val="0"/>
                    <w:widowControl/>
                    <w:suppressLineNumbers w:val="0"/>
                    <w:jc w:val="center"/>
                    <w:textAlignment w:val="center"/>
                    <w:rPr>
                      <w:rFonts w:hint="default" w:ascii="Times New Roman" w:hAnsi="Times New Roman" w:eastAsia="宋体" w:cs="Times New Roman"/>
                      <w:bCs/>
                      <w:color w:val="auto"/>
                      <w:sz w:val="21"/>
                      <w:szCs w:val="21"/>
                      <w:lang w:val="en-US" w:eastAsia="zh-CN"/>
                    </w:rPr>
                  </w:pPr>
                </w:p>
              </w:tc>
              <w:tc>
                <w:tcPr>
                  <w:tcW w:w="269" w:type="pct"/>
                  <w:vMerge w:val="continue"/>
                  <w:tcBorders>
                    <w:tl2br w:val="nil"/>
                    <w:tr2bl w:val="nil"/>
                  </w:tcBorders>
                  <w:vAlign w:val="center"/>
                </w:tcPr>
                <w:p w14:paraId="5C85CA63">
                  <w:pPr>
                    <w:keepNext w:val="0"/>
                    <w:keepLines w:val="0"/>
                    <w:widowControl/>
                    <w:suppressLineNumbers w:val="0"/>
                    <w:jc w:val="center"/>
                    <w:textAlignment w:val="center"/>
                    <w:rPr>
                      <w:rFonts w:hint="default" w:ascii="Times New Roman" w:hAnsi="Times New Roman" w:eastAsia="宋体" w:cs="Times New Roman"/>
                      <w:bCs/>
                      <w:color w:val="auto"/>
                      <w:sz w:val="21"/>
                      <w:szCs w:val="21"/>
                      <w:lang w:val="en-US" w:eastAsia="zh-CN"/>
                    </w:rPr>
                  </w:pPr>
                </w:p>
              </w:tc>
            </w:tr>
            <w:tr w14:paraId="0669B4A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36" w:hRule="atLeast"/>
                <w:jc w:val="right"/>
              </w:trPr>
              <w:tc>
                <w:tcPr>
                  <w:tcW w:w="187" w:type="pct"/>
                  <w:tcBorders>
                    <w:tl2br w:val="nil"/>
                    <w:tr2bl w:val="nil"/>
                  </w:tcBorders>
                  <w:vAlign w:val="center"/>
                </w:tcPr>
                <w:p w14:paraId="50FD01DF">
                  <w:pPr>
                    <w:pStyle w:val="22"/>
                    <w:widowControl w:val="0"/>
                    <w:numPr>
                      <w:ilvl w:val="0"/>
                      <w:numId w:val="14"/>
                    </w:numPr>
                    <w:snapToGrid w:val="0"/>
                    <w:spacing w:before="0" w:beforeAutospacing="0" w:after="0" w:afterAutospacing="0"/>
                    <w:ind w:left="0" w:leftChars="0" w:firstLine="0" w:firstLineChars="0"/>
                    <w:jc w:val="center"/>
                    <w:rPr>
                      <w:rFonts w:hint="eastAsia" w:ascii="Times New Roman" w:hAnsi="Times New Roman"/>
                      <w:bCs/>
                      <w:color w:val="auto"/>
                      <w:sz w:val="21"/>
                      <w:szCs w:val="21"/>
                    </w:rPr>
                  </w:pPr>
                </w:p>
              </w:tc>
              <w:tc>
                <w:tcPr>
                  <w:tcW w:w="551" w:type="pct"/>
                  <w:tcBorders>
                    <w:tl2br w:val="nil"/>
                    <w:tr2bl w:val="nil"/>
                  </w:tcBorders>
                  <w:shd w:val="clear" w:color="auto" w:fill="auto"/>
                  <w:vAlign w:val="center"/>
                </w:tcPr>
                <w:p w14:paraId="52D4FD99">
                  <w:pPr>
                    <w:widowControl/>
                    <w:jc w:val="center"/>
                    <w:rPr>
                      <w:rFonts w:hint="default" w:ascii="Times New Roman" w:hAnsi="Times New Roman" w:eastAsia="宋体" w:cs="Times New Roman"/>
                      <w:bCs/>
                      <w:snapToGrid w:val="0"/>
                      <w:color w:val="auto"/>
                      <w:spacing w:val="6"/>
                      <w:kern w:val="2"/>
                      <w:sz w:val="21"/>
                      <w:szCs w:val="21"/>
                      <w:lang w:val="en-US" w:eastAsia="zh-CN" w:bidi="ar"/>
                    </w:rPr>
                  </w:pPr>
                  <w:r>
                    <w:rPr>
                      <w:rFonts w:hint="default" w:ascii="Times New Roman" w:hAnsi="Times New Roman" w:eastAsia="宋体" w:cs="Times New Roman"/>
                      <w:bCs/>
                      <w:snapToGrid w:val="0"/>
                      <w:color w:val="auto"/>
                      <w:spacing w:val="6"/>
                      <w:kern w:val="2"/>
                      <w:sz w:val="21"/>
                      <w:szCs w:val="21"/>
                      <w:lang w:val="en-US" w:eastAsia="zh-CN" w:bidi="ar"/>
                    </w:rPr>
                    <w:t>废包装桶</w:t>
                  </w:r>
                </w:p>
              </w:tc>
              <w:tc>
                <w:tcPr>
                  <w:tcW w:w="228" w:type="pct"/>
                  <w:vMerge w:val="continue"/>
                  <w:tcBorders>
                    <w:tl2br w:val="nil"/>
                    <w:tr2bl w:val="nil"/>
                  </w:tcBorders>
                  <w:shd w:val="clear" w:color="auto" w:fill="auto"/>
                  <w:vAlign w:val="center"/>
                </w:tcPr>
                <w:p w14:paraId="24475EA9">
                  <w:pPr>
                    <w:pStyle w:val="22"/>
                    <w:widowControl w:val="0"/>
                    <w:snapToGrid w:val="0"/>
                    <w:spacing w:before="0" w:beforeAutospacing="0" w:after="0" w:afterAutospacing="0"/>
                    <w:jc w:val="center"/>
                    <w:rPr>
                      <w:rFonts w:hint="eastAsia" w:ascii="Times New Roman" w:hAnsi="Times New Roman" w:eastAsia="宋体" w:cs="Times New Roman"/>
                      <w:bCs/>
                      <w:color w:val="auto"/>
                      <w:kern w:val="0"/>
                      <w:sz w:val="21"/>
                      <w:szCs w:val="21"/>
                      <w:lang w:val="en-US" w:eastAsia="zh-CN" w:bidi="ar-SA"/>
                    </w:rPr>
                  </w:pPr>
                </w:p>
              </w:tc>
              <w:tc>
                <w:tcPr>
                  <w:tcW w:w="383" w:type="pct"/>
                  <w:tcBorders>
                    <w:tl2br w:val="nil"/>
                    <w:tr2bl w:val="nil"/>
                  </w:tcBorders>
                  <w:shd w:val="clear" w:color="auto" w:fill="auto"/>
                  <w:vAlign w:val="center"/>
                </w:tcPr>
                <w:p w14:paraId="5599C881">
                  <w:pPr>
                    <w:pStyle w:val="22"/>
                    <w:widowControl w:val="0"/>
                    <w:snapToGrid w:val="0"/>
                    <w:spacing w:before="0" w:beforeAutospacing="0" w:after="0" w:afterAutospacing="0"/>
                    <w:jc w:val="center"/>
                    <w:rPr>
                      <w:rFonts w:hint="eastAsia" w:ascii="Times New Roman" w:hAnsi="Times New Roman" w:eastAsia="宋体" w:cs="Times New Roman"/>
                      <w:bCs/>
                      <w:color w:val="auto"/>
                      <w:kern w:val="0"/>
                      <w:sz w:val="21"/>
                      <w:szCs w:val="21"/>
                      <w:lang w:val="en-US" w:eastAsia="zh-CN" w:bidi="ar-SA"/>
                    </w:rPr>
                  </w:pPr>
                  <w:r>
                    <w:rPr>
                      <w:rFonts w:hint="default" w:ascii="Times New Roman" w:hAnsi="Times New Roman" w:eastAsia="宋体" w:cs="Times New Roman"/>
                      <w:bCs/>
                      <w:color w:val="auto"/>
                      <w:sz w:val="21"/>
                      <w:szCs w:val="21"/>
                    </w:rPr>
                    <w:t>原料使用</w:t>
                  </w:r>
                </w:p>
              </w:tc>
              <w:tc>
                <w:tcPr>
                  <w:tcW w:w="188" w:type="pct"/>
                  <w:tcBorders>
                    <w:tl2br w:val="nil"/>
                    <w:tr2bl w:val="nil"/>
                  </w:tcBorders>
                  <w:shd w:val="clear" w:color="auto" w:fill="auto"/>
                  <w:vAlign w:val="center"/>
                </w:tcPr>
                <w:p w14:paraId="635FDF37">
                  <w:pPr>
                    <w:pStyle w:val="22"/>
                    <w:widowControl w:val="0"/>
                    <w:snapToGrid w:val="0"/>
                    <w:spacing w:before="0" w:beforeAutospacing="0" w:after="0" w:afterAutospacing="0"/>
                    <w:jc w:val="center"/>
                    <w:rPr>
                      <w:rFonts w:hint="default" w:ascii="Times New Roman" w:hAnsi="Times New Roman" w:eastAsia="宋体" w:cs="Times New Roman"/>
                      <w:bCs/>
                      <w:color w:val="auto"/>
                      <w:kern w:val="0"/>
                      <w:sz w:val="21"/>
                      <w:szCs w:val="21"/>
                      <w:lang w:val="en-US" w:eastAsia="zh-CN" w:bidi="ar-SA"/>
                    </w:rPr>
                  </w:pPr>
                  <w:r>
                    <w:rPr>
                      <w:rFonts w:hint="default" w:ascii="Times New Roman" w:hAnsi="Times New Roman" w:eastAsia="宋体" w:cs="Times New Roman"/>
                      <w:bCs/>
                      <w:color w:val="auto"/>
                      <w:sz w:val="21"/>
                      <w:szCs w:val="21"/>
                    </w:rPr>
                    <w:t>固态</w:t>
                  </w:r>
                </w:p>
              </w:tc>
              <w:tc>
                <w:tcPr>
                  <w:tcW w:w="555" w:type="pct"/>
                  <w:tcBorders>
                    <w:tl2br w:val="nil"/>
                    <w:tr2bl w:val="nil"/>
                  </w:tcBorders>
                  <w:shd w:val="clear" w:color="auto" w:fill="auto"/>
                  <w:vAlign w:val="center"/>
                </w:tcPr>
                <w:p w14:paraId="1C1308CB">
                  <w:pPr>
                    <w:widowControl/>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bCs/>
                      <w:snapToGrid w:val="0"/>
                      <w:color w:val="auto"/>
                      <w:spacing w:val="6"/>
                      <w:sz w:val="21"/>
                      <w:szCs w:val="21"/>
                    </w:rPr>
                    <w:t>包装桶、有机物</w:t>
                  </w:r>
                </w:p>
              </w:tc>
              <w:tc>
                <w:tcPr>
                  <w:tcW w:w="321" w:type="pct"/>
                  <w:tcBorders>
                    <w:tl2br w:val="nil"/>
                    <w:tr2bl w:val="nil"/>
                  </w:tcBorders>
                  <w:shd w:val="clear" w:color="auto" w:fill="auto"/>
                  <w:vAlign w:val="center"/>
                </w:tcPr>
                <w:p w14:paraId="1781B20B">
                  <w:pPr>
                    <w:pStyle w:val="22"/>
                    <w:widowControl w:val="0"/>
                    <w:snapToGrid w:val="0"/>
                    <w:spacing w:before="0" w:beforeAutospacing="0" w:after="0" w:afterAutospacing="0"/>
                    <w:jc w:val="center"/>
                    <w:rPr>
                      <w:rFonts w:hint="eastAsia" w:ascii="Times New Roman" w:hAnsi="Times New Roman" w:eastAsia="宋体" w:cs="Times New Roman"/>
                      <w:bCs/>
                      <w:color w:val="auto"/>
                      <w:kern w:val="0"/>
                      <w:sz w:val="21"/>
                      <w:szCs w:val="21"/>
                      <w:lang w:val="en-US" w:eastAsia="zh-CN" w:bidi="ar-SA"/>
                    </w:rPr>
                  </w:pPr>
                  <w:r>
                    <w:rPr>
                      <w:rFonts w:ascii="Times New Roman" w:hAnsi="Times New Roman"/>
                      <w:bCs/>
                      <w:color w:val="auto"/>
                      <w:sz w:val="21"/>
                      <w:szCs w:val="21"/>
                    </w:rPr>
                    <w:t>T/In</w:t>
                  </w:r>
                </w:p>
              </w:tc>
              <w:tc>
                <w:tcPr>
                  <w:tcW w:w="340" w:type="pct"/>
                  <w:tcBorders>
                    <w:tl2br w:val="nil"/>
                    <w:tr2bl w:val="nil"/>
                  </w:tcBorders>
                  <w:shd w:val="clear" w:color="auto" w:fill="auto"/>
                  <w:vAlign w:val="center"/>
                </w:tcPr>
                <w:p w14:paraId="2F929B03">
                  <w:pPr>
                    <w:pStyle w:val="22"/>
                    <w:widowControl w:val="0"/>
                    <w:snapToGrid w:val="0"/>
                    <w:spacing w:before="0" w:beforeAutospacing="0" w:after="0" w:afterAutospacing="0"/>
                    <w:jc w:val="center"/>
                    <w:rPr>
                      <w:rFonts w:hint="default" w:ascii="宋体" w:hAnsi="宋体" w:eastAsia="宋体" w:cs="Times New Roman"/>
                      <w:color w:val="auto"/>
                      <w:kern w:val="0"/>
                      <w:sz w:val="21"/>
                      <w:szCs w:val="21"/>
                      <w:lang w:val="en-US" w:eastAsia="zh-CN" w:bidi="ar-SA"/>
                    </w:rPr>
                  </w:pPr>
                  <w:r>
                    <w:rPr>
                      <w:rFonts w:ascii="Times New Roman" w:hAnsi="Times New Roman"/>
                      <w:bCs/>
                      <w:color w:val="auto"/>
                      <w:sz w:val="21"/>
                      <w:szCs w:val="21"/>
                    </w:rPr>
                    <w:t>HW49</w:t>
                  </w:r>
                </w:p>
              </w:tc>
              <w:tc>
                <w:tcPr>
                  <w:tcW w:w="592" w:type="pct"/>
                  <w:tcBorders>
                    <w:tl2br w:val="nil"/>
                    <w:tr2bl w:val="nil"/>
                  </w:tcBorders>
                  <w:shd w:val="clear" w:color="auto" w:fill="auto"/>
                  <w:vAlign w:val="center"/>
                </w:tcPr>
                <w:p w14:paraId="1E40E9EE">
                  <w:pPr>
                    <w:pStyle w:val="22"/>
                    <w:widowControl w:val="0"/>
                    <w:snapToGrid w:val="0"/>
                    <w:spacing w:before="0" w:beforeAutospacing="0" w:after="0" w:afterAutospacing="0"/>
                    <w:jc w:val="center"/>
                    <w:rPr>
                      <w:rFonts w:hint="default" w:ascii="宋体" w:hAnsi="宋体" w:eastAsia="宋体" w:cs="Times New Roman"/>
                      <w:color w:val="auto"/>
                      <w:kern w:val="0"/>
                      <w:sz w:val="21"/>
                      <w:szCs w:val="21"/>
                      <w:lang w:val="en-US" w:eastAsia="zh-CN" w:bidi="ar-SA"/>
                    </w:rPr>
                  </w:pPr>
                  <w:r>
                    <w:rPr>
                      <w:rFonts w:ascii="Times New Roman" w:hAnsi="Times New Roman"/>
                      <w:bCs/>
                      <w:color w:val="auto"/>
                      <w:sz w:val="21"/>
                      <w:szCs w:val="21"/>
                    </w:rPr>
                    <w:t>900-041-49</w:t>
                  </w:r>
                </w:p>
              </w:tc>
              <w:tc>
                <w:tcPr>
                  <w:tcW w:w="321" w:type="pct"/>
                  <w:tcBorders>
                    <w:tl2br w:val="nil"/>
                    <w:tr2bl w:val="nil"/>
                  </w:tcBorders>
                  <w:shd w:val="clear" w:color="auto" w:fill="auto"/>
                  <w:vAlign w:val="center"/>
                </w:tcPr>
                <w:p w14:paraId="724FA98D">
                  <w:pPr>
                    <w:widowControl/>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0.195</w:t>
                  </w:r>
                </w:p>
              </w:tc>
              <w:tc>
                <w:tcPr>
                  <w:tcW w:w="310" w:type="pct"/>
                  <w:tcBorders>
                    <w:tl2br w:val="nil"/>
                    <w:tr2bl w:val="nil"/>
                  </w:tcBorders>
                  <w:shd w:val="clear" w:color="auto" w:fill="auto"/>
                  <w:vAlign w:val="center"/>
                </w:tcPr>
                <w:p w14:paraId="375D9F2B">
                  <w:pPr>
                    <w:widowControl w:val="0"/>
                    <w:snapToGrid w:val="0"/>
                    <w:spacing w:before="0" w:beforeAutospacing="0" w:after="0" w:afterAutospacing="0"/>
                    <w:jc w:val="center"/>
                    <w:rPr>
                      <w:rFonts w:hint="eastAsia" w:ascii="Times New Roman" w:hAnsi="Times New Roman" w:eastAsia="宋体" w:cs="Times New Roman"/>
                      <w:bCs/>
                      <w:snapToGrid w:val="0"/>
                      <w:color w:val="auto"/>
                      <w:spacing w:val="6"/>
                      <w:sz w:val="21"/>
                      <w:szCs w:val="21"/>
                      <w:lang w:val="en-US" w:eastAsia="zh-CN"/>
                    </w:rPr>
                  </w:pPr>
                  <w:r>
                    <w:rPr>
                      <w:rFonts w:hint="eastAsia" w:ascii="Times New Roman" w:hAnsi="Times New Roman" w:eastAsia="宋体" w:cs="Times New Roman"/>
                      <w:bCs/>
                      <w:snapToGrid w:val="0"/>
                      <w:color w:val="auto"/>
                      <w:spacing w:val="6"/>
                      <w:sz w:val="21"/>
                      <w:szCs w:val="21"/>
                      <w:lang w:val="en-US" w:eastAsia="zh-CN"/>
                    </w:rPr>
                    <w:t>III</w:t>
                  </w:r>
                </w:p>
              </w:tc>
              <w:tc>
                <w:tcPr>
                  <w:tcW w:w="350" w:type="pct"/>
                  <w:vMerge w:val="continue"/>
                  <w:tcBorders>
                    <w:tl2br w:val="nil"/>
                    <w:tr2bl w:val="nil"/>
                  </w:tcBorders>
                  <w:vAlign w:val="center"/>
                </w:tcPr>
                <w:p w14:paraId="0F15AD2E">
                  <w:pPr>
                    <w:pStyle w:val="22"/>
                    <w:widowControl w:val="0"/>
                    <w:snapToGrid w:val="0"/>
                    <w:spacing w:before="0" w:beforeAutospacing="0" w:after="0" w:afterAutospacing="0"/>
                    <w:jc w:val="center"/>
                    <w:rPr>
                      <w:rFonts w:hint="eastAsia" w:ascii="Times New Roman" w:hAnsi="Times New Roman"/>
                      <w:bCs/>
                      <w:color w:val="auto"/>
                      <w:sz w:val="21"/>
                      <w:szCs w:val="21"/>
                    </w:rPr>
                  </w:pPr>
                </w:p>
              </w:tc>
              <w:tc>
                <w:tcPr>
                  <w:tcW w:w="179" w:type="pct"/>
                  <w:vMerge w:val="continue"/>
                  <w:tcBorders>
                    <w:tl2br w:val="nil"/>
                    <w:tr2bl w:val="nil"/>
                  </w:tcBorders>
                  <w:vAlign w:val="center"/>
                </w:tcPr>
                <w:p w14:paraId="1A678F09">
                  <w:pPr>
                    <w:pStyle w:val="22"/>
                    <w:widowControl w:val="0"/>
                    <w:snapToGrid w:val="0"/>
                    <w:spacing w:before="0" w:beforeAutospacing="0" w:after="0" w:afterAutospacing="0"/>
                    <w:jc w:val="center"/>
                    <w:rPr>
                      <w:rFonts w:hint="eastAsia" w:ascii="Times New Roman" w:hAnsi="Times New Roman"/>
                      <w:bCs/>
                      <w:color w:val="auto"/>
                      <w:sz w:val="21"/>
                      <w:szCs w:val="21"/>
                      <w:lang w:val="en-US" w:eastAsia="zh-CN"/>
                    </w:rPr>
                  </w:pPr>
                </w:p>
              </w:tc>
              <w:tc>
                <w:tcPr>
                  <w:tcW w:w="220" w:type="pct"/>
                  <w:vMerge w:val="continue"/>
                  <w:tcBorders>
                    <w:tl2br w:val="nil"/>
                    <w:tr2bl w:val="nil"/>
                  </w:tcBorders>
                  <w:vAlign w:val="center"/>
                </w:tcPr>
                <w:p w14:paraId="5F37CE32">
                  <w:pPr>
                    <w:keepNext w:val="0"/>
                    <w:keepLines w:val="0"/>
                    <w:widowControl/>
                    <w:suppressLineNumbers w:val="0"/>
                    <w:jc w:val="center"/>
                    <w:textAlignment w:val="center"/>
                    <w:rPr>
                      <w:rFonts w:hint="default" w:ascii="Times New Roman" w:hAnsi="Times New Roman" w:eastAsia="宋体" w:cs="Times New Roman"/>
                      <w:bCs/>
                      <w:color w:val="auto"/>
                      <w:sz w:val="21"/>
                      <w:szCs w:val="21"/>
                      <w:lang w:val="en-US" w:eastAsia="zh-CN"/>
                    </w:rPr>
                  </w:pPr>
                </w:p>
              </w:tc>
              <w:tc>
                <w:tcPr>
                  <w:tcW w:w="269" w:type="pct"/>
                  <w:vMerge w:val="continue"/>
                  <w:tcBorders>
                    <w:tl2br w:val="nil"/>
                    <w:tr2bl w:val="nil"/>
                  </w:tcBorders>
                  <w:vAlign w:val="center"/>
                </w:tcPr>
                <w:p w14:paraId="7CDED98F">
                  <w:pPr>
                    <w:keepNext w:val="0"/>
                    <w:keepLines w:val="0"/>
                    <w:widowControl/>
                    <w:suppressLineNumbers w:val="0"/>
                    <w:jc w:val="center"/>
                    <w:textAlignment w:val="center"/>
                    <w:rPr>
                      <w:rFonts w:hint="default" w:ascii="Times New Roman" w:hAnsi="Times New Roman" w:eastAsia="宋体" w:cs="Times New Roman"/>
                      <w:bCs/>
                      <w:color w:val="auto"/>
                      <w:sz w:val="21"/>
                      <w:szCs w:val="21"/>
                      <w:lang w:val="en-US" w:eastAsia="zh-CN"/>
                    </w:rPr>
                  </w:pPr>
                </w:p>
              </w:tc>
            </w:tr>
            <w:tr w14:paraId="2F689DE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36" w:hRule="atLeast"/>
                <w:jc w:val="right"/>
              </w:trPr>
              <w:tc>
                <w:tcPr>
                  <w:tcW w:w="187" w:type="pct"/>
                  <w:tcBorders>
                    <w:tl2br w:val="nil"/>
                    <w:tr2bl w:val="nil"/>
                  </w:tcBorders>
                  <w:vAlign w:val="center"/>
                </w:tcPr>
                <w:p w14:paraId="25671E1C">
                  <w:pPr>
                    <w:pStyle w:val="22"/>
                    <w:widowControl w:val="0"/>
                    <w:numPr>
                      <w:ilvl w:val="0"/>
                      <w:numId w:val="14"/>
                    </w:numPr>
                    <w:snapToGrid w:val="0"/>
                    <w:spacing w:before="0" w:beforeAutospacing="0" w:after="0" w:afterAutospacing="0"/>
                    <w:ind w:left="0" w:leftChars="0" w:firstLine="0" w:firstLineChars="0"/>
                    <w:jc w:val="center"/>
                    <w:rPr>
                      <w:rFonts w:hint="eastAsia" w:ascii="Times New Roman" w:hAnsi="Times New Roman"/>
                      <w:bCs/>
                      <w:color w:val="auto"/>
                      <w:sz w:val="21"/>
                      <w:szCs w:val="21"/>
                    </w:rPr>
                  </w:pPr>
                </w:p>
              </w:tc>
              <w:tc>
                <w:tcPr>
                  <w:tcW w:w="551" w:type="pct"/>
                  <w:tcBorders>
                    <w:tl2br w:val="nil"/>
                    <w:tr2bl w:val="nil"/>
                  </w:tcBorders>
                  <w:shd w:val="clear" w:color="auto" w:fill="auto"/>
                  <w:vAlign w:val="center"/>
                </w:tcPr>
                <w:p w14:paraId="1CD2AAD6">
                  <w:pPr>
                    <w:widowControl/>
                    <w:jc w:val="center"/>
                    <w:rPr>
                      <w:rFonts w:hint="default" w:ascii="Times New Roman" w:hAnsi="Times New Roman" w:eastAsia="宋体" w:cs="Times New Roman"/>
                      <w:bCs/>
                      <w:snapToGrid w:val="0"/>
                      <w:color w:val="auto"/>
                      <w:spacing w:val="6"/>
                      <w:kern w:val="2"/>
                      <w:sz w:val="21"/>
                      <w:szCs w:val="21"/>
                      <w:lang w:val="en-US" w:eastAsia="zh-CN" w:bidi="ar"/>
                    </w:rPr>
                  </w:pPr>
                  <w:r>
                    <w:rPr>
                      <w:rFonts w:hint="default" w:ascii="Times New Roman" w:hAnsi="Times New Roman" w:eastAsia="宋体" w:cs="Times New Roman"/>
                      <w:bCs/>
                      <w:snapToGrid w:val="0"/>
                      <w:color w:val="auto"/>
                      <w:spacing w:val="6"/>
                      <w:kern w:val="2"/>
                      <w:sz w:val="21"/>
                      <w:szCs w:val="21"/>
                      <w:lang w:val="en-US" w:eastAsia="zh-CN" w:bidi="ar"/>
                    </w:rPr>
                    <w:t>废油桶</w:t>
                  </w:r>
                </w:p>
              </w:tc>
              <w:tc>
                <w:tcPr>
                  <w:tcW w:w="228" w:type="pct"/>
                  <w:vMerge w:val="continue"/>
                  <w:tcBorders>
                    <w:tl2br w:val="nil"/>
                    <w:tr2bl w:val="nil"/>
                  </w:tcBorders>
                  <w:shd w:val="clear" w:color="auto" w:fill="auto"/>
                  <w:vAlign w:val="center"/>
                </w:tcPr>
                <w:p w14:paraId="7B3B5F8B">
                  <w:pPr>
                    <w:pStyle w:val="22"/>
                    <w:widowControl w:val="0"/>
                    <w:snapToGrid w:val="0"/>
                    <w:spacing w:before="0" w:beforeAutospacing="0" w:after="0" w:afterAutospacing="0"/>
                    <w:jc w:val="center"/>
                    <w:rPr>
                      <w:rFonts w:hint="eastAsia" w:ascii="Times New Roman" w:hAnsi="Times New Roman" w:eastAsia="宋体" w:cs="Times New Roman"/>
                      <w:bCs/>
                      <w:color w:val="auto"/>
                      <w:kern w:val="0"/>
                      <w:sz w:val="21"/>
                      <w:szCs w:val="21"/>
                      <w:lang w:val="en-US" w:eastAsia="zh-CN" w:bidi="ar-SA"/>
                    </w:rPr>
                  </w:pPr>
                </w:p>
              </w:tc>
              <w:tc>
                <w:tcPr>
                  <w:tcW w:w="383" w:type="pct"/>
                  <w:tcBorders>
                    <w:tl2br w:val="nil"/>
                    <w:tr2bl w:val="nil"/>
                  </w:tcBorders>
                  <w:shd w:val="clear" w:color="auto" w:fill="auto"/>
                  <w:vAlign w:val="center"/>
                </w:tcPr>
                <w:p w14:paraId="52A9BD16">
                  <w:pPr>
                    <w:widowControl/>
                    <w:jc w:val="center"/>
                    <w:rPr>
                      <w:rFonts w:hint="eastAsia" w:ascii="Times New Roman" w:hAnsi="Times New Roman" w:eastAsia="宋体" w:cs="Times New Roman"/>
                      <w:bCs/>
                      <w:snapToGrid w:val="0"/>
                      <w:color w:val="auto"/>
                      <w:spacing w:val="6"/>
                      <w:kern w:val="2"/>
                      <w:sz w:val="21"/>
                      <w:szCs w:val="21"/>
                      <w:lang w:val="en-US" w:eastAsia="zh-CN" w:bidi="ar"/>
                    </w:rPr>
                  </w:pPr>
                  <w:r>
                    <w:rPr>
                      <w:rFonts w:hint="eastAsia" w:cs="Times New Roman"/>
                      <w:bCs/>
                      <w:snapToGrid w:val="0"/>
                      <w:color w:val="auto"/>
                      <w:spacing w:val="6"/>
                      <w:sz w:val="21"/>
                      <w:szCs w:val="21"/>
                      <w:lang w:val="en-US" w:eastAsia="zh-CN"/>
                    </w:rPr>
                    <w:t>原料包装</w:t>
                  </w:r>
                </w:p>
              </w:tc>
              <w:tc>
                <w:tcPr>
                  <w:tcW w:w="188" w:type="pct"/>
                  <w:tcBorders>
                    <w:tl2br w:val="nil"/>
                    <w:tr2bl w:val="nil"/>
                  </w:tcBorders>
                  <w:shd w:val="clear" w:color="auto" w:fill="auto"/>
                  <w:vAlign w:val="center"/>
                </w:tcPr>
                <w:p w14:paraId="70CF3B73">
                  <w:pPr>
                    <w:widowControl/>
                    <w:jc w:val="center"/>
                    <w:rPr>
                      <w:rFonts w:hint="default" w:ascii="Times New Roman" w:hAnsi="Times New Roman" w:eastAsia="宋体" w:cs="Times New Roman"/>
                      <w:bCs/>
                      <w:snapToGrid w:val="0"/>
                      <w:color w:val="auto"/>
                      <w:spacing w:val="6"/>
                      <w:kern w:val="2"/>
                      <w:sz w:val="21"/>
                      <w:szCs w:val="21"/>
                      <w:lang w:val="en-US" w:eastAsia="zh-CN" w:bidi="ar-SA"/>
                    </w:rPr>
                  </w:pPr>
                  <w:r>
                    <w:rPr>
                      <w:rFonts w:hint="default" w:ascii="Times New Roman" w:hAnsi="Times New Roman" w:eastAsia="宋体" w:cs="Times New Roman"/>
                      <w:bCs/>
                      <w:snapToGrid w:val="0"/>
                      <w:color w:val="auto"/>
                      <w:spacing w:val="6"/>
                      <w:sz w:val="21"/>
                      <w:szCs w:val="21"/>
                    </w:rPr>
                    <w:t>固态</w:t>
                  </w:r>
                </w:p>
              </w:tc>
              <w:tc>
                <w:tcPr>
                  <w:tcW w:w="555" w:type="pct"/>
                  <w:tcBorders>
                    <w:tl2br w:val="nil"/>
                    <w:tr2bl w:val="nil"/>
                  </w:tcBorders>
                  <w:shd w:val="clear" w:color="auto" w:fill="auto"/>
                  <w:vAlign w:val="center"/>
                </w:tcPr>
                <w:p w14:paraId="364E0B78">
                  <w:pPr>
                    <w:widowControl/>
                    <w:jc w:val="center"/>
                    <w:rPr>
                      <w:rFonts w:hint="default" w:ascii="Times New Roman" w:hAnsi="Times New Roman" w:eastAsia="宋体" w:cs="Times New Roman"/>
                      <w:bCs/>
                      <w:snapToGrid w:val="0"/>
                      <w:color w:val="auto"/>
                      <w:spacing w:val="6"/>
                      <w:kern w:val="2"/>
                      <w:sz w:val="21"/>
                      <w:szCs w:val="21"/>
                      <w:lang w:val="en-US" w:eastAsia="zh-CN" w:bidi="ar-SA"/>
                    </w:rPr>
                  </w:pPr>
                  <w:r>
                    <w:rPr>
                      <w:rFonts w:hint="default" w:ascii="Times New Roman" w:hAnsi="Times New Roman" w:eastAsia="宋体" w:cs="Times New Roman"/>
                      <w:bCs/>
                      <w:snapToGrid w:val="0"/>
                      <w:color w:val="auto"/>
                      <w:spacing w:val="6"/>
                      <w:sz w:val="21"/>
                      <w:szCs w:val="21"/>
                    </w:rPr>
                    <w:t>油桶、矿物油</w:t>
                  </w:r>
                </w:p>
              </w:tc>
              <w:tc>
                <w:tcPr>
                  <w:tcW w:w="321" w:type="pct"/>
                  <w:tcBorders>
                    <w:tl2br w:val="nil"/>
                    <w:tr2bl w:val="nil"/>
                  </w:tcBorders>
                  <w:shd w:val="clear" w:color="auto" w:fill="auto"/>
                  <w:vAlign w:val="center"/>
                </w:tcPr>
                <w:p w14:paraId="6A85ADC3">
                  <w:pPr>
                    <w:pStyle w:val="22"/>
                    <w:widowControl w:val="0"/>
                    <w:snapToGrid w:val="0"/>
                    <w:spacing w:before="0" w:beforeAutospacing="0" w:after="0" w:afterAutospacing="0"/>
                    <w:jc w:val="center"/>
                    <w:rPr>
                      <w:rFonts w:hint="eastAsia" w:ascii="Times New Roman" w:hAnsi="Times New Roman" w:eastAsia="宋体" w:cs="Times New Roman"/>
                      <w:bCs/>
                      <w:color w:val="auto"/>
                      <w:kern w:val="0"/>
                      <w:sz w:val="21"/>
                      <w:szCs w:val="21"/>
                      <w:lang w:val="en-US" w:eastAsia="zh-CN" w:bidi="ar-SA"/>
                    </w:rPr>
                  </w:pPr>
                  <w:r>
                    <w:rPr>
                      <w:rFonts w:ascii="Times New Roman" w:hAnsi="Times New Roman"/>
                      <w:bCs/>
                      <w:color w:val="auto"/>
                      <w:sz w:val="21"/>
                      <w:szCs w:val="21"/>
                    </w:rPr>
                    <w:t>T，I</w:t>
                  </w:r>
                </w:p>
              </w:tc>
              <w:tc>
                <w:tcPr>
                  <w:tcW w:w="340" w:type="pct"/>
                  <w:tcBorders>
                    <w:tl2br w:val="nil"/>
                    <w:tr2bl w:val="nil"/>
                  </w:tcBorders>
                  <w:shd w:val="clear" w:color="auto" w:fill="auto"/>
                  <w:vAlign w:val="center"/>
                </w:tcPr>
                <w:p w14:paraId="023B3274">
                  <w:pPr>
                    <w:pStyle w:val="22"/>
                    <w:widowControl w:val="0"/>
                    <w:snapToGrid w:val="0"/>
                    <w:spacing w:before="0" w:beforeAutospacing="0" w:after="0" w:afterAutospacing="0"/>
                    <w:jc w:val="center"/>
                    <w:rPr>
                      <w:rFonts w:hint="default" w:ascii="宋体" w:hAnsi="宋体" w:eastAsia="宋体" w:cs="Times New Roman"/>
                      <w:color w:val="auto"/>
                      <w:kern w:val="0"/>
                      <w:sz w:val="21"/>
                      <w:szCs w:val="21"/>
                      <w:lang w:val="en-US" w:eastAsia="zh-CN" w:bidi="ar-SA"/>
                    </w:rPr>
                  </w:pPr>
                  <w:r>
                    <w:rPr>
                      <w:rFonts w:ascii="Times New Roman" w:hAnsi="Times New Roman"/>
                      <w:bCs/>
                      <w:color w:val="auto"/>
                      <w:sz w:val="21"/>
                      <w:szCs w:val="21"/>
                    </w:rPr>
                    <w:t>HW08</w:t>
                  </w:r>
                </w:p>
              </w:tc>
              <w:tc>
                <w:tcPr>
                  <w:tcW w:w="592" w:type="pct"/>
                  <w:tcBorders>
                    <w:tl2br w:val="nil"/>
                    <w:tr2bl w:val="nil"/>
                  </w:tcBorders>
                  <w:shd w:val="clear" w:color="auto" w:fill="auto"/>
                  <w:vAlign w:val="center"/>
                </w:tcPr>
                <w:p w14:paraId="6566C0BC">
                  <w:pPr>
                    <w:pStyle w:val="22"/>
                    <w:widowControl w:val="0"/>
                    <w:snapToGrid w:val="0"/>
                    <w:spacing w:before="0" w:beforeAutospacing="0" w:after="0" w:afterAutospacing="0"/>
                    <w:jc w:val="center"/>
                    <w:rPr>
                      <w:rFonts w:hint="default" w:ascii="宋体" w:hAnsi="宋体" w:eastAsia="宋体" w:cs="Times New Roman"/>
                      <w:color w:val="auto"/>
                      <w:kern w:val="0"/>
                      <w:sz w:val="21"/>
                      <w:szCs w:val="21"/>
                      <w:lang w:val="en-US" w:eastAsia="zh-CN" w:bidi="ar-SA"/>
                    </w:rPr>
                  </w:pPr>
                  <w:r>
                    <w:rPr>
                      <w:rFonts w:ascii="Times New Roman" w:hAnsi="Times New Roman"/>
                      <w:bCs/>
                      <w:color w:val="auto"/>
                      <w:sz w:val="21"/>
                      <w:szCs w:val="21"/>
                    </w:rPr>
                    <w:t>900-249-08</w:t>
                  </w:r>
                </w:p>
              </w:tc>
              <w:tc>
                <w:tcPr>
                  <w:tcW w:w="321" w:type="pct"/>
                  <w:tcBorders>
                    <w:tl2br w:val="nil"/>
                    <w:tr2bl w:val="nil"/>
                  </w:tcBorders>
                  <w:shd w:val="clear" w:color="auto" w:fill="auto"/>
                  <w:vAlign w:val="center"/>
                </w:tcPr>
                <w:p w14:paraId="2F965146">
                  <w:pPr>
                    <w:widowControl/>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0.665</w:t>
                  </w:r>
                </w:p>
              </w:tc>
              <w:tc>
                <w:tcPr>
                  <w:tcW w:w="310" w:type="pct"/>
                  <w:tcBorders>
                    <w:tl2br w:val="nil"/>
                    <w:tr2bl w:val="nil"/>
                  </w:tcBorders>
                  <w:shd w:val="clear" w:color="auto" w:fill="auto"/>
                  <w:vAlign w:val="center"/>
                </w:tcPr>
                <w:p w14:paraId="5D673DFE">
                  <w:pPr>
                    <w:widowControl w:val="0"/>
                    <w:snapToGrid w:val="0"/>
                    <w:spacing w:before="0" w:beforeAutospacing="0" w:after="0" w:afterAutospacing="0"/>
                    <w:jc w:val="center"/>
                    <w:rPr>
                      <w:rFonts w:hint="eastAsia" w:ascii="Times New Roman" w:hAnsi="Times New Roman" w:eastAsia="宋体" w:cs="Times New Roman"/>
                      <w:bCs/>
                      <w:snapToGrid w:val="0"/>
                      <w:color w:val="auto"/>
                      <w:spacing w:val="6"/>
                      <w:sz w:val="21"/>
                      <w:szCs w:val="21"/>
                      <w:lang w:val="en-US" w:eastAsia="zh-CN"/>
                    </w:rPr>
                  </w:pPr>
                  <w:r>
                    <w:rPr>
                      <w:rFonts w:hint="eastAsia" w:ascii="Times New Roman" w:hAnsi="Times New Roman"/>
                      <w:bCs/>
                      <w:color w:val="auto"/>
                      <w:sz w:val="21"/>
                      <w:szCs w:val="21"/>
                    </w:rPr>
                    <w:t>II</w:t>
                  </w:r>
                </w:p>
              </w:tc>
              <w:tc>
                <w:tcPr>
                  <w:tcW w:w="350" w:type="pct"/>
                  <w:vMerge w:val="continue"/>
                  <w:tcBorders>
                    <w:tl2br w:val="nil"/>
                    <w:tr2bl w:val="nil"/>
                  </w:tcBorders>
                  <w:vAlign w:val="center"/>
                </w:tcPr>
                <w:p w14:paraId="49DDB146">
                  <w:pPr>
                    <w:pStyle w:val="22"/>
                    <w:widowControl w:val="0"/>
                    <w:snapToGrid w:val="0"/>
                    <w:spacing w:before="0" w:beforeAutospacing="0" w:after="0" w:afterAutospacing="0"/>
                    <w:jc w:val="center"/>
                    <w:rPr>
                      <w:rFonts w:hint="eastAsia" w:ascii="Times New Roman" w:hAnsi="Times New Roman"/>
                      <w:bCs/>
                      <w:color w:val="auto"/>
                      <w:sz w:val="21"/>
                      <w:szCs w:val="21"/>
                    </w:rPr>
                  </w:pPr>
                </w:p>
              </w:tc>
              <w:tc>
                <w:tcPr>
                  <w:tcW w:w="179" w:type="pct"/>
                  <w:vMerge w:val="continue"/>
                  <w:tcBorders>
                    <w:tl2br w:val="nil"/>
                    <w:tr2bl w:val="nil"/>
                  </w:tcBorders>
                  <w:vAlign w:val="center"/>
                </w:tcPr>
                <w:p w14:paraId="5CF38F74">
                  <w:pPr>
                    <w:pStyle w:val="22"/>
                    <w:widowControl w:val="0"/>
                    <w:snapToGrid w:val="0"/>
                    <w:spacing w:before="0" w:beforeAutospacing="0" w:after="0" w:afterAutospacing="0"/>
                    <w:jc w:val="center"/>
                    <w:rPr>
                      <w:rFonts w:hint="eastAsia" w:ascii="Times New Roman" w:hAnsi="Times New Roman"/>
                      <w:bCs/>
                      <w:color w:val="auto"/>
                      <w:sz w:val="21"/>
                      <w:szCs w:val="21"/>
                      <w:lang w:val="en-US" w:eastAsia="zh-CN"/>
                    </w:rPr>
                  </w:pPr>
                </w:p>
              </w:tc>
              <w:tc>
                <w:tcPr>
                  <w:tcW w:w="220" w:type="pct"/>
                  <w:vMerge w:val="continue"/>
                  <w:tcBorders>
                    <w:tl2br w:val="nil"/>
                    <w:tr2bl w:val="nil"/>
                  </w:tcBorders>
                  <w:vAlign w:val="center"/>
                </w:tcPr>
                <w:p w14:paraId="62D340D5">
                  <w:pPr>
                    <w:keepNext w:val="0"/>
                    <w:keepLines w:val="0"/>
                    <w:widowControl/>
                    <w:suppressLineNumbers w:val="0"/>
                    <w:jc w:val="center"/>
                    <w:textAlignment w:val="center"/>
                    <w:rPr>
                      <w:rFonts w:hint="default" w:ascii="Times New Roman" w:hAnsi="Times New Roman" w:eastAsia="宋体" w:cs="Times New Roman"/>
                      <w:bCs/>
                      <w:color w:val="auto"/>
                      <w:sz w:val="21"/>
                      <w:szCs w:val="21"/>
                      <w:lang w:val="en-US" w:eastAsia="zh-CN"/>
                    </w:rPr>
                  </w:pPr>
                </w:p>
              </w:tc>
              <w:tc>
                <w:tcPr>
                  <w:tcW w:w="269" w:type="pct"/>
                  <w:vMerge w:val="continue"/>
                  <w:tcBorders>
                    <w:tl2br w:val="nil"/>
                    <w:tr2bl w:val="nil"/>
                  </w:tcBorders>
                  <w:vAlign w:val="center"/>
                </w:tcPr>
                <w:p w14:paraId="01F14A42">
                  <w:pPr>
                    <w:keepNext w:val="0"/>
                    <w:keepLines w:val="0"/>
                    <w:widowControl/>
                    <w:suppressLineNumbers w:val="0"/>
                    <w:jc w:val="center"/>
                    <w:textAlignment w:val="center"/>
                    <w:rPr>
                      <w:rFonts w:hint="default" w:ascii="Times New Roman" w:hAnsi="Times New Roman" w:eastAsia="宋体" w:cs="Times New Roman"/>
                      <w:bCs/>
                      <w:color w:val="auto"/>
                      <w:sz w:val="21"/>
                      <w:szCs w:val="21"/>
                      <w:lang w:val="en-US" w:eastAsia="zh-CN"/>
                    </w:rPr>
                  </w:pPr>
                </w:p>
              </w:tc>
            </w:tr>
            <w:tr w14:paraId="3D99967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36" w:hRule="atLeast"/>
                <w:jc w:val="right"/>
              </w:trPr>
              <w:tc>
                <w:tcPr>
                  <w:tcW w:w="187" w:type="pct"/>
                  <w:tcBorders>
                    <w:tl2br w:val="nil"/>
                    <w:tr2bl w:val="nil"/>
                  </w:tcBorders>
                  <w:vAlign w:val="center"/>
                </w:tcPr>
                <w:p w14:paraId="3854B561">
                  <w:pPr>
                    <w:pStyle w:val="22"/>
                    <w:widowControl w:val="0"/>
                    <w:numPr>
                      <w:ilvl w:val="0"/>
                      <w:numId w:val="14"/>
                    </w:numPr>
                    <w:snapToGrid w:val="0"/>
                    <w:spacing w:before="0" w:beforeAutospacing="0" w:after="0" w:afterAutospacing="0"/>
                    <w:ind w:left="0" w:leftChars="0" w:firstLine="0" w:firstLineChars="0"/>
                    <w:jc w:val="center"/>
                    <w:rPr>
                      <w:rFonts w:hint="eastAsia" w:ascii="Times New Roman" w:hAnsi="Times New Roman"/>
                      <w:bCs/>
                      <w:color w:val="auto"/>
                      <w:sz w:val="21"/>
                      <w:szCs w:val="21"/>
                    </w:rPr>
                  </w:pPr>
                </w:p>
              </w:tc>
              <w:tc>
                <w:tcPr>
                  <w:tcW w:w="551" w:type="pct"/>
                  <w:tcBorders>
                    <w:tl2br w:val="nil"/>
                    <w:tr2bl w:val="nil"/>
                  </w:tcBorders>
                  <w:shd w:val="clear" w:color="auto" w:fill="auto"/>
                  <w:vAlign w:val="center"/>
                </w:tcPr>
                <w:p w14:paraId="00E96342">
                  <w:pPr>
                    <w:widowControl/>
                    <w:jc w:val="center"/>
                    <w:rPr>
                      <w:rFonts w:hint="default" w:ascii="Times New Roman" w:hAnsi="Times New Roman" w:eastAsia="宋体" w:cs="Times New Roman"/>
                      <w:bCs/>
                      <w:snapToGrid w:val="0"/>
                      <w:color w:val="auto"/>
                      <w:spacing w:val="6"/>
                      <w:kern w:val="2"/>
                      <w:sz w:val="21"/>
                      <w:szCs w:val="21"/>
                      <w:lang w:val="en-US" w:eastAsia="zh-CN" w:bidi="ar"/>
                    </w:rPr>
                  </w:pPr>
                  <w:r>
                    <w:rPr>
                      <w:rFonts w:hint="default" w:ascii="Times New Roman" w:hAnsi="Times New Roman" w:eastAsia="宋体" w:cs="Times New Roman"/>
                      <w:bCs/>
                      <w:snapToGrid w:val="0"/>
                      <w:color w:val="auto"/>
                      <w:spacing w:val="6"/>
                      <w:kern w:val="2"/>
                      <w:sz w:val="21"/>
                      <w:szCs w:val="21"/>
                      <w:lang w:val="en-US" w:eastAsia="zh-CN" w:bidi="ar"/>
                    </w:rPr>
                    <w:t>废润滑油</w:t>
                  </w:r>
                </w:p>
              </w:tc>
              <w:tc>
                <w:tcPr>
                  <w:tcW w:w="228" w:type="pct"/>
                  <w:vMerge w:val="continue"/>
                  <w:tcBorders>
                    <w:tl2br w:val="nil"/>
                    <w:tr2bl w:val="nil"/>
                  </w:tcBorders>
                  <w:shd w:val="clear" w:color="auto" w:fill="auto"/>
                  <w:vAlign w:val="center"/>
                </w:tcPr>
                <w:p w14:paraId="31D76DF1">
                  <w:pPr>
                    <w:pStyle w:val="22"/>
                    <w:widowControl w:val="0"/>
                    <w:snapToGrid w:val="0"/>
                    <w:spacing w:before="0" w:beforeAutospacing="0" w:after="0" w:afterAutospacing="0"/>
                    <w:jc w:val="center"/>
                    <w:rPr>
                      <w:rFonts w:hint="eastAsia" w:ascii="Times New Roman" w:hAnsi="Times New Roman" w:eastAsia="宋体" w:cs="Times New Roman"/>
                      <w:bCs/>
                      <w:color w:val="auto"/>
                      <w:kern w:val="0"/>
                      <w:sz w:val="21"/>
                      <w:szCs w:val="21"/>
                      <w:lang w:val="en-US" w:eastAsia="zh-CN" w:bidi="ar-SA"/>
                    </w:rPr>
                  </w:pPr>
                </w:p>
              </w:tc>
              <w:tc>
                <w:tcPr>
                  <w:tcW w:w="383" w:type="pct"/>
                  <w:tcBorders>
                    <w:tl2br w:val="nil"/>
                    <w:tr2bl w:val="nil"/>
                  </w:tcBorders>
                  <w:shd w:val="clear" w:color="auto" w:fill="auto"/>
                  <w:vAlign w:val="center"/>
                </w:tcPr>
                <w:p w14:paraId="53FFAF77">
                  <w:pPr>
                    <w:widowControl/>
                    <w:jc w:val="center"/>
                    <w:rPr>
                      <w:rFonts w:hint="eastAsia" w:ascii="Times New Roman" w:hAnsi="Times New Roman" w:eastAsia="宋体" w:cs="Times New Roman"/>
                      <w:bCs/>
                      <w:snapToGrid w:val="0"/>
                      <w:color w:val="auto"/>
                      <w:spacing w:val="6"/>
                      <w:kern w:val="2"/>
                      <w:sz w:val="21"/>
                      <w:szCs w:val="21"/>
                      <w:lang w:val="en-US" w:eastAsia="zh-CN" w:bidi="ar"/>
                    </w:rPr>
                  </w:pPr>
                  <w:r>
                    <w:rPr>
                      <w:rFonts w:hint="eastAsia" w:cs="Times New Roman"/>
                      <w:bCs/>
                      <w:snapToGrid w:val="0"/>
                      <w:color w:val="auto"/>
                      <w:spacing w:val="6"/>
                      <w:kern w:val="2"/>
                      <w:sz w:val="21"/>
                      <w:szCs w:val="21"/>
                      <w:lang w:val="en-US" w:eastAsia="zh-CN" w:bidi="ar"/>
                    </w:rPr>
                    <w:t>设备维护</w:t>
                  </w:r>
                </w:p>
              </w:tc>
              <w:tc>
                <w:tcPr>
                  <w:tcW w:w="188" w:type="pct"/>
                  <w:tcBorders>
                    <w:tl2br w:val="nil"/>
                    <w:tr2bl w:val="nil"/>
                  </w:tcBorders>
                  <w:shd w:val="clear" w:color="auto" w:fill="auto"/>
                  <w:vAlign w:val="center"/>
                </w:tcPr>
                <w:p w14:paraId="7D757E4B">
                  <w:pPr>
                    <w:widowControl/>
                    <w:jc w:val="center"/>
                    <w:rPr>
                      <w:rFonts w:hint="default" w:ascii="Times New Roman" w:hAnsi="Times New Roman" w:eastAsia="宋体" w:cs="Times New Roman"/>
                      <w:bCs/>
                      <w:snapToGrid w:val="0"/>
                      <w:color w:val="auto"/>
                      <w:spacing w:val="6"/>
                      <w:kern w:val="2"/>
                      <w:sz w:val="21"/>
                      <w:szCs w:val="21"/>
                      <w:lang w:val="en-US" w:eastAsia="zh-CN" w:bidi="ar"/>
                    </w:rPr>
                  </w:pPr>
                  <w:r>
                    <w:rPr>
                      <w:rFonts w:hint="eastAsia" w:cs="Times New Roman"/>
                      <w:bCs/>
                      <w:snapToGrid w:val="0"/>
                      <w:color w:val="auto"/>
                      <w:spacing w:val="6"/>
                      <w:kern w:val="2"/>
                      <w:sz w:val="21"/>
                      <w:szCs w:val="21"/>
                      <w:lang w:val="en-US" w:eastAsia="zh-CN" w:bidi="ar"/>
                    </w:rPr>
                    <w:t>液态</w:t>
                  </w:r>
                </w:p>
              </w:tc>
              <w:tc>
                <w:tcPr>
                  <w:tcW w:w="555" w:type="pct"/>
                  <w:tcBorders>
                    <w:tl2br w:val="nil"/>
                    <w:tr2bl w:val="nil"/>
                  </w:tcBorders>
                  <w:shd w:val="clear" w:color="auto" w:fill="auto"/>
                  <w:vAlign w:val="center"/>
                </w:tcPr>
                <w:p w14:paraId="693917CD">
                  <w:pPr>
                    <w:widowControl/>
                    <w:jc w:val="center"/>
                    <w:rPr>
                      <w:rFonts w:hint="default" w:ascii="Times New Roman" w:hAnsi="Times New Roman" w:eastAsia="宋体" w:cs="Times New Roman"/>
                      <w:color w:val="auto"/>
                      <w:spacing w:val="6"/>
                      <w:kern w:val="2"/>
                      <w:sz w:val="21"/>
                      <w:szCs w:val="21"/>
                      <w:lang w:val="en-US" w:eastAsia="zh-CN" w:bidi="ar"/>
                    </w:rPr>
                  </w:pPr>
                  <w:r>
                    <w:rPr>
                      <w:rFonts w:hint="default" w:ascii="Times New Roman" w:hAnsi="Times New Roman" w:eastAsia="宋体" w:cs="Times New Roman"/>
                      <w:bCs/>
                      <w:snapToGrid w:val="0"/>
                      <w:color w:val="auto"/>
                      <w:spacing w:val="6"/>
                      <w:sz w:val="21"/>
                      <w:szCs w:val="21"/>
                    </w:rPr>
                    <w:t>矿物油</w:t>
                  </w:r>
                </w:p>
              </w:tc>
              <w:tc>
                <w:tcPr>
                  <w:tcW w:w="321" w:type="pct"/>
                  <w:tcBorders>
                    <w:tl2br w:val="nil"/>
                    <w:tr2bl w:val="nil"/>
                  </w:tcBorders>
                  <w:shd w:val="clear" w:color="auto" w:fill="auto"/>
                  <w:vAlign w:val="center"/>
                </w:tcPr>
                <w:p w14:paraId="6A9CBE1E">
                  <w:pPr>
                    <w:pStyle w:val="22"/>
                    <w:widowControl w:val="0"/>
                    <w:snapToGrid w:val="0"/>
                    <w:spacing w:before="0" w:beforeAutospacing="0" w:after="0" w:afterAutospacing="0"/>
                    <w:jc w:val="center"/>
                    <w:rPr>
                      <w:rFonts w:hint="eastAsia" w:ascii="Times New Roman" w:hAnsi="Times New Roman" w:eastAsia="宋体" w:cs="Times New Roman"/>
                      <w:bCs/>
                      <w:color w:val="auto"/>
                      <w:kern w:val="0"/>
                      <w:sz w:val="21"/>
                      <w:szCs w:val="21"/>
                      <w:lang w:val="en-US" w:eastAsia="zh-CN" w:bidi="ar"/>
                    </w:rPr>
                  </w:pPr>
                  <w:r>
                    <w:rPr>
                      <w:rFonts w:ascii="Times New Roman" w:hAnsi="Times New Roman"/>
                      <w:bCs/>
                      <w:color w:val="auto"/>
                      <w:sz w:val="21"/>
                      <w:szCs w:val="21"/>
                      <w:lang w:bidi="ar"/>
                    </w:rPr>
                    <w:t>T</w:t>
                  </w:r>
                  <w:r>
                    <w:rPr>
                      <w:rFonts w:hint="eastAsia" w:ascii="Times New Roman" w:hAnsi="Times New Roman"/>
                      <w:bCs/>
                      <w:color w:val="auto"/>
                      <w:sz w:val="21"/>
                      <w:szCs w:val="21"/>
                      <w:lang w:bidi="ar"/>
                    </w:rPr>
                    <w:t>，I</w:t>
                  </w:r>
                </w:p>
              </w:tc>
              <w:tc>
                <w:tcPr>
                  <w:tcW w:w="340" w:type="pct"/>
                  <w:tcBorders>
                    <w:tl2br w:val="nil"/>
                    <w:tr2bl w:val="nil"/>
                  </w:tcBorders>
                  <w:shd w:val="clear" w:color="auto" w:fill="auto"/>
                  <w:vAlign w:val="center"/>
                </w:tcPr>
                <w:p w14:paraId="1129E2FE">
                  <w:pPr>
                    <w:adjustRightInd w:val="0"/>
                    <w:snapToGrid w:val="0"/>
                    <w:jc w:val="center"/>
                    <w:rPr>
                      <w:rFonts w:hint="default" w:ascii="Times New Roman" w:hAnsi="Times New Roman" w:eastAsia="宋体" w:cs="Times New Roman"/>
                      <w:bCs/>
                      <w:color w:val="auto"/>
                      <w:kern w:val="2"/>
                      <w:sz w:val="21"/>
                      <w:szCs w:val="21"/>
                      <w:lang w:val="en-US" w:eastAsia="zh-CN" w:bidi="ar"/>
                    </w:rPr>
                  </w:pPr>
                  <w:r>
                    <w:rPr>
                      <w:color w:val="auto"/>
                      <w:sz w:val="21"/>
                      <w:szCs w:val="21"/>
                      <w:lang w:bidi="ar"/>
                    </w:rPr>
                    <w:t>HW</w:t>
                  </w:r>
                  <w:r>
                    <w:rPr>
                      <w:rFonts w:hint="eastAsia"/>
                      <w:color w:val="auto"/>
                      <w:sz w:val="21"/>
                      <w:szCs w:val="21"/>
                      <w:lang w:bidi="ar"/>
                    </w:rPr>
                    <w:t>08</w:t>
                  </w:r>
                </w:p>
              </w:tc>
              <w:tc>
                <w:tcPr>
                  <w:tcW w:w="592" w:type="pct"/>
                  <w:tcBorders>
                    <w:tl2br w:val="nil"/>
                    <w:tr2bl w:val="nil"/>
                  </w:tcBorders>
                  <w:shd w:val="clear" w:color="auto" w:fill="auto"/>
                  <w:vAlign w:val="center"/>
                </w:tcPr>
                <w:p w14:paraId="5C473F49">
                  <w:pPr>
                    <w:adjustRightInd w:val="0"/>
                    <w:snapToGrid w:val="0"/>
                    <w:jc w:val="center"/>
                    <w:rPr>
                      <w:rFonts w:hint="default" w:ascii="Times New Roman" w:hAnsi="Times New Roman" w:eastAsia="宋体" w:cs="Times New Roman"/>
                      <w:bCs/>
                      <w:color w:val="auto"/>
                      <w:kern w:val="2"/>
                      <w:sz w:val="21"/>
                      <w:szCs w:val="21"/>
                      <w:lang w:val="en-US" w:eastAsia="zh-CN" w:bidi="ar"/>
                    </w:rPr>
                  </w:pPr>
                  <w:r>
                    <w:rPr>
                      <w:color w:val="auto"/>
                      <w:sz w:val="21"/>
                      <w:szCs w:val="21"/>
                      <w:lang w:bidi="ar"/>
                    </w:rPr>
                    <w:t>900-</w:t>
                  </w:r>
                  <w:r>
                    <w:rPr>
                      <w:rFonts w:hint="eastAsia"/>
                      <w:color w:val="auto"/>
                      <w:sz w:val="21"/>
                      <w:szCs w:val="21"/>
                      <w:lang w:bidi="ar"/>
                    </w:rPr>
                    <w:t>217</w:t>
                  </w:r>
                  <w:r>
                    <w:rPr>
                      <w:color w:val="auto"/>
                      <w:sz w:val="21"/>
                      <w:szCs w:val="21"/>
                      <w:lang w:bidi="ar"/>
                    </w:rPr>
                    <w:t>-</w:t>
                  </w:r>
                  <w:r>
                    <w:rPr>
                      <w:rFonts w:hint="eastAsia"/>
                      <w:color w:val="auto"/>
                      <w:sz w:val="21"/>
                      <w:szCs w:val="21"/>
                      <w:lang w:bidi="ar"/>
                    </w:rPr>
                    <w:t>08</w:t>
                  </w:r>
                </w:p>
              </w:tc>
              <w:tc>
                <w:tcPr>
                  <w:tcW w:w="321" w:type="pct"/>
                  <w:tcBorders>
                    <w:tl2br w:val="nil"/>
                    <w:tr2bl w:val="nil"/>
                  </w:tcBorders>
                  <w:shd w:val="clear" w:color="auto" w:fill="auto"/>
                  <w:vAlign w:val="center"/>
                </w:tcPr>
                <w:p w14:paraId="43622CB2">
                  <w:pPr>
                    <w:widowControl/>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6</w:t>
                  </w:r>
                </w:p>
              </w:tc>
              <w:tc>
                <w:tcPr>
                  <w:tcW w:w="310" w:type="pct"/>
                  <w:tcBorders>
                    <w:tl2br w:val="nil"/>
                    <w:tr2bl w:val="nil"/>
                  </w:tcBorders>
                  <w:shd w:val="clear" w:color="auto" w:fill="auto"/>
                  <w:vAlign w:val="center"/>
                </w:tcPr>
                <w:p w14:paraId="077478C6">
                  <w:pPr>
                    <w:widowControl w:val="0"/>
                    <w:snapToGrid w:val="0"/>
                    <w:spacing w:before="0" w:beforeAutospacing="0" w:after="0" w:afterAutospacing="0"/>
                    <w:jc w:val="center"/>
                    <w:rPr>
                      <w:rFonts w:hint="eastAsia" w:ascii="Times New Roman" w:hAnsi="Times New Roman" w:eastAsia="宋体" w:cs="Times New Roman"/>
                      <w:bCs/>
                      <w:snapToGrid w:val="0"/>
                      <w:color w:val="auto"/>
                      <w:spacing w:val="6"/>
                      <w:sz w:val="21"/>
                      <w:szCs w:val="21"/>
                      <w:lang w:val="en-US" w:eastAsia="zh-CN"/>
                    </w:rPr>
                  </w:pPr>
                  <w:r>
                    <w:rPr>
                      <w:rFonts w:hint="eastAsia" w:ascii="Times New Roman" w:hAnsi="Times New Roman" w:eastAsia="宋体" w:cs="Times New Roman"/>
                      <w:bCs/>
                      <w:color w:val="auto"/>
                      <w:sz w:val="21"/>
                      <w:szCs w:val="21"/>
                      <w:lang w:val="en-US" w:eastAsia="zh-CN"/>
                    </w:rPr>
                    <w:t>II</w:t>
                  </w:r>
                </w:p>
              </w:tc>
              <w:tc>
                <w:tcPr>
                  <w:tcW w:w="350" w:type="pct"/>
                  <w:vMerge w:val="continue"/>
                  <w:tcBorders>
                    <w:tl2br w:val="nil"/>
                    <w:tr2bl w:val="nil"/>
                  </w:tcBorders>
                  <w:vAlign w:val="center"/>
                </w:tcPr>
                <w:p w14:paraId="6A6CE3C2">
                  <w:pPr>
                    <w:pStyle w:val="22"/>
                    <w:widowControl w:val="0"/>
                    <w:snapToGrid w:val="0"/>
                    <w:spacing w:before="0" w:beforeAutospacing="0" w:after="0" w:afterAutospacing="0"/>
                    <w:jc w:val="center"/>
                    <w:rPr>
                      <w:rFonts w:hint="eastAsia" w:ascii="Times New Roman" w:hAnsi="Times New Roman"/>
                      <w:bCs/>
                      <w:color w:val="auto"/>
                      <w:sz w:val="21"/>
                      <w:szCs w:val="21"/>
                    </w:rPr>
                  </w:pPr>
                </w:p>
              </w:tc>
              <w:tc>
                <w:tcPr>
                  <w:tcW w:w="179" w:type="pct"/>
                  <w:vMerge w:val="continue"/>
                  <w:tcBorders>
                    <w:tl2br w:val="nil"/>
                    <w:tr2bl w:val="nil"/>
                  </w:tcBorders>
                  <w:vAlign w:val="center"/>
                </w:tcPr>
                <w:p w14:paraId="3B2EF750">
                  <w:pPr>
                    <w:pStyle w:val="22"/>
                    <w:widowControl w:val="0"/>
                    <w:snapToGrid w:val="0"/>
                    <w:spacing w:before="0" w:beforeAutospacing="0" w:after="0" w:afterAutospacing="0"/>
                    <w:jc w:val="center"/>
                    <w:rPr>
                      <w:rFonts w:hint="eastAsia" w:ascii="Times New Roman" w:hAnsi="Times New Roman"/>
                      <w:bCs/>
                      <w:color w:val="auto"/>
                      <w:sz w:val="21"/>
                      <w:szCs w:val="21"/>
                      <w:lang w:val="en-US" w:eastAsia="zh-CN"/>
                    </w:rPr>
                  </w:pPr>
                </w:p>
              </w:tc>
              <w:tc>
                <w:tcPr>
                  <w:tcW w:w="220" w:type="pct"/>
                  <w:vMerge w:val="continue"/>
                  <w:tcBorders>
                    <w:tl2br w:val="nil"/>
                    <w:tr2bl w:val="nil"/>
                  </w:tcBorders>
                  <w:vAlign w:val="center"/>
                </w:tcPr>
                <w:p w14:paraId="1AA5C919">
                  <w:pPr>
                    <w:keepNext w:val="0"/>
                    <w:keepLines w:val="0"/>
                    <w:widowControl/>
                    <w:suppressLineNumbers w:val="0"/>
                    <w:jc w:val="center"/>
                    <w:textAlignment w:val="center"/>
                    <w:rPr>
                      <w:rFonts w:hint="default" w:ascii="Times New Roman" w:hAnsi="Times New Roman" w:eastAsia="宋体" w:cs="Times New Roman"/>
                      <w:bCs/>
                      <w:color w:val="auto"/>
                      <w:sz w:val="21"/>
                      <w:szCs w:val="21"/>
                      <w:lang w:val="en-US" w:eastAsia="zh-CN"/>
                    </w:rPr>
                  </w:pPr>
                </w:p>
              </w:tc>
              <w:tc>
                <w:tcPr>
                  <w:tcW w:w="269" w:type="pct"/>
                  <w:vMerge w:val="continue"/>
                  <w:tcBorders>
                    <w:tl2br w:val="nil"/>
                    <w:tr2bl w:val="nil"/>
                  </w:tcBorders>
                  <w:vAlign w:val="center"/>
                </w:tcPr>
                <w:p w14:paraId="6BFB9C27">
                  <w:pPr>
                    <w:keepNext w:val="0"/>
                    <w:keepLines w:val="0"/>
                    <w:widowControl/>
                    <w:suppressLineNumbers w:val="0"/>
                    <w:jc w:val="center"/>
                    <w:textAlignment w:val="center"/>
                    <w:rPr>
                      <w:rFonts w:hint="default" w:ascii="Times New Roman" w:hAnsi="Times New Roman" w:eastAsia="宋体" w:cs="Times New Roman"/>
                      <w:bCs/>
                      <w:color w:val="auto"/>
                      <w:sz w:val="21"/>
                      <w:szCs w:val="21"/>
                      <w:lang w:val="en-US" w:eastAsia="zh-CN"/>
                    </w:rPr>
                  </w:pPr>
                </w:p>
              </w:tc>
            </w:tr>
            <w:tr w14:paraId="3643E7D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36" w:hRule="atLeast"/>
                <w:jc w:val="right"/>
              </w:trPr>
              <w:tc>
                <w:tcPr>
                  <w:tcW w:w="187" w:type="pct"/>
                  <w:tcBorders>
                    <w:tl2br w:val="nil"/>
                    <w:tr2bl w:val="nil"/>
                  </w:tcBorders>
                  <w:vAlign w:val="center"/>
                </w:tcPr>
                <w:p w14:paraId="26C68E0F">
                  <w:pPr>
                    <w:pStyle w:val="22"/>
                    <w:widowControl w:val="0"/>
                    <w:numPr>
                      <w:ilvl w:val="0"/>
                      <w:numId w:val="14"/>
                    </w:numPr>
                    <w:snapToGrid w:val="0"/>
                    <w:spacing w:before="0" w:beforeAutospacing="0" w:after="0" w:afterAutospacing="0"/>
                    <w:ind w:left="0" w:leftChars="0" w:firstLine="0" w:firstLineChars="0"/>
                    <w:jc w:val="center"/>
                    <w:rPr>
                      <w:rFonts w:hint="eastAsia" w:ascii="Times New Roman" w:hAnsi="Times New Roman"/>
                      <w:bCs/>
                      <w:color w:val="auto"/>
                      <w:sz w:val="21"/>
                      <w:szCs w:val="21"/>
                    </w:rPr>
                  </w:pPr>
                </w:p>
              </w:tc>
              <w:tc>
                <w:tcPr>
                  <w:tcW w:w="551" w:type="pct"/>
                  <w:tcBorders>
                    <w:tl2br w:val="nil"/>
                    <w:tr2bl w:val="nil"/>
                  </w:tcBorders>
                  <w:shd w:val="clear" w:color="auto" w:fill="auto"/>
                  <w:vAlign w:val="center"/>
                </w:tcPr>
                <w:p w14:paraId="213F2B4E">
                  <w:pPr>
                    <w:widowControl/>
                    <w:jc w:val="center"/>
                    <w:rPr>
                      <w:rFonts w:hint="default" w:ascii="Times New Roman" w:hAnsi="Times New Roman" w:eastAsia="宋体" w:cs="Times New Roman"/>
                      <w:bCs/>
                      <w:snapToGrid w:val="0"/>
                      <w:color w:val="auto"/>
                      <w:spacing w:val="6"/>
                      <w:kern w:val="2"/>
                      <w:sz w:val="21"/>
                      <w:szCs w:val="21"/>
                      <w:lang w:val="en-US" w:eastAsia="zh-CN" w:bidi="ar"/>
                    </w:rPr>
                  </w:pPr>
                  <w:r>
                    <w:rPr>
                      <w:rFonts w:hint="default" w:ascii="Times New Roman" w:hAnsi="Times New Roman" w:eastAsia="宋体" w:cs="Times New Roman"/>
                      <w:bCs/>
                      <w:snapToGrid w:val="0"/>
                      <w:color w:val="auto"/>
                      <w:spacing w:val="6"/>
                      <w:kern w:val="2"/>
                      <w:sz w:val="21"/>
                      <w:szCs w:val="21"/>
                      <w:lang w:val="en-US" w:eastAsia="zh-CN" w:bidi="ar"/>
                    </w:rPr>
                    <w:t>废液压油</w:t>
                  </w:r>
                </w:p>
              </w:tc>
              <w:tc>
                <w:tcPr>
                  <w:tcW w:w="228" w:type="pct"/>
                  <w:vMerge w:val="continue"/>
                  <w:tcBorders>
                    <w:tl2br w:val="nil"/>
                    <w:tr2bl w:val="nil"/>
                  </w:tcBorders>
                  <w:shd w:val="clear" w:color="auto" w:fill="auto"/>
                  <w:vAlign w:val="center"/>
                </w:tcPr>
                <w:p w14:paraId="6246C20C">
                  <w:pPr>
                    <w:pStyle w:val="22"/>
                    <w:widowControl w:val="0"/>
                    <w:snapToGrid w:val="0"/>
                    <w:spacing w:before="0" w:beforeAutospacing="0" w:after="0" w:afterAutospacing="0"/>
                    <w:jc w:val="center"/>
                    <w:rPr>
                      <w:rFonts w:hint="eastAsia" w:ascii="Times New Roman" w:hAnsi="Times New Roman" w:eastAsia="宋体" w:cs="Times New Roman"/>
                      <w:bCs/>
                      <w:color w:val="auto"/>
                      <w:kern w:val="0"/>
                      <w:sz w:val="21"/>
                      <w:szCs w:val="21"/>
                      <w:lang w:val="en-US" w:eastAsia="zh-CN" w:bidi="ar-SA"/>
                    </w:rPr>
                  </w:pPr>
                </w:p>
              </w:tc>
              <w:tc>
                <w:tcPr>
                  <w:tcW w:w="383" w:type="pct"/>
                  <w:tcBorders>
                    <w:tl2br w:val="nil"/>
                    <w:tr2bl w:val="nil"/>
                  </w:tcBorders>
                  <w:shd w:val="clear" w:color="auto" w:fill="auto"/>
                  <w:vAlign w:val="center"/>
                </w:tcPr>
                <w:p w14:paraId="248B9F43">
                  <w:pPr>
                    <w:pStyle w:val="22"/>
                    <w:widowControl w:val="0"/>
                    <w:snapToGrid w:val="0"/>
                    <w:spacing w:before="0" w:beforeAutospacing="0" w:after="0" w:afterAutospacing="0"/>
                    <w:jc w:val="center"/>
                    <w:rPr>
                      <w:rFonts w:hint="eastAsia" w:ascii="Times New Roman" w:hAnsi="Times New Roman" w:eastAsia="宋体" w:cs="Times New Roman"/>
                      <w:bCs/>
                      <w:color w:val="auto"/>
                      <w:kern w:val="0"/>
                      <w:sz w:val="21"/>
                      <w:szCs w:val="21"/>
                      <w:lang w:val="en-US" w:eastAsia="zh-CN" w:bidi="ar"/>
                    </w:rPr>
                  </w:pPr>
                  <w:r>
                    <w:rPr>
                      <w:rFonts w:ascii="Times New Roman" w:hAnsi="Times New Roman"/>
                      <w:bCs/>
                      <w:color w:val="auto"/>
                      <w:sz w:val="21"/>
                      <w:szCs w:val="21"/>
                    </w:rPr>
                    <w:t>设备使用</w:t>
                  </w:r>
                </w:p>
              </w:tc>
              <w:tc>
                <w:tcPr>
                  <w:tcW w:w="188" w:type="pct"/>
                  <w:tcBorders>
                    <w:tl2br w:val="nil"/>
                    <w:tr2bl w:val="nil"/>
                  </w:tcBorders>
                  <w:shd w:val="clear" w:color="auto" w:fill="auto"/>
                  <w:vAlign w:val="center"/>
                </w:tcPr>
                <w:p w14:paraId="69A2C5C0">
                  <w:pPr>
                    <w:pStyle w:val="22"/>
                    <w:widowControl w:val="0"/>
                    <w:snapToGrid w:val="0"/>
                    <w:spacing w:before="0" w:beforeAutospacing="0" w:after="0" w:afterAutospacing="0"/>
                    <w:jc w:val="center"/>
                    <w:rPr>
                      <w:rFonts w:hint="default" w:ascii="Times New Roman" w:hAnsi="Times New Roman" w:eastAsia="宋体" w:cs="Times New Roman"/>
                      <w:bCs/>
                      <w:color w:val="auto"/>
                      <w:kern w:val="0"/>
                      <w:sz w:val="21"/>
                      <w:szCs w:val="21"/>
                      <w:lang w:val="en-US" w:eastAsia="zh-CN" w:bidi="ar"/>
                    </w:rPr>
                  </w:pPr>
                  <w:r>
                    <w:rPr>
                      <w:rFonts w:ascii="Times New Roman" w:hAnsi="Times New Roman"/>
                      <w:bCs/>
                      <w:color w:val="auto"/>
                      <w:sz w:val="21"/>
                      <w:szCs w:val="21"/>
                    </w:rPr>
                    <w:t>液态</w:t>
                  </w:r>
                </w:p>
              </w:tc>
              <w:tc>
                <w:tcPr>
                  <w:tcW w:w="555" w:type="pct"/>
                  <w:tcBorders>
                    <w:tl2br w:val="nil"/>
                    <w:tr2bl w:val="nil"/>
                  </w:tcBorders>
                  <w:shd w:val="clear" w:color="auto" w:fill="auto"/>
                  <w:vAlign w:val="center"/>
                </w:tcPr>
                <w:p w14:paraId="6EDB61F6">
                  <w:pPr>
                    <w:pStyle w:val="22"/>
                    <w:adjustRightInd w:val="0"/>
                    <w:snapToGrid w:val="0"/>
                    <w:spacing w:before="0" w:beforeAutospacing="0" w:after="0" w:afterAutospacing="0"/>
                    <w:jc w:val="center"/>
                    <w:rPr>
                      <w:rFonts w:hint="default" w:ascii="Times New Roman" w:hAnsi="Times New Roman" w:eastAsia="宋体" w:cs="Times New Roman"/>
                      <w:color w:val="auto"/>
                      <w:kern w:val="0"/>
                      <w:sz w:val="21"/>
                      <w:szCs w:val="21"/>
                      <w:lang w:val="en-US" w:eastAsia="zh-CN" w:bidi="ar"/>
                    </w:rPr>
                  </w:pPr>
                  <w:r>
                    <w:rPr>
                      <w:rFonts w:ascii="Times New Roman" w:hAnsi="Times New Roman"/>
                      <w:color w:val="auto"/>
                      <w:spacing w:val="6"/>
                      <w:sz w:val="21"/>
                      <w:szCs w:val="21"/>
                    </w:rPr>
                    <w:t>矿物油</w:t>
                  </w:r>
                </w:p>
              </w:tc>
              <w:tc>
                <w:tcPr>
                  <w:tcW w:w="321" w:type="pct"/>
                  <w:tcBorders>
                    <w:tl2br w:val="nil"/>
                    <w:tr2bl w:val="nil"/>
                  </w:tcBorders>
                  <w:shd w:val="clear" w:color="auto" w:fill="auto"/>
                  <w:vAlign w:val="center"/>
                </w:tcPr>
                <w:p w14:paraId="10F64165">
                  <w:pPr>
                    <w:pStyle w:val="22"/>
                    <w:widowControl w:val="0"/>
                    <w:snapToGrid w:val="0"/>
                    <w:spacing w:before="0" w:beforeAutospacing="0" w:after="0" w:afterAutospacing="0"/>
                    <w:jc w:val="center"/>
                    <w:rPr>
                      <w:rFonts w:hint="eastAsia" w:ascii="Times New Roman" w:hAnsi="Times New Roman" w:eastAsia="宋体" w:cs="Times New Roman"/>
                      <w:bCs/>
                      <w:color w:val="auto"/>
                      <w:kern w:val="0"/>
                      <w:sz w:val="21"/>
                      <w:szCs w:val="21"/>
                      <w:lang w:val="en-US" w:eastAsia="zh-CN" w:bidi="ar"/>
                    </w:rPr>
                  </w:pPr>
                  <w:r>
                    <w:rPr>
                      <w:rFonts w:ascii="Times New Roman" w:hAnsi="Times New Roman"/>
                      <w:bCs/>
                      <w:color w:val="auto"/>
                      <w:sz w:val="21"/>
                      <w:szCs w:val="21"/>
                    </w:rPr>
                    <w:t>T</w:t>
                  </w:r>
                  <w:r>
                    <w:rPr>
                      <w:rFonts w:hint="eastAsia" w:ascii="Times New Roman" w:hAnsi="Times New Roman"/>
                      <w:bCs/>
                      <w:color w:val="auto"/>
                      <w:sz w:val="21"/>
                      <w:szCs w:val="21"/>
                    </w:rPr>
                    <w:t>，I</w:t>
                  </w:r>
                </w:p>
              </w:tc>
              <w:tc>
                <w:tcPr>
                  <w:tcW w:w="340" w:type="pct"/>
                  <w:tcBorders>
                    <w:tl2br w:val="nil"/>
                    <w:tr2bl w:val="nil"/>
                  </w:tcBorders>
                  <w:shd w:val="clear" w:color="auto" w:fill="auto"/>
                  <w:vAlign w:val="center"/>
                </w:tcPr>
                <w:p w14:paraId="2CA8A63C">
                  <w:pPr>
                    <w:adjustRightInd w:val="0"/>
                    <w:snapToGrid w:val="0"/>
                    <w:jc w:val="center"/>
                    <w:rPr>
                      <w:rFonts w:hint="default" w:ascii="Times New Roman" w:hAnsi="Times New Roman" w:eastAsia="宋体" w:cs="Times New Roman"/>
                      <w:color w:val="auto"/>
                      <w:kern w:val="2"/>
                      <w:sz w:val="21"/>
                      <w:szCs w:val="21"/>
                      <w:lang w:val="en-US" w:eastAsia="zh-CN" w:bidi="ar"/>
                    </w:rPr>
                  </w:pPr>
                  <w:r>
                    <w:rPr>
                      <w:color w:val="auto"/>
                    </w:rPr>
                    <w:t>HW</w:t>
                  </w:r>
                  <w:r>
                    <w:rPr>
                      <w:rFonts w:hint="eastAsia"/>
                      <w:color w:val="auto"/>
                    </w:rPr>
                    <w:t>08</w:t>
                  </w:r>
                </w:p>
              </w:tc>
              <w:tc>
                <w:tcPr>
                  <w:tcW w:w="592" w:type="pct"/>
                  <w:tcBorders>
                    <w:tl2br w:val="nil"/>
                    <w:tr2bl w:val="nil"/>
                  </w:tcBorders>
                  <w:shd w:val="clear" w:color="auto" w:fill="auto"/>
                  <w:vAlign w:val="center"/>
                </w:tcPr>
                <w:p w14:paraId="41403DBD">
                  <w:pPr>
                    <w:adjustRightInd w:val="0"/>
                    <w:snapToGrid w:val="0"/>
                    <w:jc w:val="center"/>
                    <w:rPr>
                      <w:rFonts w:hint="default" w:ascii="Times New Roman" w:hAnsi="Times New Roman" w:eastAsia="宋体" w:cs="Times New Roman"/>
                      <w:color w:val="auto"/>
                      <w:kern w:val="0"/>
                      <w:sz w:val="21"/>
                      <w:szCs w:val="21"/>
                      <w:lang w:val="en-US" w:eastAsia="zh-CN" w:bidi="ar"/>
                    </w:rPr>
                  </w:pPr>
                  <w:r>
                    <w:rPr>
                      <w:color w:val="auto"/>
                    </w:rPr>
                    <w:t>900-</w:t>
                  </w:r>
                  <w:r>
                    <w:rPr>
                      <w:rFonts w:hint="eastAsia"/>
                      <w:color w:val="auto"/>
                    </w:rPr>
                    <w:t>218</w:t>
                  </w:r>
                  <w:r>
                    <w:rPr>
                      <w:color w:val="auto"/>
                    </w:rPr>
                    <w:t>-</w:t>
                  </w:r>
                  <w:r>
                    <w:rPr>
                      <w:rFonts w:hint="eastAsia"/>
                      <w:color w:val="auto"/>
                    </w:rPr>
                    <w:t>08</w:t>
                  </w:r>
                </w:p>
              </w:tc>
              <w:tc>
                <w:tcPr>
                  <w:tcW w:w="321" w:type="pct"/>
                  <w:tcBorders>
                    <w:tl2br w:val="nil"/>
                    <w:tr2bl w:val="nil"/>
                  </w:tcBorders>
                  <w:shd w:val="clear" w:color="auto" w:fill="auto"/>
                  <w:vAlign w:val="center"/>
                </w:tcPr>
                <w:p w14:paraId="5294F720">
                  <w:pPr>
                    <w:widowControl/>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2</w:t>
                  </w:r>
                </w:p>
              </w:tc>
              <w:tc>
                <w:tcPr>
                  <w:tcW w:w="310" w:type="pct"/>
                  <w:tcBorders>
                    <w:tl2br w:val="nil"/>
                    <w:tr2bl w:val="nil"/>
                  </w:tcBorders>
                  <w:shd w:val="clear" w:color="auto" w:fill="auto"/>
                  <w:vAlign w:val="center"/>
                </w:tcPr>
                <w:p w14:paraId="484CA7EE">
                  <w:pPr>
                    <w:widowControl w:val="0"/>
                    <w:snapToGrid w:val="0"/>
                    <w:spacing w:before="0" w:beforeAutospacing="0" w:after="0" w:afterAutospacing="0"/>
                    <w:jc w:val="center"/>
                    <w:rPr>
                      <w:rFonts w:hint="eastAsia" w:ascii="Times New Roman" w:hAnsi="Times New Roman" w:eastAsia="宋体" w:cs="Times New Roman"/>
                      <w:bCs/>
                      <w:snapToGrid w:val="0"/>
                      <w:color w:val="auto"/>
                      <w:spacing w:val="6"/>
                      <w:sz w:val="21"/>
                      <w:szCs w:val="21"/>
                      <w:lang w:val="en-US" w:eastAsia="zh-CN"/>
                    </w:rPr>
                  </w:pPr>
                  <w:r>
                    <w:rPr>
                      <w:rFonts w:hint="eastAsia" w:ascii="Times New Roman" w:hAnsi="Times New Roman" w:eastAsia="宋体" w:cs="Times New Roman"/>
                      <w:bCs/>
                      <w:color w:val="auto"/>
                      <w:sz w:val="21"/>
                      <w:szCs w:val="21"/>
                      <w:lang w:val="en-US" w:eastAsia="zh-CN"/>
                    </w:rPr>
                    <w:t>II</w:t>
                  </w:r>
                </w:p>
              </w:tc>
              <w:tc>
                <w:tcPr>
                  <w:tcW w:w="350" w:type="pct"/>
                  <w:vMerge w:val="continue"/>
                  <w:tcBorders>
                    <w:tl2br w:val="nil"/>
                    <w:tr2bl w:val="nil"/>
                  </w:tcBorders>
                  <w:vAlign w:val="center"/>
                </w:tcPr>
                <w:p w14:paraId="569435A7">
                  <w:pPr>
                    <w:pStyle w:val="22"/>
                    <w:widowControl w:val="0"/>
                    <w:snapToGrid w:val="0"/>
                    <w:spacing w:before="0" w:beforeAutospacing="0" w:after="0" w:afterAutospacing="0"/>
                    <w:jc w:val="center"/>
                    <w:rPr>
                      <w:rFonts w:hint="eastAsia" w:ascii="Times New Roman" w:hAnsi="Times New Roman"/>
                      <w:bCs/>
                      <w:color w:val="auto"/>
                      <w:sz w:val="21"/>
                      <w:szCs w:val="21"/>
                    </w:rPr>
                  </w:pPr>
                </w:p>
              </w:tc>
              <w:tc>
                <w:tcPr>
                  <w:tcW w:w="179" w:type="pct"/>
                  <w:vMerge w:val="continue"/>
                  <w:tcBorders>
                    <w:tl2br w:val="nil"/>
                    <w:tr2bl w:val="nil"/>
                  </w:tcBorders>
                  <w:vAlign w:val="center"/>
                </w:tcPr>
                <w:p w14:paraId="1E946C3F">
                  <w:pPr>
                    <w:pStyle w:val="22"/>
                    <w:widowControl w:val="0"/>
                    <w:snapToGrid w:val="0"/>
                    <w:spacing w:before="0" w:beforeAutospacing="0" w:after="0" w:afterAutospacing="0"/>
                    <w:jc w:val="center"/>
                    <w:rPr>
                      <w:rFonts w:hint="eastAsia" w:ascii="Times New Roman" w:hAnsi="Times New Roman"/>
                      <w:bCs/>
                      <w:color w:val="auto"/>
                      <w:sz w:val="21"/>
                      <w:szCs w:val="21"/>
                      <w:lang w:val="en-US" w:eastAsia="zh-CN"/>
                    </w:rPr>
                  </w:pPr>
                </w:p>
              </w:tc>
              <w:tc>
                <w:tcPr>
                  <w:tcW w:w="220" w:type="pct"/>
                  <w:vMerge w:val="continue"/>
                  <w:tcBorders>
                    <w:tl2br w:val="nil"/>
                    <w:tr2bl w:val="nil"/>
                  </w:tcBorders>
                  <w:vAlign w:val="center"/>
                </w:tcPr>
                <w:p w14:paraId="4364C73B">
                  <w:pPr>
                    <w:keepNext w:val="0"/>
                    <w:keepLines w:val="0"/>
                    <w:widowControl/>
                    <w:suppressLineNumbers w:val="0"/>
                    <w:jc w:val="center"/>
                    <w:textAlignment w:val="center"/>
                    <w:rPr>
                      <w:rFonts w:hint="default" w:ascii="Times New Roman" w:hAnsi="Times New Roman" w:eastAsia="宋体" w:cs="Times New Roman"/>
                      <w:bCs/>
                      <w:color w:val="auto"/>
                      <w:sz w:val="21"/>
                      <w:szCs w:val="21"/>
                      <w:lang w:val="en-US" w:eastAsia="zh-CN"/>
                    </w:rPr>
                  </w:pPr>
                </w:p>
              </w:tc>
              <w:tc>
                <w:tcPr>
                  <w:tcW w:w="269" w:type="pct"/>
                  <w:vMerge w:val="continue"/>
                  <w:tcBorders>
                    <w:tl2br w:val="nil"/>
                    <w:tr2bl w:val="nil"/>
                  </w:tcBorders>
                  <w:vAlign w:val="center"/>
                </w:tcPr>
                <w:p w14:paraId="4BC36B1B">
                  <w:pPr>
                    <w:keepNext w:val="0"/>
                    <w:keepLines w:val="0"/>
                    <w:widowControl/>
                    <w:suppressLineNumbers w:val="0"/>
                    <w:jc w:val="center"/>
                    <w:textAlignment w:val="center"/>
                    <w:rPr>
                      <w:rFonts w:hint="default" w:ascii="Times New Roman" w:hAnsi="Times New Roman" w:eastAsia="宋体" w:cs="Times New Roman"/>
                      <w:bCs/>
                      <w:color w:val="auto"/>
                      <w:sz w:val="21"/>
                      <w:szCs w:val="21"/>
                      <w:lang w:val="en-US" w:eastAsia="zh-CN"/>
                    </w:rPr>
                  </w:pPr>
                </w:p>
              </w:tc>
            </w:tr>
            <w:tr w14:paraId="572499B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36" w:hRule="atLeast"/>
                <w:jc w:val="right"/>
              </w:trPr>
              <w:tc>
                <w:tcPr>
                  <w:tcW w:w="187" w:type="pct"/>
                  <w:tcBorders>
                    <w:tl2br w:val="nil"/>
                    <w:tr2bl w:val="nil"/>
                  </w:tcBorders>
                  <w:vAlign w:val="center"/>
                </w:tcPr>
                <w:p w14:paraId="7734E3C3">
                  <w:pPr>
                    <w:pStyle w:val="22"/>
                    <w:widowControl w:val="0"/>
                    <w:numPr>
                      <w:ilvl w:val="0"/>
                      <w:numId w:val="14"/>
                    </w:numPr>
                    <w:snapToGrid w:val="0"/>
                    <w:spacing w:before="0" w:beforeAutospacing="0" w:after="0" w:afterAutospacing="0"/>
                    <w:ind w:left="0" w:leftChars="0" w:firstLine="0" w:firstLineChars="0"/>
                    <w:jc w:val="center"/>
                    <w:rPr>
                      <w:rFonts w:hint="eastAsia" w:ascii="Times New Roman" w:hAnsi="Times New Roman"/>
                      <w:bCs/>
                      <w:color w:val="auto"/>
                      <w:sz w:val="21"/>
                      <w:szCs w:val="21"/>
                    </w:rPr>
                  </w:pPr>
                </w:p>
              </w:tc>
              <w:tc>
                <w:tcPr>
                  <w:tcW w:w="551" w:type="pct"/>
                  <w:tcBorders>
                    <w:tl2br w:val="nil"/>
                    <w:tr2bl w:val="nil"/>
                  </w:tcBorders>
                  <w:shd w:val="clear" w:color="auto" w:fill="auto"/>
                  <w:vAlign w:val="center"/>
                </w:tcPr>
                <w:p w14:paraId="7C00EC7A">
                  <w:pPr>
                    <w:widowControl/>
                    <w:jc w:val="center"/>
                    <w:rPr>
                      <w:rFonts w:hint="default" w:ascii="Times New Roman" w:hAnsi="Times New Roman" w:eastAsia="宋体" w:cs="Times New Roman"/>
                      <w:bCs/>
                      <w:snapToGrid w:val="0"/>
                      <w:color w:val="auto"/>
                      <w:spacing w:val="6"/>
                      <w:kern w:val="2"/>
                      <w:sz w:val="21"/>
                      <w:szCs w:val="21"/>
                      <w:lang w:val="en-US" w:eastAsia="zh-CN" w:bidi="ar"/>
                    </w:rPr>
                  </w:pPr>
                  <w:r>
                    <w:rPr>
                      <w:rFonts w:hint="default" w:ascii="Times New Roman" w:hAnsi="Times New Roman" w:eastAsia="宋体" w:cs="Times New Roman"/>
                      <w:bCs/>
                      <w:snapToGrid w:val="0"/>
                      <w:color w:val="auto"/>
                      <w:spacing w:val="6"/>
                      <w:kern w:val="2"/>
                      <w:sz w:val="21"/>
                      <w:szCs w:val="21"/>
                      <w:lang w:val="en-US" w:eastAsia="zh-CN" w:bidi="ar"/>
                    </w:rPr>
                    <w:t>浓液</w:t>
                  </w:r>
                </w:p>
              </w:tc>
              <w:tc>
                <w:tcPr>
                  <w:tcW w:w="228" w:type="pct"/>
                  <w:vMerge w:val="continue"/>
                  <w:tcBorders>
                    <w:tl2br w:val="nil"/>
                    <w:tr2bl w:val="nil"/>
                  </w:tcBorders>
                  <w:shd w:val="clear" w:color="auto" w:fill="auto"/>
                  <w:vAlign w:val="center"/>
                </w:tcPr>
                <w:p w14:paraId="269B3D67">
                  <w:pPr>
                    <w:pStyle w:val="22"/>
                    <w:widowControl w:val="0"/>
                    <w:snapToGrid w:val="0"/>
                    <w:spacing w:before="0" w:beforeAutospacing="0" w:after="0" w:afterAutospacing="0"/>
                    <w:jc w:val="center"/>
                    <w:rPr>
                      <w:rFonts w:hint="eastAsia" w:ascii="Times New Roman" w:hAnsi="Times New Roman" w:eastAsia="宋体" w:cs="Times New Roman"/>
                      <w:bCs/>
                      <w:color w:val="auto"/>
                      <w:kern w:val="0"/>
                      <w:sz w:val="21"/>
                      <w:szCs w:val="21"/>
                      <w:lang w:val="en-US" w:eastAsia="zh-CN" w:bidi="ar-SA"/>
                    </w:rPr>
                  </w:pPr>
                </w:p>
              </w:tc>
              <w:tc>
                <w:tcPr>
                  <w:tcW w:w="383" w:type="pct"/>
                  <w:tcBorders>
                    <w:tl2br w:val="nil"/>
                    <w:tr2bl w:val="nil"/>
                  </w:tcBorders>
                  <w:shd w:val="clear" w:color="auto" w:fill="auto"/>
                  <w:vAlign w:val="center"/>
                </w:tcPr>
                <w:p w14:paraId="5AD82A73">
                  <w:pPr>
                    <w:widowControl/>
                    <w:jc w:val="center"/>
                    <w:rPr>
                      <w:rFonts w:hint="eastAsia" w:ascii="Times New Roman" w:hAnsi="Times New Roman" w:eastAsia="宋体" w:cs="Times New Roman"/>
                      <w:bCs/>
                      <w:snapToGrid w:val="0"/>
                      <w:color w:val="auto"/>
                      <w:spacing w:val="6"/>
                      <w:kern w:val="2"/>
                      <w:sz w:val="21"/>
                      <w:szCs w:val="21"/>
                      <w:lang w:val="en-US" w:eastAsia="zh-CN" w:bidi="ar"/>
                    </w:rPr>
                  </w:pPr>
                  <w:r>
                    <w:rPr>
                      <w:rFonts w:hint="eastAsia" w:cs="Times New Roman"/>
                      <w:bCs/>
                      <w:snapToGrid w:val="0"/>
                      <w:color w:val="auto"/>
                      <w:spacing w:val="6"/>
                      <w:kern w:val="2"/>
                      <w:sz w:val="21"/>
                      <w:szCs w:val="21"/>
                      <w:lang w:val="en-US" w:eastAsia="zh-CN" w:bidi="ar"/>
                    </w:rPr>
                    <w:t>废水处理</w:t>
                  </w:r>
                </w:p>
              </w:tc>
              <w:tc>
                <w:tcPr>
                  <w:tcW w:w="188" w:type="pct"/>
                  <w:tcBorders>
                    <w:tl2br w:val="nil"/>
                    <w:tr2bl w:val="nil"/>
                  </w:tcBorders>
                  <w:shd w:val="clear" w:color="auto" w:fill="auto"/>
                  <w:vAlign w:val="center"/>
                </w:tcPr>
                <w:p w14:paraId="2B2A1899">
                  <w:pPr>
                    <w:widowControl/>
                    <w:jc w:val="center"/>
                    <w:rPr>
                      <w:rFonts w:hint="default" w:ascii="Times New Roman" w:hAnsi="Times New Roman" w:eastAsia="宋体" w:cs="Times New Roman"/>
                      <w:bCs/>
                      <w:snapToGrid w:val="0"/>
                      <w:color w:val="auto"/>
                      <w:spacing w:val="6"/>
                      <w:kern w:val="2"/>
                      <w:sz w:val="21"/>
                      <w:szCs w:val="21"/>
                      <w:lang w:val="en-US" w:eastAsia="zh-CN" w:bidi="ar"/>
                    </w:rPr>
                  </w:pPr>
                  <w:r>
                    <w:rPr>
                      <w:rFonts w:ascii="Times New Roman" w:hAnsi="Times New Roman"/>
                      <w:bCs/>
                      <w:color w:val="auto"/>
                      <w:sz w:val="21"/>
                      <w:szCs w:val="21"/>
                    </w:rPr>
                    <w:t>液态</w:t>
                  </w:r>
                </w:p>
              </w:tc>
              <w:tc>
                <w:tcPr>
                  <w:tcW w:w="555" w:type="pct"/>
                  <w:tcBorders>
                    <w:tl2br w:val="nil"/>
                    <w:tr2bl w:val="nil"/>
                  </w:tcBorders>
                  <w:shd w:val="clear" w:color="auto" w:fill="auto"/>
                  <w:vAlign w:val="center"/>
                </w:tcPr>
                <w:p w14:paraId="29457AB1">
                  <w:pPr>
                    <w:widowControl/>
                    <w:jc w:val="center"/>
                    <w:rPr>
                      <w:rFonts w:hint="default" w:ascii="Times New Roman" w:hAnsi="Times New Roman" w:eastAsia="宋体" w:cs="Times New Roman"/>
                      <w:color w:val="auto"/>
                      <w:spacing w:val="6"/>
                      <w:kern w:val="2"/>
                      <w:sz w:val="21"/>
                      <w:szCs w:val="21"/>
                      <w:lang w:val="en-US" w:eastAsia="zh-CN" w:bidi="ar"/>
                    </w:rPr>
                  </w:pPr>
                  <w:r>
                    <w:rPr>
                      <w:rFonts w:hint="eastAsia" w:cs="Times New Roman"/>
                      <w:color w:val="auto"/>
                      <w:spacing w:val="6"/>
                      <w:kern w:val="2"/>
                      <w:sz w:val="21"/>
                      <w:szCs w:val="21"/>
                      <w:lang w:val="en-US" w:eastAsia="zh-CN" w:bidi="ar"/>
                    </w:rPr>
                    <w:t>矿物油、清洗剂、防锈剂等</w:t>
                  </w:r>
                </w:p>
              </w:tc>
              <w:tc>
                <w:tcPr>
                  <w:tcW w:w="321" w:type="pct"/>
                  <w:tcBorders>
                    <w:tl2br w:val="nil"/>
                    <w:tr2bl w:val="nil"/>
                  </w:tcBorders>
                  <w:shd w:val="clear" w:color="auto" w:fill="auto"/>
                  <w:vAlign w:val="center"/>
                </w:tcPr>
                <w:p w14:paraId="14A29FE2">
                  <w:pPr>
                    <w:widowControl/>
                    <w:jc w:val="center"/>
                    <w:textAlignment w:val="bottom"/>
                    <w:rPr>
                      <w:rFonts w:hint="eastAsia" w:ascii="Times New Roman" w:hAnsi="Times New Roman" w:eastAsia="宋体" w:cs="Times New Roman"/>
                      <w:color w:val="auto"/>
                      <w:spacing w:val="5"/>
                      <w:kern w:val="0"/>
                      <w:sz w:val="21"/>
                      <w:szCs w:val="21"/>
                      <w:lang w:val="en-US" w:eastAsia="zh-CN" w:bidi="ar"/>
                    </w:rPr>
                  </w:pPr>
                  <w:r>
                    <w:rPr>
                      <w:rFonts w:ascii="Times New Roman" w:hAnsi="Times New Roman" w:eastAsia="宋体" w:cs="Times New Roman"/>
                      <w:color w:val="auto"/>
                      <w:kern w:val="0"/>
                      <w:sz w:val="21"/>
                      <w:szCs w:val="21"/>
                      <w:lang w:bidi="ar"/>
                    </w:rPr>
                    <w:t>T/In</w:t>
                  </w:r>
                </w:p>
              </w:tc>
              <w:tc>
                <w:tcPr>
                  <w:tcW w:w="340" w:type="pct"/>
                  <w:tcBorders>
                    <w:tl2br w:val="nil"/>
                    <w:tr2bl w:val="nil"/>
                  </w:tcBorders>
                  <w:shd w:val="clear" w:color="auto" w:fill="auto"/>
                  <w:vAlign w:val="center"/>
                </w:tcPr>
                <w:p w14:paraId="1AE194DB">
                  <w:pPr>
                    <w:widowControl/>
                    <w:jc w:val="center"/>
                    <w:textAlignment w:val="bottom"/>
                    <w:rPr>
                      <w:rFonts w:hint="default" w:ascii="Times New Roman" w:hAnsi="Times New Roman" w:eastAsia="宋体" w:cs="Times New Roman"/>
                      <w:color w:val="auto"/>
                      <w:spacing w:val="5"/>
                      <w:kern w:val="0"/>
                      <w:sz w:val="21"/>
                      <w:szCs w:val="21"/>
                      <w:lang w:val="en-US" w:eastAsia="zh-CN" w:bidi="ar"/>
                    </w:rPr>
                  </w:pPr>
                  <w:r>
                    <w:rPr>
                      <w:rFonts w:ascii="Times New Roman" w:hAnsi="Times New Roman" w:eastAsia="宋体" w:cs="Times New Roman"/>
                      <w:color w:val="auto"/>
                      <w:kern w:val="0"/>
                      <w:sz w:val="21"/>
                      <w:szCs w:val="21"/>
                      <w:lang w:bidi="ar"/>
                    </w:rPr>
                    <w:t>HW49</w:t>
                  </w:r>
                </w:p>
              </w:tc>
              <w:tc>
                <w:tcPr>
                  <w:tcW w:w="592" w:type="pct"/>
                  <w:tcBorders>
                    <w:tl2br w:val="nil"/>
                    <w:tr2bl w:val="nil"/>
                  </w:tcBorders>
                  <w:shd w:val="clear" w:color="auto" w:fill="auto"/>
                  <w:vAlign w:val="center"/>
                </w:tcPr>
                <w:p w14:paraId="53E6D28B">
                  <w:pPr>
                    <w:widowControl/>
                    <w:jc w:val="center"/>
                    <w:textAlignment w:val="bottom"/>
                    <w:rPr>
                      <w:rFonts w:hint="default" w:ascii="Times New Roman" w:hAnsi="Times New Roman" w:eastAsia="宋体" w:cs="Times New Roman"/>
                      <w:color w:val="auto"/>
                      <w:spacing w:val="5"/>
                      <w:kern w:val="0"/>
                      <w:sz w:val="21"/>
                      <w:szCs w:val="21"/>
                      <w:lang w:val="en-US" w:eastAsia="zh-CN" w:bidi="ar"/>
                    </w:rPr>
                  </w:pPr>
                  <w:r>
                    <w:rPr>
                      <w:rFonts w:hint="eastAsia" w:ascii="Times New Roman" w:hAnsi="Times New Roman" w:eastAsia="宋体" w:cs="Times New Roman"/>
                      <w:color w:val="auto"/>
                      <w:kern w:val="0"/>
                      <w:sz w:val="21"/>
                      <w:szCs w:val="21"/>
                      <w:lang w:val="en-US" w:eastAsia="zh-CN" w:bidi="ar"/>
                    </w:rPr>
                    <w:t>772-006-49</w:t>
                  </w:r>
                </w:p>
              </w:tc>
              <w:tc>
                <w:tcPr>
                  <w:tcW w:w="321" w:type="pct"/>
                  <w:tcBorders>
                    <w:tl2br w:val="nil"/>
                    <w:tr2bl w:val="nil"/>
                  </w:tcBorders>
                  <w:shd w:val="clear" w:color="auto" w:fill="auto"/>
                  <w:vAlign w:val="center"/>
                </w:tcPr>
                <w:p w14:paraId="0EF773E4">
                  <w:pPr>
                    <w:widowControl/>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8.44</w:t>
                  </w:r>
                </w:p>
              </w:tc>
              <w:tc>
                <w:tcPr>
                  <w:tcW w:w="310" w:type="pct"/>
                  <w:tcBorders>
                    <w:tl2br w:val="nil"/>
                    <w:tr2bl w:val="nil"/>
                  </w:tcBorders>
                  <w:shd w:val="clear" w:color="auto" w:fill="auto"/>
                  <w:vAlign w:val="center"/>
                </w:tcPr>
                <w:p w14:paraId="2C56E4F0">
                  <w:pPr>
                    <w:widowControl w:val="0"/>
                    <w:snapToGrid w:val="0"/>
                    <w:spacing w:before="0" w:beforeAutospacing="0" w:after="0" w:afterAutospacing="0"/>
                    <w:jc w:val="center"/>
                    <w:rPr>
                      <w:rFonts w:hint="eastAsia" w:ascii="Times New Roman" w:hAnsi="Times New Roman" w:eastAsia="宋体" w:cs="Times New Roman"/>
                      <w:bCs/>
                      <w:snapToGrid w:val="0"/>
                      <w:color w:val="auto"/>
                      <w:spacing w:val="6"/>
                      <w:sz w:val="21"/>
                      <w:szCs w:val="21"/>
                      <w:lang w:val="en-US" w:eastAsia="zh-CN"/>
                    </w:rPr>
                  </w:pPr>
                  <w:r>
                    <w:rPr>
                      <w:rFonts w:hint="eastAsia" w:ascii="Times New Roman" w:hAnsi="Times New Roman" w:eastAsia="宋体" w:cs="Times New Roman"/>
                      <w:bCs/>
                      <w:snapToGrid w:val="0"/>
                      <w:color w:val="auto"/>
                      <w:spacing w:val="6"/>
                      <w:sz w:val="21"/>
                      <w:szCs w:val="21"/>
                      <w:lang w:val="en-US" w:eastAsia="zh-CN"/>
                    </w:rPr>
                    <w:t>III</w:t>
                  </w:r>
                </w:p>
              </w:tc>
              <w:tc>
                <w:tcPr>
                  <w:tcW w:w="350" w:type="pct"/>
                  <w:vMerge w:val="continue"/>
                  <w:tcBorders>
                    <w:tl2br w:val="nil"/>
                    <w:tr2bl w:val="nil"/>
                  </w:tcBorders>
                  <w:vAlign w:val="center"/>
                </w:tcPr>
                <w:p w14:paraId="412BA1B4">
                  <w:pPr>
                    <w:pStyle w:val="22"/>
                    <w:widowControl w:val="0"/>
                    <w:snapToGrid w:val="0"/>
                    <w:spacing w:before="0" w:beforeAutospacing="0" w:after="0" w:afterAutospacing="0"/>
                    <w:jc w:val="center"/>
                    <w:rPr>
                      <w:rFonts w:hint="eastAsia" w:ascii="Times New Roman" w:hAnsi="Times New Roman"/>
                      <w:bCs/>
                      <w:color w:val="auto"/>
                      <w:sz w:val="21"/>
                      <w:szCs w:val="21"/>
                    </w:rPr>
                  </w:pPr>
                </w:p>
              </w:tc>
              <w:tc>
                <w:tcPr>
                  <w:tcW w:w="179" w:type="pct"/>
                  <w:vMerge w:val="continue"/>
                  <w:tcBorders>
                    <w:tl2br w:val="nil"/>
                    <w:tr2bl w:val="nil"/>
                  </w:tcBorders>
                  <w:vAlign w:val="center"/>
                </w:tcPr>
                <w:p w14:paraId="156D3F89">
                  <w:pPr>
                    <w:pStyle w:val="22"/>
                    <w:widowControl w:val="0"/>
                    <w:snapToGrid w:val="0"/>
                    <w:spacing w:before="0" w:beforeAutospacing="0" w:after="0" w:afterAutospacing="0"/>
                    <w:jc w:val="center"/>
                    <w:rPr>
                      <w:rFonts w:hint="eastAsia" w:ascii="Times New Roman" w:hAnsi="Times New Roman"/>
                      <w:bCs/>
                      <w:color w:val="auto"/>
                      <w:sz w:val="21"/>
                      <w:szCs w:val="21"/>
                      <w:lang w:val="en-US" w:eastAsia="zh-CN"/>
                    </w:rPr>
                  </w:pPr>
                </w:p>
              </w:tc>
              <w:tc>
                <w:tcPr>
                  <w:tcW w:w="220" w:type="pct"/>
                  <w:vMerge w:val="continue"/>
                  <w:tcBorders>
                    <w:tl2br w:val="nil"/>
                    <w:tr2bl w:val="nil"/>
                  </w:tcBorders>
                  <w:vAlign w:val="center"/>
                </w:tcPr>
                <w:p w14:paraId="3EB00227">
                  <w:pPr>
                    <w:keepNext w:val="0"/>
                    <w:keepLines w:val="0"/>
                    <w:widowControl/>
                    <w:suppressLineNumbers w:val="0"/>
                    <w:jc w:val="center"/>
                    <w:textAlignment w:val="center"/>
                    <w:rPr>
                      <w:rFonts w:hint="default" w:ascii="Times New Roman" w:hAnsi="Times New Roman" w:eastAsia="宋体" w:cs="Times New Roman"/>
                      <w:bCs/>
                      <w:color w:val="auto"/>
                      <w:sz w:val="21"/>
                      <w:szCs w:val="21"/>
                      <w:lang w:val="en-US" w:eastAsia="zh-CN"/>
                    </w:rPr>
                  </w:pPr>
                </w:p>
              </w:tc>
              <w:tc>
                <w:tcPr>
                  <w:tcW w:w="269" w:type="pct"/>
                  <w:vMerge w:val="continue"/>
                  <w:tcBorders>
                    <w:tl2br w:val="nil"/>
                    <w:tr2bl w:val="nil"/>
                  </w:tcBorders>
                  <w:vAlign w:val="center"/>
                </w:tcPr>
                <w:p w14:paraId="1F32B1BB">
                  <w:pPr>
                    <w:keepNext w:val="0"/>
                    <w:keepLines w:val="0"/>
                    <w:widowControl/>
                    <w:suppressLineNumbers w:val="0"/>
                    <w:jc w:val="center"/>
                    <w:textAlignment w:val="center"/>
                    <w:rPr>
                      <w:rFonts w:hint="default" w:ascii="Times New Roman" w:hAnsi="Times New Roman" w:eastAsia="宋体" w:cs="Times New Roman"/>
                      <w:bCs/>
                      <w:color w:val="auto"/>
                      <w:sz w:val="21"/>
                      <w:szCs w:val="21"/>
                      <w:lang w:val="en-US" w:eastAsia="zh-CN"/>
                    </w:rPr>
                  </w:pPr>
                </w:p>
              </w:tc>
            </w:tr>
            <w:tr w14:paraId="38DCEFD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36" w:hRule="atLeast"/>
                <w:jc w:val="right"/>
              </w:trPr>
              <w:tc>
                <w:tcPr>
                  <w:tcW w:w="187" w:type="pct"/>
                  <w:tcBorders>
                    <w:tl2br w:val="nil"/>
                    <w:tr2bl w:val="nil"/>
                  </w:tcBorders>
                  <w:vAlign w:val="center"/>
                </w:tcPr>
                <w:p w14:paraId="29C48A6A">
                  <w:pPr>
                    <w:pStyle w:val="22"/>
                    <w:widowControl w:val="0"/>
                    <w:numPr>
                      <w:ilvl w:val="0"/>
                      <w:numId w:val="14"/>
                    </w:numPr>
                    <w:snapToGrid w:val="0"/>
                    <w:spacing w:before="0" w:beforeAutospacing="0" w:after="0" w:afterAutospacing="0"/>
                    <w:ind w:left="0" w:leftChars="0" w:firstLine="0" w:firstLineChars="0"/>
                    <w:jc w:val="center"/>
                    <w:rPr>
                      <w:rFonts w:hint="eastAsia" w:ascii="Times New Roman" w:hAnsi="Times New Roman"/>
                      <w:bCs/>
                      <w:color w:val="auto"/>
                      <w:sz w:val="21"/>
                      <w:szCs w:val="21"/>
                    </w:rPr>
                  </w:pPr>
                </w:p>
              </w:tc>
              <w:tc>
                <w:tcPr>
                  <w:tcW w:w="551" w:type="pct"/>
                  <w:tcBorders>
                    <w:tl2br w:val="nil"/>
                    <w:tr2bl w:val="nil"/>
                  </w:tcBorders>
                  <w:shd w:val="clear" w:color="auto" w:fill="auto"/>
                  <w:vAlign w:val="center"/>
                </w:tcPr>
                <w:p w14:paraId="5F5CE5A7">
                  <w:pPr>
                    <w:widowControl/>
                    <w:jc w:val="center"/>
                    <w:rPr>
                      <w:rFonts w:hint="default" w:ascii="Times New Roman" w:hAnsi="Times New Roman" w:eastAsia="宋体" w:cs="Times New Roman"/>
                      <w:bCs/>
                      <w:snapToGrid w:val="0"/>
                      <w:color w:val="auto"/>
                      <w:spacing w:val="6"/>
                      <w:kern w:val="2"/>
                      <w:sz w:val="21"/>
                      <w:szCs w:val="21"/>
                      <w:lang w:val="en-US" w:eastAsia="zh-CN" w:bidi="ar"/>
                    </w:rPr>
                  </w:pPr>
                  <w:r>
                    <w:rPr>
                      <w:rFonts w:hint="default" w:ascii="Times New Roman" w:hAnsi="Times New Roman" w:eastAsia="宋体" w:cs="Times New Roman"/>
                      <w:bCs/>
                      <w:snapToGrid w:val="0"/>
                      <w:color w:val="auto"/>
                      <w:spacing w:val="6"/>
                      <w:kern w:val="2"/>
                      <w:sz w:val="21"/>
                      <w:szCs w:val="21"/>
                      <w:lang w:val="en-US" w:eastAsia="zh-CN" w:bidi="ar"/>
                    </w:rPr>
                    <w:t>过滤材料</w:t>
                  </w:r>
                </w:p>
              </w:tc>
              <w:tc>
                <w:tcPr>
                  <w:tcW w:w="228" w:type="pct"/>
                  <w:vMerge w:val="continue"/>
                  <w:tcBorders>
                    <w:tl2br w:val="nil"/>
                    <w:tr2bl w:val="nil"/>
                  </w:tcBorders>
                  <w:shd w:val="clear" w:color="auto" w:fill="auto"/>
                  <w:vAlign w:val="center"/>
                </w:tcPr>
                <w:p w14:paraId="4D6B1EEC">
                  <w:pPr>
                    <w:pStyle w:val="22"/>
                    <w:widowControl w:val="0"/>
                    <w:snapToGrid w:val="0"/>
                    <w:spacing w:before="0" w:beforeAutospacing="0" w:after="0" w:afterAutospacing="0"/>
                    <w:jc w:val="center"/>
                    <w:rPr>
                      <w:rFonts w:hint="eastAsia" w:ascii="Times New Roman" w:hAnsi="Times New Roman" w:eastAsia="宋体" w:cs="Times New Roman"/>
                      <w:bCs/>
                      <w:color w:val="auto"/>
                      <w:kern w:val="0"/>
                      <w:sz w:val="21"/>
                      <w:szCs w:val="21"/>
                      <w:lang w:val="en-US" w:eastAsia="zh-CN" w:bidi="ar-SA"/>
                    </w:rPr>
                  </w:pPr>
                </w:p>
              </w:tc>
              <w:tc>
                <w:tcPr>
                  <w:tcW w:w="383" w:type="pct"/>
                  <w:tcBorders>
                    <w:tl2br w:val="nil"/>
                    <w:tr2bl w:val="nil"/>
                  </w:tcBorders>
                  <w:shd w:val="clear" w:color="auto" w:fill="auto"/>
                  <w:vAlign w:val="center"/>
                </w:tcPr>
                <w:p w14:paraId="31ADAE69">
                  <w:pPr>
                    <w:widowControl/>
                    <w:jc w:val="center"/>
                    <w:rPr>
                      <w:rFonts w:hint="eastAsia" w:ascii="Times New Roman" w:hAnsi="Times New Roman" w:eastAsia="宋体" w:cs="Times New Roman"/>
                      <w:bCs/>
                      <w:snapToGrid w:val="0"/>
                      <w:color w:val="auto"/>
                      <w:spacing w:val="6"/>
                      <w:kern w:val="2"/>
                      <w:sz w:val="21"/>
                      <w:szCs w:val="21"/>
                      <w:lang w:val="en-US" w:eastAsia="zh-CN" w:bidi="ar"/>
                    </w:rPr>
                  </w:pPr>
                  <w:r>
                    <w:rPr>
                      <w:rFonts w:hint="eastAsia" w:cs="Times New Roman"/>
                      <w:bCs/>
                      <w:snapToGrid w:val="0"/>
                      <w:color w:val="auto"/>
                      <w:spacing w:val="6"/>
                      <w:kern w:val="2"/>
                      <w:sz w:val="21"/>
                      <w:szCs w:val="21"/>
                      <w:lang w:val="en-US" w:eastAsia="zh-CN" w:bidi="ar"/>
                    </w:rPr>
                    <w:t>废水处理</w:t>
                  </w:r>
                </w:p>
              </w:tc>
              <w:tc>
                <w:tcPr>
                  <w:tcW w:w="188" w:type="pct"/>
                  <w:tcBorders>
                    <w:tl2br w:val="nil"/>
                    <w:tr2bl w:val="nil"/>
                  </w:tcBorders>
                  <w:shd w:val="clear" w:color="auto" w:fill="auto"/>
                  <w:vAlign w:val="center"/>
                </w:tcPr>
                <w:p w14:paraId="11A34ED1">
                  <w:pPr>
                    <w:widowControl/>
                    <w:jc w:val="center"/>
                    <w:rPr>
                      <w:rFonts w:hint="default" w:ascii="Times New Roman" w:hAnsi="Times New Roman" w:eastAsia="宋体" w:cs="Times New Roman"/>
                      <w:bCs/>
                      <w:snapToGrid w:val="0"/>
                      <w:color w:val="auto"/>
                      <w:spacing w:val="6"/>
                      <w:kern w:val="2"/>
                      <w:sz w:val="21"/>
                      <w:szCs w:val="21"/>
                      <w:lang w:val="en-US" w:eastAsia="zh-CN" w:bidi="ar"/>
                    </w:rPr>
                  </w:pPr>
                  <w:r>
                    <w:rPr>
                      <w:rFonts w:hint="eastAsia" w:cs="Times New Roman"/>
                      <w:bCs/>
                      <w:snapToGrid w:val="0"/>
                      <w:color w:val="auto"/>
                      <w:spacing w:val="6"/>
                      <w:kern w:val="2"/>
                      <w:sz w:val="21"/>
                      <w:szCs w:val="21"/>
                      <w:lang w:val="en-US" w:eastAsia="zh-CN" w:bidi="ar"/>
                    </w:rPr>
                    <w:t>固态</w:t>
                  </w:r>
                </w:p>
              </w:tc>
              <w:tc>
                <w:tcPr>
                  <w:tcW w:w="555" w:type="pct"/>
                  <w:tcBorders>
                    <w:tl2br w:val="nil"/>
                    <w:tr2bl w:val="nil"/>
                  </w:tcBorders>
                  <w:shd w:val="clear" w:color="auto" w:fill="auto"/>
                  <w:vAlign w:val="center"/>
                </w:tcPr>
                <w:p w14:paraId="0B6E029E">
                  <w:pPr>
                    <w:widowControl/>
                    <w:jc w:val="center"/>
                    <w:rPr>
                      <w:rFonts w:hint="default" w:ascii="Times New Roman" w:hAnsi="Times New Roman" w:eastAsia="宋体" w:cs="Times New Roman"/>
                      <w:color w:val="auto"/>
                      <w:spacing w:val="6"/>
                      <w:kern w:val="2"/>
                      <w:sz w:val="21"/>
                      <w:szCs w:val="21"/>
                      <w:lang w:val="en-US" w:eastAsia="zh-CN" w:bidi="ar"/>
                    </w:rPr>
                  </w:pPr>
                  <w:r>
                    <w:rPr>
                      <w:rFonts w:hint="eastAsia" w:ascii="Times New Roman" w:hAnsi="Times New Roman" w:eastAsia="宋体" w:cs="Times New Roman"/>
                      <w:bCs/>
                      <w:snapToGrid w:val="0"/>
                      <w:color w:val="auto"/>
                      <w:spacing w:val="6"/>
                      <w:kern w:val="2"/>
                      <w:sz w:val="21"/>
                      <w:szCs w:val="21"/>
                      <w:lang w:val="en-US" w:eastAsia="zh-CN" w:bidi="ar"/>
                    </w:rPr>
                    <w:t>滤袋、陶瓷膜、矿物油等</w:t>
                  </w:r>
                </w:p>
              </w:tc>
              <w:tc>
                <w:tcPr>
                  <w:tcW w:w="321" w:type="pct"/>
                  <w:tcBorders>
                    <w:tl2br w:val="nil"/>
                    <w:tr2bl w:val="nil"/>
                  </w:tcBorders>
                  <w:shd w:val="clear" w:color="auto" w:fill="auto"/>
                  <w:vAlign w:val="center"/>
                </w:tcPr>
                <w:p w14:paraId="0C00825C">
                  <w:pPr>
                    <w:pStyle w:val="22"/>
                    <w:widowControl w:val="0"/>
                    <w:snapToGrid w:val="0"/>
                    <w:spacing w:before="0" w:beforeAutospacing="0" w:after="0" w:afterAutospacing="0"/>
                    <w:jc w:val="center"/>
                    <w:rPr>
                      <w:rFonts w:hint="default" w:ascii="Times New Roman" w:hAnsi="Times New Roman" w:eastAsia="宋体" w:cs="Times New Roman"/>
                      <w:bCs/>
                      <w:color w:val="auto"/>
                      <w:kern w:val="0"/>
                      <w:sz w:val="21"/>
                      <w:szCs w:val="21"/>
                      <w:lang w:val="en-US" w:eastAsia="zh-CN" w:bidi="ar-SA"/>
                    </w:rPr>
                  </w:pPr>
                  <w:r>
                    <w:rPr>
                      <w:rFonts w:ascii="Times New Roman" w:hAnsi="Times New Roman"/>
                      <w:bCs/>
                      <w:color w:val="auto"/>
                      <w:sz w:val="21"/>
                      <w:szCs w:val="21"/>
                    </w:rPr>
                    <w:t>T/In</w:t>
                  </w:r>
                </w:p>
              </w:tc>
              <w:tc>
                <w:tcPr>
                  <w:tcW w:w="340" w:type="pct"/>
                  <w:tcBorders>
                    <w:tl2br w:val="nil"/>
                    <w:tr2bl w:val="nil"/>
                  </w:tcBorders>
                  <w:shd w:val="clear" w:color="auto" w:fill="auto"/>
                  <w:vAlign w:val="center"/>
                </w:tcPr>
                <w:p w14:paraId="0156742C">
                  <w:pPr>
                    <w:pStyle w:val="22"/>
                    <w:widowControl w:val="0"/>
                    <w:snapToGrid w:val="0"/>
                    <w:spacing w:before="0" w:beforeAutospacing="0" w:after="0" w:afterAutospacing="0"/>
                    <w:jc w:val="center"/>
                    <w:rPr>
                      <w:rFonts w:hint="default" w:ascii="宋体" w:hAnsi="宋体" w:eastAsia="宋体" w:cs="Times New Roman"/>
                      <w:color w:val="auto"/>
                      <w:kern w:val="0"/>
                      <w:sz w:val="21"/>
                      <w:szCs w:val="21"/>
                      <w:lang w:val="en-US" w:eastAsia="zh-CN" w:bidi="ar-SA"/>
                    </w:rPr>
                  </w:pPr>
                  <w:r>
                    <w:rPr>
                      <w:rFonts w:ascii="Times New Roman" w:hAnsi="Times New Roman"/>
                      <w:bCs/>
                      <w:color w:val="auto"/>
                      <w:sz w:val="21"/>
                      <w:szCs w:val="21"/>
                    </w:rPr>
                    <w:t>HW49</w:t>
                  </w:r>
                </w:p>
              </w:tc>
              <w:tc>
                <w:tcPr>
                  <w:tcW w:w="592" w:type="pct"/>
                  <w:tcBorders>
                    <w:tl2br w:val="nil"/>
                    <w:tr2bl w:val="nil"/>
                  </w:tcBorders>
                  <w:shd w:val="clear" w:color="auto" w:fill="auto"/>
                  <w:vAlign w:val="center"/>
                </w:tcPr>
                <w:p w14:paraId="74DC03C6">
                  <w:pPr>
                    <w:pStyle w:val="22"/>
                    <w:widowControl w:val="0"/>
                    <w:snapToGrid w:val="0"/>
                    <w:spacing w:before="0" w:beforeAutospacing="0" w:after="0" w:afterAutospacing="0"/>
                    <w:jc w:val="center"/>
                    <w:rPr>
                      <w:rFonts w:hint="default" w:ascii="宋体" w:hAnsi="宋体" w:eastAsia="宋体" w:cs="Times New Roman"/>
                      <w:color w:val="auto"/>
                      <w:kern w:val="0"/>
                      <w:sz w:val="21"/>
                      <w:szCs w:val="21"/>
                      <w:lang w:val="en-US" w:eastAsia="zh-CN" w:bidi="ar-SA"/>
                    </w:rPr>
                  </w:pPr>
                  <w:r>
                    <w:rPr>
                      <w:rFonts w:ascii="Times New Roman" w:hAnsi="Times New Roman"/>
                      <w:bCs/>
                      <w:color w:val="auto"/>
                      <w:sz w:val="21"/>
                      <w:szCs w:val="21"/>
                    </w:rPr>
                    <w:t>900-041-49</w:t>
                  </w:r>
                </w:p>
              </w:tc>
              <w:tc>
                <w:tcPr>
                  <w:tcW w:w="321" w:type="pct"/>
                  <w:tcBorders>
                    <w:tl2br w:val="nil"/>
                    <w:tr2bl w:val="nil"/>
                  </w:tcBorders>
                  <w:shd w:val="clear" w:color="auto" w:fill="auto"/>
                  <w:vAlign w:val="center"/>
                </w:tcPr>
                <w:p w14:paraId="66A4FC68">
                  <w:pPr>
                    <w:widowControl/>
                    <w:jc w:val="center"/>
                    <w:rPr>
                      <w:rFonts w:hint="default" w:ascii="Times New Roman" w:hAnsi="Times New Roman" w:eastAsia="宋体" w:cs="Times New Roman"/>
                      <w:color w:val="auto"/>
                      <w:kern w:val="2"/>
                      <w:sz w:val="21"/>
                      <w:szCs w:val="21"/>
                      <w:lang w:val="en-US" w:eastAsia="zh-CN" w:bidi="ar-SA"/>
                    </w:rPr>
                  </w:pPr>
                  <w:r>
                    <w:rPr>
                      <w:rFonts w:hint="eastAsia"/>
                      <w:bCs/>
                      <w:color w:val="auto"/>
                      <w:sz w:val="21"/>
                      <w:szCs w:val="21"/>
                      <w:lang w:val="en-US" w:eastAsia="zh-CN"/>
                    </w:rPr>
                    <w:t>0.5t/2a</w:t>
                  </w:r>
                </w:p>
              </w:tc>
              <w:tc>
                <w:tcPr>
                  <w:tcW w:w="310" w:type="pct"/>
                  <w:tcBorders>
                    <w:tl2br w:val="nil"/>
                    <w:tr2bl w:val="nil"/>
                  </w:tcBorders>
                  <w:shd w:val="clear" w:color="auto" w:fill="auto"/>
                  <w:vAlign w:val="center"/>
                </w:tcPr>
                <w:p w14:paraId="1FC087F1">
                  <w:pPr>
                    <w:widowControl w:val="0"/>
                    <w:snapToGrid w:val="0"/>
                    <w:spacing w:before="0" w:beforeAutospacing="0" w:after="0" w:afterAutospacing="0"/>
                    <w:jc w:val="center"/>
                    <w:rPr>
                      <w:rFonts w:hint="eastAsia" w:ascii="Times New Roman" w:hAnsi="Times New Roman" w:eastAsia="宋体" w:cs="Times New Roman"/>
                      <w:bCs/>
                      <w:snapToGrid w:val="0"/>
                      <w:color w:val="auto"/>
                      <w:spacing w:val="6"/>
                      <w:sz w:val="21"/>
                      <w:szCs w:val="21"/>
                      <w:lang w:val="en-US" w:eastAsia="zh-CN"/>
                    </w:rPr>
                  </w:pPr>
                  <w:r>
                    <w:rPr>
                      <w:rFonts w:hint="eastAsia" w:ascii="Times New Roman" w:hAnsi="Times New Roman" w:eastAsia="宋体" w:cs="Times New Roman"/>
                      <w:bCs/>
                      <w:snapToGrid w:val="0"/>
                      <w:color w:val="auto"/>
                      <w:spacing w:val="6"/>
                      <w:sz w:val="21"/>
                      <w:szCs w:val="21"/>
                      <w:lang w:val="en-US" w:eastAsia="zh-CN"/>
                    </w:rPr>
                    <w:t>III</w:t>
                  </w:r>
                </w:p>
              </w:tc>
              <w:tc>
                <w:tcPr>
                  <w:tcW w:w="350" w:type="pct"/>
                  <w:vMerge w:val="continue"/>
                  <w:tcBorders>
                    <w:tl2br w:val="nil"/>
                    <w:tr2bl w:val="nil"/>
                  </w:tcBorders>
                  <w:vAlign w:val="center"/>
                </w:tcPr>
                <w:p w14:paraId="30696228">
                  <w:pPr>
                    <w:pStyle w:val="22"/>
                    <w:widowControl w:val="0"/>
                    <w:snapToGrid w:val="0"/>
                    <w:spacing w:before="0" w:beforeAutospacing="0" w:after="0" w:afterAutospacing="0"/>
                    <w:jc w:val="center"/>
                    <w:rPr>
                      <w:rFonts w:hint="eastAsia" w:ascii="Times New Roman" w:hAnsi="Times New Roman"/>
                      <w:bCs/>
                      <w:color w:val="auto"/>
                      <w:sz w:val="21"/>
                      <w:szCs w:val="21"/>
                    </w:rPr>
                  </w:pPr>
                </w:p>
              </w:tc>
              <w:tc>
                <w:tcPr>
                  <w:tcW w:w="179" w:type="pct"/>
                  <w:vMerge w:val="continue"/>
                  <w:tcBorders>
                    <w:tl2br w:val="nil"/>
                    <w:tr2bl w:val="nil"/>
                  </w:tcBorders>
                  <w:vAlign w:val="center"/>
                </w:tcPr>
                <w:p w14:paraId="5FA2E460">
                  <w:pPr>
                    <w:pStyle w:val="22"/>
                    <w:widowControl w:val="0"/>
                    <w:snapToGrid w:val="0"/>
                    <w:spacing w:before="0" w:beforeAutospacing="0" w:after="0" w:afterAutospacing="0"/>
                    <w:jc w:val="center"/>
                    <w:rPr>
                      <w:rFonts w:hint="eastAsia" w:ascii="Times New Roman" w:hAnsi="Times New Roman"/>
                      <w:bCs/>
                      <w:color w:val="auto"/>
                      <w:sz w:val="21"/>
                      <w:szCs w:val="21"/>
                      <w:lang w:val="en-US" w:eastAsia="zh-CN"/>
                    </w:rPr>
                  </w:pPr>
                </w:p>
              </w:tc>
              <w:tc>
                <w:tcPr>
                  <w:tcW w:w="220" w:type="pct"/>
                  <w:vMerge w:val="continue"/>
                  <w:tcBorders>
                    <w:tl2br w:val="nil"/>
                    <w:tr2bl w:val="nil"/>
                  </w:tcBorders>
                  <w:vAlign w:val="center"/>
                </w:tcPr>
                <w:p w14:paraId="4C82BE30">
                  <w:pPr>
                    <w:keepNext w:val="0"/>
                    <w:keepLines w:val="0"/>
                    <w:widowControl/>
                    <w:suppressLineNumbers w:val="0"/>
                    <w:jc w:val="center"/>
                    <w:textAlignment w:val="center"/>
                    <w:rPr>
                      <w:rFonts w:hint="default" w:ascii="Times New Roman" w:hAnsi="Times New Roman" w:eastAsia="宋体" w:cs="Times New Roman"/>
                      <w:bCs/>
                      <w:color w:val="auto"/>
                      <w:sz w:val="21"/>
                      <w:szCs w:val="21"/>
                      <w:lang w:val="en-US" w:eastAsia="zh-CN"/>
                    </w:rPr>
                  </w:pPr>
                </w:p>
              </w:tc>
              <w:tc>
                <w:tcPr>
                  <w:tcW w:w="269" w:type="pct"/>
                  <w:vMerge w:val="continue"/>
                  <w:tcBorders>
                    <w:tl2br w:val="nil"/>
                    <w:tr2bl w:val="nil"/>
                  </w:tcBorders>
                  <w:vAlign w:val="center"/>
                </w:tcPr>
                <w:p w14:paraId="790B55FB">
                  <w:pPr>
                    <w:keepNext w:val="0"/>
                    <w:keepLines w:val="0"/>
                    <w:widowControl/>
                    <w:suppressLineNumbers w:val="0"/>
                    <w:jc w:val="center"/>
                    <w:textAlignment w:val="center"/>
                    <w:rPr>
                      <w:rFonts w:hint="default" w:ascii="Times New Roman" w:hAnsi="Times New Roman" w:eastAsia="宋体" w:cs="Times New Roman"/>
                      <w:bCs/>
                      <w:color w:val="auto"/>
                      <w:sz w:val="21"/>
                      <w:szCs w:val="21"/>
                      <w:lang w:val="en-US" w:eastAsia="zh-CN"/>
                    </w:rPr>
                  </w:pPr>
                </w:p>
              </w:tc>
            </w:tr>
            <w:tr w14:paraId="3B42F22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36" w:hRule="atLeast"/>
                <w:jc w:val="right"/>
              </w:trPr>
              <w:tc>
                <w:tcPr>
                  <w:tcW w:w="187" w:type="pct"/>
                  <w:tcBorders>
                    <w:tl2br w:val="nil"/>
                    <w:tr2bl w:val="nil"/>
                  </w:tcBorders>
                  <w:vAlign w:val="center"/>
                </w:tcPr>
                <w:p w14:paraId="5F6EAA27">
                  <w:pPr>
                    <w:pStyle w:val="22"/>
                    <w:widowControl w:val="0"/>
                    <w:numPr>
                      <w:ilvl w:val="0"/>
                      <w:numId w:val="14"/>
                    </w:numPr>
                    <w:snapToGrid w:val="0"/>
                    <w:spacing w:before="0" w:beforeAutospacing="0" w:after="0" w:afterAutospacing="0"/>
                    <w:ind w:left="0" w:leftChars="0" w:firstLine="0" w:firstLineChars="0"/>
                    <w:jc w:val="center"/>
                    <w:rPr>
                      <w:rFonts w:hint="eastAsia" w:ascii="Times New Roman" w:hAnsi="Times New Roman"/>
                      <w:bCs/>
                      <w:color w:val="auto"/>
                      <w:sz w:val="21"/>
                      <w:szCs w:val="21"/>
                    </w:rPr>
                  </w:pPr>
                </w:p>
              </w:tc>
              <w:tc>
                <w:tcPr>
                  <w:tcW w:w="551" w:type="pct"/>
                  <w:tcBorders>
                    <w:tl2br w:val="nil"/>
                    <w:tr2bl w:val="nil"/>
                  </w:tcBorders>
                  <w:shd w:val="clear" w:color="auto" w:fill="auto"/>
                  <w:vAlign w:val="center"/>
                </w:tcPr>
                <w:p w14:paraId="69A599C6">
                  <w:pPr>
                    <w:widowControl/>
                    <w:jc w:val="center"/>
                    <w:rPr>
                      <w:rFonts w:hint="default" w:ascii="Times New Roman" w:hAnsi="Times New Roman" w:eastAsia="宋体" w:cs="Times New Roman"/>
                      <w:bCs/>
                      <w:snapToGrid w:val="0"/>
                      <w:color w:val="auto"/>
                      <w:spacing w:val="6"/>
                      <w:kern w:val="2"/>
                      <w:sz w:val="21"/>
                      <w:szCs w:val="21"/>
                      <w:lang w:val="en-US" w:eastAsia="zh-CN" w:bidi="ar-SA"/>
                    </w:rPr>
                  </w:pPr>
                  <w:r>
                    <w:rPr>
                      <w:rFonts w:hint="eastAsia"/>
                      <w:bCs/>
                      <w:snapToGrid w:val="0"/>
                      <w:color w:val="auto"/>
                      <w:spacing w:val="6"/>
                    </w:rPr>
                    <w:t>空压机含油废水</w:t>
                  </w:r>
                </w:p>
              </w:tc>
              <w:tc>
                <w:tcPr>
                  <w:tcW w:w="228" w:type="pct"/>
                  <w:vMerge w:val="continue"/>
                  <w:tcBorders>
                    <w:tl2br w:val="nil"/>
                    <w:tr2bl w:val="nil"/>
                  </w:tcBorders>
                  <w:shd w:val="clear" w:color="auto" w:fill="auto"/>
                  <w:vAlign w:val="center"/>
                </w:tcPr>
                <w:p w14:paraId="168F487D">
                  <w:pPr>
                    <w:widowControl/>
                    <w:jc w:val="center"/>
                    <w:rPr>
                      <w:rFonts w:hint="eastAsia" w:ascii="Times New Roman" w:hAnsi="Times New Roman" w:eastAsia="宋体" w:cs="Times New Roman"/>
                      <w:bCs/>
                      <w:snapToGrid w:val="0"/>
                      <w:color w:val="auto"/>
                      <w:spacing w:val="6"/>
                      <w:kern w:val="2"/>
                      <w:sz w:val="21"/>
                      <w:szCs w:val="21"/>
                      <w:lang w:val="en-US" w:eastAsia="zh-CN" w:bidi="ar-SA"/>
                    </w:rPr>
                  </w:pPr>
                </w:p>
              </w:tc>
              <w:tc>
                <w:tcPr>
                  <w:tcW w:w="383" w:type="pct"/>
                  <w:tcBorders>
                    <w:tl2br w:val="nil"/>
                    <w:tr2bl w:val="nil"/>
                  </w:tcBorders>
                  <w:shd w:val="clear" w:color="auto" w:fill="auto"/>
                  <w:vAlign w:val="center"/>
                </w:tcPr>
                <w:p w14:paraId="67A340C7">
                  <w:pPr>
                    <w:widowControl/>
                    <w:jc w:val="center"/>
                    <w:rPr>
                      <w:rFonts w:hint="eastAsia" w:ascii="Times New Roman" w:hAnsi="Times New Roman" w:eastAsia="宋体" w:cs="Times New Roman"/>
                      <w:bCs/>
                      <w:snapToGrid w:val="0"/>
                      <w:color w:val="auto"/>
                      <w:spacing w:val="6"/>
                      <w:kern w:val="2"/>
                      <w:sz w:val="21"/>
                      <w:szCs w:val="21"/>
                      <w:lang w:val="en-US" w:eastAsia="zh-CN" w:bidi="ar-SA"/>
                    </w:rPr>
                  </w:pPr>
                  <w:r>
                    <w:rPr>
                      <w:rFonts w:hint="eastAsia"/>
                      <w:bCs/>
                      <w:snapToGrid w:val="0"/>
                      <w:color w:val="auto"/>
                      <w:spacing w:val="6"/>
                    </w:rPr>
                    <w:t>空压机</w:t>
                  </w:r>
                  <w:r>
                    <w:rPr>
                      <w:rFonts w:hint="eastAsia"/>
                      <w:bCs/>
                      <w:snapToGrid w:val="0"/>
                      <w:color w:val="auto"/>
                      <w:spacing w:val="6"/>
                      <w:lang w:val="en-US" w:eastAsia="zh-CN"/>
                    </w:rPr>
                    <w:t>运行</w:t>
                  </w:r>
                </w:p>
              </w:tc>
              <w:tc>
                <w:tcPr>
                  <w:tcW w:w="188" w:type="pct"/>
                  <w:tcBorders>
                    <w:tl2br w:val="nil"/>
                    <w:tr2bl w:val="nil"/>
                  </w:tcBorders>
                  <w:shd w:val="clear" w:color="auto" w:fill="auto"/>
                  <w:vAlign w:val="center"/>
                </w:tcPr>
                <w:p w14:paraId="2CD1DABF">
                  <w:pPr>
                    <w:widowControl/>
                    <w:jc w:val="center"/>
                    <w:rPr>
                      <w:rFonts w:hint="eastAsia" w:ascii="Times New Roman" w:hAnsi="Times New Roman" w:eastAsia="宋体" w:cs="Times New Roman"/>
                      <w:bCs/>
                      <w:snapToGrid w:val="0"/>
                      <w:color w:val="auto"/>
                      <w:spacing w:val="6"/>
                      <w:kern w:val="2"/>
                      <w:sz w:val="21"/>
                      <w:szCs w:val="21"/>
                      <w:lang w:val="en-US" w:eastAsia="zh-CN" w:bidi="ar-SA"/>
                    </w:rPr>
                  </w:pPr>
                  <w:r>
                    <w:rPr>
                      <w:rFonts w:hint="eastAsia"/>
                      <w:bCs/>
                      <w:snapToGrid w:val="0"/>
                      <w:color w:val="auto"/>
                      <w:spacing w:val="6"/>
                      <w:lang w:val="en-US" w:eastAsia="zh-CN"/>
                    </w:rPr>
                    <w:t>液态</w:t>
                  </w:r>
                </w:p>
              </w:tc>
              <w:tc>
                <w:tcPr>
                  <w:tcW w:w="555" w:type="pct"/>
                  <w:tcBorders>
                    <w:tl2br w:val="nil"/>
                    <w:tr2bl w:val="nil"/>
                  </w:tcBorders>
                  <w:shd w:val="clear" w:color="auto" w:fill="auto"/>
                  <w:vAlign w:val="center"/>
                </w:tcPr>
                <w:p w14:paraId="3D99C64B">
                  <w:pPr>
                    <w:widowControl/>
                    <w:jc w:val="center"/>
                    <w:rPr>
                      <w:rFonts w:hint="default" w:ascii="Times New Roman" w:hAnsi="Times New Roman" w:eastAsia="宋体" w:cs="Times New Roman"/>
                      <w:bCs/>
                      <w:snapToGrid w:val="0"/>
                      <w:color w:val="auto"/>
                      <w:spacing w:val="6"/>
                      <w:kern w:val="2"/>
                      <w:sz w:val="21"/>
                      <w:szCs w:val="21"/>
                      <w:lang w:val="en-US" w:eastAsia="zh-CN" w:bidi="ar-SA"/>
                    </w:rPr>
                  </w:pPr>
                  <w:r>
                    <w:rPr>
                      <w:rFonts w:hint="eastAsia" w:ascii="Times New Roman" w:hAnsi="Times New Roman"/>
                      <w:color w:val="auto"/>
                      <w:sz w:val="21"/>
                      <w:szCs w:val="21"/>
                    </w:rPr>
                    <w:t>矿物油、水</w:t>
                  </w:r>
                </w:p>
              </w:tc>
              <w:tc>
                <w:tcPr>
                  <w:tcW w:w="321" w:type="pct"/>
                  <w:tcBorders>
                    <w:tl2br w:val="nil"/>
                    <w:tr2bl w:val="nil"/>
                  </w:tcBorders>
                  <w:shd w:val="clear" w:color="auto" w:fill="auto"/>
                  <w:vAlign w:val="center"/>
                </w:tcPr>
                <w:p w14:paraId="2FFFBE66">
                  <w:pPr>
                    <w:pStyle w:val="22"/>
                    <w:widowControl w:val="0"/>
                    <w:snapToGrid w:val="0"/>
                    <w:spacing w:before="0" w:beforeAutospacing="0" w:after="0" w:afterAutospacing="0"/>
                    <w:jc w:val="center"/>
                    <w:rPr>
                      <w:rFonts w:hint="eastAsia" w:ascii="Times New Roman" w:hAnsi="Times New Roman" w:eastAsia="宋体" w:cs="Times New Roman"/>
                      <w:bCs/>
                      <w:color w:val="auto"/>
                      <w:kern w:val="0"/>
                      <w:sz w:val="21"/>
                      <w:szCs w:val="21"/>
                      <w:highlight w:val="none"/>
                      <w:lang w:val="en-US" w:eastAsia="zh-CN" w:bidi="ar"/>
                    </w:rPr>
                  </w:pPr>
                  <w:r>
                    <w:rPr>
                      <w:rFonts w:hint="eastAsia" w:ascii="Times New Roman" w:hAnsi="Times New Roman"/>
                      <w:bCs/>
                      <w:color w:val="auto"/>
                      <w:sz w:val="21"/>
                      <w:szCs w:val="21"/>
                      <w:highlight w:val="none"/>
                      <w:lang w:val="en-US" w:eastAsia="zh-CN" w:bidi="ar"/>
                    </w:rPr>
                    <w:t>T</w:t>
                  </w:r>
                </w:p>
              </w:tc>
              <w:tc>
                <w:tcPr>
                  <w:tcW w:w="340" w:type="pct"/>
                  <w:tcBorders>
                    <w:tl2br w:val="nil"/>
                    <w:tr2bl w:val="nil"/>
                  </w:tcBorders>
                  <w:shd w:val="clear" w:color="auto" w:fill="auto"/>
                  <w:vAlign w:val="center"/>
                </w:tcPr>
                <w:p w14:paraId="6D9F08CB">
                  <w:pPr>
                    <w:adjustRightInd w:val="0"/>
                    <w:snapToGrid w:val="0"/>
                    <w:jc w:val="center"/>
                    <w:rPr>
                      <w:rFonts w:hint="default" w:ascii="Times New Roman" w:hAnsi="Times New Roman" w:eastAsia="宋体" w:cs="Times New Roman"/>
                      <w:color w:val="auto"/>
                      <w:kern w:val="2"/>
                      <w:sz w:val="21"/>
                      <w:szCs w:val="21"/>
                      <w:highlight w:val="none"/>
                      <w:lang w:val="en-US" w:eastAsia="zh-CN" w:bidi="ar"/>
                    </w:rPr>
                  </w:pPr>
                  <w:r>
                    <w:rPr>
                      <w:rFonts w:hint="eastAsia"/>
                      <w:color w:val="auto"/>
                      <w:sz w:val="21"/>
                      <w:szCs w:val="21"/>
                      <w:highlight w:val="none"/>
                      <w:lang w:val="en-US" w:eastAsia="zh-CN" w:bidi="ar"/>
                    </w:rPr>
                    <w:t>HW09</w:t>
                  </w:r>
                </w:p>
              </w:tc>
              <w:tc>
                <w:tcPr>
                  <w:tcW w:w="592" w:type="pct"/>
                  <w:tcBorders>
                    <w:tl2br w:val="nil"/>
                    <w:tr2bl w:val="nil"/>
                  </w:tcBorders>
                  <w:shd w:val="clear" w:color="auto" w:fill="auto"/>
                  <w:vAlign w:val="center"/>
                </w:tcPr>
                <w:p w14:paraId="4B0BE252">
                  <w:pPr>
                    <w:adjustRightInd w:val="0"/>
                    <w:snapToGrid w:val="0"/>
                    <w:jc w:val="center"/>
                    <w:rPr>
                      <w:rFonts w:hint="default" w:ascii="Times New Roman" w:hAnsi="Times New Roman" w:eastAsia="宋体" w:cs="Times New Roman"/>
                      <w:color w:val="auto"/>
                      <w:kern w:val="2"/>
                      <w:sz w:val="21"/>
                      <w:szCs w:val="21"/>
                      <w:highlight w:val="none"/>
                      <w:lang w:val="en-US" w:eastAsia="zh-CN" w:bidi="ar"/>
                    </w:rPr>
                  </w:pPr>
                  <w:r>
                    <w:rPr>
                      <w:rFonts w:hint="default"/>
                      <w:color w:val="auto"/>
                      <w:sz w:val="21"/>
                      <w:szCs w:val="21"/>
                      <w:highlight w:val="none"/>
                      <w:lang w:bidi="ar"/>
                    </w:rPr>
                    <w:t>900-</w:t>
                  </w:r>
                  <w:r>
                    <w:rPr>
                      <w:rFonts w:hint="eastAsia"/>
                      <w:color w:val="auto"/>
                      <w:sz w:val="21"/>
                      <w:szCs w:val="21"/>
                      <w:highlight w:val="none"/>
                      <w:lang w:val="en-US" w:eastAsia="zh-CN" w:bidi="ar"/>
                    </w:rPr>
                    <w:t>007-09</w:t>
                  </w:r>
                </w:p>
              </w:tc>
              <w:tc>
                <w:tcPr>
                  <w:tcW w:w="321" w:type="pct"/>
                  <w:tcBorders>
                    <w:tl2br w:val="nil"/>
                    <w:tr2bl w:val="nil"/>
                  </w:tcBorders>
                  <w:shd w:val="clear" w:color="auto" w:fill="auto"/>
                  <w:vAlign w:val="center"/>
                </w:tcPr>
                <w:p w14:paraId="0D62821F">
                  <w:pPr>
                    <w:widowControl/>
                    <w:jc w:val="center"/>
                    <w:rPr>
                      <w:rFonts w:hint="eastAsia" w:ascii="Times New Roman" w:hAnsi="Times New Roman" w:eastAsia="宋体" w:cs="Times New Roman"/>
                      <w:bCs/>
                      <w:snapToGrid w:val="0"/>
                      <w:color w:val="auto"/>
                      <w:spacing w:val="6"/>
                      <w:kern w:val="2"/>
                      <w:sz w:val="21"/>
                      <w:szCs w:val="21"/>
                      <w:lang w:val="en-US" w:eastAsia="zh-CN" w:bidi="ar-SA"/>
                    </w:rPr>
                  </w:pPr>
                  <w:r>
                    <w:rPr>
                      <w:rFonts w:hint="eastAsia"/>
                      <w:bCs/>
                      <w:snapToGrid w:val="0"/>
                      <w:color w:val="auto"/>
                      <w:spacing w:val="6"/>
                    </w:rPr>
                    <w:t>0.1</w:t>
                  </w:r>
                </w:p>
              </w:tc>
              <w:tc>
                <w:tcPr>
                  <w:tcW w:w="310" w:type="pct"/>
                  <w:tcBorders>
                    <w:tl2br w:val="nil"/>
                    <w:tr2bl w:val="nil"/>
                  </w:tcBorders>
                  <w:shd w:val="clear" w:color="auto" w:fill="auto"/>
                  <w:vAlign w:val="center"/>
                </w:tcPr>
                <w:p w14:paraId="416C6157">
                  <w:pPr>
                    <w:snapToGrid w:val="0"/>
                    <w:jc w:val="center"/>
                    <w:rPr>
                      <w:rFonts w:hint="eastAsia" w:ascii="Times New Roman" w:hAnsi="Times New Roman" w:eastAsia="宋体" w:cs="Times New Roman"/>
                      <w:bCs/>
                      <w:color w:val="auto"/>
                      <w:kern w:val="2"/>
                      <w:sz w:val="21"/>
                      <w:szCs w:val="21"/>
                      <w:lang w:val="en-US" w:eastAsia="zh-CN" w:bidi="ar"/>
                    </w:rPr>
                  </w:pPr>
                  <w:r>
                    <w:rPr>
                      <w:rFonts w:hint="eastAsia"/>
                      <w:bCs/>
                      <w:color w:val="auto"/>
                    </w:rPr>
                    <w:t>III</w:t>
                  </w:r>
                </w:p>
              </w:tc>
              <w:tc>
                <w:tcPr>
                  <w:tcW w:w="350" w:type="pct"/>
                  <w:vMerge w:val="continue"/>
                  <w:tcBorders>
                    <w:tl2br w:val="nil"/>
                    <w:tr2bl w:val="nil"/>
                  </w:tcBorders>
                  <w:vAlign w:val="center"/>
                </w:tcPr>
                <w:p w14:paraId="3AA1A629">
                  <w:pPr>
                    <w:pStyle w:val="22"/>
                    <w:widowControl w:val="0"/>
                    <w:snapToGrid w:val="0"/>
                    <w:spacing w:before="0" w:beforeAutospacing="0" w:after="0" w:afterAutospacing="0"/>
                    <w:jc w:val="center"/>
                    <w:rPr>
                      <w:rFonts w:hint="eastAsia" w:ascii="Times New Roman" w:hAnsi="Times New Roman"/>
                      <w:bCs/>
                      <w:color w:val="auto"/>
                      <w:sz w:val="21"/>
                      <w:szCs w:val="21"/>
                    </w:rPr>
                  </w:pPr>
                </w:p>
              </w:tc>
              <w:tc>
                <w:tcPr>
                  <w:tcW w:w="179" w:type="pct"/>
                  <w:vMerge w:val="continue"/>
                  <w:tcBorders>
                    <w:tl2br w:val="nil"/>
                    <w:tr2bl w:val="nil"/>
                  </w:tcBorders>
                  <w:vAlign w:val="center"/>
                </w:tcPr>
                <w:p w14:paraId="48757DA8">
                  <w:pPr>
                    <w:pStyle w:val="22"/>
                    <w:widowControl w:val="0"/>
                    <w:snapToGrid w:val="0"/>
                    <w:spacing w:before="0" w:beforeAutospacing="0" w:after="0" w:afterAutospacing="0"/>
                    <w:jc w:val="center"/>
                    <w:rPr>
                      <w:rFonts w:hint="eastAsia" w:ascii="Times New Roman" w:hAnsi="Times New Roman"/>
                      <w:bCs/>
                      <w:color w:val="auto"/>
                      <w:sz w:val="21"/>
                      <w:szCs w:val="21"/>
                      <w:lang w:val="en-US" w:eastAsia="zh-CN"/>
                    </w:rPr>
                  </w:pPr>
                </w:p>
              </w:tc>
              <w:tc>
                <w:tcPr>
                  <w:tcW w:w="220" w:type="pct"/>
                  <w:vMerge w:val="continue"/>
                  <w:tcBorders>
                    <w:tl2br w:val="nil"/>
                    <w:tr2bl w:val="nil"/>
                  </w:tcBorders>
                  <w:vAlign w:val="center"/>
                </w:tcPr>
                <w:p w14:paraId="3EB6DA54">
                  <w:pPr>
                    <w:keepNext w:val="0"/>
                    <w:keepLines w:val="0"/>
                    <w:widowControl/>
                    <w:suppressLineNumbers w:val="0"/>
                    <w:jc w:val="center"/>
                    <w:textAlignment w:val="center"/>
                    <w:rPr>
                      <w:rFonts w:hint="default" w:ascii="Times New Roman" w:hAnsi="Times New Roman" w:eastAsia="宋体" w:cs="Times New Roman"/>
                      <w:bCs/>
                      <w:color w:val="auto"/>
                      <w:sz w:val="21"/>
                      <w:szCs w:val="21"/>
                      <w:lang w:val="en-US" w:eastAsia="zh-CN"/>
                    </w:rPr>
                  </w:pPr>
                </w:p>
              </w:tc>
              <w:tc>
                <w:tcPr>
                  <w:tcW w:w="269" w:type="pct"/>
                  <w:vMerge w:val="continue"/>
                  <w:tcBorders>
                    <w:tl2br w:val="nil"/>
                    <w:tr2bl w:val="nil"/>
                  </w:tcBorders>
                  <w:vAlign w:val="center"/>
                </w:tcPr>
                <w:p w14:paraId="1797530A">
                  <w:pPr>
                    <w:keepNext w:val="0"/>
                    <w:keepLines w:val="0"/>
                    <w:widowControl/>
                    <w:suppressLineNumbers w:val="0"/>
                    <w:jc w:val="center"/>
                    <w:textAlignment w:val="center"/>
                    <w:rPr>
                      <w:rFonts w:hint="default" w:ascii="Times New Roman" w:hAnsi="Times New Roman" w:eastAsia="宋体" w:cs="Times New Roman"/>
                      <w:bCs/>
                      <w:color w:val="auto"/>
                      <w:sz w:val="21"/>
                      <w:szCs w:val="21"/>
                      <w:lang w:val="en-US" w:eastAsia="zh-CN"/>
                    </w:rPr>
                  </w:pPr>
                </w:p>
              </w:tc>
            </w:tr>
            <w:tr w14:paraId="4491D17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36" w:hRule="atLeast"/>
                <w:jc w:val="right"/>
              </w:trPr>
              <w:tc>
                <w:tcPr>
                  <w:tcW w:w="187" w:type="pct"/>
                  <w:tcBorders>
                    <w:tl2br w:val="nil"/>
                    <w:tr2bl w:val="nil"/>
                  </w:tcBorders>
                  <w:vAlign w:val="center"/>
                </w:tcPr>
                <w:p w14:paraId="71AEC76E">
                  <w:pPr>
                    <w:pStyle w:val="22"/>
                    <w:widowControl w:val="0"/>
                    <w:numPr>
                      <w:ilvl w:val="0"/>
                      <w:numId w:val="14"/>
                    </w:numPr>
                    <w:snapToGrid w:val="0"/>
                    <w:spacing w:before="0" w:beforeAutospacing="0" w:after="0" w:afterAutospacing="0"/>
                    <w:ind w:left="0" w:leftChars="0" w:firstLine="0" w:firstLineChars="0"/>
                    <w:jc w:val="center"/>
                    <w:rPr>
                      <w:rFonts w:hint="eastAsia" w:ascii="Times New Roman" w:hAnsi="Times New Roman"/>
                      <w:bCs/>
                      <w:color w:val="auto"/>
                      <w:sz w:val="21"/>
                      <w:szCs w:val="21"/>
                    </w:rPr>
                  </w:pPr>
                </w:p>
              </w:tc>
              <w:tc>
                <w:tcPr>
                  <w:tcW w:w="551" w:type="pct"/>
                  <w:tcBorders>
                    <w:tl2br w:val="nil"/>
                    <w:tr2bl w:val="nil"/>
                  </w:tcBorders>
                  <w:shd w:val="clear" w:color="auto" w:fill="auto"/>
                  <w:vAlign w:val="center"/>
                </w:tcPr>
                <w:p w14:paraId="16859B84">
                  <w:pPr>
                    <w:widowControl/>
                    <w:jc w:val="center"/>
                    <w:rPr>
                      <w:rFonts w:hint="eastAsia" w:ascii="Times New Roman" w:hAnsi="Times New Roman" w:eastAsia="宋体" w:cs="Times New Roman"/>
                      <w:bCs/>
                      <w:snapToGrid w:val="0"/>
                      <w:color w:val="auto"/>
                      <w:spacing w:val="6"/>
                      <w:kern w:val="2"/>
                      <w:sz w:val="21"/>
                      <w:szCs w:val="21"/>
                      <w:lang w:val="en-US" w:eastAsia="zh-CN" w:bidi="ar"/>
                    </w:rPr>
                  </w:pPr>
                  <w:r>
                    <w:rPr>
                      <w:rFonts w:hint="default" w:ascii="Times New Roman" w:hAnsi="Times New Roman" w:eastAsia="宋体" w:cs="Times New Roman"/>
                      <w:bCs/>
                      <w:snapToGrid w:val="0"/>
                      <w:color w:val="auto"/>
                      <w:spacing w:val="6"/>
                      <w:sz w:val="21"/>
                      <w:szCs w:val="21"/>
                    </w:rPr>
                    <w:t>抛光废料</w:t>
                  </w:r>
                </w:p>
              </w:tc>
              <w:tc>
                <w:tcPr>
                  <w:tcW w:w="228" w:type="pct"/>
                  <w:vMerge w:val="continue"/>
                  <w:tcBorders>
                    <w:tl2br w:val="nil"/>
                    <w:tr2bl w:val="nil"/>
                  </w:tcBorders>
                  <w:shd w:val="clear" w:color="auto" w:fill="auto"/>
                  <w:vAlign w:val="center"/>
                </w:tcPr>
                <w:p w14:paraId="735D1229">
                  <w:pPr>
                    <w:widowControl/>
                    <w:jc w:val="center"/>
                    <w:rPr>
                      <w:rFonts w:hint="eastAsia" w:ascii="Times New Roman" w:hAnsi="Times New Roman" w:eastAsia="宋体" w:cs="Times New Roman"/>
                      <w:bCs/>
                      <w:snapToGrid w:val="0"/>
                      <w:color w:val="auto"/>
                      <w:spacing w:val="6"/>
                      <w:kern w:val="2"/>
                      <w:sz w:val="21"/>
                      <w:szCs w:val="21"/>
                      <w:lang w:val="en-US" w:eastAsia="zh-CN" w:bidi="ar-SA"/>
                    </w:rPr>
                  </w:pPr>
                </w:p>
              </w:tc>
              <w:tc>
                <w:tcPr>
                  <w:tcW w:w="383" w:type="pct"/>
                  <w:tcBorders>
                    <w:tl2br w:val="nil"/>
                    <w:tr2bl w:val="nil"/>
                  </w:tcBorders>
                  <w:shd w:val="clear" w:color="auto" w:fill="auto"/>
                  <w:vAlign w:val="center"/>
                </w:tcPr>
                <w:p w14:paraId="1FE61035">
                  <w:pPr>
                    <w:widowControl/>
                    <w:jc w:val="center"/>
                    <w:rPr>
                      <w:rFonts w:hint="eastAsia" w:ascii="Times New Roman" w:hAnsi="Times New Roman" w:eastAsia="宋体" w:cs="Times New Roman"/>
                      <w:bCs/>
                      <w:snapToGrid w:val="0"/>
                      <w:color w:val="auto"/>
                      <w:spacing w:val="6"/>
                      <w:kern w:val="2"/>
                      <w:sz w:val="21"/>
                      <w:szCs w:val="21"/>
                      <w:lang w:val="en-US" w:eastAsia="zh-CN" w:bidi="ar"/>
                    </w:rPr>
                  </w:pPr>
                  <w:r>
                    <w:rPr>
                      <w:rFonts w:hint="default" w:ascii="Times New Roman" w:hAnsi="Times New Roman" w:eastAsia="宋体" w:cs="Times New Roman"/>
                      <w:bCs/>
                      <w:snapToGrid w:val="0"/>
                      <w:color w:val="auto"/>
                      <w:spacing w:val="6"/>
                      <w:sz w:val="21"/>
                      <w:szCs w:val="21"/>
                    </w:rPr>
                    <w:t>抛光测试</w:t>
                  </w:r>
                </w:p>
              </w:tc>
              <w:tc>
                <w:tcPr>
                  <w:tcW w:w="188" w:type="pct"/>
                  <w:tcBorders>
                    <w:tl2br w:val="nil"/>
                    <w:tr2bl w:val="nil"/>
                  </w:tcBorders>
                  <w:shd w:val="clear" w:color="auto" w:fill="auto"/>
                  <w:vAlign w:val="center"/>
                </w:tcPr>
                <w:p w14:paraId="279A8874">
                  <w:pPr>
                    <w:widowControl/>
                    <w:jc w:val="center"/>
                    <w:rPr>
                      <w:rFonts w:hint="eastAsia" w:ascii="Times New Roman" w:hAnsi="Times New Roman" w:eastAsia="宋体" w:cs="Times New Roman"/>
                      <w:bCs/>
                      <w:snapToGrid w:val="0"/>
                      <w:color w:val="auto"/>
                      <w:spacing w:val="6"/>
                      <w:kern w:val="2"/>
                      <w:sz w:val="21"/>
                      <w:szCs w:val="21"/>
                      <w:lang w:val="en-US" w:eastAsia="zh-CN" w:bidi="ar"/>
                    </w:rPr>
                  </w:pPr>
                  <w:r>
                    <w:rPr>
                      <w:rFonts w:hint="default" w:ascii="Times New Roman" w:hAnsi="Times New Roman" w:eastAsia="宋体" w:cs="Times New Roman"/>
                      <w:bCs/>
                      <w:snapToGrid w:val="0"/>
                      <w:color w:val="auto"/>
                      <w:spacing w:val="6"/>
                      <w:sz w:val="21"/>
                      <w:szCs w:val="21"/>
                    </w:rPr>
                    <w:t>固态</w:t>
                  </w:r>
                </w:p>
              </w:tc>
              <w:tc>
                <w:tcPr>
                  <w:tcW w:w="555" w:type="pct"/>
                  <w:tcBorders>
                    <w:tl2br w:val="nil"/>
                    <w:tr2bl w:val="nil"/>
                  </w:tcBorders>
                  <w:shd w:val="clear" w:color="auto" w:fill="auto"/>
                  <w:vAlign w:val="center"/>
                </w:tcPr>
                <w:p w14:paraId="1570F605">
                  <w:pPr>
                    <w:widowControl/>
                    <w:jc w:val="center"/>
                    <w:rPr>
                      <w:rFonts w:hint="eastAsia" w:ascii="Times New Roman" w:hAnsi="Times New Roman" w:eastAsia="宋体" w:cs="Times New Roman"/>
                      <w:bCs/>
                      <w:snapToGrid w:val="0"/>
                      <w:color w:val="auto"/>
                      <w:spacing w:val="6"/>
                      <w:kern w:val="2"/>
                      <w:sz w:val="21"/>
                      <w:szCs w:val="21"/>
                      <w:lang w:val="en-US" w:eastAsia="zh-CN" w:bidi="ar"/>
                    </w:rPr>
                  </w:pPr>
                  <w:r>
                    <w:rPr>
                      <w:rFonts w:hint="eastAsia" w:cs="Times New Roman"/>
                      <w:bCs/>
                      <w:snapToGrid w:val="0"/>
                      <w:color w:val="auto"/>
                      <w:spacing w:val="6"/>
                      <w:sz w:val="21"/>
                      <w:szCs w:val="21"/>
                      <w:lang w:val="en-US" w:eastAsia="zh-CN"/>
                    </w:rPr>
                    <w:t>金刚砂、米糠、轻质白油等</w:t>
                  </w:r>
                </w:p>
              </w:tc>
              <w:tc>
                <w:tcPr>
                  <w:tcW w:w="321" w:type="pct"/>
                  <w:tcBorders>
                    <w:tl2br w:val="nil"/>
                    <w:tr2bl w:val="nil"/>
                  </w:tcBorders>
                  <w:shd w:val="clear" w:color="auto" w:fill="auto"/>
                  <w:vAlign w:val="center"/>
                </w:tcPr>
                <w:p w14:paraId="11768E27">
                  <w:pPr>
                    <w:pStyle w:val="2"/>
                    <w:spacing w:before="0" w:after="0" w:line="240" w:lineRule="auto"/>
                    <w:jc w:val="center"/>
                    <w:rPr>
                      <w:rFonts w:hint="eastAsia" w:ascii="Times New Roman" w:hAnsi="Times New Roman" w:eastAsia="宋体" w:cs="Times New Roman"/>
                      <w:b w:val="0"/>
                      <w:bCs w:val="0"/>
                      <w:color w:val="auto"/>
                      <w:kern w:val="2"/>
                      <w:sz w:val="21"/>
                      <w:szCs w:val="21"/>
                      <w:lang w:val="en-US" w:eastAsia="zh-CN" w:bidi="ar"/>
                    </w:rPr>
                  </w:pPr>
                  <w:r>
                    <w:rPr>
                      <w:rFonts w:hint="default" w:ascii="Times New Roman" w:hAnsi="Times New Roman" w:eastAsia="宋体" w:cs="Times New Roman"/>
                      <w:b w:val="0"/>
                      <w:bCs w:val="0"/>
                      <w:color w:val="auto"/>
                      <w:kern w:val="2"/>
                      <w:sz w:val="21"/>
                      <w:szCs w:val="21"/>
                      <w:lang w:val="en-US" w:eastAsia="zh-CN" w:bidi="ar"/>
                    </w:rPr>
                    <w:t>T，I</w:t>
                  </w:r>
                </w:p>
              </w:tc>
              <w:tc>
                <w:tcPr>
                  <w:tcW w:w="340" w:type="pct"/>
                  <w:tcBorders>
                    <w:tl2br w:val="nil"/>
                    <w:tr2bl w:val="nil"/>
                  </w:tcBorders>
                  <w:shd w:val="clear" w:color="auto" w:fill="auto"/>
                  <w:vAlign w:val="center"/>
                </w:tcPr>
                <w:p w14:paraId="3717D9B0">
                  <w:pPr>
                    <w:pStyle w:val="2"/>
                    <w:spacing w:before="0" w:after="0" w:line="240" w:lineRule="auto"/>
                    <w:jc w:val="center"/>
                    <w:rPr>
                      <w:rFonts w:hint="eastAsia" w:ascii="Times New Roman" w:hAnsi="Times New Roman" w:eastAsia="宋体" w:cs="Times New Roman"/>
                      <w:b w:val="0"/>
                      <w:bCs w:val="0"/>
                      <w:color w:val="auto"/>
                      <w:kern w:val="2"/>
                      <w:sz w:val="21"/>
                      <w:szCs w:val="21"/>
                      <w:lang w:val="en-US" w:eastAsia="zh-CN" w:bidi="ar"/>
                    </w:rPr>
                  </w:pPr>
                  <w:r>
                    <w:rPr>
                      <w:rFonts w:hint="default" w:ascii="Times New Roman" w:hAnsi="Times New Roman" w:eastAsia="宋体" w:cs="Times New Roman"/>
                      <w:b w:val="0"/>
                      <w:bCs w:val="0"/>
                      <w:color w:val="auto"/>
                      <w:kern w:val="2"/>
                      <w:sz w:val="21"/>
                      <w:szCs w:val="21"/>
                      <w:lang w:val="en-US" w:eastAsia="zh-CN" w:bidi="ar"/>
                    </w:rPr>
                    <w:t>HW08</w:t>
                  </w:r>
                </w:p>
              </w:tc>
              <w:tc>
                <w:tcPr>
                  <w:tcW w:w="592" w:type="pct"/>
                  <w:tcBorders>
                    <w:tl2br w:val="nil"/>
                    <w:tr2bl w:val="nil"/>
                  </w:tcBorders>
                  <w:shd w:val="clear" w:color="auto" w:fill="auto"/>
                  <w:vAlign w:val="center"/>
                </w:tcPr>
                <w:p w14:paraId="55555DD2">
                  <w:pPr>
                    <w:pStyle w:val="2"/>
                    <w:spacing w:before="0" w:after="0" w:line="240" w:lineRule="auto"/>
                    <w:jc w:val="center"/>
                    <w:rPr>
                      <w:rFonts w:hint="default" w:ascii="Times New Roman" w:hAnsi="Times New Roman" w:eastAsia="宋体" w:cs="Times New Roman"/>
                      <w:b w:val="0"/>
                      <w:bCs w:val="0"/>
                      <w:color w:val="auto"/>
                      <w:kern w:val="2"/>
                      <w:sz w:val="21"/>
                      <w:szCs w:val="21"/>
                      <w:lang w:val="en-US" w:eastAsia="zh-CN" w:bidi="ar"/>
                    </w:rPr>
                  </w:pPr>
                  <w:r>
                    <w:rPr>
                      <w:rFonts w:hint="default" w:ascii="Times New Roman" w:hAnsi="Times New Roman" w:eastAsia="宋体" w:cs="Times New Roman"/>
                      <w:b w:val="0"/>
                      <w:bCs w:val="0"/>
                      <w:color w:val="auto"/>
                      <w:kern w:val="2"/>
                      <w:sz w:val="21"/>
                      <w:szCs w:val="21"/>
                      <w:lang w:val="en-US" w:eastAsia="zh-CN" w:bidi="ar"/>
                    </w:rPr>
                    <w:t>900-249-08</w:t>
                  </w:r>
                </w:p>
              </w:tc>
              <w:tc>
                <w:tcPr>
                  <w:tcW w:w="321" w:type="pct"/>
                  <w:tcBorders>
                    <w:tl2br w:val="nil"/>
                    <w:tr2bl w:val="nil"/>
                  </w:tcBorders>
                  <w:shd w:val="clear" w:color="auto" w:fill="auto"/>
                  <w:vAlign w:val="center"/>
                </w:tcPr>
                <w:p w14:paraId="3EA3AC06">
                  <w:pPr>
                    <w:widowControl/>
                    <w:jc w:val="center"/>
                    <w:rPr>
                      <w:rFonts w:hint="eastAsia" w:ascii="Times New Roman" w:hAnsi="Times New Roman" w:eastAsia="宋体" w:cs="Times New Roman"/>
                      <w:bCs/>
                      <w:snapToGrid w:val="0"/>
                      <w:color w:val="auto"/>
                      <w:spacing w:val="6"/>
                      <w:kern w:val="2"/>
                      <w:sz w:val="21"/>
                      <w:szCs w:val="21"/>
                      <w:lang w:val="en-US" w:eastAsia="zh-CN" w:bidi="ar"/>
                    </w:rPr>
                  </w:pPr>
                  <w:r>
                    <w:rPr>
                      <w:rFonts w:hint="eastAsia" w:ascii="Times New Roman" w:hAnsi="Times New Roman" w:eastAsia="宋体" w:cs="Times New Roman"/>
                      <w:bCs/>
                      <w:snapToGrid w:val="0"/>
                      <w:color w:val="auto"/>
                      <w:spacing w:val="6"/>
                      <w:kern w:val="2"/>
                      <w:sz w:val="21"/>
                      <w:szCs w:val="21"/>
                      <w:lang w:val="en-US" w:eastAsia="zh-CN" w:bidi="ar"/>
                    </w:rPr>
                    <w:t>14.3</w:t>
                  </w:r>
                </w:p>
              </w:tc>
              <w:tc>
                <w:tcPr>
                  <w:tcW w:w="310" w:type="pct"/>
                  <w:tcBorders>
                    <w:tl2br w:val="nil"/>
                    <w:tr2bl w:val="nil"/>
                  </w:tcBorders>
                  <w:shd w:val="clear" w:color="auto" w:fill="auto"/>
                  <w:vAlign w:val="center"/>
                </w:tcPr>
                <w:p w14:paraId="0AD49AA7">
                  <w:pPr>
                    <w:snapToGrid w:val="0"/>
                    <w:jc w:val="center"/>
                    <w:rPr>
                      <w:rFonts w:hint="eastAsia"/>
                      <w:bCs/>
                      <w:color w:val="auto"/>
                    </w:rPr>
                  </w:pPr>
                  <w:r>
                    <w:rPr>
                      <w:rFonts w:hint="eastAsia" w:ascii="Times New Roman" w:hAnsi="Times New Roman"/>
                      <w:bCs/>
                      <w:color w:val="auto"/>
                      <w:sz w:val="21"/>
                      <w:szCs w:val="21"/>
                    </w:rPr>
                    <w:t>II</w:t>
                  </w:r>
                </w:p>
              </w:tc>
              <w:tc>
                <w:tcPr>
                  <w:tcW w:w="350" w:type="pct"/>
                  <w:vMerge w:val="continue"/>
                  <w:tcBorders>
                    <w:tl2br w:val="nil"/>
                    <w:tr2bl w:val="nil"/>
                  </w:tcBorders>
                  <w:vAlign w:val="center"/>
                </w:tcPr>
                <w:p w14:paraId="3BCED2B7">
                  <w:pPr>
                    <w:pStyle w:val="22"/>
                    <w:widowControl w:val="0"/>
                    <w:snapToGrid w:val="0"/>
                    <w:spacing w:before="0" w:beforeAutospacing="0" w:after="0" w:afterAutospacing="0"/>
                    <w:jc w:val="center"/>
                    <w:rPr>
                      <w:rFonts w:hint="eastAsia" w:ascii="Times New Roman" w:hAnsi="Times New Roman"/>
                      <w:bCs/>
                      <w:color w:val="auto"/>
                      <w:sz w:val="21"/>
                      <w:szCs w:val="21"/>
                    </w:rPr>
                  </w:pPr>
                </w:p>
              </w:tc>
              <w:tc>
                <w:tcPr>
                  <w:tcW w:w="179" w:type="pct"/>
                  <w:vMerge w:val="continue"/>
                  <w:tcBorders>
                    <w:tl2br w:val="nil"/>
                    <w:tr2bl w:val="nil"/>
                  </w:tcBorders>
                  <w:vAlign w:val="center"/>
                </w:tcPr>
                <w:p w14:paraId="7E3C147E">
                  <w:pPr>
                    <w:pStyle w:val="22"/>
                    <w:widowControl w:val="0"/>
                    <w:snapToGrid w:val="0"/>
                    <w:spacing w:before="0" w:beforeAutospacing="0" w:after="0" w:afterAutospacing="0"/>
                    <w:jc w:val="center"/>
                    <w:rPr>
                      <w:rFonts w:hint="eastAsia" w:ascii="Times New Roman" w:hAnsi="Times New Roman"/>
                      <w:bCs/>
                      <w:color w:val="auto"/>
                      <w:sz w:val="21"/>
                      <w:szCs w:val="21"/>
                      <w:lang w:val="en-US" w:eastAsia="zh-CN"/>
                    </w:rPr>
                  </w:pPr>
                </w:p>
              </w:tc>
              <w:tc>
                <w:tcPr>
                  <w:tcW w:w="220" w:type="pct"/>
                  <w:vMerge w:val="continue"/>
                  <w:tcBorders>
                    <w:tl2br w:val="nil"/>
                    <w:tr2bl w:val="nil"/>
                  </w:tcBorders>
                  <w:vAlign w:val="center"/>
                </w:tcPr>
                <w:p w14:paraId="61BA09AE">
                  <w:pPr>
                    <w:keepNext w:val="0"/>
                    <w:keepLines w:val="0"/>
                    <w:widowControl/>
                    <w:suppressLineNumbers w:val="0"/>
                    <w:jc w:val="center"/>
                    <w:textAlignment w:val="center"/>
                    <w:rPr>
                      <w:rFonts w:hint="default" w:ascii="Times New Roman" w:hAnsi="Times New Roman" w:eastAsia="宋体" w:cs="Times New Roman"/>
                      <w:bCs/>
                      <w:color w:val="auto"/>
                      <w:sz w:val="21"/>
                      <w:szCs w:val="21"/>
                      <w:lang w:val="en-US" w:eastAsia="zh-CN"/>
                    </w:rPr>
                  </w:pPr>
                </w:p>
              </w:tc>
              <w:tc>
                <w:tcPr>
                  <w:tcW w:w="269" w:type="pct"/>
                  <w:vMerge w:val="continue"/>
                  <w:tcBorders>
                    <w:tl2br w:val="nil"/>
                    <w:tr2bl w:val="nil"/>
                  </w:tcBorders>
                  <w:vAlign w:val="center"/>
                </w:tcPr>
                <w:p w14:paraId="472D00A3">
                  <w:pPr>
                    <w:keepNext w:val="0"/>
                    <w:keepLines w:val="0"/>
                    <w:widowControl/>
                    <w:suppressLineNumbers w:val="0"/>
                    <w:jc w:val="center"/>
                    <w:textAlignment w:val="center"/>
                    <w:rPr>
                      <w:rFonts w:hint="default" w:ascii="Times New Roman" w:hAnsi="Times New Roman" w:eastAsia="宋体" w:cs="Times New Roman"/>
                      <w:bCs/>
                      <w:color w:val="auto"/>
                      <w:sz w:val="21"/>
                      <w:szCs w:val="21"/>
                      <w:lang w:val="en-US" w:eastAsia="zh-CN"/>
                    </w:rPr>
                  </w:pPr>
                </w:p>
              </w:tc>
            </w:tr>
            <w:tr w14:paraId="32A3AB2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36" w:hRule="atLeast"/>
                <w:jc w:val="right"/>
              </w:trPr>
              <w:tc>
                <w:tcPr>
                  <w:tcW w:w="187" w:type="pct"/>
                  <w:tcBorders>
                    <w:tl2br w:val="nil"/>
                    <w:tr2bl w:val="nil"/>
                  </w:tcBorders>
                  <w:vAlign w:val="center"/>
                </w:tcPr>
                <w:p w14:paraId="7178EA4C">
                  <w:pPr>
                    <w:pStyle w:val="22"/>
                    <w:widowControl w:val="0"/>
                    <w:numPr>
                      <w:ilvl w:val="0"/>
                      <w:numId w:val="14"/>
                    </w:numPr>
                    <w:snapToGrid w:val="0"/>
                    <w:spacing w:before="0" w:beforeAutospacing="0" w:after="0" w:afterAutospacing="0"/>
                    <w:ind w:left="0" w:leftChars="0" w:firstLine="0" w:firstLineChars="0"/>
                    <w:jc w:val="center"/>
                    <w:rPr>
                      <w:rFonts w:hint="eastAsia" w:ascii="Times New Roman" w:hAnsi="Times New Roman"/>
                      <w:bCs/>
                      <w:color w:val="auto"/>
                      <w:sz w:val="21"/>
                      <w:szCs w:val="21"/>
                    </w:rPr>
                  </w:pPr>
                </w:p>
              </w:tc>
              <w:tc>
                <w:tcPr>
                  <w:tcW w:w="551" w:type="pct"/>
                  <w:tcBorders>
                    <w:tl2br w:val="nil"/>
                    <w:tr2bl w:val="nil"/>
                  </w:tcBorders>
                  <w:shd w:val="clear" w:color="auto" w:fill="auto"/>
                  <w:vAlign w:val="center"/>
                </w:tcPr>
                <w:p w14:paraId="03C74C4A">
                  <w:pPr>
                    <w:widowControl/>
                    <w:jc w:val="center"/>
                    <w:rPr>
                      <w:rFonts w:hint="eastAsia" w:ascii="Times New Roman" w:hAnsi="Times New Roman" w:eastAsia="宋体" w:cs="Times New Roman"/>
                      <w:bCs/>
                      <w:snapToGrid w:val="0"/>
                      <w:color w:val="auto"/>
                      <w:spacing w:val="6"/>
                      <w:kern w:val="2"/>
                      <w:sz w:val="21"/>
                      <w:szCs w:val="21"/>
                      <w:lang w:val="en-US" w:eastAsia="zh-CN" w:bidi="ar"/>
                    </w:rPr>
                  </w:pPr>
                  <w:r>
                    <w:rPr>
                      <w:rFonts w:hint="eastAsia"/>
                      <w:bCs/>
                      <w:snapToGrid w:val="0"/>
                      <w:color w:val="auto"/>
                      <w:spacing w:val="6"/>
                    </w:rPr>
                    <w:t>废电池</w:t>
                  </w:r>
                </w:p>
              </w:tc>
              <w:tc>
                <w:tcPr>
                  <w:tcW w:w="228" w:type="pct"/>
                  <w:vMerge w:val="continue"/>
                  <w:tcBorders>
                    <w:tl2br w:val="nil"/>
                    <w:tr2bl w:val="nil"/>
                  </w:tcBorders>
                  <w:shd w:val="clear" w:color="auto" w:fill="auto"/>
                  <w:vAlign w:val="center"/>
                </w:tcPr>
                <w:p w14:paraId="00EC7B60">
                  <w:pPr>
                    <w:widowControl/>
                    <w:jc w:val="center"/>
                    <w:rPr>
                      <w:rFonts w:hint="eastAsia" w:ascii="Times New Roman" w:hAnsi="Times New Roman" w:eastAsia="宋体" w:cs="Times New Roman"/>
                      <w:bCs/>
                      <w:snapToGrid w:val="0"/>
                      <w:color w:val="auto"/>
                      <w:spacing w:val="6"/>
                      <w:kern w:val="2"/>
                      <w:sz w:val="21"/>
                      <w:szCs w:val="21"/>
                      <w:lang w:val="en-US" w:eastAsia="zh-CN" w:bidi="ar-SA"/>
                    </w:rPr>
                  </w:pPr>
                </w:p>
              </w:tc>
              <w:tc>
                <w:tcPr>
                  <w:tcW w:w="383" w:type="pct"/>
                  <w:tcBorders>
                    <w:tl2br w:val="nil"/>
                    <w:tr2bl w:val="nil"/>
                  </w:tcBorders>
                  <w:shd w:val="clear" w:color="auto" w:fill="auto"/>
                  <w:vAlign w:val="center"/>
                </w:tcPr>
                <w:p w14:paraId="178F727C">
                  <w:pPr>
                    <w:widowControl/>
                    <w:jc w:val="center"/>
                    <w:rPr>
                      <w:rFonts w:hint="eastAsia" w:ascii="Times New Roman" w:hAnsi="Times New Roman" w:eastAsia="宋体" w:cs="Times New Roman"/>
                      <w:bCs/>
                      <w:snapToGrid w:val="0"/>
                      <w:color w:val="auto"/>
                      <w:spacing w:val="6"/>
                      <w:kern w:val="2"/>
                      <w:sz w:val="21"/>
                      <w:szCs w:val="21"/>
                      <w:lang w:val="en-US" w:eastAsia="zh-CN" w:bidi="ar"/>
                    </w:rPr>
                  </w:pPr>
                  <w:r>
                    <w:rPr>
                      <w:rFonts w:hint="eastAsia"/>
                      <w:bCs/>
                      <w:snapToGrid w:val="0"/>
                      <w:color w:val="auto"/>
                      <w:spacing w:val="6"/>
                      <w:lang w:val="en-US" w:eastAsia="zh-CN"/>
                    </w:rPr>
                    <w:t>电叉车更换电池</w:t>
                  </w:r>
                </w:p>
              </w:tc>
              <w:tc>
                <w:tcPr>
                  <w:tcW w:w="188" w:type="pct"/>
                  <w:tcBorders>
                    <w:tl2br w:val="nil"/>
                    <w:tr2bl w:val="nil"/>
                  </w:tcBorders>
                  <w:shd w:val="clear" w:color="auto" w:fill="auto"/>
                  <w:vAlign w:val="center"/>
                </w:tcPr>
                <w:p w14:paraId="08DD58B0">
                  <w:pPr>
                    <w:widowControl/>
                    <w:jc w:val="center"/>
                    <w:rPr>
                      <w:rFonts w:hint="eastAsia" w:ascii="Times New Roman" w:hAnsi="Times New Roman" w:eastAsia="宋体" w:cs="Times New Roman"/>
                      <w:bCs/>
                      <w:snapToGrid w:val="0"/>
                      <w:color w:val="auto"/>
                      <w:spacing w:val="6"/>
                      <w:kern w:val="2"/>
                      <w:sz w:val="21"/>
                      <w:szCs w:val="21"/>
                      <w:lang w:val="en-US" w:eastAsia="zh-CN" w:bidi="ar"/>
                    </w:rPr>
                  </w:pPr>
                  <w:r>
                    <w:rPr>
                      <w:bCs/>
                      <w:snapToGrid w:val="0"/>
                      <w:color w:val="auto"/>
                      <w:spacing w:val="6"/>
                    </w:rPr>
                    <w:t>固态</w:t>
                  </w:r>
                </w:p>
              </w:tc>
              <w:tc>
                <w:tcPr>
                  <w:tcW w:w="555" w:type="pct"/>
                  <w:tcBorders>
                    <w:tl2br w:val="nil"/>
                    <w:tr2bl w:val="nil"/>
                  </w:tcBorders>
                  <w:shd w:val="clear" w:color="auto" w:fill="auto"/>
                  <w:vAlign w:val="center"/>
                </w:tcPr>
                <w:p w14:paraId="38AD1335">
                  <w:pPr>
                    <w:widowControl/>
                    <w:jc w:val="center"/>
                    <w:rPr>
                      <w:rFonts w:hint="eastAsia" w:ascii="Times New Roman" w:hAnsi="Times New Roman" w:eastAsia="宋体" w:cs="Times New Roman"/>
                      <w:bCs/>
                      <w:snapToGrid w:val="0"/>
                      <w:color w:val="auto"/>
                      <w:spacing w:val="6"/>
                      <w:kern w:val="2"/>
                      <w:sz w:val="21"/>
                      <w:szCs w:val="21"/>
                      <w:lang w:val="en-US" w:eastAsia="zh-CN" w:bidi="ar"/>
                    </w:rPr>
                  </w:pPr>
                  <w:r>
                    <w:rPr>
                      <w:rFonts w:hint="eastAsia"/>
                      <w:bCs/>
                      <w:snapToGrid w:val="0"/>
                      <w:color w:val="auto"/>
                      <w:spacing w:val="6"/>
                      <w:lang w:val="en-US" w:eastAsia="zh-CN"/>
                    </w:rPr>
                    <w:t>电池</w:t>
                  </w:r>
                </w:p>
              </w:tc>
              <w:tc>
                <w:tcPr>
                  <w:tcW w:w="321" w:type="pct"/>
                  <w:tcBorders>
                    <w:tl2br w:val="nil"/>
                    <w:tr2bl w:val="nil"/>
                  </w:tcBorders>
                  <w:shd w:val="clear" w:color="auto" w:fill="auto"/>
                  <w:vAlign w:val="center"/>
                </w:tcPr>
                <w:p w14:paraId="309E48D9">
                  <w:pPr>
                    <w:widowControl/>
                    <w:jc w:val="center"/>
                    <w:rPr>
                      <w:rFonts w:hint="eastAsia" w:ascii="Times New Roman" w:hAnsi="Times New Roman" w:eastAsia="宋体" w:cs="Times New Roman"/>
                      <w:bCs/>
                      <w:snapToGrid w:val="0"/>
                      <w:color w:val="auto"/>
                      <w:spacing w:val="6"/>
                      <w:kern w:val="2"/>
                      <w:sz w:val="21"/>
                      <w:szCs w:val="21"/>
                      <w:lang w:val="en-US" w:eastAsia="zh-CN" w:bidi="ar-SA"/>
                    </w:rPr>
                  </w:pPr>
                  <w:r>
                    <w:rPr>
                      <w:rFonts w:hint="eastAsia" w:ascii="Times New Roman" w:hAnsi="Times New Roman" w:eastAsia="宋体" w:cs="Times New Roman"/>
                      <w:bCs/>
                      <w:snapToGrid w:val="0"/>
                      <w:color w:val="auto"/>
                      <w:spacing w:val="6"/>
                      <w:kern w:val="2"/>
                      <w:sz w:val="21"/>
                      <w:szCs w:val="21"/>
                      <w:lang w:val="en-US" w:eastAsia="zh-CN" w:bidi="ar-SA"/>
                    </w:rPr>
                    <w:t>T，C</w:t>
                  </w:r>
                </w:p>
              </w:tc>
              <w:tc>
                <w:tcPr>
                  <w:tcW w:w="340" w:type="pct"/>
                  <w:tcBorders>
                    <w:tl2br w:val="nil"/>
                    <w:tr2bl w:val="nil"/>
                  </w:tcBorders>
                  <w:shd w:val="clear" w:color="auto" w:fill="auto"/>
                  <w:vAlign w:val="center"/>
                </w:tcPr>
                <w:p w14:paraId="3BDB4715">
                  <w:pPr>
                    <w:pStyle w:val="22"/>
                    <w:widowControl w:val="0"/>
                    <w:snapToGrid w:val="0"/>
                    <w:spacing w:before="0" w:beforeAutospacing="0" w:after="0" w:afterAutospacing="0"/>
                    <w:jc w:val="center"/>
                    <w:rPr>
                      <w:rFonts w:hint="eastAsia" w:ascii="Times New Roman" w:hAnsi="Times New Roman" w:eastAsia="宋体" w:cs="Times New Roman"/>
                      <w:bCs/>
                      <w:color w:val="auto"/>
                      <w:kern w:val="0"/>
                      <w:sz w:val="21"/>
                      <w:szCs w:val="21"/>
                      <w:lang w:val="en-US" w:eastAsia="zh-CN" w:bidi="ar"/>
                    </w:rPr>
                  </w:pPr>
                  <w:r>
                    <w:rPr>
                      <w:rFonts w:hint="eastAsia" w:ascii="Times New Roman" w:hAnsi="Times New Roman"/>
                      <w:bCs/>
                      <w:color w:val="auto"/>
                      <w:sz w:val="21"/>
                      <w:szCs w:val="21"/>
                    </w:rPr>
                    <w:t>HW31</w:t>
                  </w:r>
                </w:p>
              </w:tc>
              <w:tc>
                <w:tcPr>
                  <w:tcW w:w="592" w:type="pct"/>
                  <w:tcBorders>
                    <w:tl2br w:val="nil"/>
                    <w:tr2bl w:val="nil"/>
                  </w:tcBorders>
                  <w:shd w:val="clear" w:color="auto" w:fill="auto"/>
                  <w:vAlign w:val="center"/>
                </w:tcPr>
                <w:p w14:paraId="5B6D7100">
                  <w:pPr>
                    <w:pStyle w:val="22"/>
                    <w:widowControl w:val="0"/>
                    <w:snapToGrid w:val="0"/>
                    <w:spacing w:before="0" w:beforeAutospacing="0" w:after="0" w:afterAutospacing="0"/>
                    <w:jc w:val="center"/>
                    <w:rPr>
                      <w:rFonts w:hint="default" w:ascii="Times New Roman" w:hAnsi="Times New Roman" w:eastAsia="宋体" w:cs="Times New Roman"/>
                      <w:bCs/>
                      <w:color w:val="auto"/>
                      <w:kern w:val="0"/>
                      <w:sz w:val="21"/>
                      <w:szCs w:val="21"/>
                      <w:lang w:val="en-US" w:eastAsia="zh-CN" w:bidi="ar"/>
                    </w:rPr>
                  </w:pPr>
                  <w:r>
                    <w:rPr>
                      <w:rFonts w:hint="eastAsia" w:ascii="Times New Roman" w:hAnsi="Times New Roman"/>
                      <w:bCs/>
                      <w:color w:val="auto"/>
                      <w:sz w:val="21"/>
                      <w:szCs w:val="21"/>
                    </w:rPr>
                    <w:t>900-052-31</w:t>
                  </w:r>
                </w:p>
              </w:tc>
              <w:tc>
                <w:tcPr>
                  <w:tcW w:w="321" w:type="pct"/>
                  <w:tcBorders>
                    <w:tl2br w:val="nil"/>
                    <w:tr2bl w:val="nil"/>
                  </w:tcBorders>
                  <w:shd w:val="clear" w:color="auto" w:fill="auto"/>
                  <w:vAlign w:val="center"/>
                </w:tcPr>
                <w:p w14:paraId="61777703">
                  <w:pPr>
                    <w:widowControl/>
                    <w:jc w:val="center"/>
                    <w:rPr>
                      <w:rFonts w:hint="eastAsia" w:ascii="Times New Roman" w:hAnsi="Times New Roman" w:eastAsia="宋体" w:cs="Times New Roman"/>
                      <w:bCs/>
                      <w:snapToGrid w:val="0"/>
                      <w:color w:val="auto"/>
                      <w:spacing w:val="6"/>
                      <w:kern w:val="2"/>
                      <w:sz w:val="21"/>
                      <w:szCs w:val="21"/>
                      <w:lang w:val="en-US" w:eastAsia="zh-CN" w:bidi="ar"/>
                    </w:rPr>
                  </w:pPr>
                  <w:r>
                    <w:rPr>
                      <w:rFonts w:hint="eastAsia" w:ascii="Times New Roman" w:hAnsi="Times New Roman" w:eastAsia="宋体" w:cs="Times New Roman"/>
                      <w:bCs/>
                      <w:snapToGrid w:val="0"/>
                      <w:color w:val="auto"/>
                      <w:spacing w:val="6"/>
                      <w:kern w:val="2"/>
                      <w:sz w:val="21"/>
                      <w:szCs w:val="21"/>
                      <w:lang w:val="en-US" w:eastAsia="zh-CN" w:bidi="ar"/>
                    </w:rPr>
                    <w:t>0.25t/3a</w:t>
                  </w:r>
                </w:p>
              </w:tc>
              <w:tc>
                <w:tcPr>
                  <w:tcW w:w="310" w:type="pct"/>
                  <w:tcBorders>
                    <w:tl2br w:val="nil"/>
                    <w:tr2bl w:val="nil"/>
                  </w:tcBorders>
                  <w:shd w:val="clear" w:color="auto" w:fill="auto"/>
                  <w:vAlign w:val="center"/>
                </w:tcPr>
                <w:p w14:paraId="46139725">
                  <w:pPr>
                    <w:snapToGrid w:val="0"/>
                    <w:jc w:val="center"/>
                    <w:rPr>
                      <w:rFonts w:hint="eastAsia"/>
                      <w:bCs/>
                      <w:color w:val="auto"/>
                    </w:rPr>
                  </w:pPr>
                  <w:r>
                    <w:rPr>
                      <w:rFonts w:hint="eastAsia"/>
                      <w:bCs/>
                      <w:color w:val="auto"/>
                    </w:rPr>
                    <w:t>III</w:t>
                  </w:r>
                </w:p>
              </w:tc>
              <w:tc>
                <w:tcPr>
                  <w:tcW w:w="350" w:type="pct"/>
                  <w:vMerge w:val="continue"/>
                  <w:tcBorders>
                    <w:tl2br w:val="nil"/>
                    <w:tr2bl w:val="nil"/>
                  </w:tcBorders>
                  <w:vAlign w:val="center"/>
                </w:tcPr>
                <w:p w14:paraId="1C4E2BF4">
                  <w:pPr>
                    <w:pStyle w:val="22"/>
                    <w:widowControl w:val="0"/>
                    <w:snapToGrid w:val="0"/>
                    <w:spacing w:before="0" w:beforeAutospacing="0" w:after="0" w:afterAutospacing="0"/>
                    <w:jc w:val="center"/>
                    <w:rPr>
                      <w:rFonts w:hint="eastAsia" w:ascii="Times New Roman" w:hAnsi="Times New Roman"/>
                      <w:bCs/>
                      <w:color w:val="auto"/>
                      <w:sz w:val="21"/>
                      <w:szCs w:val="21"/>
                    </w:rPr>
                  </w:pPr>
                </w:p>
              </w:tc>
              <w:tc>
                <w:tcPr>
                  <w:tcW w:w="179" w:type="pct"/>
                  <w:vMerge w:val="continue"/>
                  <w:tcBorders>
                    <w:tl2br w:val="nil"/>
                    <w:tr2bl w:val="nil"/>
                  </w:tcBorders>
                  <w:vAlign w:val="center"/>
                </w:tcPr>
                <w:p w14:paraId="48D5B9D8">
                  <w:pPr>
                    <w:pStyle w:val="22"/>
                    <w:widowControl w:val="0"/>
                    <w:snapToGrid w:val="0"/>
                    <w:spacing w:before="0" w:beforeAutospacing="0" w:after="0" w:afterAutospacing="0"/>
                    <w:jc w:val="center"/>
                    <w:rPr>
                      <w:rFonts w:hint="eastAsia" w:ascii="Times New Roman" w:hAnsi="Times New Roman"/>
                      <w:bCs/>
                      <w:color w:val="auto"/>
                      <w:sz w:val="21"/>
                      <w:szCs w:val="21"/>
                      <w:lang w:val="en-US" w:eastAsia="zh-CN"/>
                    </w:rPr>
                  </w:pPr>
                </w:p>
              </w:tc>
              <w:tc>
                <w:tcPr>
                  <w:tcW w:w="220" w:type="pct"/>
                  <w:vMerge w:val="continue"/>
                  <w:tcBorders>
                    <w:tl2br w:val="nil"/>
                    <w:tr2bl w:val="nil"/>
                  </w:tcBorders>
                  <w:vAlign w:val="center"/>
                </w:tcPr>
                <w:p w14:paraId="62E94743">
                  <w:pPr>
                    <w:keepNext w:val="0"/>
                    <w:keepLines w:val="0"/>
                    <w:widowControl/>
                    <w:suppressLineNumbers w:val="0"/>
                    <w:jc w:val="center"/>
                    <w:textAlignment w:val="center"/>
                    <w:rPr>
                      <w:rFonts w:hint="default" w:ascii="Times New Roman" w:hAnsi="Times New Roman" w:eastAsia="宋体" w:cs="Times New Roman"/>
                      <w:bCs/>
                      <w:color w:val="auto"/>
                      <w:sz w:val="21"/>
                      <w:szCs w:val="21"/>
                      <w:lang w:val="en-US" w:eastAsia="zh-CN"/>
                    </w:rPr>
                  </w:pPr>
                </w:p>
              </w:tc>
              <w:tc>
                <w:tcPr>
                  <w:tcW w:w="269" w:type="pct"/>
                  <w:vMerge w:val="continue"/>
                  <w:tcBorders>
                    <w:tl2br w:val="nil"/>
                    <w:tr2bl w:val="nil"/>
                  </w:tcBorders>
                  <w:vAlign w:val="center"/>
                </w:tcPr>
                <w:p w14:paraId="1E8ACF76">
                  <w:pPr>
                    <w:keepNext w:val="0"/>
                    <w:keepLines w:val="0"/>
                    <w:widowControl/>
                    <w:suppressLineNumbers w:val="0"/>
                    <w:jc w:val="center"/>
                    <w:textAlignment w:val="center"/>
                    <w:rPr>
                      <w:rFonts w:hint="default" w:ascii="Times New Roman" w:hAnsi="Times New Roman" w:eastAsia="宋体" w:cs="Times New Roman"/>
                      <w:bCs/>
                      <w:color w:val="auto"/>
                      <w:sz w:val="21"/>
                      <w:szCs w:val="21"/>
                      <w:lang w:val="en-US" w:eastAsia="zh-CN"/>
                    </w:rPr>
                  </w:pPr>
                </w:p>
              </w:tc>
            </w:tr>
            <w:tr w14:paraId="5123C0E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36" w:hRule="atLeast"/>
                <w:jc w:val="right"/>
              </w:trPr>
              <w:tc>
                <w:tcPr>
                  <w:tcW w:w="187" w:type="pct"/>
                  <w:tcBorders>
                    <w:tl2br w:val="nil"/>
                    <w:tr2bl w:val="nil"/>
                  </w:tcBorders>
                  <w:vAlign w:val="center"/>
                </w:tcPr>
                <w:p w14:paraId="7CC89FDF">
                  <w:pPr>
                    <w:pStyle w:val="22"/>
                    <w:widowControl w:val="0"/>
                    <w:numPr>
                      <w:ilvl w:val="0"/>
                      <w:numId w:val="14"/>
                    </w:numPr>
                    <w:snapToGrid w:val="0"/>
                    <w:spacing w:before="0" w:beforeAutospacing="0" w:after="0" w:afterAutospacing="0"/>
                    <w:ind w:left="0" w:leftChars="0" w:firstLine="0" w:firstLineChars="0"/>
                    <w:jc w:val="center"/>
                    <w:rPr>
                      <w:rFonts w:hint="eastAsia" w:ascii="Times New Roman" w:hAnsi="Times New Roman"/>
                      <w:bCs/>
                      <w:color w:val="auto"/>
                      <w:sz w:val="21"/>
                      <w:szCs w:val="21"/>
                    </w:rPr>
                  </w:pPr>
                </w:p>
              </w:tc>
              <w:tc>
                <w:tcPr>
                  <w:tcW w:w="551" w:type="pct"/>
                  <w:tcBorders>
                    <w:tl2br w:val="nil"/>
                    <w:tr2bl w:val="nil"/>
                  </w:tcBorders>
                  <w:shd w:val="clear" w:color="auto" w:fill="auto"/>
                  <w:vAlign w:val="center"/>
                </w:tcPr>
                <w:p w14:paraId="289DA620">
                  <w:pPr>
                    <w:widowControl/>
                    <w:jc w:val="center"/>
                    <w:rPr>
                      <w:rFonts w:hint="eastAsia" w:ascii="Times New Roman" w:hAnsi="Times New Roman" w:eastAsia="宋体" w:cs="Times New Roman"/>
                      <w:bCs/>
                      <w:snapToGrid w:val="0"/>
                      <w:color w:val="auto"/>
                      <w:spacing w:val="6"/>
                      <w:kern w:val="2"/>
                      <w:sz w:val="21"/>
                      <w:szCs w:val="21"/>
                      <w:lang w:val="en-US" w:eastAsia="zh-CN" w:bidi="ar"/>
                    </w:rPr>
                  </w:pPr>
                  <w:r>
                    <w:rPr>
                      <w:rFonts w:hint="eastAsia" w:ascii="Times New Roman" w:hAnsi="Times New Roman" w:eastAsia="宋体" w:cs="Times New Roman"/>
                      <w:bCs/>
                      <w:snapToGrid w:val="0"/>
                      <w:color w:val="auto"/>
                      <w:spacing w:val="6"/>
                      <w:kern w:val="2"/>
                      <w:sz w:val="21"/>
                      <w:szCs w:val="21"/>
                      <w:lang w:val="en-US" w:eastAsia="zh-CN" w:bidi="ar"/>
                    </w:rPr>
                    <w:t>废油</w:t>
                  </w:r>
                </w:p>
              </w:tc>
              <w:tc>
                <w:tcPr>
                  <w:tcW w:w="228" w:type="pct"/>
                  <w:vMerge w:val="continue"/>
                  <w:tcBorders>
                    <w:tl2br w:val="nil"/>
                    <w:tr2bl w:val="nil"/>
                  </w:tcBorders>
                  <w:shd w:val="clear" w:color="auto" w:fill="auto"/>
                  <w:vAlign w:val="center"/>
                </w:tcPr>
                <w:p w14:paraId="42602A42">
                  <w:pPr>
                    <w:widowControl/>
                    <w:jc w:val="center"/>
                    <w:rPr>
                      <w:rFonts w:hint="eastAsia" w:ascii="Times New Roman" w:hAnsi="Times New Roman" w:eastAsia="宋体" w:cs="Times New Roman"/>
                      <w:bCs/>
                      <w:snapToGrid w:val="0"/>
                      <w:color w:val="auto"/>
                      <w:spacing w:val="6"/>
                      <w:kern w:val="2"/>
                      <w:sz w:val="21"/>
                      <w:szCs w:val="21"/>
                      <w:lang w:val="en-US" w:eastAsia="zh-CN" w:bidi="ar-SA"/>
                    </w:rPr>
                  </w:pPr>
                </w:p>
              </w:tc>
              <w:tc>
                <w:tcPr>
                  <w:tcW w:w="383" w:type="pct"/>
                  <w:tcBorders>
                    <w:tl2br w:val="nil"/>
                    <w:tr2bl w:val="nil"/>
                  </w:tcBorders>
                  <w:shd w:val="clear" w:color="auto" w:fill="auto"/>
                  <w:vAlign w:val="center"/>
                </w:tcPr>
                <w:p w14:paraId="32102584">
                  <w:pPr>
                    <w:pStyle w:val="2"/>
                    <w:spacing w:before="0" w:after="0" w:line="240" w:lineRule="auto"/>
                    <w:jc w:val="center"/>
                    <w:rPr>
                      <w:rFonts w:hint="eastAsia" w:ascii="Times New Roman" w:hAnsi="Times New Roman" w:eastAsia="宋体" w:cs="Times New Roman"/>
                      <w:b w:val="0"/>
                      <w:bCs w:val="0"/>
                      <w:color w:val="auto"/>
                      <w:kern w:val="2"/>
                      <w:sz w:val="21"/>
                      <w:szCs w:val="21"/>
                      <w:lang w:val="en-US" w:eastAsia="zh-CN" w:bidi="ar"/>
                    </w:rPr>
                  </w:pPr>
                  <w:r>
                    <w:rPr>
                      <w:rFonts w:hint="default" w:ascii="Times New Roman" w:hAnsi="Times New Roman" w:eastAsia="宋体" w:cs="Times New Roman"/>
                      <w:b w:val="0"/>
                      <w:bCs w:val="0"/>
                      <w:color w:val="auto"/>
                      <w:kern w:val="2"/>
                      <w:sz w:val="21"/>
                      <w:szCs w:val="21"/>
                      <w:lang w:val="en-US" w:eastAsia="zh-CN" w:bidi="ar"/>
                    </w:rPr>
                    <w:t>钻孔、倒角、机械加工</w:t>
                  </w:r>
                </w:p>
              </w:tc>
              <w:tc>
                <w:tcPr>
                  <w:tcW w:w="188" w:type="pct"/>
                  <w:tcBorders>
                    <w:tl2br w:val="nil"/>
                    <w:tr2bl w:val="nil"/>
                  </w:tcBorders>
                  <w:shd w:val="clear" w:color="auto" w:fill="auto"/>
                  <w:vAlign w:val="center"/>
                </w:tcPr>
                <w:p w14:paraId="7D50FB71">
                  <w:pPr>
                    <w:pStyle w:val="2"/>
                    <w:spacing w:before="0" w:after="0" w:line="240" w:lineRule="auto"/>
                    <w:jc w:val="center"/>
                    <w:rPr>
                      <w:rFonts w:hint="eastAsia" w:ascii="Times New Roman" w:hAnsi="Times New Roman" w:eastAsia="宋体" w:cs="Times New Roman"/>
                      <w:b w:val="0"/>
                      <w:bCs w:val="0"/>
                      <w:color w:val="auto"/>
                      <w:kern w:val="2"/>
                      <w:sz w:val="21"/>
                      <w:szCs w:val="21"/>
                      <w:lang w:val="en-US" w:eastAsia="zh-CN" w:bidi="ar"/>
                    </w:rPr>
                  </w:pPr>
                  <w:r>
                    <w:rPr>
                      <w:rFonts w:hint="eastAsia" w:ascii="Times New Roman" w:hAnsi="Times New Roman" w:eastAsia="宋体" w:cs="Times New Roman"/>
                      <w:b w:val="0"/>
                      <w:bCs w:val="0"/>
                      <w:snapToGrid w:val="0"/>
                      <w:color w:val="auto"/>
                      <w:spacing w:val="6"/>
                      <w:sz w:val="21"/>
                      <w:szCs w:val="21"/>
                      <w:lang w:val="en-US" w:eastAsia="zh-CN"/>
                    </w:rPr>
                    <w:t>液态</w:t>
                  </w:r>
                </w:p>
              </w:tc>
              <w:tc>
                <w:tcPr>
                  <w:tcW w:w="555" w:type="pct"/>
                  <w:tcBorders>
                    <w:tl2br w:val="nil"/>
                    <w:tr2bl w:val="nil"/>
                  </w:tcBorders>
                  <w:shd w:val="clear" w:color="auto" w:fill="auto"/>
                  <w:vAlign w:val="center"/>
                </w:tcPr>
                <w:p w14:paraId="0507C99B">
                  <w:pPr>
                    <w:pStyle w:val="2"/>
                    <w:spacing w:before="0" w:after="0" w:line="240" w:lineRule="auto"/>
                    <w:jc w:val="center"/>
                    <w:rPr>
                      <w:rFonts w:hint="eastAsia" w:ascii="Times New Roman" w:hAnsi="Times New Roman" w:eastAsia="宋体" w:cs="Times New Roman"/>
                      <w:b w:val="0"/>
                      <w:bCs w:val="0"/>
                      <w:color w:val="auto"/>
                      <w:spacing w:val="6"/>
                      <w:kern w:val="2"/>
                      <w:sz w:val="21"/>
                      <w:szCs w:val="21"/>
                      <w:lang w:val="en-US" w:eastAsia="zh-CN" w:bidi="ar"/>
                    </w:rPr>
                  </w:pPr>
                  <w:r>
                    <w:rPr>
                      <w:rFonts w:hint="eastAsia" w:ascii="Times New Roman" w:hAnsi="Times New Roman" w:eastAsia="宋体" w:cs="Times New Roman"/>
                      <w:b w:val="0"/>
                      <w:bCs w:val="0"/>
                      <w:color w:val="auto"/>
                      <w:spacing w:val="6"/>
                      <w:kern w:val="2"/>
                      <w:sz w:val="21"/>
                      <w:szCs w:val="21"/>
                      <w:lang w:val="en-US" w:eastAsia="zh-CN" w:bidi="ar"/>
                    </w:rPr>
                    <w:t>矿物油、水等</w:t>
                  </w:r>
                </w:p>
              </w:tc>
              <w:tc>
                <w:tcPr>
                  <w:tcW w:w="321" w:type="pct"/>
                  <w:tcBorders>
                    <w:tl2br w:val="nil"/>
                    <w:tr2bl w:val="nil"/>
                  </w:tcBorders>
                  <w:shd w:val="clear" w:color="auto" w:fill="auto"/>
                  <w:vAlign w:val="center"/>
                </w:tcPr>
                <w:p w14:paraId="14C4D0E9">
                  <w:pPr>
                    <w:pStyle w:val="2"/>
                    <w:spacing w:before="0" w:after="0" w:line="240" w:lineRule="auto"/>
                    <w:jc w:val="center"/>
                    <w:rPr>
                      <w:rFonts w:hint="eastAsia" w:ascii="Times New Roman" w:hAnsi="Times New Roman" w:eastAsia="宋体" w:cs="Times New Roman"/>
                      <w:b w:val="0"/>
                      <w:bCs w:val="0"/>
                      <w:color w:val="auto"/>
                      <w:kern w:val="2"/>
                      <w:sz w:val="21"/>
                      <w:szCs w:val="21"/>
                      <w:lang w:val="en-US" w:eastAsia="zh-CN" w:bidi="ar"/>
                    </w:rPr>
                  </w:pPr>
                  <w:r>
                    <w:rPr>
                      <w:rFonts w:hint="eastAsia" w:ascii="Times New Roman" w:hAnsi="Times New Roman" w:eastAsia="宋体" w:cs="Times New Roman"/>
                      <w:b w:val="0"/>
                      <w:bCs w:val="0"/>
                      <w:color w:val="auto"/>
                      <w:kern w:val="2"/>
                      <w:sz w:val="21"/>
                      <w:szCs w:val="21"/>
                      <w:lang w:val="en-US" w:eastAsia="zh-CN" w:bidi="ar"/>
                    </w:rPr>
                    <w:t>T</w:t>
                  </w:r>
                </w:p>
              </w:tc>
              <w:tc>
                <w:tcPr>
                  <w:tcW w:w="340" w:type="pct"/>
                  <w:tcBorders>
                    <w:tl2br w:val="nil"/>
                    <w:tr2bl w:val="nil"/>
                  </w:tcBorders>
                  <w:shd w:val="clear" w:color="auto" w:fill="auto"/>
                  <w:vAlign w:val="center"/>
                </w:tcPr>
                <w:p w14:paraId="77535EE6">
                  <w:pPr>
                    <w:pStyle w:val="2"/>
                    <w:spacing w:before="0" w:after="0" w:line="240" w:lineRule="auto"/>
                    <w:jc w:val="center"/>
                    <w:rPr>
                      <w:rFonts w:hint="eastAsia" w:ascii="Times New Roman" w:hAnsi="Times New Roman" w:eastAsia="宋体" w:cs="Times New Roman"/>
                      <w:b w:val="0"/>
                      <w:bCs w:val="0"/>
                      <w:color w:val="auto"/>
                      <w:kern w:val="2"/>
                      <w:sz w:val="21"/>
                      <w:szCs w:val="21"/>
                      <w:lang w:val="en-US" w:eastAsia="zh-CN" w:bidi="ar"/>
                    </w:rPr>
                  </w:pPr>
                  <w:r>
                    <w:rPr>
                      <w:rFonts w:hint="eastAsia" w:ascii="Times New Roman" w:hAnsi="Times New Roman" w:eastAsia="宋体" w:cs="Times New Roman"/>
                      <w:b w:val="0"/>
                      <w:bCs w:val="0"/>
                      <w:color w:val="auto"/>
                      <w:kern w:val="2"/>
                      <w:sz w:val="21"/>
                      <w:szCs w:val="21"/>
                      <w:lang w:val="en-US" w:eastAsia="zh-CN" w:bidi="ar"/>
                    </w:rPr>
                    <w:t>HW09</w:t>
                  </w:r>
                </w:p>
              </w:tc>
              <w:tc>
                <w:tcPr>
                  <w:tcW w:w="592" w:type="pct"/>
                  <w:tcBorders>
                    <w:tl2br w:val="nil"/>
                    <w:tr2bl w:val="nil"/>
                  </w:tcBorders>
                  <w:shd w:val="clear" w:color="auto" w:fill="auto"/>
                  <w:vAlign w:val="center"/>
                </w:tcPr>
                <w:p w14:paraId="234BDBAA">
                  <w:pPr>
                    <w:pStyle w:val="2"/>
                    <w:spacing w:before="0" w:after="0" w:line="240" w:lineRule="auto"/>
                    <w:jc w:val="center"/>
                    <w:rPr>
                      <w:rFonts w:hint="default" w:ascii="Times New Roman" w:hAnsi="Times New Roman" w:eastAsia="宋体" w:cs="Times New Roman"/>
                      <w:b w:val="0"/>
                      <w:bCs w:val="0"/>
                      <w:color w:val="auto"/>
                      <w:kern w:val="2"/>
                      <w:sz w:val="21"/>
                      <w:szCs w:val="21"/>
                      <w:lang w:val="en-US" w:eastAsia="zh-CN" w:bidi="ar"/>
                    </w:rPr>
                  </w:pPr>
                  <w:r>
                    <w:rPr>
                      <w:rFonts w:hint="default" w:ascii="Times New Roman" w:hAnsi="Times New Roman" w:eastAsia="宋体" w:cs="Times New Roman"/>
                      <w:b w:val="0"/>
                      <w:bCs w:val="0"/>
                      <w:color w:val="auto"/>
                      <w:kern w:val="2"/>
                      <w:sz w:val="21"/>
                      <w:szCs w:val="21"/>
                      <w:lang w:val="en-US" w:eastAsia="zh-CN" w:bidi="ar"/>
                    </w:rPr>
                    <w:t>900-007-09</w:t>
                  </w:r>
                </w:p>
              </w:tc>
              <w:tc>
                <w:tcPr>
                  <w:tcW w:w="321" w:type="pct"/>
                  <w:tcBorders>
                    <w:tl2br w:val="nil"/>
                    <w:tr2bl w:val="nil"/>
                  </w:tcBorders>
                  <w:shd w:val="clear" w:color="auto" w:fill="auto"/>
                  <w:vAlign w:val="center"/>
                </w:tcPr>
                <w:p w14:paraId="13233398">
                  <w:pPr>
                    <w:pStyle w:val="2"/>
                    <w:spacing w:before="0" w:after="0" w:line="240" w:lineRule="auto"/>
                    <w:jc w:val="center"/>
                    <w:rPr>
                      <w:rFonts w:hint="default" w:ascii="Times New Roman" w:hAnsi="Times New Roman" w:eastAsia="宋体" w:cs="Times New Roman"/>
                      <w:b w:val="0"/>
                      <w:bCs w:val="0"/>
                      <w:color w:val="auto"/>
                      <w:kern w:val="2"/>
                      <w:sz w:val="21"/>
                      <w:szCs w:val="21"/>
                      <w:lang w:val="en-US" w:eastAsia="zh-CN" w:bidi="ar"/>
                    </w:rPr>
                  </w:pPr>
                  <w:r>
                    <w:rPr>
                      <w:rFonts w:hint="eastAsia" w:ascii="Times New Roman" w:hAnsi="Times New Roman" w:eastAsia="宋体" w:cs="Times New Roman"/>
                      <w:b w:val="0"/>
                      <w:bCs w:val="0"/>
                      <w:color w:val="auto"/>
                      <w:kern w:val="2"/>
                      <w:sz w:val="21"/>
                      <w:szCs w:val="21"/>
                      <w:lang w:val="en-US" w:eastAsia="zh-CN" w:bidi="ar"/>
                    </w:rPr>
                    <w:t>9.99</w:t>
                  </w:r>
                  <w:r>
                    <w:rPr>
                      <w:rFonts w:hint="eastAsia" w:ascii="Times New Roman" w:hAnsi="Times New Roman" w:cs="Times New Roman"/>
                      <w:b w:val="0"/>
                      <w:bCs w:val="0"/>
                      <w:color w:val="auto"/>
                      <w:kern w:val="2"/>
                      <w:sz w:val="21"/>
                      <w:szCs w:val="21"/>
                      <w:lang w:val="en-US" w:eastAsia="zh-CN" w:bidi="ar"/>
                    </w:rPr>
                    <w:t>6</w:t>
                  </w:r>
                </w:p>
              </w:tc>
              <w:tc>
                <w:tcPr>
                  <w:tcW w:w="310" w:type="pct"/>
                  <w:tcBorders>
                    <w:tl2br w:val="nil"/>
                    <w:tr2bl w:val="nil"/>
                  </w:tcBorders>
                  <w:shd w:val="clear" w:color="auto" w:fill="auto"/>
                  <w:vAlign w:val="center"/>
                </w:tcPr>
                <w:p w14:paraId="4C408A13">
                  <w:pPr>
                    <w:snapToGrid w:val="0"/>
                    <w:jc w:val="center"/>
                    <w:rPr>
                      <w:rFonts w:hint="eastAsia"/>
                      <w:bCs/>
                      <w:color w:val="auto"/>
                    </w:rPr>
                  </w:pPr>
                  <w:r>
                    <w:rPr>
                      <w:rFonts w:hint="eastAsia"/>
                      <w:bCs/>
                      <w:color w:val="auto"/>
                    </w:rPr>
                    <w:t>III</w:t>
                  </w:r>
                </w:p>
              </w:tc>
              <w:tc>
                <w:tcPr>
                  <w:tcW w:w="350" w:type="pct"/>
                  <w:vMerge w:val="continue"/>
                  <w:tcBorders>
                    <w:tl2br w:val="nil"/>
                    <w:tr2bl w:val="nil"/>
                  </w:tcBorders>
                  <w:vAlign w:val="center"/>
                </w:tcPr>
                <w:p w14:paraId="223738B8">
                  <w:pPr>
                    <w:pStyle w:val="22"/>
                    <w:widowControl w:val="0"/>
                    <w:snapToGrid w:val="0"/>
                    <w:spacing w:before="0" w:beforeAutospacing="0" w:after="0" w:afterAutospacing="0"/>
                    <w:jc w:val="center"/>
                    <w:rPr>
                      <w:rFonts w:hint="eastAsia" w:ascii="Times New Roman" w:hAnsi="Times New Roman"/>
                      <w:bCs/>
                      <w:color w:val="auto"/>
                      <w:sz w:val="21"/>
                      <w:szCs w:val="21"/>
                    </w:rPr>
                  </w:pPr>
                </w:p>
              </w:tc>
              <w:tc>
                <w:tcPr>
                  <w:tcW w:w="179" w:type="pct"/>
                  <w:vMerge w:val="continue"/>
                  <w:tcBorders>
                    <w:tl2br w:val="nil"/>
                    <w:tr2bl w:val="nil"/>
                  </w:tcBorders>
                  <w:vAlign w:val="center"/>
                </w:tcPr>
                <w:p w14:paraId="3E5F6BDD">
                  <w:pPr>
                    <w:pStyle w:val="22"/>
                    <w:widowControl w:val="0"/>
                    <w:snapToGrid w:val="0"/>
                    <w:spacing w:before="0" w:beforeAutospacing="0" w:after="0" w:afterAutospacing="0"/>
                    <w:jc w:val="center"/>
                    <w:rPr>
                      <w:rFonts w:hint="eastAsia" w:ascii="Times New Roman" w:hAnsi="Times New Roman"/>
                      <w:bCs/>
                      <w:color w:val="auto"/>
                      <w:sz w:val="21"/>
                      <w:szCs w:val="21"/>
                      <w:lang w:val="en-US" w:eastAsia="zh-CN"/>
                    </w:rPr>
                  </w:pPr>
                </w:p>
              </w:tc>
              <w:tc>
                <w:tcPr>
                  <w:tcW w:w="220" w:type="pct"/>
                  <w:vMerge w:val="continue"/>
                  <w:tcBorders>
                    <w:tl2br w:val="nil"/>
                    <w:tr2bl w:val="nil"/>
                  </w:tcBorders>
                  <w:vAlign w:val="center"/>
                </w:tcPr>
                <w:p w14:paraId="0D357659">
                  <w:pPr>
                    <w:keepNext w:val="0"/>
                    <w:keepLines w:val="0"/>
                    <w:widowControl/>
                    <w:suppressLineNumbers w:val="0"/>
                    <w:jc w:val="center"/>
                    <w:textAlignment w:val="center"/>
                    <w:rPr>
                      <w:rFonts w:hint="default" w:ascii="Times New Roman" w:hAnsi="Times New Roman" w:eastAsia="宋体" w:cs="Times New Roman"/>
                      <w:bCs/>
                      <w:color w:val="auto"/>
                      <w:sz w:val="21"/>
                      <w:szCs w:val="21"/>
                      <w:lang w:val="en-US" w:eastAsia="zh-CN"/>
                    </w:rPr>
                  </w:pPr>
                </w:p>
              </w:tc>
              <w:tc>
                <w:tcPr>
                  <w:tcW w:w="269" w:type="pct"/>
                  <w:vMerge w:val="continue"/>
                  <w:tcBorders>
                    <w:tl2br w:val="nil"/>
                    <w:tr2bl w:val="nil"/>
                  </w:tcBorders>
                  <w:vAlign w:val="center"/>
                </w:tcPr>
                <w:p w14:paraId="3F39EA65">
                  <w:pPr>
                    <w:keepNext w:val="0"/>
                    <w:keepLines w:val="0"/>
                    <w:widowControl/>
                    <w:suppressLineNumbers w:val="0"/>
                    <w:jc w:val="center"/>
                    <w:textAlignment w:val="center"/>
                    <w:rPr>
                      <w:rFonts w:hint="default" w:ascii="Times New Roman" w:hAnsi="Times New Roman" w:eastAsia="宋体" w:cs="Times New Roman"/>
                      <w:bCs/>
                      <w:color w:val="auto"/>
                      <w:sz w:val="21"/>
                      <w:szCs w:val="21"/>
                      <w:lang w:val="en-US" w:eastAsia="zh-CN"/>
                    </w:rPr>
                  </w:pPr>
                </w:p>
              </w:tc>
            </w:tr>
            <w:tr w14:paraId="600E6E0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36" w:hRule="atLeast"/>
                <w:jc w:val="right"/>
              </w:trPr>
              <w:tc>
                <w:tcPr>
                  <w:tcW w:w="187" w:type="pct"/>
                  <w:tcBorders>
                    <w:tl2br w:val="nil"/>
                    <w:tr2bl w:val="nil"/>
                  </w:tcBorders>
                  <w:vAlign w:val="center"/>
                </w:tcPr>
                <w:p w14:paraId="38A67372">
                  <w:pPr>
                    <w:pStyle w:val="22"/>
                    <w:widowControl w:val="0"/>
                    <w:numPr>
                      <w:ilvl w:val="0"/>
                      <w:numId w:val="14"/>
                    </w:numPr>
                    <w:snapToGrid w:val="0"/>
                    <w:spacing w:before="0" w:beforeAutospacing="0" w:after="0" w:afterAutospacing="0"/>
                    <w:ind w:left="0" w:leftChars="0" w:firstLine="0" w:firstLineChars="0"/>
                    <w:jc w:val="center"/>
                    <w:rPr>
                      <w:rFonts w:hint="eastAsia" w:ascii="Times New Roman" w:hAnsi="Times New Roman"/>
                      <w:bCs/>
                      <w:color w:val="auto"/>
                      <w:sz w:val="21"/>
                      <w:szCs w:val="21"/>
                    </w:rPr>
                  </w:pPr>
                </w:p>
              </w:tc>
              <w:tc>
                <w:tcPr>
                  <w:tcW w:w="551" w:type="pct"/>
                  <w:tcBorders>
                    <w:tl2br w:val="nil"/>
                    <w:tr2bl w:val="nil"/>
                  </w:tcBorders>
                  <w:shd w:val="clear" w:color="auto" w:fill="auto"/>
                  <w:vAlign w:val="center"/>
                </w:tcPr>
                <w:p w14:paraId="1C3A087B">
                  <w:pPr>
                    <w:widowControl/>
                    <w:jc w:val="center"/>
                    <w:rPr>
                      <w:rFonts w:hint="eastAsia"/>
                      <w:bCs/>
                      <w:snapToGrid w:val="0"/>
                      <w:color w:val="auto"/>
                      <w:spacing w:val="6"/>
                    </w:rPr>
                  </w:pPr>
                  <w:r>
                    <w:rPr>
                      <w:rFonts w:hint="eastAsia"/>
                      <w:bCs/>
                      <w:snapToGrid w:val="0"/>
                      <w:color w:val="auto"/>
                      <w:spacing w:val="6"/>
                    </w:rPr>
                    <w:t>金属屑</w:t>
                  </w:r>
                </w:p>
              </w:tc>
              <w:tc>
                <w:tcPr>
                  <w:tcW w:w="228" w:type="pct"/>
                  <w:tcBorders>
                    <w:tl2br w:val="nil"/>
                    <w:tr2bl w:val="nil"/>
                  </w:tcBorders>
                  <w:shd w:val="clear" w:color="auto" w:fill="auto"/>
                  <w:vAlign w:val="center"/>
                </w:tcPr>
                <w:p w14:paraId="138FDF17">
                  <w:pPr>
                    <w:widowControl/>
                    <w:jc w:val="center"/>
                    <w:rPr>
                      <w:rFonts w:hint="default" w:ascii="Times New Roman" w:hAnsi="Times New Roman" w:eastAsia="宋体" w:cs="Times New Roman"/>
                      <w:bCs/>
                      <w:snapToGrid w:val="0"/>
                      <w:color w:val="auto"/>
                      <w:spacing w:val="6"/>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
                    </w:rPr>
                    <w:t>待</w:t>
                  </w:r>
                  <w:r>
                    <w:rPr>
                      <w:rFonts w:hint="eastAsia" w:ascii="Times New Roman" w:hAnsi="Times New Roman" w:cs="Times New Roman"/>
                      <w:color w:val="auto"/>
                      <w:kern w:val="2"/>
                      <w:sz w:val="21"/>
                      <w:szCs w:val="21"/>
                      <w:lang w:val="en-US" w:eastAsia="zh-CN" w:bidi="ar"/>
                    </w:rPr>
                    <w:t>鉴别</w:t>
                  </w:r>
                </w:p>
              </w:tc>
              <w:tc>
                <w:tcPr>
                  <w:tcW w:w="383" w:type="pct"/>
                  <w:tcBorders>
                    <w:tl2br w:val="nil"/>
                    <w:tr2bl w:val="nil"/>
                  </w:tcBorders>
                  <w:shd w:val="clear" w:color="auto" w:fill="auto"/>
                  <w:vAlign w:val="center"/>
                </w:tcPr>
                <w:p w14:paraId="43CB9830">
                  <w:pPr>
                    <w:widowControl/>
                    <w:jc w:val="center"/>
                    <w:rPr>
                      <w:rFonts w:hint="eastAsia" w:ascii="Times New Roman" w:hAnsi="Times New Roman" w:eastAsia="宋体" w:cs="Times New Roman"/>
                      <w:bCs/>
                      <w:snapToGrid w:val="0"/>
                      <w:color w:val="auto"/>
                      <w:spacing w:val="6"/>
                      <w:kern w:val="2"/>
                      <w:sz w:val="21"/>
                      <w:szCs w:val="21"/>
                      <w:lang w:val="en-US" w:eastAsia="zh-CN" w:bidi="ar"/>
                    </w:rPr>
                  </w:pPr>
                  <w:r>
                    <w:rPr>
                      <w:rFonts w:hint="default" w:ascii="Times New Roman" w:hAnsi="Times New Roman" w:eastAsia="宋体" w:cs="Times New Roman"/>
                      <w:b w:val="0"/>
                      <w:bCs w:val="0"/>
                      <w:color w:val="auto"/>
                      <w:kern w:val="2"/>
                      <w:sz w:val="21"/>
                      <w:szCs w:val="21"/>
                      <w:lang w:val="en-US" w:eastAsia="zh-CN" w:bidi="ar"/>
                    </w:rPr>
                    <w:t>钻孔、倒角、机械加工</w:t>
                  </w:r>
                </w:p>
              </w:tc>
              <w:tc>
                <w:tcPr>
                  <w:tcW w:w="188" w:type="pct"/>
                  <w:tcBorders>
                    <w:tl2br w:val="nil"/>
                    <w:tr2bl w:val="nil"/>
                  </w:tcBorders>
                  <w:shd w:val="clear" w:color="auto" w:fill="auto"/>
                  <w:vAlign w:val="center"/>
                </w:tcPr>
                <w:p w14:paraId="2EF2C84C">
                  <w:pPr>
                    <w:widowControl/>
                    <w:jc w:val="center"/>
                    <w:rPr>
                      <w:rFonts w:hint="eastAsia" w:ascii="Times New Roman" w:hAnsi="Times New Roman" w:eastAsia="宋体" w:cs="Times New Roman"/>
                      <w:bCs/>
                      <w:snapToGrid w:val="0"/>
                      <w:color w:val="auto"/>
                      <w:spacing w:val="6"/>
                      <w:kern w:val="2"/>
                      <w:sz w:val="21"/>
                      <w:szCs w:val="21"/>
                      <w:lang w:val="en-US" w:eastAsia="zh-CN" w:bidi="ar"/>
                    </w:rPr>
                  </w:pPr>
                  <w:r>
                    <w:rPr>
                      <w:rFonts w:hint="default" w:ascii="Times New Roman" w:hAnsi="Times New Roman" w:eastAsia="宋体" w:cs="Times New Roman"/>
                      <w:b w:val="0"/>
                      <w:bCs w:val="0"/>
                      <w:snapToGrid w:val="0"/>
                      <w:color w:val="auto"/>
                      <w:spacing w:val="6"/>
                      <w:sz w:val="21"/>
                      <w:szCs w:val="21"/>
                    </w:rPr>
                    <w:t>固态</w:t>
                  </w:r>
                </w:p>
              </w:tc>
              <w:tc>
                <w:tcPr>
                  <w:tcW w:w="555" w:type="pct"/>
                  <w:tcBorders>
                    <w:tl2br w:val="nil"/>
                    <w:tr2bl w:val="nil"/>
                  </w:tcBorders>
                  <w:shd w:val="clear" w:color="auto" w:fill="auto"/>
                  <w:vAlign w:val="center"/>
                </w:tcPr>
                <w:p w14:paraId="789A4BC1">
                  <w:pPr>
                    <w:widowControl/>
                    <w:jc w:val="center"/>
                    <w:rPr>
                      <w:rFonts w:hint="eastAsia" w:ascii="Times New Roman" w:hAnsi="Times New Roman" w:eastAsia="宋体" w:cs="Times New Roman"/>
                      <w:color w:val="auto"/>
                      <w:kern w:val="2"/>
                      <w:sz w:val="21"/>
                      <w:szCs w:val="21"/>
                      <w:lang w:val="en-US" w:eastAsia="zh-CN" w:bidi="ar"/>
                    </w:rPr>
                  </w:pPr>
                  <w:r>
                    <w:rPr>
                      <w:rFonts w:hint="eastAsia"/>
                      <w:color w:val="auto"/>
                      <w:sz w:val="21"/>
                      <w:szCs w:val="21"/>
                      <w:lang w:val="en-US" w:eastAsia="zh-CN"/>
                    </w:rPr>
                    <w:t>金属</w:t>
                  </w:r>
                </w:p>
              </w:tc>
              <w:tc>
                <w:tcPr>
                  <w:tcW w:w="321" w:type="pct"/>
                  <w:tcBorders>
                    <w:tl2br w:val="nil"/>
                    <w:tr2bl w:val="nil"/>
                  </w:tcBorders>
                  <w:shd w:val="clear" w:color="auto" w:fill="auto"/>
                  <w:vAlign w:val="center"/>
                </w:tcPr>
                <w:p w14:paraId="35788595">
                  <w:pPr>
                    <w:pStyle w:val="22"/>
                    <w:keepNext w:val="0"/>
                    <w:keepLines w:val="0"/>
                    <w:widowControl w:val="0"/>
                    <w:suppressLineNumbers w:val="0"/>
                    <w:adjustRightInd w:val="0"/>
                    <w:snapToGrid w:val="0"/>
                    <w:spacing w:before="0" w:beforeAutospacing="0" w:after="0" w:afterAutospacing="0"/>
                    <w:ind w:left="0" w:leftChars="0" w:right="0" w:rightChars="0"/>
                    <w:jc w:val="center"/>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
                    </w:rPr>
                    <w:t>待</w:t>
                  </w:r>
                  <w:r>
                    <w:rPr>
                      <w:rFonts w:hint="eastAsia" w:ascii="Times New Roman" w:hAnsi="Times New Roman" w:cs="Times New Roman"/>
                      <w:color w:val="auto"/>
                      <w:kern w:val="2"/>
                      <w:sz w:val="21"/>
                      <w:szCs w:val="21"/>
                      <w:lang w:val="en-US" w:eastAsia="zh-CN" w:bidi="ar"/>
                    </w:rPr>
                    <w:t>鉴别</w:t>
                  </w:r>
                </w:p>
              </w:tc>
              <w:tc>
                <w:tcPr>
                  <w:tcW w:w="340" w:type="pct"/>
                  <w:tcBorders>
                    <w:tl2br w:val="nil"/>
                    <w:tr2bl w:val="nil"/>
                  </w:tcBorders>
                  <w:shd w:val="clear" w:color="auto" w:fill="auto"/>
                  <w:vAlign w:val="center"/>
                </w:tcPr>
                <w:p w14:paraId="3AA72AF4">
                  <w:pPr>
                    <w:pStyle w:val="22"/>
                    <w:keepNext w:val="0"/>
                    <w:keepLines w:val="0"/>
                    <w:widowControl w:val="0"/>
                    <w:suppressLineNumbers w:val="0"/>
                    <w:adjustRightInd w:val="0"/>
                    <w:snapToGrid w:val="0"/>
                    <w:spacing w:before="0" w:beforeAutospacing="0" w:after="0" w:afterAutospacing="0"/>
                    <w:ind w:left="0" w:leftChars="0" w:right="0" w:rightChars="0"/>
                    <w:jc w:val="center"/>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
                    </w:rPr>
                    <w:t>待</w:t>
                  </w:r>
                  <w:r>
                    <w:rPr>
                      <w:rFonts w:hint="eastAsia" w:ascii="Times New Roman" w:hAnsi="Times New Roman" w:cs="Times New Roman"/>
                      <w:color w:val="auto"/>
                      <w:kern w:val="2"/>
                      <w:sz w:val="21"/>
                      <w:szCs w:val="21"/>
                      <w:lang w:val="en-US" w:eastAsia="zh-CN" w:bidi="ar"/>
                    </w:rPr>
                    <w:t>鉴别</w:t>
                  </w:r>
                </w:p>
              </w:tc>
              <w:tc>
                <w:tcPr>
                  <w:tcW w:w="592" w:type="pct"/>
                  <w:tcBorders>
                    <w:tl2br w:val="nil"/>
                    <w:tr2bl w:val="nil"/>
                  </w:tcBorders>
                  <w:shd w:val="clear" w:color="auto" w:fill="auto"/>
                  <w:vAlign w:val="center"/>
                </w:tcPr>
                <w:p w14:paraId="44AF464F">
                  <w:pPr>
                    <w:pStyle w:val="22"/>
                    <w:keepNext w:val="0"/>
                    <w:keepLines w:val="0"/>
                    <w:widowControl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
                    </w:rPr>
                    <w:t>待</w:t>
                  </w:r>
                  <w:r>
                    <w:rPr>
                      <w:rFonts w:hint="eastAsia" w:ascii="Times New Roman" w:hAnsi="Times New Roman" w:cs="Times New Roman"/>
                      <w:color w:val="auto"/>
                      <w:kern w:val="2"/>
                      <w:sz w:val="21"/>
                      <w:szCs w:val="21"/>
                      <w:lang w:val="en-US" w:eastAsia="zh-CN" w:bidi="ar"/>
                    </w:rPr>
                    <w:t>鉴别</w:t>
                  </w:r>
                </w:p>
              </w:tc>
              <w:tc>
                <w:tcPr>
                  <w:tcW w:w="321" w:type="pct"/>
                  <w:tcBorders>
                    <w:tl2br w:val="nil"/>
                    <w:tr2bl w:val="nil"/>
                  </w:tcBorders>
                  <w:shd w:val="clear" w:color="auto" w:fill="auto"/>
                  <w:vAlign w:val="center"/>
                </w:tcPr>
                <w:p w14:paraId="576B97AD">
                  <w:pPr>
                    <w:widowControl/>
                    <w:jc w:val="center"/>
                    <w:rPr>
                      <w:rFonts w:hint="default" w:ascii="Times New Roman" w:hAnsi="Times New Roman" w:eastAsia="宋体" w:cs="Times New Roman"/>
                      <w:bCs/>
                      <w:snapToGrid w:val="0"/>
                      <w:color w:val="auto"/>
                      <w:spacing w:val="6"/>
                      <w:kern w:val="2"/>
                      <w:sz w:val="21"/>
                      <w:szCs w:val="21"/>
                      <w:lang w:val="en-US" w:eastAsia="zh-CN" w:bidi="ar"/>
                    </w:rPr>
                  </w:pPr>
                  <w:r>
                    <w:rPr>
                      <w:rFonts w:hint="eastAsia" w:ascii="Times New Roman" w:hAnsi="Times New Roman" w:eastAsia="宋体" w:cs="Times New Roman"/>
                      <w:bCs/>
                      <w:snapToGrid w:val="0"/>
                      <w:color w:val="auto"/>
                      <w:spacing w:val="6"/>
                      <w:kern w:val="2"/>
                      <w:sz w:val="21"/>
                      <w:szCs w:val="21"/>
                      <w:lang w:val="en-US" w:eastAsia="zh-CN" w:bidi="ar"/>
                    </w:rPr>
                    <w:t>65</w:t>
                  </w:r>
                  <w:r>
                    <w:rPr>
                      <w:rFonts w:hint="eastAsia" w:cs="Times New Roman"/>
                      <w:bCs/>
                      <w:snapToGrid w:val="0"/>
                      <w:color w:val="auto"/>
                      <w:spacing w:val="6"/>
                      <w:kern w:val="2"/>
                      <w:sz w:val="21"/>
                      <w:szCs w:val="21"/>
                      <w:lang w:val="en-US" w:eastAsia="zh-CN" w:bidi="ar"/>
                    </w:rPr>
                    <w:t>0</w:t>
                  </w:r>
                </w:p>
              </w:tc>
              <w:tc>
                <w:tcPr>
                  <w:tcW w:w="310" w:type="pct"/>
                  <w:tcBorders>
                    <w:tl2br w:val="nil"/>
                    <w:tr2bl w:val="nil"/>
                  </w:tcBorders>
                  <w:shd w:val="clear" w:color="auto" w:fill="auto"/>
                  <w:vAlign w:val="center"/>
                </w:tcPr>
                <w:p w14:paraId="0F08895F">
                  <w:pPr>
                    <w:snapToGrid w:val="0"/>
                    <w:jc w:val="center"/>
                    <w:rPr>
                      <w:rFonts w:hint="eastAsia"/>
                      <w:bCs/>
                      <w:color w:val="auto"/>
                    </w:rPr>
                  </w:pPr>
                  <w:r>
                    <w:rPr>
                      <w:rFonts w:hint="eastAsia"/>
                      <w:bCs/>
                      <w:color w:val="auto"/>
                    </w:rPr>
                    <w:t>III</w:t>
                  </w:r>
                </w:p>
              </w:tc>
              <w:tc>
                <w:tcPr>
                  <w:tcW w:w="350" w:type="pct"/>
                  <w:tcBorders>
                    <w:tl2br w:val="nil"/>
                    <w:tr2bl w:val="nil"/>
                  </w:tcBorders>
                  <w:vAlign w:val="center"/>
                </w:tcPr>
                <w:p w14:paraId="1E7B771D">
                  <w:pPr>
                    <w:pStyle w:val="22"/>
                    <w:widowControl w:val="0"/>
                    <w:snapToGrid w:val="0"/>
                    <w:spacing w:before="0" w:beforeAutospacing="0" w:after="0" w:afterAutospacing="0"/>
                    <w:jc w:val="center"/>
                    <w:rPr>
                      <w:rFonts w:hint="eastAsia" w:ascii="Times New Roman" w:hAnsi="Times New Roman" w:eastAsia="宋体"/>
                      <w:bCs/>
                      <w:color w:val="auto"/>
                      <w:sz w:val="21"/>
                      <w:szCs w:val="21"/>
                      <w:lang w:val="en-US" w:eastAsia="zh-CN"/>
                    </w:rPr>
                  </w:pPr>
                  <w:r>
                    <w:rPr>
                      <w:rFonts w:hint="eastAsia" w:ascii="Times New Roman" w:hAnsi="Times New Roman"/>
                      <w:bCs/>
                      <w:color w:val="auto"/>
                      <w:sz w:val="21"/>
                      <w:szCs w:val="21"/>
                      <w:lang w:val="en-US" w:eastAsia="zh-CN"/>
                    </w:rPr>
                    <w:t>/</w:t>
                  </w:r>
                </w:p>
              </w:tc>
              <w:tc>
                <w:tcPr>
                  <w:tcW w:w="179" w:type="pct"/>
                  <w:vMerge w:val="continue"/>
                  <w:tcBorders>
                    <w:tl2br w:val="nil"/>
                    <w:tr2bl w:val="nil"/>
                  </w:tcBorders>
                  <w:vAlign w:val="center"/>
                </w:tcPr>
                <w:p w14:paraId="1FC936F3">
                  <w:pPr>
                    <w:pStyle w:val="22"/>
                    <w:widowControl w:val="0"/>
                    <w:snapToGrid w:val="0"/>
                    <w:spacing w:before="0" w:beforeAutospacing="0" w:after="0" w:afterAutospacing="0"/>
                    <w:jc w:val="center"/>
                    <w:rPr>
                      <w:rFonts w:hint="eastAsia" w:ascii="Times New Roman" w:hAnsi="Times New Roman"/>
                      <w:bCs/>
                      <w:color w:val="auto"/>
                      <w:sz w:val="21"/>
                      <w:szCs w:val="21"/>
                      <w:lang w:val="en-US" w:eastAsia="zh-CN"/>
                    </w:rPr>
                  </w:pPr>
                </w:p>
              </w:tc>
              <w:tc>
                <w:tcPr>
                  <w:tcW w:w="220" w:type="pct"/>
                  <w:vMerge w:val="continue"/>
                  <w:tcBorders>
                    <w:tl2br w:val="nil"/>
                    <w:tr2bl w:val="nil"/>
                  </w:tcBorders>
                  <w:vAlign w:val="center"/>
                </w:tcPr>
                <w:p w14:paraId="3AEFA821">
                  <w:pPr>
                    <w:keepNext w:val="0"/>
                    <w:keepLines w:val="0"/>
                    <w:widowControl/>
                    <w:suppressLineNumbers w:val="0"/>
                    <w:jc w:val="center"/>
                    <w:textAlignment w:val="center"/>
                    <w:rPr>
                      <w:rFonts w:hint="default" w:ascii="Times New Roman" w:hAnsi="Times New Roman" w:eastAsia="宋体" w:cs="Times New Roman"/>
                      <w:bCs/>
                      <w:color w:val="auto"/>
                      <w:sz w:val="21"/>
                      <w:szCs w:val="21"/>
                      <w:lang w:val="en-US" w:eastAsia="zh-CN"/>
                    </w:rPr>
                  </w:pPr>
                </w:p>
              </w:tc>
              <w:tc>
                <w:tcPr>
                  <w:tcW w:w="269" w:type="pct"/>
                  <w:vMerge w:val="continue"/>
                  <w:tcBorders>
                    <w:tl2br w:val="nil"/>
                    <w:tr2bl w:val="nil"/>
                  </w:tcBorders>
                  <w:vAlign w:val="center"/>
                </w:tcPr>
                <w:p w14:paraId="5A6DF876">
                  <w:pPr>
                    <w:keepNext w:val="0"/>
                    <w:keepLines w:val="0"/>
                    <w:widowControl/>
                    <w:suppressLineNumbers w:val="0"/>
                    <w:jc w:val="center"/>
                    <w:textAlignment w:val="center"/>
                    <w:rPr>
                      <w:rFonts w:hint="default" w:ascii="Times New Roman" w:hAnsi="Times New Roman" w:eastAsia="宋体" w:cs="Times New Roman"/>
                      <w:bCs/>
                      <w:color w:val="auto"/>
                      <w:sz w:val="21"/>
                      <w:szCs w:val="21"/>
                      <w:lang w:val="en-US" w:eastAsia="zh-CN"/>
                    </w:rPr>
                  </w:pPr>
                </w:p>
              </w:tc>
            </w:tr>
            <w:bookmarkEnd w:id="36"/>
            <w:tr w14:paraId="50EAA3B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20" w:hRule="atLeast"/>
                <w:jc w:val="right"/>
              </w:trPr>
              <w:tc>
                <w:tcPr>
                  <w:tcW w:w="5000" w:type="pct"/>
                  <w:gridSpan w:val="15"/>
                  <w:tcBorders>
                    <w:tl2br w:val="nil"/>
                    <w:tr2bl w:val="nil"/>
                  </w:tcBorders>
                  <w:vAlign w:val="center"/>
                </w:tcPr>
                <w:p w14:paraId="2062977C">
                  <w:pPr>
                    <w:pStyle w:val="22"/>
                    <w:widowControl w:val="0"/>
                    <w:snapToGrid w:val="0"/>
                    <w:spacing w:before="0" w:beforeAutospacing="0" w:after="0" w:afterAutospacing="0"/>
                    <w:jc w:val="center"/>
                    <w:rPr>
                      <w:rFonts w:ascii="Times New Roman" w:hAnsi="Times New Roman"/>
                      <w:color w:val="auto"/>
                      <w:sz w:val="21"/>
                      <w:szCs w:val="21"/>
                    </w:rPr>
                  </w:pPr>
                  <w:r>
                    <w:rPr>
                      <w:rFonts w:ascii="Times New Roman" w:hAnsi="Times New Roman"/>
                      <w:bCs/>
                      <w:color w:val="auto"/>
                      <w:sz w:val="21"/>
                      <w:szCs w:val="21"/>
                    </w:rPr>
                    <w:t>备注：毒性（Toxicity，T），</w:t>
                  </w:r>
                  <w:r>
                    <w:rPr>
                      <w:rFonts w:ascii="Times New Roman" w:hAnsi="Times New Roman"/>
                      <w:bCs/>
                      <w:color w:val="auto"/>
                      <w:sz w:val="21"/>
                      <w:szCs w:val="21"/>
                      <w:shd w:val="clear" w:color="auto" w:fill="FFFFFF"/>
                    </w:rPr>
                    <w:t>感染性（Infectivity，In）</w:t>
                  </w:r>
                  <w:r>
                    <w:rPr>
                      <w:rFonts w:hint="eastAsia" w:ascii="Times New Roman" w:hAnsi="Times New Roman"/>
                      <w:bCs/>
                      <w:color w:val="auto"/>
                      <w:sz w:val="18"/>
                      <w:szCs w:val="18"/>
                      <w:shd w:val="clear" w:color="auto" w:fill="FFFFFF"/>
                      <w:lang w:eastAsia="zh-CN"/>
                    </w:rPr>
                    <w:t>，</w:t>
                  </w:r>
                  <w:r>
                    <w:rPr>
                      <w:rFonts w:ascii="Times New Roman" w:hAnsi="Times New Roman"/>
                      <w:bCs/>
                      <w:color w:val="auto"/>
                      <w:sz w:val="18"/>
                      <w:szCs w:val="18"/>
                      <w:highlight w:val="none"/>
                      <w:shd w:val="clear" w:color="auto" w:fill="FFFFFF"/>
                      <w:lang w:bidi="ar"/>
                    </w:rPr>
                    <w:t>易燃性(Ignitability，I)</w:t>
                  </w:r>
                  <w:r>
                    <w:rPr>
                      <w:rFonts w:hint="eastAsia" w:ascii="Times New Roman" w:hAnsi="Times New Roman"/>
                      <w:bCs/>
                      <w:color w:val="auto"/>
                      <w:sz w:val="18"/>
                      <w:szCs w:val="18"/>
                      <w:highlight w:val="none"/>
                      <w:shd w:val="clear" w:color="auto" w:fill="FFFFFF"/>
                      <w:lang w:bidi="ar"/>
                    </w:rPr>
                    <w:t>，腐蚀性（Corrosivity,C）</w:t>
                  </w:r>
                </w:p>
              </w:tc>
            </w:tr>
          </w:tbl>
          <w:p w14:paraId="0E82EB30">
            <w:pPr>
              <w:adjustRightInd w:val="0"/>
              <w:snapToGrid w:val="0"/>
              <w:rPr>
                <w:b/>
                <w:bCs/>
                <w:color w:val="auto"/>
                <w:sz w:val="18"/>
                <w:szCs w:val="18"/>
              </w:rPr>
            </w:pPr>
            <w:r>
              <w:rPr>
                <w:b/>
                <w:bCs/>
                <w:color w:val="auto"/>
                <w:sz w:val="18"/>
                <w:szCs w:val="18"/>
              </w:rPr>
              <w:t>注：危险废物类别、危险废物代码、危险特性参照《国家危险废物名录》（202</w:t>
            </w:r>
            <w:r>
              <w:rPr>
                <w:rFonts w:hint="eastAsia"/>
                <w:b/>
                <w:bCs/>
                <w:color w:val="auto"/>
                <w:sz w:val="18"/>
                <w:szCs w:val="18"/>
                <w:lang w:val="en-US" w:eastAsia="zh-CN"/>
              </w:rPr>
              <w:t>5</w:t>
            </w:r>
            <w:r>
              <w:rPr>
                <w:b/>
                <w:bCs/>
                <w:color w:val="auto"/>
                <w:sz w:val="18"/>
                <w:szCs w:val="18"/>
              </w:rPr>
              <w:t>年版）。</w:t>
            </w:r>
            <w:r>
              <w:rPr>
                <w:rFonts w:hint="eastAsia"/>
                <w:b/>
                <w:bCs/>
                <w:color w:val="auto"/>
                <w:sz w:val="18"/>
                <w:szCs w:val="18"/>
              </w:rPr>
              <w:t>危险废物环境风险等级判别参照《省生态环境厅关于印发</w:t>
            </w:r>
            <w:r>
              <w:rPr>
                <w:rFonts w:hint="eastAsia"/>
                <w:b/>
                <w:bCs/>
                <w:color w:val="auto"/>
                <w:sz w:val="18"/>
                <w:szCs w:val="18"/>
                <w:lang w:val="en-US" w:eastAsia="zh-CN"/>
              </w:rPr>
              <w:t>&lt;</w:t>
            </w:r>
            <w:r>
              <w:rPr>
                <w:rFonts w:hint="eastAsia"/>
                <w:b/>
                <w:bCs/>
                <w:color w:val="auto"/>
                <w:sz w:val="18"/>
                <w:szCs w:val="18"/>
              </w:rPr>
              <w:t>江苏省危险废物集中收集体系建设工作方案（试行）</w:t>
            </w:r>
            <w:r>
              <w:rPr>
                <w:rFonts w:hint="eastAsia"/>
                <w:b/>
                <w:bCs/>
                <w:color w:val="auto"/>
                <w:sz w:val="18"/>
                <w:szCs w:val="18"/>
                <w:lang w:val="en-US" w:eastAsia="zh-CN"/>
              </w:rPr>
              <w:t>&gt;</w:t>
            </w:r>
            <w:r>
              <w:rPr>
                <w:rFonts w:hint="eastAsia"/>
                <w:b/>
                <w:bCs/>
                <w:color w:val="auto"/>
                <w:sz w:val="18"/>
                <w:szCs w:val="18"/>
              </w:rPr>
              <w:t>的通知》（苏环办〔2021〕290号）。</w:t>
            </w:r>
          </w:p>
          <w:p w14:paraId="41DF889C">
            <w:pPr>
              <w:adjustRightInd w:val="0"/>
              <w:snapToGrid w:val="0"/>
              <w:spacing w:before="120" w:beforeLines="50" w:line="360" w:lineRule="auto"/>
              <w:ind w:firstLine="480" w:firstLineChars="200"/>
              <w:rPr>
                <w:b/>
                <w:color w:val="auto"/>
                <w:spacing w:val="-10"/>
                <w:sz w:val="24"/>
                <w:szCs w:val="24"/>
              </w:rPr>
            </w:pPr>
            <w:r>
              <w:rPr>
                <w:rFonts w:hint="eastAsia" w:ascii="Times New Roman" w:hAnsi="Times New Roman" w:eastAsia="宋体" w:cs="Times New Roman"/>
                <w:color w:val="auto"/>
                <w:kern w:val="2"/>
                <w:sz w:val="24"/>
                <w:szCs w:val="24"/>
                <w:lang w:val="en-US" w:eastAsia="zh-CN" w:bidi="ar"/>
              </w:rPr>
              <w:t>扩建后全厂固废情况见表4-</w:t>
            </w:r>
            <w:r>
              <w:rPr>
                <w:rFonts w:hint="eastAsia" w:cs="Times New Roman"/>
                <w:color w:val="auto"/>
                <w:kern w:val="2"/>
                <w:sz w:val="24"/>
                <w:szCs w:val="24"/>
                <w:lang w:val="en-US" w:eastAsia="zh-CN" w:bidi="ar"/>
              </w:rPr>
              <w:t>23</w:t>
            </w:r>
            <w:r>
              <w:rPr>
                <w:rFonts w:hint="eastAsia" w:ascii="Times New Roman" w:hAnsi="Times New Roman" w:eastAsia="宋体" w:cs="Times New Roman"/>
                <w:color w:val="auto"/>
                <w:kern w:val="2"/>
                <w:sz w:val="24"/>
                <w:szCs w:val="24"/>
                <w:lang w:val="en-US" w:eastAsia="zh-CN" w:bidi="ar"/>
              </w:rPr>
              <w:t>。</w:t>
            </w:r>
          </w:p>
          <w:p w14:paraId="08D44BF9">
            <w:pPr>
              <w:jc w:val="center"/>
              <w:rPr>
                <w:rFonts w:hint="default" w:ascii="Times New Roman" w:hAnsi="Times New Roman" w:cs="Times New Roman"/>
                <w:b/>
                <w:bCs/>
                <w:color w:val="auto"/>
                <w:sz w:val="24"/>
                <w:szCs w:val="24"/>
                <w:lang w:bidi="ar-SA"/>
              </w:rPr>
            </w:pPr>
            <w:r>
              <w:rPr>
                <w:rFonts w:hint="eastAsia" w:ascii="Times New Roman" w:hAnsi="Times New Roman" w:cs="Times New Roman"/>
                <w:b/>
                <w:bCs/>
                <w:color w:val="auto"/>
                <w:sz w:val="24"/>
                <w:szCs w:val="24"/>
                <w:lang w:bidi="ar-SA"/>
              </w:rPr>
              <w:t>表4-</w:t>
            </w:r>
            <w:r>
              <w:rPr>
                <w:rFonts w:hint="eastAsia" w:cs="Times New Roman"/>
                <w:b/>
                <w:bCs/>
                <w:color w:val="auto"/>
                <w:sz w:val="24"/>
                <w:szCs w:val="24"/>
                <w:lang w:val="en-US" w:eastAsia="zh-CN" w:bidi="ar-SA"/>
              </w:rPr>
              <w:t>23</w:t>
            </w:r>
            <w:r>
              <w:rPr>
                <w:rFonts w:hint="eastAsia" w:ascii="Times New Roman" w:hAnsi="Times New Roman" w:cs="Times New Roman"/>
                <w:b/>
                <w:bCs/>
                <w:color w:val="auto"/>
                <w:sz w:val="24"/>
                <w:szCs w:val="24"/>
                <w:lang w:bidi="ar-SA"/>
              </w:rPr>
              <w:t xml:space="preserve"> </w:t>
            </w:r>
            <w:r>
              <w:rPr>
                <w:rFonts w:hint="eastAsia" w:ascii="Times New Roman" w:hAnsi="Times New Roman" w:cs="Times New Roman"/>
                <w:b/>
                <w:bCs/>
                <w:color w:val="auto"/>
                <w:sz w:val="24"/>
                <w:szCs w:val="24"/>
                <w:lang w:val="en-US" w:eastAsia="zh-CN" w:bidi="ar-SA"/>
              </w:rPr>
              <w:t>扩建后全厂</w:t>
            </w:r>
            <w:r>
              <w:rPr>
                <w:rFonts w:hint="default" w:ascii="Times New Roman" w:hAnsi="Times New Roman" w:cs="Times New Roman"/>
                <w:b/>
                <w:bCs/>
                <w:color w:val="auto"/>
                <w:sz w:val="24"/>
                <w:szCs w:val="24"/>
                <w:lang w:bidi="ar-SA"/>
              </w:rPr>
              <w:t>固废产生及处置情况</w:t>
            </w:r>
          </w:p>
          <w:tbl>
            <w:tblPr>
              <w:tblStyle w:val="26"/>
              <w:tblW w:w="4995" w:type="pct"/>
              <w:jc w:val="center"/>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Layout w:type="fixed"/>
              <w:tblCellMar>
                <w:top w:w="0" w:type="dxa"/>
                <w:left w:w="28" w:type="dxa"/>
                <w:bottom w:w="0" w:type="dxa"/>
                <w:right w:w="28" w:type="dxa"/>
              </w:tblCellMar>
            </w:tblPr>
            <w:tblGrid>
              <w:gridCol w:w="381"/>
              <w:gridCol w:w="737"/>
              <w:gridCol w:w="335"/>
              <w:gridCol w:w="1168"/>
              <w:gridCol w:w="588"/>
              <w:gridCol w:w="772"/>
              <w:gridCol w:w="504"/>
              <w:gridCol w:w="1217"/>
              <w:gridCol w:w="1221"/>
              <w:gridCol w:w="744"/>
              <w:gridCol w:w="486"/>
            </w:tblGrid>
            <w:tr w14:paraId="0ECF371B">
              <w:tblPrEx>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CellMar>
                  <w:top w:w="0" w:type="dxa"/>
                  <w:left w:w="28" w:type="dxa"/>
                  <w:bottom w:w="0" w:type="dxa"/>
                  <w:right w:w="28" w:type="dxa"/>
                </w:tblCellMar>
              </w:tblPrEx>
              <w:trPr>
                <w:trHeight w:val="23" w:hRule="atLeast"/>
                <w:jc w:val="center"/>
              </w:trPr>
              <w:tc>
                <w:tcPr>
                  <w:tcW w:w="233" w:type="pct"/>
                  <w:tcBorders>
                    <w:tl2br w:val="nil"/>
                    <w:tr2bl w:val="nil"/>
                  </w:tcBorders>
                  <w:vAlign w:val="center"/>
                </w:tcPr>
                <w:p w14:paraId="7984F352">
                  <w:pPr>
                    <w:widowControl/>
                    <w:adjustRightInd w:val="0"/>
                    <w:snapToGrid w:val="0"/>
                    <w:spacing w:before="0" w:beforeLines="0" w:after="0" w:afterLines="0" w:line="240" w:lineRule="auto"/>
                    <w:ind w:firstLine="0" w:firstLineChars="0"/>
                    <w:jc w:val="center"/>
                    <w:textAlignment w:val="baseline"/>
                    <w:rPr>
                      <w:rFonts w:ascii="Times New Roman" w:hAnsi="宋体" w:eastAsia="宋体" w:cs="Times New Roman"/>
                      <w:b/>
                      <w:color w:val="auto"/>
                      <w:spacing w:val="-10"/>
                      <w:kern w:val="0"/>
                      <w:sz w:val="21"/>
                      <w:szCs w:val="21"/>
                      <w:lang w:val="en-US" w:eastAsia="zh-CN" w:bidi="ar-SA"/>
                    </w:rPr>
                  </w:pPr>
                  <w:r>
                    <w:rPr>
                      <w:rFonts w:ascii="Times New Roman" w:hAnsi="宋体" w:eastAsia="宋体" w:cs="Times New Roman"/>
                      <w:b/>
                      <w:color w:val="auto"/>
                      <w:spacing w:val="-10"/>
                      <w:kern w:val="0"/>
                      <w:sz w:val="21"/>
                      <w:szCs w:val="21"/>
                      <w:lang w:val="en-US" w:eastAsia="zh-CN" w:bidi="ar-SA"/>
                    </w:rPr>
                    <w:t>序号</w:t>
                  </w:r>
                </w:p>
              </w:tc>
              <w:tc>
                <w:tcPr>
                  <w:tcW w:w="451" w:type="pct"/>
                  <w:tcBorders>
                    <w:tl2br w:val="nil"/>
                    <w:tr2bl w:val="nil"/>
                  </w:tcBorders>
                  <w:vAlign w:val="center"/>
                </w:tcPr>
                <w:p w14:paraId="0D3ED8CA">
                  <w:pPr>
                    <w:widowControl/>
                    <w:adjustRightInd w:val="0"/>
                    <w:snapToGrid w:val="0"/>
                    <w:spacing w:before="0" w:beforeLines="0" w:after="0" w:afterLines="0" w:line="240" w:lineRule="auto"/>
                    <w:ind w:firstLine="0" w:firstLineChars="0"/>
                    <w:jc w:val="center"/>
                    <w:textAlignment w:val="baseline"/>
                    <w:rPr>
                      <w:rFonts w:ascii="Times New Roman" w:hAnsi="宋体" w:eastAsia="宋体" w:cs="Times New Roman"/>
                      <w:b/>
                      <w:color w:val="auto"/>
                      <w:spacing w:val="-10"/>
                      <w:kern w:val="0"/>
                      <w:sz w:val="21"/>
                      <w:szCs w:val="21"/>
                      <w:lang w:val="en-US" w:eastAsia="zh-CN" w:bidi="ar-SA"/>
                    </w:rPr>
                  </w:pPr>
                  <w:r>
                    <w:rPr>
                      <w:rFonts w:ascii="Times New Roman" w:hAnsi="宋体" w:eastAsia="宋体" w:cs="Times New Roman"/>
                      <w:b/>
                      <w:color w:val="auto"/>
                      <w:spacing w:val="-10"/>
                      <w:kern w:val="0"/>
                      <w:sz w:val="21"/>
                      <w:szCs w:val="21"/>
                      <w:lang w:val="en-US" w:eastAsia="zh-CN" w:bidi="ar-SA"/>
                    </w:rPr>
                    <w:t>固体</w:t>
                  </w:r>
                </w:p>
                <w:p w14:paraId="6BCDAB5A">
                  <w:pPr>
                    <w:widowControl/>
                    <w:adjustRightInd w:val="0"/>
                    <w:snapToGrid w:val="0"/>
                    <w:spacing w:before="0" w:beforeLines="0" w:after="0" w:afterLines="0" w:line="240" w:lineRule="auto"/>
                    <w:ind w:firstLine="0" w:firstLineChars="0"/>
                    <w:jc w:val="center"/>
                    <w:textAlignment w:val="baseline"/>
                    <w:rPr>
                      <w:rFonts w:ascii="Times New Roman" w:hAnsi="宋体" w:eastAsia="宋体" w:cs="Times New Roman"/>
                      <w:b/>
                      <w:color w:val="auto"/>
                      <w:spacing w:val="-10"/>
                      <w:kern w:val="0"/>
                      <w:sz w:val="21"/>
                      <w:szCs w:val="21"/>
                      <w:lang w:val="en-US" w:eastAsia="zh-CN" w:bidi="ar-SA"/>
                    </w:rPr>
                  </w:pPr>
                  <w:r>
                    <w:rPr>
                      <w:rFonts w:ascii="Times New Roman" w:hAnsi="宋体" w:eastAsia="宋体" w:cs="Times New Roman"/>
                      <w:b/>
                      <w:color w:val="auto"/>
                      <w:spacing w:val="-10"/>
                      <w:kern w:val="0"/>
                      <w:sz w:val="21"/>
                      <w:szCs w:val="21"/>
                      <w:lang w:val="en-US" w:eastAsia="zh-CN" w:bidi="ar-SA"/>
                    </w:rPr>
                    <w:t>废物</w:t>
                  </w:r>
                </w:p>
              </w:tc>
              <w:tc>
                <w:tcPr>
                  <w:tcW w:w="205" w:type="pct"/>
                  <w:tcBorders>
                    <w:tl2br w:val="nil"/>
                    <w:tr2bl w:val="nil"/>
                  </w:tcBorders>
                  <w:vAlign w:val="center"/>
                </w:tcPr>
                <w:p w14:paraId="6E9FDC96">
                  <w:pPr>
                    <w:widowControl/>
                    <w:adjustRightInd w:val="0"/>
                    <w:snapToGrid w:val="0"/>
                    <w:spacing w:before="0" w:beforeLines="0" w:after="0" w:afterLines="0" w:line="240" w:lineRule="auto"/>
                    <w:ind w:firstLine="0" w:firstLineChars="0"/>
                    <w:jc w:val="center"/>
                    <w:textAlignment w:val="baseline"/>
                    <w:rPr>
                      <w:rFonts w:ascii="Times New Roman" w:hAnsi="宋体" w:eastAsia="宋体" w:cs="Times New Roman"/>
                      <w:b/>
                      <w:color w:val="auto"/>
                      <w:spacing w:val="-10"/>
                      <w:kern w:val="0"/>
                      <w:sz w:val="21"/>
                      <w:szCs w:val="21"/>
                      <w:lang w:val="en-US" w:eastAsia="zh-CN" w:bidi="ar-SA"/>
                    </w:rPr>
                  </w:pPr>
                  <w:r>
                    <w:rPr>
                      <w:rFonts w:ascii="Times New Roman" w:hAnsi="宋体" w:eastAsia="宋体" w:cs="Times New Roman"/>
                      <w:b/>
                      <w:color w:val="auto"/>
                      <w:spacing w:val="-10"/>
                      <w:kern w:val="0"/>
                      <w:sz w:val="21"/>
                      <w:szCs w:val="21"/>
                      <w:lang w:val="en-US" w:eastAsia="zh-CN" w:bidi="ar-SA"/>
                    </w:rPr>
                    <w:t>属性</w:t>
                  </w:r>
                </w:p>
              </w:tc>
              <w:tc>
                <w:tcPr>
                  <w:tcW w:w="716" w:type="pct"/>
                  <w:tcBorders>
                    <w:tl2br w:val="nil"/>
                    <w:tr2bl w:val="nil"/>
                  </w:tcBorders>
                  <w:vAlign w:val="center"/>
                </w:tcPr>
                <w:p w14:paraId="1C24E2DB">
                  <w:pPr>
                    <w:widowControl/>
                    <w:adjustRightInd w:val="0"/>
                    <w:snapToGrid w:val="0"/>
                    <w:spacing w:before="0" w:beforeLines="0" w:after="0" w:afterLines="0" w:line="240" w:lineRule="auto"/>
                    <w:ind w:firstLine="0" w:firstLineChars="0"/>
                    <w:jc w:val="center"/>
                    <w:textAlignment w:val="baseline"/>
                    <w:rPr>
                      <w:rFonts w:ascii="Times New Roman" w:hAnsi="宋体" w:eastAsia="宋体" w:cs="Times New Roman"/>
                      <w:b/>
                      <w:color w:val="auto"/>
                      <w:spacing w:val="-10"/>
                      <w:kern w:val="0"/>
                      <w:sz w:val="21"/>
                      <w:szCs w:val="21"/>
                      <w:lang w:val="en-US" w:eastAsia="zh-CN" w:bidi="ar-SA"/>
                    </w:rPr>
                  </w:pPr>
                  <w:r>
                    <w:rPr>
                      <w:rFonts w:ascii="Times New Roman" w:hAnsi="宋体" w:eastAsia="宋体" w:cs="Times New Roman"/>
                      <w:b/>
                      <w:color w:val="auto"/>
                      <w:spacing w:val="-10"/>
                      <w:kern w:val="0"/>
                      <w:sz w:val="21"/>
                      <w:szCs w:val="21"/>
                      <w:lang w:val="en-US" w:eastAsia="zh-CN" w:bidi="ar-SA"/>
                    </w:rPr>
                    <w:t>产生</w:t>
                  </w:r>
                </w:p>
                <w:p w14:paraId="47DE0F44">
                  <w:pPr>
                    <w:widowControl/>
                    <w:adjustRightInd w:val="0"/>
                    <w:snapToGrid w:val="0"/>
                    <w:spacing w:before="0" w:beforeLines="0" w:after="0" w:afterLines="0" w:line="240" w:lineRule="auto"/>
                    <w:ind w:firstLine="0" w:firstLineChars="0"/>
                    <w:jc w:val="center"/>
                    <w:textAlignment w:val="baseline"/>
                    <w:rPr>
                      <w:rFonts w:ascii="Times New Roman" w:hAnsi="宋体" w:eastAsia="宋体" w:cs="Times New Roman"/>
                      <w:b/>
                      <w:color w:val="auto"/>
                      <w:spacing w:val="-10"/>
                      <w:kern w:val="0"/>
                      <w:sz w:val="21"/>
                      <w:szCs w:val="21"/>
                      <w:lang w:val="en-US" w:eastAsia="zh-CN" w:bidi="ar-SA"/>
                    </w:rPr>
                  </w:pPr>
                  <w:r>
                    <w:rPr>
                      <w:rFonts w:ascii="Times New Roman" w:hAnsi="宋体" w:eastAsia="宋体" w:cs="Times New Roman"/>
                      <w:b/>
                      <w:color w:val="auto"/>
                      <w:spacing w:val="-10"/>
                      <w:kern w:val="0"/>
                      <w:sz w:val="21"/>
                      <w:szCs w:val="21"/>
                      <w:lang w:val="en-US" w:eastAsia="zh-CN" w:bidi="ar-SA"/>
                    </w:rPr>
                    <w:t>工序</w:t>
                  </w:r>
                </w:p>
              </w:tc>
              <w:tc>
                <w:tcPr>
                  <w:tcW w:w="360" w:type="pct"/>
                  <w:tcBorders>
                    <w:tl2br w:val="nil"/>
                    <w:tr2bl w:val="nil"/>
                  </w:tcBorders>
                  <w:vAlign w:val="center"/>
                </w:tcPr>
                <w:p w14:paraId="508F6DAD">
                  <w:pPr>
                    <w:widowControl/>
                    <w:adjustRightInd w:val="0"/>
                    <w:snapToGrid w:val="0"/>
                    <w:spacing w:before="0" w:beforeLines="0" w:after="0" w:afterLines="0" w:line="240" w:lineRule="auto"/>
                    <w:ind w:firstLine="0" w:firstLineChars="0"/>
                    <w:jc w:val="center"/>
                    <w:textAlignment w:val="baseline"/>
                    <w:rPr>
                      <w:rFonts w:ascii="Times New Roman" w:hAnsi="宋体" w:eastAsia="宋体" w:cs="Times New Roman"/>
                      <w:b/>
                      <w:color w:val="auto"/>
                      <w:spacing w:val="-10"/>
                      <w:kern w:val="0"/>
                      <w:sz w:val="21"/>
                      <w:szCs w:val="21"/>
                      <w:lang w:val="en-US" w:eastAsia="zh-CN" w:bidi="ar-SA"/>
                    </w:rPr>
                  </w:pPr>
                  <w:r>
                    <w:rPr>
                      <w:rFonts w:ascii="Times New Roman" w:hAnsi="宋体" w:eastAsia="宋体" w:cs="Times New Roman"/>
                      <w:b/>
                      <w:color w:val="auto"/>
                      <w:spacing w:val="-10"/>
                      <w:kern w:val="0"/>
                      <w:sz w:val="21"/>
                      <w:szCs w:val="21"/>
                      <w:lang w:val="en-US" w:eastAsia="zh-CN" w:bidi="ar-SA"/>
                    </w:rPr>
                    <w:t>形态</w:t>
                  </w:r>
                </w:p>
              </w:tc>
              <w:tc>
                <w:tcPr>
                  <w:tcW w:w="473" w:type="pct"/>
                  <w:tcBorders>
                    <w:tl2br w:val="nil"/>
                    <w:tr2bl w:val="nil"/>
                  </w:tcBorders>
                  <w:vAlign w:val="center"/>
                </w:tcPr>
                <w:p w14:paraId="75517443">
                  <w:pPr>
                    <w:widowControl/>
                    <w:adjustRightInd w:val="0"/>
                    <w:snapToGrid w:val="0"/>
                    <w:spacing w:before="0" w:beforeLines="0" w:after="0" w:afterLines="0" w:line="240" w:lineRule="auto"/>
                    <w:ind w:firstLine="0" w:firstLineChars="0"/>
                    <w:jc w:val="center"/>
                    <w:textAlignment w:val="baseline"/>
                    <w:rPr>
                      <w:rFonts w:ascii="Times New Roman" w:hAnsi="宋体" w:eastAsia="宋体" w:cs="Times New Roman"/>
                      <w:b/>
                      <w:color w:val="auto"/>
                      <w:spacing w:val="-10"/>
                      <w:kern w:val="0"/>
                      <w:sz w:val="21"/>
                      <w:szCs w:val="21"/>
                      <w:lang w:val="en-US" w:eastAsia="zh-CN" w:bidi="ar-SA"/>
                    </w:rPr>
                  </w:pPr>
                  <w:r>
                    <w:rPr>
                      <w:rFonts w:ascii="Times New Roman" w:hAnsi="宋体" w:eastAsia="宋体" w:cs="Times New Roman"/>
                      <w:b/>
                      <w:color w:val="auto"/>
                      <w:spacing w:val="-10"/>
                      <w:kern w:val="0"/>
                      <w:sz w:val="21"/>
                      <w:szCs w:val="21"/>
                      <w:lang w:val="en-US" w:eastAsia="zh-CN" w:bidi="ar-SA"/>
                    </w:rPr>
                    <w:t>主要成分</w:t>
                  </w:r>
                </w:p>
              </w:tc>
              <w:tc>
                <w:tcPr>
                  <w:tcW w:w="309" w:type="pct"/>
                  <w:tcBorders>
                    <w:tl2br w:val="nil"/>
                    <w:tr2bl w:val="nil"/>
                  </w:tcBorders>
                  <w:vAlign w:val="center"/>
                </w:tcPr>
                <w:p w14:paraId="1E0EB67B">
                  <w:pPr>
                    <w:keepNext w:val="0"/>
                    <w:keepLines w:val="0"/>
                    <w:pageBreakBefore w:val="0"/>
                    <w:widowControl w:val="0"/>
                    <w:kinsoku/>
                    <w:wordWrap/>
                    <w:overflowPunct/>
                    <w:topLinePunct w:val="0"/>
                    <w:autoSpaceDE/>
                    <w:autoSpaceDN/>
                    <w:bidi w:val="0"/>
                    <w:adjustRightInd/>
                    <w:snapToGrid w:val="0"/>
                    <w:spacing w:before="0" w:beforeLines="0" w:beforeAutospacing="0" w:after="0" w:afterLines="0" w:afterAutospacing="0" w:line="240" w:lineRule="auto"/>
                    <w:ind w:left="0" w:right="0" w:firstLine="0"/>
                    <w:jc w:val="center"/>
                    <w:rPr>
                      <w:rFonts w:hint="default" w:ascii="Times New Roman" w:hAnsi="Times New Roman" w:eastAsia="宋体" w:cs="Times New Roman"/>
                      <w:b/>
                      <w:color w:val="auto"/>
                      <w:kern w:val="0"/>
                      <w:sz w:val="21"/>
                      <w:szCs w:val="21"/>
                      <w:lang w:val="en-US" w:eastAsia="zh-CN" w:bidi="ar-SA"/>
                    </w:rPr>
                  </w:pPr>
                  <w:r>
                    <w:rPr>
                      <w:rFonts w:hint="default" w:ascii="Times New Roman" w:hAnsi="Times New Roman" w:eastAsia="宋体" w:cs="Times New Roman"/>
                      <w:b/>
                      <w:color w:val="auto"/>
                      <w:kern w:val="0"/>
                      <w:sz w:val="21"/>
                      <w:szCs w:val="21"/>
                      <w:lang w:val="en-US" w:eastAsia="zh-CN" w:bidi="ar"/>
                    </w:rPr>
                    <w:t>危险</w:t>
                  </w:r>
                </w:p>
                <w:p w14:paraId="256D0DAF">
                  <w:pPr>
                    <w:widowControl/>
                    <w:adjustRightInd w:val="0"/>
                    <w:snapToGrid w:val="0"/>
                    <w:spacing w:before="0" w:beforeLines="0" w:after="0" w:afterLines="0" w:line="240" w:lineRule="auto"/>
                    <w:ind w:firstLine="0" w:firstLineChars="0"/>
                    <w:jc w:val="center"/>
                    <w:textAlignment w:val="baseline"/>
                    <w:rPr>
                      <w:rFonts w:ascii="Times New Roman" w:hAnsi="宋体" w:eastAsia="宋体" w:cs="Times New Roman"/>
                      <w:b/>
                      <w:color w:val="auto"/>
                      <w:spacing w:val="-10"/>
                      <w:kern w:val="0"/>
                      <w:sz w:val="21"/>
                      <w:szCs w:val="21"/>
                      <w:lang w:val="en-US" w:eastAsia="zh-CN" w:bidi="ar-SA"/>
                    </w:rPr>
                  </w:pPr>
                  <w:r>
                    <w:rPr>
                      <w:rFonts w:hint="default" w:ascii="Times New Roman" w:hAnsi="Times New Roman" w:eastAsia="宋体" w:cs="Times New Roman"/>
                      <w:b/>
                      <w:color w:val="auto"/>
                      <w:kern w:val="0"/>
                      <w:sz w:val="21"/>
                      <w:szCs w:val="21"/>
                      <w:lang w:val="en-US" w:eastAsia="zh-CN" w:bidi="ar"/>
                    </w:rPr>
                    <w:t>特性</w:t>
                  </w:r>
                </w:p>
              </w:tc>
              <w:tc>
                <w:tcPr>
                  <w:tcW w:w="746" w:type="pct"/>
                  <w:tcBorders>
                    <w:tl2br w:val="nil"/>
                    <w:tr2bl w:val="nil"/>
                  </w:tcBorders>
                  <w:vAlign w:val="center"/>
                </w:tcPr>
                <w:p w14:paraId="6B33D074">
                  <w:pPr>
                    <w:widowControl/>
                    <w:adjustRightInd w:val="0"/>
                    <w:snapToGrid w:val="0"/>
                    <w:spacing w:before="0" w:beforeLines="0" w:after="0" w:afterLines="0" w:line="240" w:lineRule="auto"/>
                    <w:ind w:firstLine="0" w:firstLineChars="0"/>
                    <w:jc w:val="center"/>
                    <w:textAlignment w:val="baseline"/>
                    <w:rPr>
                      <w:rFonts w:ascii="Times New Roman" w:hAnsi="宋体" w:eastAsia="宋体" w:cs="Times New Roman"/>
                      <w:b/>
                      <w:color w:val="auto"/>
                      <w:spacing w:val="-10"/>
                      <w:kern w:val="0"/>
                      <w:sz w:val="21"/>
                      <w:szCs w:val="21"/>
                      <w:lang w:val="en-US" w:eastAsia="zh-CN" w:bidi="ar-SA"/>
                    </w:rPr>
                  </w:pPr>
                  <w:r>
                    <w:rPr>
                      <w:rFonts w:ascii="Times New Roman" w:hAnsi="宋体" w:eastAsia="宋体" w:cs="Times New Roman"/>
                      <w:b/>
                      <w:color w:val="auto"/>
                      <w:spacing w:val="-10"/>
                      <w:kern w:val="0"/>
                      <w:sz w:val="21"/>
                      <w:szCs w:val="21"/>
                      <w:lang w:val="en-US" w:eastAsia="zh-CN" w:bidi="ar-SA"/>
                    </w:rPr>
                    <w:t>废物</w:t>
                  </w:r>
                </w:p>
                <w:p w14:paraId="0ED61E70">
                  <w:pPr>
                    <w:widowControl/>
                    <w:adjustRightInd w:val="0"/>
                    <w:snapToGrid w:val="0"/>
                    <w:spacing w:before="0" w:beforeLines="0" w:after="0" w:afterLines="0" w:line="240" w:lineRule="auto"/>
                    <w:ind w:firstLine="0" w:firstLineChars="0"/>
                    <w:jc w:val="center"/>
                    <w:textAlignment w:val="baseline"/>
                    <w:rPr>
                      <w:rFonts w:ascii="Times New Roman" w:hAnsi="宋体" w:eastAsia="宋体" w:cs="Times New Roman"/>
                      <w:b/>
                      <w:color w:val="auto"/>
                      <w:spacing w:val="-10"/>
                      <w:kern w:val="0"/>
                      <w:sz w:val="21"/>
                      <w:szCs w:val="21"/>
                      <w:lang w:val="en-US" w:eastAsia="zh-CN" w:bidi="ar-SA"/>
                    </w:rPr>
                  </w:pPr>
                  <w:r>
                    <w:rPr>
                      <w:rFonts w:ascii="Times New Roman" w:hAnsi="宋体" w:eastAsia="宋体" w:cs="Times New Roman"/>
                      <w:b/>
                      <w:color w:val="auto"/>
                      <w:spacing w:val="-10"/>
                      <w:kern w:val="0"/>
                      <w:sz w:val="21"/>
                      <w:szCs w:val="21"/>
                      <w:lang w:val="en-US" w:eastAsia="zh-CN" w:bidi="ar-SA"/>
                    </w:rPr>
                    <w:t>类别</w:t>
                  </w:r>
                </w:p>
              </w:tc>
              <w:tc>
                <w:tcPr>
                  <w:tcW w:w="748" w:type="pct"/>
                  <w:tcBorders>
                    <w:tl2br w:val="nil"/>
                    <w:tr2bl w:val="nil"/>
                  </w:tcBorders>
                  <w:vAlign w:val="center"/>
                </w:tcPr>
                <w:p w14:paraId="01B597AC">
                  <w:pPr>
                    <w:widowControl/>
                    <w:adjustRightInd w:val="0"/>
                    <w:snapToGrid w:val="0"/>
                    <w:spacing w:before="0" w:beforeLines="0" w:after="0" w:afterLines="0" w:line="240" w:lineRule="auto"/>
                    <w:ind w:firstLine="0" w:firstLineChars="0"/>
                    <w:jc w:val="center"/>
                    <w:textAlignment w:val="baseline"/>
                    <w:rPr>
                      <w:rFonts w:ascii="Times New Roman" w:hAnsi="宋体" w:eastAsia="宋体" w:cs="Times New Roman"/>
                      <w:b/>
                      <w:color w:val="auto"/>
                      <w:spacing w:val="-10"/>
                      <w:kern w:val="0"/>
                      <w:sz w:val="21"/>
                      <w:szCs w:val="21"/>
                      <w:lang w:val="en-US" w:eastAsia="zh-CN" w:bidi="ar-SA"/>
                    </w:rPr>
                  </w:pPr>
                  <w:r>
                    <w:rPr>
                      <w:rFonts w:ascii="Times New Roman" w:hAnsi="宋体" w:eastAsia="宋体" w:cs="Times New Roman"/>
                      <w:b/>
                      <w:color w:val="auto"/>
                      <w:spacing w:val="-10"/>
                      <w:kern w:val="0"/>
                      <w:sz w:val="21"/>
                      <w:szCs w:val="21"/>
                      <w:lang w:val="en-US" w:eastAsia="zh-CN" w:bidi="ar-SA"/>
                    </w:rPr>
                    <w:t>废物</w:t>
                  </w:r>
                </w:p>
                <w:p w14:paraId="44FB34CF">
                  <w:pPr>
                    <w:widowControl/>
                    <w:adjustRightInd w:val="0"/>
                    <w:snapToGrid w:val="0"/>
                    <w:spacing w:before="0" w:beforeLines="0" w:after="0" w:afterLines="0" w:line="240" w:lineRule="auto"/>
                    <w:ind w:firstLine="0" w:firstLineChars="0"/>
                    <w:jc w:val="center"/>
                    <w:textAlignment w:val="baseline"/>
                    <w:rPr>
                      <w:rFonts w:ascii="Times New Roman" w:hAnsi="宋体" w:eastAsia="宋体" w:cs="Times New Roman"/>
                      <w:b/>
                      <w:color w:val="auto"/>
                      <w:spacing w:val="-10"/>
                      <w:kern w:val="0"/>
                      <w:sz w:val="21"/>
                      <w:szCs w:val="21"/>
                      <w:lang w:val="en-US" w:eastAsia="zh-CN" w:bidi="ar-SA"/>
                    </w:rPr>
                  </w:pPr>
                  <w:r>
                    <w:rPr>
                      <w:rFonts w:ascii="Times New Roman" w:hAnsi="宋体" w:eastAsia="宋体" w:cs="Times New Roman"/>
                      <w:b/>
                      <w:color w:val="auto"/>
                      <w:spacing w:val="-10"/>
                      <w:kern w:val="0"/>
                      <w:sz w:val="21"/>
                      <w:szCs w:val="21"/>
                      <w:lang w:val="en-US" w:eastAsia="zh-CN" w:bidi="ar-SA"/>
                    </w:rPr>
                    <w:t>代码</w:t>
                  </w:r>
                </w:p>
              </w:tc>
              <w:tc>
                <w:tcPr>
                  <w:tcW w:w="456" w:type="pct"/>
                  <w:tcBorders>
                    <w:tl2br w:val="nil"/>
                    <w:tr2bl w:val="nil"/>
                  </w:tcBorders>
                  <w:vAlign w:val="center"/>
                </w:tcPr>
                <w:p w14:paraId="2FF60A6C">
                  <w:pPr>
                    <w:widowControl/>
                    <w:adjustRightInd w:val="0"/>
                    <w:snapToGrid w:val="0"/>
                    <w:spacing w:before="0" w:beforeLines="0" w:after="0" w:afterLines="0" w:line="240" w:lineRule="auto"/>
                    <w:ind w:firstLine="0" w:firstLineChars="0"/>
                    <w:jc w:val="center"/>
                    <w:textAlignment w:val="baseline"/>
                    <w:rPr>
                      <w:rFonts w:ascii="Times New Roman" w:hAnsi="宋体" w:eastAsia="宋体" w:cs="Times New Roman"/>
                      <w:b/>
                      <w:color w:val="auto"/>
                      <w:spacing w:val="-10"/>
                      <w:kern w:val="0"/>
                      <w:sz w:val="21"/>
                      <w:szCs w:val="21"/>
                      <w:lang w:val="en-US" w:eastAsia="zh-CN" w:bidi="ar-SA"/>
                    </w:rPr>
                  </w:pPr>
                  <w:r>
                    <w:rPr>
                      <w:rFonts w:ascii="Times New Roman" w:hAnsi="宋体" w:eastAsia="宋体" w:cs="Times New Roman"/>
                      <w:b/>
                      <w:color w:val="auto"/>
                      <w:spacing w:val="-10"/>
                      <w:kern w:val="0"/>
                      <w:sz w:val="21"/>
                      <w:szCs w:val="21"/>
                      <w:lang w:val="en-US" w:eastAsia="zh-CN" w:bidi="ar-SA"/>
                    </w:rPr>
                    <w:t>产生量（t/a）</w:t>
                  </w:r>
                </w:p>
              </w:tc>
              <w:tc>
                <w:tcPr>
                  <w:tcW w:w="298" w:type="pct"/>
                  <w:tcBorders>
                    <w:tl2br w:val="nil"/>
                    <w:tr2bl w:val="nil"/>
                  </w:tcBorders>
                  <w:vAlign w:val="center"/>
                </w:tcPr>
                <w:p w14:paraId="1AD8E07E">
                  <w:pPr>
                    <w:widowControl/>
                    <w:adjustRightInd w:val="0"/>
                    <w:snapToGrid w:val="0"/>
                    <w:spacing w:before="0" w:beforeLines="0" w:after="0" w:afterLines="0" w:line="240" w:lineRule="auto"/>
                    <w:ind w:firstLine="0" w:firstLineChars="0"/>
                    <w:jc w:val="center"/>
                    <w:textAlignment w:val="baseline"/>
                    <w:rPr>
                      <w:rFonts w:ascii="Times New Roman" w:hAnsi="宋体" w:eastAsia="宋体" w:cs="Times New Roman"/>
                      <w:b/>
                      <w:color w:val="auto"/>
                      <w:spacing w:val="-10"/>
                      <w:kern w:val="0"/>
                      <w:sz w:val="21"/>
                      <w:szCs w:val="21"/>
                      <w:lang w:val="en-US" w:eastAsia="zh-CN" w:bidi="ar-SA"/>
                    </w:rPr>
                  </w:pPr>
                  <w:r>
                    <w:rPr>
                      <w:rFonts w:ascii="Times New Roman" w:hAnsi="宋体" w:eastAsia="宋体" w:cs="Times New Roman"/>
                      <w:b/>
                      <w:color w:val="auto"/>
                      <w:spacing w:val="-10"/>
                      <w:kern w:val="0"/>
                      <w:sz w:val="21"/>
                      <w:szCs w:val="21"/>
                      <w:lang w:val="en-US" w:eastAsia="zh-CN" w:bidi="ar-SA"/>
                    </w:rPr>
                    <w:t>处置方式</w:t>
                  </w:r>
                </w:p>
              </w:tc>
            </w:tr>
            <w:tr w14:paraId="3506DEB4">
              <w:tblPrEx>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CellMar>
                  <w:top w:w="0" w:type="dxa"/>
                  <w:left w:w="28" w:type="dxa"/>
                  <w:bottom w:w="0" w:type="dxa"/>
                  <w:right w:w="28" w:type="dxa"/>
                </w:tblCellMar>
              </w:tblPrEx>
              <w:trPr>
                <w:trHeight w:val="23" w:hRule="atLeast"/>
                <w:jc w:val="center"/>
              </w:trPr>
              <w:tc>
                <w:tcPr>
                  <w:tcW w:w="233" w:type="pct"/>
                  <w:tcBorders>
                    <w:tl2br w:val="nil"/>
                    <w:tr2bl w:val="nil"/>
                  </w:tcBorders>
                  <w:vAlign w:val="center"/>
                </w:tcPr>
                <w:p w14:paraId="160367DF">
                  <w:pPr>
                    <w:numPr>
                      <w:ilvl w:val="0"/>
                      <w:numId w:val="15"/>
                    </w:numPr>
                    <w:snapToGrid w:val="0"/>
                    <w:ind w:left="0" w:leftChars="0" w:firstLine="0" w:firstLineChars="0"/>
                    <w:jc w:val="center"/>
                    <w:textAlignment w:val="baseline"/>
                    <w:rPr>
                      <w:rFonts w:hint="default" w:ascii="Times New Roman" w:hAnsi="Times New Roman" w:cs="Times New Roman"/>
                      <w:color w:val="auto"/>
                      <w:sz w:val="21"/>
                      <w:szCs w:val="21"/>
                      <w:lang w:bidi="ar-SA"/>
                    </w:rPr>
                  </w:pPr>
                </w:p>
              </w:tc>
              <w:tc>
                <w:tcPr>
                  <w:tcW w:w="451" w:type="pct"/>
                  <w:tcBorders>
                    <w:tl2br w:val="nil"/>
                    <w:tr2bl w:val="nil"/>
                  </w:tcBorders>
                  <w:vAlign w:val="center"/>
                </w:tcPr>
                <w:p w14:paraId="45502C80">
                  <w:pPr>
                    <w:widowControl w:val="0"/>
                    <w:snapToGrid w:val="0"/>
                    <w:spacing w:before="0" w:beforeAutospacing="0" w:after="0" w:afterAutospacing="0"/>
                    <w:jc w:val="center"/>
                    <w:rPr>
                      <w:rFonts w:ascii="Times New Roman" w:hAnsi="Times New Roman" w:eastAsia="宋体" w:cs="Times New Roman"/>
                      <w:bCs/>
                      <w:color w:val="auto"/>
                      <w:kern w:val="2"/>
                      <w:sz w:val="21"/>
                      <w:szCs w:val="21"/>
                      <w:lang w:val="en-US" w:eastAsia="zh-CN" w:bidi="ar-SA"/>
                    </w:rPr>
                  </w:pPr>
                  <w:r>
                    <w:rPr>
                      <w:rFonts w:ascii="Times New Roman" w:hAnsi="Times New Roman" w:eastAsia="宋体" w:cs="Times New Roman"/>
                      <w:bCs/>
                      <w:color w:val="auto"/>
                      <w:kern w:val="0"/>
                      <w:sz w:val="21"/>
                      <w:szCs w:val="21"/>
                      <w:lang w:val="en-US" w:eastAsia="zh-CN" w:bidi="ar-SA"/>
                    </w:rPr>
                    <w:t>生活垃圾</w:t>
                  </w:r>
                </w:p>
              </w:tc>
              <w:tc>
                <w:tcPr>
                  <w:tcW w:w="205" w:type="pct"/>
                  <w:vMerge w:val="restart"/>
                  <w:tcBorders>
                    <w:tl2br w:val="nil"/>
                    <w:tr2bl w:val="nil"/>
                  </w:tcBorders>
                  <w:vAlign w:val="center"/>
                </w:tcPr>
                <w:p w14:paraId="1E6F8966">
                  <w:pPr>
                    <w:snapToGrid w:val="0"/>
                    <w:jc w:val="center"/>
                    <w:textAlignment w:val="baseline"/>
                    <w:rPr>
                      <w:rFonts w:hint="default" w:ascii="Times New Roman" w:hAnsi="Times New Roman" w:cs="Times New Roman"/>
                      <w:color w:val="auto"/>
                      <w:sz w:val="21"/>
                      <w:szCs w:val="21"/>
                      <w:lang w:bidi="ar-SA"/>
                    </w:rPr>
                  </w:pPr>
                  <w:r>
                    <w:rPr>
                      <w:rFonts w:hint="default" w:ascii="Times New Roman" w:hAnsi="Times New Roman" w:cs="Times New Roman"/>
                      <w:color w:val="auto"/>
                      <w:sz w:val="21"/>
                      <w:szCs w:val="21"/>
                      <w:lang w:bidi="ar-SA"/>
                    </w:rPr>
                    <w:t>一般固废</w:t>
                  </w:r>
                </w:p>
              </w:tc>
              <w:tc>
                <w:tcPr>
                  <w:tcW w:w="716" w:type="pct"/>
                  <w:tcBorders>
                    <w:tl2br w:val="nil"/>
                    <w:tr2bl w:val="nil"/>
                  </w:tcBorders>
                  <w:vAlign w:val="center"/>
                </w:tcPr>
                <w:p w14:paraId="499E8A1E">
                  <w:pPr>
                    <w:widowControl w:val="0"/>
                    <w:snapToGrid w:val="0"/>
                    <w:spacing w:before="0" w:beforeAutospacing="0" w:after="0" w:afterAutospacing="0"/>
                    <w:jc w:val="center"/>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bCs/>
                      <w:color w:val="auto"/>
                      <w:kern w:val="0"/>
                      <w:sz w:val="21"/>
                      <w:szCs w:val="21"/>
                      <w:lang w:val="en-US" w:eastAsia="zh-CN" w:bidi="ar-SA"/>
                    </w:rPr>
                    <w:t>员工生活</w:t>
                  </w:r>
                </w:p>
              </w:tc>
              <w:tc>
                <w:tcPr>
                  <w:tcW w:w="360" w:type="pct"/>
                  <w:tcBorders>
                    <w:tl2br w:val="nil"/>
                    <w:tr2bl w:val="nil"/>
                  </w:tcBorders>
                  <w:vAlign w:val="center"/>
                </w:tcPr>
                <w:p w14:paraId="755AAD0E">
                  <w:pPr>
                    <w:widowControl/>
                    <w:adjustRightInd w:val="0"/>
                    <w:snapToGrid w:val="0"/>
                    <w:jc w:val="center"/>
                    <w:rPr>
                      <w:rFonts w:hint="default" w:ascii="Times New Roman" w:hAnsi="Times New Roman" w:cs="Times New Roman"/>
                      <w:color w:val="auto"/>
                      <w:sz w:val="21"/>
                      <w:szCs w:val="21"/>
                      <w:lang w:bidi="ar-SA"/>
                    </w:rPr>
                  </w:pPr>
                  <w:r>
                    <w:rPr>
                      <w:rFonts w:hint="default" w:ascii="Times New Roman" w:hAnsi="Times New Roman" w:cs="Times New Roman"/>
                      <w:color w:val="auto"/>
                      <w:kern w:val="0"/>
                      <w:sz w:val="21"/>
                      <w:szCs w:val="21"/>
                      <w:lang w:bidi="ar-SA"/>
                    </w:rPr>
                    <w:t>固态</w:t>
                  </w:r>
                </w:p>
              </w:tc>
              <w:tc>
                <w:tcPr>
                  <w:tcW w:w="473" w:type="pct"/>
                  <w:tcBorders>
                    <w:tl2br w:val="nil"/>
                    <w:tr2bl w:val="nil"/>
                  </w:tcBorders>
                  <w:vAlign w:val="center"/>
                </w:tcPr>
                <w:p w14:paraId="28B356DB">
                  <w:pPr>
                    <w:widowControl w:val="0"/>
                    <w:snapToGrid w:val="0"/>
                    <w:spacing w:before="0" w:beforeAutospacing="0" w:after="0" w:afterAutospacing="0"/>
                    <w:jc w:val="center"/>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bCs/>
                      <w:color w:val="auto"/>
                      <w:kern w:val="0"/>
                      <w:sz w:val="21"/>
                      <w:szCs w:val="21"/>
                      <w:lang w:val="en-US" w:eastAsia="zh-CN" w:bidi="ar-SA"/>
                    </w:rPr>
                    <w:t>纸张、塑料等</w:t>
                  </w:r>
                </w:p>
              </w:tc>
              <w:tc>
                <w:tcPr>
                  <w:tcW w:w="309" w:type="pct"/>
                  <w:tcBorders>
                    <w:tl2br w:val="nil"/>
                    <w:tr2bl w:val="nil"/>
                  </w:tcBorders>
                  <w:vAlign w:val="center"/>
                </w:tcPr>
                <w:p w14:paraId="4CD2A0BA">
                  <w:pPr>
                    <w:widowControl w:val="0"/>
                    <w:snapToGrid w:val="0"/>
                    <w:spacing w:before="0" w:beforeAutospacing="0" w:after="0" w:afterAutospacing="0"/>
                    <w:jc w:val="center"/>
                    <w:rPr>
                      <w:rFonts w:hint="default" w:ascii="Times New Roman" w:hAnsi="Times New Roman" w:eastAsia="宋体" w:cs="Times New Roman"/>
                      <w:bCs/>
                      <w:color w:val="auto"/>
                      <w:kern w:val="0"/>
                      <w:sz w:val="21"/>
                      <w:szCs w:val="21"/>
                      <w:lang w:val="en-US" w:eastAsia="zh-CN" w:bidi="ar-SA"/>
                    </w:rPr>
                  </w:pPr>
                  <w:r>
                    <w:rPr>
                      <w:rFonts w:hint="eastAsia" w:ascii="Times New Roman" w:hAnsi="Times New Roman" w:eastAsia="宋体" w:cs="Times New Roman"/>
                      <w:bCs/>
                      <w:color w:val="auto"/>
                      <w:kern w:val="0"/>
                      <w:sz w:val="21"/>
                      <w:szCs w:val="21"/>
                      <w:lang w:val="en-US" w:eastAsia="zh-CN" w:bidi="ar-SA"/>
                    </w:rPr>
                    <w:t>/</w:t>
                  </w:r>
                </w:p>
              </w:tc>
              <w:tc>
                <w:tcPr>
                  <w:tcW w:w="746" w:type="pct"/>
                  <w:tcBorders>
                    <w:tl2br w:val="nil"/>
                    <w:tr2bl w:val="nil"/>
                  </w:tcBorders>
                  <w:vAlign w:val="center"/>
                </w:tcPr>
                <w:p w14:paraId="1F06EFCE">
                  <w:pPr>
                    <w:widowControl w:val="0"/>
                    <w:snapToGrid w:val="0"/>
                    <w:spacing w:before="0" w:beforeAutospacing="0" w:after="0" w:afterAutospacing="0"/>
                    <w:jc w:val="center"/>
                    <w:rPr>
                      <w:rFonts w:ascii="Times New Roman" w:hAnsi="Times New Roman" w:eastAsia="宋体" w:cs="Times New Roman"/>
                      <w:bCs/>
                      <w:color w:val="auto"/>
                      <w:kern w:val="0"/>
                      <w:sz w:val="21"/>
                      <w:szCs w:val="21"/>
                      <w:lang w:val="en-US" w:eastAsia="zh-CN" w:bidi="ar-SA"/>
                    </w:rPr>
                  </w:pPr>
                  <w:r>
                    <w:rPr>
                      <w:rFonts w:hint="eastAsia" w:ascii="Times New Roman" w:hAnsi="Times New Roman" w:eastAsia="宋体" w:cs="Times New Roman"/>
                      <w:bCs/>
                      <w:color w:val="auto"/>
                      <w:kern w:val="0"/>
                      <w:sz w:val="21"/>
                      <w:szCs w:val="21"/>
                      <w:lang w:val="en-US" w:eastAsia="zh-CN" w:bidi="ar-SA"/>
                    </w:rPr>
                    <w:t>SW62</w:t>
                  </w:r>
                </w:p>
                <w:p w14:paraId="29C93D7C">
                  <w:pPr>
                    <w:widowControl w:val="0"/>
                    <w:snapToGrid w:val="0"/>
                    <w:spacing w:before="0" w:beforeAutospacing="0" w:after="0" w:afterAutospacing="0"/>
                    <w:jc w:val="center"/>
                    <w:rPr>
                      <w:rFonts w:ascii="Times New Roman" w:hAnsi="Times New Roman" w:eastAsia="宋体" w:cs="Times New Roman"/>
                      <w:bCs/>
                      <w:color w:val="auto"/>
                      <w:kern w:val="0"/>
                      <w:sz w:val="21"/>
                      <w:szCs w:val="21"/>
                      <w:lang w:val="en-US" w:eastAsia="zh-CN" w:bidi="ar-SA"/>
                    </w:rPr>
                  </w:pPr>
                  <w:r>
                    <w:rPr>
                      <w:rFonts w:hint="eastAsia" w:ascii="Times New Roman" w:hAnsi="Times New Roman" w:eastAsia="宋体" w:cs="Times New Roman"/>
                      <w:bCs/>
                      <w:color w:val="auto"/>
                      <w:kern w:val="0"/>
                      <w:sz w:val="21"/>
                      <w:szCs w:val="21"/>
                      <w:lang w:val="en-US" w:eastAsia="zh-CN" w:bidi="ar-SA"/>
                    </w:rPr>
                    <w:t>可回收物</w:t>
                  </w:r>
                </w:p>
                <w:p w14:paraId="4A7B7D2C">
                  <w:pPr>
                    <w:widowControl w:val="0"/>
                    <w:snapToGrid w:val="0"/>
                    <w:spacing w:before="0" w:beforeAutospacing="0" w:after="0" w:afterAutospacing="0"/>
                    <w:jc w:val="center"/>
                    <w:rPr>
                      <w:rFonts w:ascii="Times New Roman" w:hAnsi="Times New Roman" w:eastAsia="宋体" w:cs="Times New Roman"/>
                      <w:bCs/>
                      <w:color w:val="auto"/>
                      <w:kern w:val="0"/>
                      <w:sz w:val="21"/>
                      <w:szCs w:val="21"/>
                      <w:lang w:val="en-US" w:eastAsia="zh-CN" w:bidi="ar-SA"/>
                    </w:rPr>
                  </w:pPr>
                  <w:r>
                    <w:rPr>
                      <w:rFonts w:hint="eastAsia" w:ascii="Times New Roman" w:hAnsi="Times New Roman" w:eastAsia="宋体" w:cs="Times New Roman"/>
                      <w:bCs/>
                      <w:color w:val="auto"/>
                      <w:kern w:val="0"/>
                      <w:sz w:val="21"/>
                      <w:szCs w:val="21"/>
                      <w:lang w:val="en-US" w:eastAsia="zh-CN" w:bidi="ar-SA"/>
                    </w:rPr>
                    <w:t>SW64</w:t>
                  </w:r>
                </w:p>
                <w:p w14:paraId="25A2817F">
                  <w:pPr>
                    <w:widowControl w:val="0"/>
                    <w:snapToGrid w:val="0"/>
                    <w:spacing w:before="0" w:beforeAutospacing="0" w:after="0" w:afterAutospacing="0"/>
                    <w:jc w:val="center"/>
                    <w:rPr>
                      <w:rFonts w:ascii="Times New Roman" w:hAnsi="Times New Roman" w:eastAsia="宋体" w:cs="Times New Roman"/>
                      <w:bCs/>
                      <w:color w:val="auto"/>
                      <w:kern w:val="0"/>
                      <w:sz w:val="21"/>
                      <w:szCs w:val="21"/>
                      <w:lang w:val="en-US" w:eastAsia="zh-CN" w:bidi="ar-SA"/>
                    </w:rPr>
                  </w:pPr>
                  <w:r>
                    <w:rPr>
                      <w:rFonts w:hint="eastAsia" w:ascii="Times New Roman" w:hAnsi="Times New Roman" w:eastAsia="宋体" w:cs="Times New Roman"/>
                      <w:bCs/>
                      <w:color w:val="auto"/>
                      <w:kern w:val="0"/>
                      <w:sz w:val="21"/>
                      <w:szCs w:val="21"/>
                      <w:lang w:val="en-US" w:eastAsia="zh-CN" w:bidi="ar-SA"/>
                    </w:rPr>
                    <w:t>其他垃圾</w:t>
                  </w:r>
                </w:p>
              </w:tc>
              <w:tc>
                <w:tcPr>
                  <w:tcW w:w="748" w:type="pct"/>
                  <w:tcBorders>
                    <w:tl2br w:val="nil"/>
                    <w:tr2bl w:val="nil"/>
                  </w:tcBorders>
                  <w:vAlign w:val="center"/>
                </w:tcPr>
                <w:p w14:paraId="42350492">
                  <w:pPr>
                    <w:widowControl w:val="0"/>
                    <w:snapToGrid w:val="0"/>
                    <w:spacing w:before="0" w:beforeAutospacing="0" w:after="0" w:afterAutospacing="0"/>
                    <w:jc w:val="center"/>
                    <w:rPr>
                      <w:rFonts w:ascii="Times New Roman" w:hAnsi="Times New Roman" w:eastAsia="宋体" w:cs="Times New Roman"/>
                      <w:bCs/>
                      <w:color w:val="auto"/>
                      <w:kern w:val="0"/>
                      <w:sz w:val="21"/>
                      <w:szCs w:val="21"/>
                      <w:lang w:val="en-US" w:eastAsia="zh-CN" w:bidi="ar-SA"/>
                    </w:rPr>
                  </w:pPr>
                  <w:r>
                    <w:rPr>
                      <w:rFonts w:hint="eastAsia" w:ascii="Times New Roman" w:hAnsi="Times New Roman" w:eastAsia="宋体" w:cs="Times New Roman"/>
                      <w:bCs/>
                      <w:color w:val="auto"/>
                      <w:kern w:val="0"/>
                      <w:sz w:val="21"/>
                      <w:szCs w:val="21"/>
                      <w:lang w:val="en-US" w:eastAsia="zh-CN" w:bidi="ar-SA"/>
                    </w:rPr>
                    <w:t>900-001-S62</w:t>
                  </w:r>
                </w:p>
                <w:p w14:paraId="3A9ADF8F">
                  <w:pPr>
                    <w:widowControl w:val="0"/>
                    <w:snapToGrid w:val="0"/>
                    <w:spacing w:before="0" w:beforeAutospacing="0" w:after="0" w:afterAutospacing="0"/>
                    <w:jc w:val="center"/>
                    <w:rPr>
                      <w:rFonts w:ascii="Times New Roman" w:hAnsi="Times New Roman" w:eastAsia="宋体" w:cs="Times New Roman"/>
                      <w:bCs/>
                      <w:color w:val="auto"/>
                      <w:kern w:val="0"/>
                      <w:sz w:val="21"/>
                      <w:szCs w:val="21"/>
                      <w:lang w:val="en-US" w:eastAsia="zh-CN" w:bidi="ar-SA"/>
                    </w:rPr>
                  </w:pPr>
                  <w:r>
                    <w:rPr>
                      <w:rFonts w:hint="eastAsia" w:ascii="Times New Roman" w:hAnsi="Times New Roman" w:eastAsia="宋体" w:cs="Times New Roman"/>
                      <w:bCs/>
                      <w:color w:val="auto"/>
                      <w:kern w:val="0"/>
                      <w:sz w:val="21"/>
                      <w:szCs w:val="21"/>
                      <w:lang w:val="en-US" w:eastAsia="zh-CN" w:bidi="ar-SA"/>
                    </w:rPr>
                    <w:t>900-002-S62</w:t>
                  </w:r>
                </w:p>
                <w:p w14:paraId="213682AB">
                  <w:pPr>
                    <w:widowControl w:val="0"/>
                    <w:snapToGrid w:val="0"/>
                    <w:spacing w:before="0" w:beforeAutospacing="0" w:after="0" w:afterAutospacing="0"/>
                    <w:jc w:val="center"/>
                    <w:rPr>
                      <w:rFonts w:ascii="Times New Roman" w:hAnsi="Times New Roman" w:eastAsia="宋体" w:cs="Times New Roman"/>
                      <w:bCs/>
                      <w:color w:val="auto"/>
                      <w:kern w:val="0"/>
                      <w:sz w:val="21"/>
                      <w:szCs w:val="21"/>
                      <w:lang w:val="en-US" w:eastAsia="zh-CN" w:bidi="ar-SA"/>
                    </w:rPr>
                  </w:pPr>
                  <w:r>
                    <w:rPr>
                      <w:rFonts w:hint="eastAsia" w:ascii="Times New Roman" w:hAnsi="Times New Roman" w:eastAsia="宋体" w:cs="Times New Roman"/>
                      <w:bCs/>
                      <w:color w:val="auto"/>
                      <w:kern w:val="0"/>
                      <w:sz w:val="21"/>
                      <w:szCs w:val="21"/>
                      <w:lang w:val="en-US" w:eastAsia="zh-CN" w:bidi="ar-SA"/>
                    </w:rPr>
                    <w:t>900-002-S64</w:t>
                  </w:r>
                </w:p>
              </w:tc>
              <w:tc>
                <w:tcPr>
                  <w:tcW w:w="456" w:type="pct"/>
                  <w:tcBorders>
                    <w:tl2br w:val="nil"/>
                    <w:tr2bl w:val="nil"/>
                  </w:tcBorders>
                  <w:shd w:val="clear" w:color="auto" w:fill="auto"/>
                  <w:vAlign w:val="center"/>
                </w:tcPr>
                <w:p w14:paraId="708ACE56">
                  <w:pPr>
                    <w:widowControl/>
                    <w:jc w:val="center"/>
                    <w:rPr>
                      <w:rFonts w:hint="default" w:ascii="Times New Roman" w:hAnsi="Times New Roman" w:eastAsia="宋体" w:cs="Times New Roman"/>
                      <w:bCs/>
                      <w:snapToGrid w:val="0"/>
                      <w:color w:val="auto"/>
                      <w:spacing w:val="6"/>
                      <w:kern w:val="2"/>
                      <w:sz w:val="21"/>
                      <w:szCs w:val="21"/>
                      <w:lang w:val="en-US" w:eastAsia="zh-CN" w:bidi="ar"/>
                    </w:rPr>
                  </w:pPr>
                  <w:r>
                    <w:rPr>
                      <w:rFonts w:hint="eastAsia" w:ascii="Times New Roman" w:hAnsi="Times New Roman" w:eastAsia="宋体" w:cs="Times New Roman"/>
                      <w:bCs/>
                      <w:snapToGrid w:val="0"/>
                      <w:color w:val="auto"/>
                      <w:spacing w:val="6"/>
                      <w:kern w:val="2"/>
                      <w:sz w:val="21"/>
                      <w:szCs w:val="21"/>
                      <w:lang w:val="en-US" w:eastAsia="zh-CN" w:bidi="ar"/>
                    </w:rPr>
                    <w:t>14.39</w:t>
                  </w:r>
                </w:p>
              </w:tc>
              <w:tc>
                <w:tcPr>
                  <w:tcW w:w="298" w:type="pct"/>
                  <w:tcBorders>
                    <w:tl2br w:val="nil"/>
                    <w:tr2bl w:val="nil"/>
                  </w:tcBorders>
                  <w:vAlign w:val="center"/>
                </w:tcPr>
                <w:p w14:paraId="5B9848AF">
                  <w:pPr>
                    <w:snapToGrid w:val="0"/>
                    <w:jc w:val="center"/>
                    <w:textAlignment w:val="baseline"/>
                    <w:rPr>
                      <w:rFonts w:hint="default" w:ascii="Times New Roman" w:hAnsi="Times New Roman" w:cs="Times New Roman"/>
                      <w:color w:val="auto"/>
                      <w:sz w:val="21"/>
                      <w:szCs w:val="21"/>
                      <w:lang w:bidi="ar-SA"/>
                    </w:rPr>
                  </w:pPr>
                  <w:r>
                    <w:rPr>
                      <w:rFonts w:hint="eastAsia" w:ascii="Times New Roman" w:hAnsi="Times New Roman" w:cs="Times New Roman"/>
                      <w:color w:val="auto"/>
                      <w:sz w:val="21"/>
                      <w:szCs w:val="21"/>
                      <w:lang w:bidi="ar-SA"/>
                    </w:rPr>
                    <w:t>环卫清运</w:t>
                  </w:r>
                </w:p>
              </w:tc>
            </w:tr>
            <w:tr w14:paraId="7C8ABCE8">
              <w:tblPrEx>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CellMar>
                  <w:top w:w="0" w:type="dxa"/>
                  <w:left w:w="28" w:type="dxa"/>
                  <w:bottom w:w="0" w:type="dxa"/>
                  <w:right w:w="28" w:type="dxa"/>
                </w:tblCellMar>
              </w:tblPrEx>
              <w:trPr>
                <w:trHeight w:val="23" w:hRule="atLeast"/>
                <w:jc w:val="center"/>
              </w:trPr>
              <w:tc>
                <w:tcPr>
                  <w:tcW w:w="233" w:type="pct"/>
                  <w:tcBorders>
                    <w:tl2br w:val="nil"/>
                    <w:tr2bl w:val="nil"/>
                  </w:tcBorders>
                  <w:vAlign w:val="center"/>
                </w:tcPr>
                <w:p w14:paraId="5BD12A30">
                  <w:pPr>
                    <w:numPr>
                      <w:ilvl w:val="0"/>
                      <w:numId w:val="15"/>
                    </w:numPr>
                    <w:snapToGrid w:val="0"/>
                    <w:ind w:left="0" w:leftChars="0" w:firstLine="0" w:firstLineChars="0"/>
                    <w:jc w:val="center"/>
                    <w:textAlignment w:val="baseline"/>
                    <w:rPr>
                      <w:rFonts w:hint="eastAsia" w:ascii="Times New Roman" w:hAnsi="Times New Roman" w:eastAsia="宋体" w:cs="Times New Roman"/>
                      <w:color w:val="auto"/>
                      <w:sz w:val="21"/>
                      <w:szCs w:val="21"/>
                      <w:lang w:val="en-US" w:eastAsia="zh-CN" w:bidi="ar-SA"/>
                    </w:rPr>
                  </w:pPr>
                </w:p>
              </w:tc>
              <w:tc>
                <w:tcPr>
                  <w:tcW w:w="451" w:type="pct"/>
                  <w:tcBorders>
                    <w:tl2br w:val="nil"/>
                    <w:tr2bl w:val="nil"/>
                  </w:tcBorders>
                  <w:shd w:val="clear" w:color="auto" w:fill="auto"/>
                  <w:vAlign w:val="center"/>
                </w:tcPr>
                <w:p w14:paraId="36FDC477">
                  <w:pPr>
                    <w:widowControl/>
                    <w:jc w:val="center"/>
                    <w:rPr>
                      <w:rFonts w:hint="default" w:ascii="Times New Roman" w:hAnsi="Times New Roman" w:eastAsia="宋体" w:cs="Times New Roman"/>
                      <w:bCs/>
                      <w:snapToGrid w:val="0"/>
                      <w:color w:val="auto"/>
                      <w:spacing w:val="6"/>
                      <w:kern w:val="2"/>
                      <w:sz w:val="21"/>
                      <w:szCs w:val="21"/>
                      <w:lang w:val="en-US" w:eastAsia="zh-CN" w:bidi="ar"/>
                    </w:rPr>
                  </w:pPr>
                  <w:r>
                    <w:rPr>
                      <w:rFonts w:hint="default" w:ascii="Times New Roman" w:hAnsi="Times New Roman" w:eastAsia="宋体" w:cs="Times New Roman"/>
                      <w:bCs/>
                      <w:snapToGrid w:val="0"/>
                      <w:color w:val="auto"/>
                      <w:spacing w:val="6"/>
                      <w:sz w:val="21"/>
                      <w:szCs w:val="21"/>
                      <w:lang w:eastAsia="zh-CN"/>
                    </w:rPr>
                    <w:t>边角料</w:t>
                  </w:r>
                </w:p>
              </w:tc>
              <w:tc>
                <w:tcPr>
                  <w:tcW w:w="205" w:type="pct"/>
                  <w:vMerge w:val="continue"/>
                  <w:tcBorders>
                    <w:tl2br w:val="nil"/>
                    <w:tr2bl w:val="nil"/>
                  </w:tcBorders>
                  <w:vAlign w:val="center"/>
                </w:tcPr>
                <w:p w14:paraId="6F215563">
                  <w:pPr>
                    <w:snapToGrid w:val="0"/>
                    <w:jc w:val="center"/>
                    <w:textAlignment w:val="baseline"/>
                    <w:rPr>
                      <w:rFonts w:hint="default" w:ascii="Times New Roman" w:hAnsi="Times New Roman" w:cs="Times New Roman"/>
                      <w:color w:val="auto"/>
                      <w:sz w:val="21"/>
                      <w:szCs w:val="21"/>
                      <w:lang w:bidi="ar-SA"/>
                    </w:rPr>
                  </w:pPr>
                </w:p>
              </w:tc>
              <w:tc>
                <w:tcPr>
                  <w:tcW w:w="716" w:type="pct"/>
                  <w:tcBorders>
                    <w:tl2br w:val="nil"/>
                    <w:tr2bl w:val="nil"/>
                  </w:tcBorders>
                  <w:shd w:val="clear" w:color="auto" w:fill="auto"/>
                  <w:vAlign w:val="center"/>
                </w:tcPr>
                <w:p w14:paraId="676E92E9">
                  <w:pPr>
                    <w:widowControl/>
                    <w:jc w:val="center"/>
                    <w:rPr>
                      <w:rFonts w:hint="default" w:ascii="Times New Roman" w:hAnsi="Times New Roman" w:eastAsia="宋体" w:cs="Times New Roman"/>
                      <w:bCs/>
                      <w:snapToGrid w:val="0"/>
                      <w:color w:val="auto"/>
                      <w:spacing w:val="6"/>
                      <w:kern w:val="2"/>
                      <w:sz w:val="21"/>
                      <w:szCs w:val="21"/>
                      <w:lang w:val="en-US" w:eastAsia="zh-CN" w:bidi="ar"/>
                    </w:rPr>
                  </w:pPr>
                  <w:r>
                    <w:rPr>
                      <w:rFonts w:hint="default" w:ascii="Times New Roman" w:hAnsi="Times New Roman" w:eastAsia="宋体" w:cs="Times New Roman"/>
                      <w:bCs/>
                      <w:snapToGrid w:val="0"/>
                      <w:color w:val="auto"/>
                      <w:spacing w:val="6"/>
                      <w:sz w:val="21"/>
                      <w:szCs w:val="21"/>
                      <w:lang w:val="en-US" w:eastAsia="zh-CN"/>
                    </w:rPr>
                    <w:t>精加工</w:t>
                  </w:r>
                  <w:r>
                    <w:rPr>
                      <w:rFonts w:hint="eastAsia" w:ascii="Times New Roman" w:hAnsi="Times New Roman" w:eastAsia="宋体" w:cs="Times New Roman"/>
                      <w:bCs/>
                      <w:snapToGrid w:val="0"/>
                      <w:color w:val="auto"/>
                      <w:spacing w:val="6"/>
                      <w:sz w:val="21"/>
                      <w:szCs w:val="21"/>
                      <w:lang w:val="en-US" w:eastAsia="zh-CN"/>
                    </w:rPr>
                    <w:t>、机械加工</w:t>
                  </w:r>
                </w:p>
              </w:tc>
              <w:tc>
                <w:tcPr>
                  <w:tcW w:w="360" w:type="pct"/>
                  <w:tcBorders>
                    <w:tl2br w:val="nil"/>
                    <w:tr2bl w:val="nil"/>
                  </w:tcBorders>
                  <w:shd w:val="clear" w:color="auto" w:fill="auto"/>
                  <w:vAlign w:val="center"/>
                </w:tcPr>
                <w:p w14:paraId="4DA192DE">
                  <w:pPr>
                    <w:widowControl/>
                    <w:jc w:val="center"/>
                    <w:rPr>
                      <w:rFonts w:hint="default" w:ascii="Times New Roman" w:hAnsi="Times New Roman" w:eastAsia="宋体" w:cs="Times New Roman"/>
                      <w:bCs/>
                      <w:snapToGrid w:val="0"/>
                      <w:color w:val="auto"/>
                      <w:spacing w:val="6"/>
                      <w:kern w:val="2"/>
                      <w:sz w:val="21"/>
                      <w:szCs w:val="21"/>
                      <w:lang w:val="en-US" w:eastAsia="zh-CN" w:bidi="ar"/>
                    </w:rPr>
                  </w:pPr>
                  <w:r>
                    <w:rPr>
                      <w:rFonts w:hint="default" w:ascii="Times New Roman" w:hAnsi="Times New Roman" w:eastAsia="宋体" w:cs="Times New Roman"/>
                      <w:bCs/>
                      <w:snapToGrid w:val="0"/>
                      <w:color w:val="auto"/>
                      <w:spacing w:val="6"/>
                      <w:sz w:val="21"/>
                      <w:szCs w:val="21"/>
                    </w:rPr>
                    <w:t>固态</w:t>
                  </w:r>
                </w:p>
              </w:tc>
              <w:tc>
                <w:tcPr>
                  <w:tcW w:w="473" w:type="pct"/>
                  <w:tcBorders>
                    <w:tl2br w:val="nil"/>
                    <w:tr2bl w:val="nil"/>
                  </w:tcBorders>
                  <w:shd w:val="clear" w:color="auto" w:fill="auto"/>
                  <w:vAlign w:val="center"/>
                </w:tcPr>
                <w:p w14:paraId="6CB57D4C">
                  <w:pPr>
                    <w:widowControl/>
                    <w:jc w:val="center"/>
                    <w:rPr>
                      <w:rFonts w:hint="default" w:ascii="Times New Roman" w:hAnsi="Times New Roman" w:eastAsia="宋体" w:cs="Times New Roman"/>
                      <w:bCs/>
                      <w:snapToGrid w:val="0"/>
                      <w:color w:val="auto"/>
                      <w:spacing w:val="6"/>
                      <w:kern w:val="2"/>
                      <w:sz w:val="21"/>
                      <w:szCs w:val="21"/>
                      <w:lang w:val="en-US" w:eastAsia="zh-CN" w:bidi="ar"/>
                    </w:rPr>
                  </w:pPr>
                  <w:r>
                    <w:rPr>
                      <w:rFonts w:hint="eastAsia" w:cs="Times New Roman"/>
                      <w:bCs/>
                      <w:snapToGrid w:val="0"/>
                      <w:color w:val="auto"/>
                      <w:spacing w:val="6"/>
                      <w:sz w:val="21"/>
                      <w:szCs w:val="21"/>
                      <w:lang w:val="en-US" w:eastAsia="zh-CN"/>
                    </w:rPr>
                    <w:t>钢</w:t>
                  </w:r>
                </w:p>
              </w:tc>
              <w:tc>
                <w:tcPr>
                  <w:tcW w:w="309" w:type="pct"/>
                  <w:tcBorders>
                    <w:tl2br w:val="nil"/>
                    <w:tr2bl w:val="nil"/>
                  </w:tcBorders>
                  <w:shd w:val="clear" w:color="auto" w:fill="auto"/>
                  <w:vAlign w:val="center"/>
                </w:tcPr>
                <w:p w14:paraId="57AE7D2A">
                  <w:pPr>
                    <w:widowControl/>
                    <w:jc w:val="center"/>
                    <w:rPr>
                      <w:rFonts w:hint="eastAsia" w:cs="Times New Roman"/>
                      <w:bCs/>
                      <w:snapToGrid w:val="0"/>
                      <w:color w:val="auto"/>
                      <w:spacing w:val="6"/>
                      <w:sz w:val="21"/>
                      <w:szCs w:val="21"/>
                      <w:lang w:val="en-US" w:eastAsia="zh-CN"/>
                    </w:rPr>
                  </w:pPr>
                  <w:r>
                    <w:rPr>
                      <w:rFonts w:hint="eastAsia" w:ascii="Times New Roman" w:hAnsi="Times New Roman" w:eastAsia="宋体" w:cs="Times New Roman"/>
                      <w:bCs/>
                      <w:color w:val="auto"/>
                      <w:kern w:val="0"/>
                      <w:sz w:val="21"/>
                      <w:szCs w:val="21"/>
                      <w:lang w:val="en-US" w:eastAsia="zh-CN" w:bidi="ar-SA"/>
                    </w:rPr>
                    <w:t>/</w:t>
                  </w:r>
                </w:p>
              </w:tc>
              <w:tc>
                <w:tcPr>
                  <w:tcW w:w="746" w:type="pct"/>
                  <w:tcBorders>
                    <w:tl2br w:val="nil"/>
                    <w:tr2bl w:val="nil"/>
                  </w:tcBorders>
                  <w:shd w:val="clear" w:color="auto" w:fill="auto"/>
                  <w:vAlign w:val="center"/>
                </w:tcPr>
                <w:p w14:paraId="71129B47">
                  <w:pPr>
                    <w:widowControl w:val="0"/>
                    <w:snapToGrid w:val="0"/>
                    <w:spacing w:before="0" w:beforeAutospacing="0" w:after="0" w:afterAutospacing="0"/>
                    <w:jc w:val="center"/>
                    <w:rPr>
                      <w:rFonts w:hint="eastAsia" w:ascii="Times New Roman" w:hAnsi="Times New Roman" w:eastAsia="宋体" w:cs="Times New Roman"/>
                      <w:bCs/>
                      <w:color w:val="auto"/>
                      <w:kern w:val="0"/>
                      <w:sz w:val="21"/>
                      <w:szCs w:val="21"/>
                      <w:lang w:val="en-US" w:eastAsia="zh-CN" w:bidi="ar-SA"/>
                    </w:rPr>
                  </w:pPr>
                  <w:r>
                    <w:rPr>
                      <w:rFonts w:hint="eastAsia" w:ascii="Times New Roman" w:hAnsi="Times New Roman" w:eastAsia="宋体" w:cs="Times New Roman"/>
                      <w:bCs/>
                      <w:color w:val="auto"/>
                      <w:kern w:val="0"/>
                      <w:sz w:val="21"/>
                      <w:szCs w:val="21"/>
                      <w:lang w:val="en-US" w:eastAsia="zh-CN" w:bidi="ar-SA"/>
                    </w:rPr>
                    <w:t>SW17</w:t>
                  </w:r>
                </w:p>
                <w:p w14:paraId="002E7FB8">
                  <w:pPr>
                    <w:widowControl w:val="0"/>
                    <w:snapToGrid w:val="0"/>
                    <w:spacing w:before="0" w:beforeAutospacing="0" w:after="0" w:afterAutospacing="0"/>
                    <w:jc w:val="center"/>
                    <w:rPr>
                      <w:rFonts w:hint="eastAsia" w:ascii="Times New Roman" w:hAnsi="Times New Roman" w:eastAsia="宋体" w:cs="Times New Roman"/>
                      <w:bCs/>
                      <w:color w:val="auto"/>
                      <w:kern w:val="0"/>
                      <w:sz w:val="21"/>
                      <w:szCs w:val="21"/>
                      <w:lang w:val="en-US" w:eastAsia="zh-CN" w:bidi="ar-SA"/>
                    </w:rPr>
                  </w:pPr>
                  <w:r>
                    <w:rPr>
                      <w:rFonts w:hint="eastAsia" w:ascii="Times New Roman" w:hAnsi="Times New Roman" w:eastAsia="宋体" w:cs="Times New Roman"/>
                      <w:bCs/>
                      <w:color w:val="auto"/>
                      <w:kern w:val="0"/>
                      <w:sz w:val="21"/>
                      <w:szCs w:val="21"/>
                      <w:lang w:val="en-US" w:eastAsia="zh-CN" w:bidi="ar-SA"/>
                    </w:rPr>
                    <w:t>可再生类废物</w:t>
                  </w:r>
                </w:p>
              </w:tc>
              <w:tc>
                <w:tcPr>
                  <w:tcW w:w="748" w:type="pct"/>
                  <w:tcBorders>
                    <w:tl2br w:val="nil"/>
                    <w:tr2bl w:val="nil"/>
                  </w:tcBorders>
                  <w:shd w:val="clear" w:color="auto" w:fill="auto"/>
                  <w:vAlign w:val="center"/>
                </w:tcPr>
                <w:p w14:paraId="13FE1ED8">
                  <w:pPr>
                    <w:widowControl w:val="0"/>
                    <w:snapToGrid w:val="0"/>
                    <w:spacing w:before="0" w:beforeAutospacing="0" w:after="0" w:afterAutospacing="0"/>
                    <w:jc w:val="center"/>
                    <w:rPr>
                      <w:rFonts w:hint="eastAsia" w:ascii="Times New Roman" w:hAnsi="Times New Roman" w:eastAsia="宋体" w:cs="Times New Roman"/>
                      <w:bCs/>
                      <w:color w:val="auto"/>
                      <w:kern w:val="0"/>
                      <w:sz w:val="21"/>
                      <w:szCs w:val="21"/>
                      <w:lang w:val="en-US" w:eastAsia="zh-CN" w:bidi="ar-SA"/>
                    </w:rPr>
                  </w:pPr>
                  <w:r>
                    <w:rPr>
                      <w:rFonts w:hint="eastAsia" w:ascii="Times New Roman" w:hAnsi="Times New Roman" w:eastAsia="宋体" w:cs="Times New Roman"/>
                      <w:bCs/>
                      <w:color w:val="auto"/>
                      <w:kern w:val="0"/>
                      <w:sz w:val="21"/>
                      <w:szCs w:val="21"/>
                      <w:lang w:val="en-US" w:eastAsia="zh-CN" w:bidi="ar-SA"/>
                    </w:rPr>
                    <w:t>900-001-S17</w:t>
                  </w:r>
                </w:p>
              </w:tc>
              <w:tc>
                <w:tcPr>
                  <w:tcW w:w="456" w:type="pct"/>
                  <w:tcBorders>
                    <w:tl2br w:val="nil"/>
                    <w:tr2bl w:val="nil"/>
                  </w:tcBorders>
                  <w:shd w:val="clear" w:color="auto" w:fill="auto"/>
                  <w:vAlign w:val="center"/>
                </w:tcPr>
                <w:p w14:paraId="48FC200E">
                  <w:pPr>
                    <w:widowControl/>
                    <w:jc w:val="center"/>
                    <w:rPr>
                      <w:rFonts w:hint="default" w:ascii="Times New Roman" w:hAnsi="Times New Roman" w:eastAsia="宋体" w:cs="Times New Roman"/>
                      <w:bCs/>
                      <w:snapToGrid w:val="0"/>
                      <w:color w:val="auto"/>
                      <w:spacing w:val="6"/>
                      <w:kern w:val="2"/>
                      <w:sz w:val="21"/>
                      <w:szCs w:val="21"/>
                      <w:lang w:val="en-US" w:eastAsia="zh-CN" w:bidi="ar"/>
                    </w:rPr>
                  </w:pPr>
                  <w:r>
                    <w:rPr>
                      <w:rFonts w:hint="eastAsia" w:ascii="Times New Roman" w:hAnsi="Times New Roman" w:eastAsia="宋体" w:cs="Times New Roman"/>
                      <w:bCs/>
                      <w:snapToGrid w:val="0"/>
                      <w:color w:val="auto"/>
                      <w:spacing w:val="6"/>
                      <w:kern w:val="2"/>
                      <w:sz w:val="21"/>
                      <w:szCs w:val="21"/>
                      <w:lang w:val="en-US" w:eastAsia="zh-CN" w:bidi="ar"/>
                    </w:rPr>
                    <w:t>130</w:t>
                  </w:r>
                </w:p>
              </w:tc>
              <w:tc>
                <w:tcPr>
                  <w:tcW w:w="298" w:type="pct"/>
                  <w:vMerge w:val="restart"/>
                  <w:tcBorders>
                    <w:tl2br w:val="nil"/>
                    <w:tr2bl w:val="nil"/>
                  </w:tcBorders>
                  <w:vAlign w:val="center"/>
                </w:tcPr>
                <w:p w14:paraId="64921863">
                  <w:pPr>
                    <w:snapToGrid w:val="0"/>
                    <w:jc w:val="center"/>
                    <w:textAlignment w:val="baseline"/>
                    <w:rPr>
                      <w:rFonts w:hint="eastAsia" w:ascii="Times New Roman" w:hAnsi="Times New Roman" w:cs="Times New Roman"/>
                      <w:color w:val="auto"/>
                      <w:sz w:val="21"/>
                      <w:szCs w:val="21"/>
                      <w:lang w:bidi="ar-SA"/>
                    </w:rPr>
                  </w:pPr>
                  <w:r>
                    <w:rPr>
                      <w:rFonts w:hint="eastAsia" w:ascii="Times New Roman" w:hAnsi="Times New Roman" w:cs="Times New Roman"/>
                      <w:color w:val="auto"/>
                      <w:sz w:val="21"/>
                      <w:szCs w:val="21"/>
                      <w:lang w:bidi="ar-SA"/>
                    </w:rPr>
                    <w:t>集中收集后外售综合利用</w:t>
                  </w:r>
                </w:p>
              </w:tc>
            </w:tr>
            <w:tr w14:paraId="29BBA627">
              <w:tblPrEx>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CellMar>
                  <w:top w:w="0" w:type="dxa"/>
                  <w:left w:w="28" w:type="dxa"/>
                  <w:bottom w:w="0" w:type="dxa"/>
                  <w:right w:w="28" w:type="dxa"/>
                </w:tblCellMar>
              </w:tblPrEx>
              <w:trPr>
                <w:trHeight w:val="23" w:hRule="atLeast"/>
                <w:jc w:val="center"/>
              </w:trPr>
              <w:tc>
                <w:tcPr>
                  <w:tcW w:w="233" w:type="pct"/>
                  <w:tcBorders>
                    <w:tl2br w:val="nil"/>
                    <w:tr2bl w:val="nil"/>
                  </w:tcBorders>
                  <w:vAlign w:val="center"/>
                </w:tcPr>
                <w:p w14:paraId="6815F8DF">
                  <w:pPr>
                    <w:numPr>
                      <w:ilvl w:val="0"/>
                      <w:numId w:val="15"/>
                    </w:numPr>
                    <w:snapToGrid w:val="0"/>
                    <w:ind w:left="0" w:leftChars="0" w:firstLine="0" w:firstLineChars="0"/>
                    <w:jc w:val="center"/>
                    <w:textAlignment w:val="baseline"/>
                    <w:rPr>
                      <w:rFonts w:hint="default" w:ascii="Times New Roman" w:hAnsi="Times New Roman" w:cs="Times New Roman"/>
                      <w:color w:val="auto"/>
                      <w:sz w:val="21"/>
                      <w:szCs w:val="21"/>
                      <w:lang w:val="en-US" w:eastAsia="zh-CN" w:bidi="ar-SA"/>
                    </w:rPr>
                  </w:pPr>
                </w:p>
              </w:tc>
              <w:tc>
                <w:tcPr>
                  <w:tcW w:w="451" w:type="pct"/>
                  <w:tcBorders>
                    <w:tl2br w:val="nil"/>
                    <w:tr2bl w:val="nil"/>
                  </w:tcBorders>
                  <w:shd w:val="clear" w:color="auto" w:fill="auto"/>
                  <w:vAlign w:val="center"/>
                </w:tcPr>
                <w:p w14:paraId="21F6730F">
                  <w:pPr>
                    <w:widowControl/>
                    <w:jc w:val="center"/>
                    <w:rPr>
                      <w:rFonts w:hint="default" w:ascii="Times New Roman" w:hAnsi="Times New Roman" w:eastAsia="宋体" w:cs="Times New Roman"/>
                      <w:bCs/>
                      <w:snapToGrid w:val="0"/>
                      <w:color w:val="auto"/>
                      <w:spacing w:val="6"/>
                      <w:kern w:val="2"/>
                      <w:sz w:val="21"/>
                      <w:szCs w:val="21"/>
                      <w:lang w:val="en-US" w:eastAsia="zh-CN" w:bidi="ar"/>
                    </w:rPr>
                  </w:pPr>
                  <w:r>
                    <w:rPr>
                      <w:rFonts w:hint="default" w:ascii="Times New Roman" w:hAnsi="Times New Roman" w:eastAsia="宋体" w:cs="Times New Roman"/>
                      <w:bCs/>
                      <w:snapToGrid w:val="0"/>
                      <w:color w:val="auto"/>
                      <w:spacing w:val="6"/>
                      <w:sz w:val="21"/>
                      <w:szCs w:val="21"/>
                    </w:rPr>
                    <w:t>废布袋</w:t>
                  </w:r>
                </w:p>
              </w:tc>
              <w:tc>
                <w:tcPr>
                  <w:tcW w:w="205" w:type="pct"/>
                  <w:vMerge w:val="continue"/>
                  <w:tcBorders>
                    <w:tl2br w:val="nil"/>
                    <w:tr2bl w:val="nil"/>
                  </w:tcBorders>
                  <w:vAlign w:val="center"/>
                </w:tcPr>
                <w:p w14:paraId="0CC685AF">
                  <w:pPr>
                    <w:snapToGrid w:val="0"/>
                    <w:jc w:val="center"/>
                    <w:textAlignment w:val="baseline"/>
                    <w:rPr>
                      <w:rFonts w:hint="default" w:ascii="Times New Roman" w:hAnsi="Times New Roman" w:cs="Times New Roman"/>
                      <w:color w:val="auto"/>
                      <w:sz w:val="21"/>
                      <w:szCs w:val="21"/>
                      <w:lang w:bidi="ar-SA"/>
                    </w:rPr>
                  </w:pPr>
                </w:p>
              </w:tc>
              <w:tc>
                <w:tcPr>
                  <w:tcW w:w="716" w:type="pct"/>
                  <w:tcBorders>
                    <w:tl2br w:val="nil"/>
                    <w:tr2bl w:val="nil"/>
                  </w:tcBorders>
                  <w:shd w:val="clear" w:color="auto" w:fill="auto"/>
                  <w:vAlign w:val="center"/>
                </w:tcPr>
                <w:p w14:paraId="2D90F576">
                  <w:pPr>
                    <w:widowControl/>
                    <w:jc w:val="center"/>
                    <w:rPr>
                      <w:rFonts w:hint="default" w:ascii="Times New Roman" w:hAnsi="Times New Roman" w:eastAsia="宋体" w:cs="Times New Roman"/>
                      <w:bCs/>
                      <w:snapToGrid w:val="0"/>
                      <w:color w:val="auto"/>
                      <w:spacing w:val="6"/>
                      <w:kern w:val="2"/>
                      <w:sz w:val="21"/>
                      <w:szCs w:val="21"/>
                      <w:lang w:val="en-US" w:eastAsia="zh-CN" w:bidi="ar"/>
                    </w:rPr>
                  </w:pPr>
                  <w:r>
                    <w:rPr>
                      <w:rFonts w:hint="eastAsia" w:cs="Times New Roman"/>
                      <w:bCs/>
                      <w:snapToGrid w:val="0"/>
                      <w:color w:val="auto"/>
                      <w:spacing w:val="6"/>
                      <w:kern w:val="2"/>
                      <w:sz w:val="21"/>
                      <w:szCs w:val="21"/>
                      <w:lang w:val="en-US" w:eastAsia="zh-CN" w:bidi="ar"/>
                    </w:rPr>
                    <w:t>废气处理</w:t>
                  </w:r>
                </w:p>
              </w:tc>
              <w:tc>
                <w:tcPr>
                  <w:tcW w:w="360" w:type="pct"/>
                  <w:tcBorders>
                    <w:tl2br w:val="nil"/>
                    <w:tr2bl w:val="nil"/>
                  </w:tcBorders>
                  <w:shd w:val="clear" w:color="auto" w:fill="auto"/>
                  <w:vAlign w:val="center"/>
                </w:tcPr>
                <w:p w14:paraId="7CCAC60C">
                  <w:pPr>
                    <w:widowControl/>
                    <w:jc w:val="center"/>
                    <w:rPr>
                      <w:rFonts w:hint="default" w:ascii="Times New Roman" w:hAnsi="Times New Roman" w:eastAsia="宋体" w:cs="Times New Roman"/>
                      <w:bCs/>
                      <w:snapToGrid w:val="0"/>
                      <w:color w:val="auto"/>
                      <w:spacing w:val="6"/>
                      <w:kern w:val="2"/>
                      <w:sz w:val="21"/>
                      <w:szCs w:val="21"/>
                      <w:lang w:val="en-US" w:eastAsia="zh-CN" w:bidi="ar"/>
                    </w:rPr>
                  </w:pPr>
                  <w:r>
                    <w:rPr>
                      <w:rFonts w:hint="default" w:ascii="Times New Roman" w:hAnsi="Times New Roman" w:eastAsia="宋体" w:cs="Times New Roman"/>
                      <w:b w:val="0"/>
                      <w:bCs w:val="0"/>
                      <w:snapToGrid w:val="0"/>
                      <w:color w:val="auto"/>
                      <w:spacing w:val="6"/>
                      <w:sz w:val="21"/>
                      <w:szCs w:val="21"/>
                    </w:rPr>
                    <w:t>固态</w:t>
                  </w:r>
                </w:p>
              </w:tc>
              <w:tc>
                <w:tcPr>
                  <w:tcW w:w="473" w:type="pct"/>
                  <w:tcBorders>
                    <w:tl2br w:val="nil"/>
                    <w:tr2bl w:val="nil"/>
                  </w:tcBorders>
                  <w:shd w:val="clear" w:color="auto" w:fill="auto"/>
                  <w:vAlign w:val="center"/>
                </w:tcPr>
                <w:p w14:paraId="59B347B9">
                  <w:pPr>
                    <w:widowControl/>
                    <w:jc w:val="center"/>
                    <w:rPr>
                      <w:rFonts w:hint="default" w:ascii="Times New Roman" w:hAnsi="Times New Roman" w:eastAsia="宋体" w:cs="Times New Roman"/>
                      <w:color w:val="auto"/>
                      <w:spacing w:val="6"/>
                      <w:kern w:val="2"/>
                      <w:sz w:val="21"/>
                      <w:szCs w:val="21"/>
                      <w:lang w:val="en-US" w:eastAsia="zh-CN" w:bidi="ar"/>
                    </w:rPr>
                  </w:pPr>
                  <w:r>
                    <w:rPr>
                      <w:rFonts w:hint="eastAsia" w:cs="Times New Roman"/>
                      <w:color w:val="auto"/>
                      <w:spacing w:val="6"/>
                      <w:kern w:val="2"/>
                      <w:sz w:val="21"/>
                      <w:szCs w:val="21"/>
                      <w:lang w:val="en-US" w:eastAsia="zh-CN" w:bidi="ar"/>
                    </w:rPr>
                    <w:t>颗粒物、布袋</w:t>
                  </w:r>
                </w:p>
              </w:tc>
              <w:tc>
                <w:tcPr>
                  <w:tcW w:w="309" w:type="pct"/>
                  <w:tcBorders>
                    <w:tl2br w:val="nil"/>
                    <w:tr2bl w:val="nil"/>
                  </w:tcBorders>
                  <w:shd w:val="clear" w:color="auto" w:fill="auto"/>
                  <w:vAlign w:val="center"/>
                </w:tcPr>
                <w:p w14:paraId="3005DF24">
                  <w:pPr>
                    <w:widowControl/>
                    <w:jc w:val="center"/>
                    <w:rPr>
                      <w:rFonts w:hint="eastAsia" w:cs="Times New Roman"/>
                      <w:color w:val="auto"/>
                      <w:spacing w:val="6"/>
                      <w:kern w:val="2"/>
                      <w:sz w:val="21"/>
                      <w:szCs w:val="21"/>
                      <w:lang w:val="en-US" w:eastAsia="zh-CN" w:bidi="ar"/>
                    </w:rPr>
                  </w:pPr>
                  <w:r>
                    <w:rPr>
                      <w:rFonts w:hint="eastAsia" w:ascii="Times New Roman" w:hAnsi="Times New Roman" w:eastAsia="宋体" w:cs="Times New Roman"/>
                      <w:bCs/>
                      <w:color w:val="auto"/>
                      <w:kern w:val="0"/>
                      <w:sz w:val="21"/>
                      <w:szCs w:val="21"/>
                      <w:lang w:val="en-US" w:eastAsia="zh-CN" w:bidi="ar-SA"/>
                    </w:rPr>
                    <w:t>/</w:t>
                  </w:r>
                </w:p>
              </w:tc>
              <w:tc>
                <w:tcPr>
                  <w:tcW w:w="746" w:type="pct"/>
                  <w:tcBorders>
                    <w:tl2br w:val="nil"/>
                    <w:tr2bl w:val="nil"/>
                  </w:tcBorders>
                  <w:shd w:val="clear" w:color="auto" w:fill="auto"/>
                  <w:vAlign w:val="center"/>
                </w:tcPr>
                <w:p w14:paraId="47B937DD">
                  <w:pPr>
                    <w:pStyle w:val="22"/>
                    <w:widowControl w:val="0"/>
                    <w:snapToGrid w:val="0"/>
                    <w:spacing w:before="0" w:beforeAutospacing="0" w:after="0" w:afterAutospacing="0"/>
                    <w:jc w:val="center"/>
                    <w:rPr>
                      <w:rFonts w:ascii="Times New Roman" w:hAnsi="Times New Roman"/>
                      <w:bCs/>
                      <w:color w:val="auto"/>
                      <w:sz w:val="21"/>
                      <w:szCs w:val="21"/>
                    </w:rPr>
                  </w:pPr>
                  <w:r>
                    <w:rPr>
                      <w:rFonts w:hint="eastAsia" w:ascii="Times New Roman" w:hAnsi="Times New Roman"/>
                      <w:bCs/>
                      <w:color w:val="auto"/>
                      <w:sz w:val="21"/>
                      <w:szCs w:val="21"/>
                    </w:rPr>
                    <w:t>SW59</w:t>
                  </w:r>
                </w:p>
                <w:p w14:paraId="17E38EE4">
                  <w:pPr>
                    <w:pStyle w:val="22"/>
                    <w:widowControl w:val="0"/>
                    <w:snapToGrid w:val="0"/>
                    <w:spacing w:before="0" w:beforeAutospacing="0" w:after="0" w:afterAutospacing="0"/>
                    <w:jc w:val="center"/>
                    <w:rPr>
                      <w:rFonts w:hint="eastAsia" w:ascii="Times New Roman" w:hAnsi="Times New Roman" w:eastAsia="宋体" w:cs="Times New Roman"/>
                      <w:bCs/>
                      <w:color w:val="auto"/>
                      <w:kern w:val="2"/>
                      <w:sz w:val="21"/>
                      <w:szCs w:val="21"/>
                      <w:lang w:val="en-US" w:eastAsia="zh-CN" w:bidi="ar-SA"/>
                    </w:rPr>
                  </w:pPr>
                  <w:r>
                    <w:rPr>
                      <w:rFonts w:hint="eastAsia" w:ascii="Times New Roman" w:hAnsi="Times New Roman"/>
                      <w:bCs/>
                      <w:color w:val="auto"/>
                      <w:sz w:val="21"/>
                      <w:szCs w:val="21"/>
                    </w:rPr>
                    <w:t>其他工业固体废物</w:t>
                  </w:r>
                </w:p>
              </w:tc>
              <w:tc>
                <w:tcPr>
                  <w:tcW w:w="748" w:type="pct"/>
                  <w:tcBorders>
                    <w:tl2br w:val="nil"/>
                    <w:tr2bl w:val="nil"/>
                  </w:tcBorders>
                  <w:shd w:val="clear" w:color="auto" w:fill="auto"/>
                  <w:vAlign w:val="center"/>
                </w:tcPr>
                <w:p w14:paraId="0746880A">
                  <w:pPr>
                    <w:pStyle w:val="22"/>
                    <w:spacing w:before="0" w:beforeAutospacing="0" w:after="0"/>
                    <w:jc w:val="center"/>
                    <w:rPr>
                      <w:rFonts w:hint="eastAsia" w:ascii="Times New Roman" w:hAnsi="Times New Roman" w:eastAsia="宋体" w:cs="Times New Roman"/>
                      <w:bCs/>
                      <w:color w:val="auto"/>
                      <w:kern w:val="2"/>
                      <w:sz w:val="21"/>
                      <w:szCs w:val="21"/>
                      <w:lang w:val="en-US" w:eastAsia="zh-CN" w:bidi="ar-SA"/>
                    </w:rPr>
                  </w:pPr>
                  <w:r>
                    <w:rPr>
                      <w:rFonts w:hint="eastAsia" w:ascii="Times New Roman" w:hAnsi="Times New Roman"/>
                      <w:bCs/>
                      <w:color w:val="auto"/>
                      <w:kern w:val="2"/>
                      <w:sz w:val="21"/>
                      <w:szCs w:val="21"/>
                    </w:rPr>
                    <w:t>900-009-S59</w:t>
                  </w:r>
                </w:p>
              </w:tc>
              <w:tc>
                <w:tcPr>
                  <w:tcW w:w="456" w:type="pct"/>
                  <w:tcBorders>
                    <w:tl2br w:val="nil"/>
                    <w:tr2bl w:val="nil"/>
                  </w:tcBorders>
                  <w:shd w:val="clear" w:color="auto" w:fill="auto"/>
                  <w:vAlign w:val="center"/>
                </w:tcPr>
                <w:p w14:paraId="7D9A4A7A">
                  <w:pPr>
                    <w:widowControl/>
                    <w:jc w:val="center"/>
                    <w:rPr>
                      <w:rFonts w:hint="eastAsia" w:ascii="Times New Roman" w:hAnsi="Times New Roman" w:eastAsia="宋体" w:cs="Times New Roman"/>
                      <w:bCs/>
                      <w:snapToGrid w:val="0"/>
                      <w:color w:val="auto"/>
                      <w:spacing w:val="6"/>
                      <w:kern w:val="2"/>
                      <w:sz w:val="21"/>
                      <w:szCs w:val="21"/>
                      <w:lang w:val="en-US" w:eastAsia="zh-CN" w:bidi="ar"/>
                    </w:rPr>
                  </w:pPr>
                  <w:r>
                    <w:rPr>
                      <w:rFonts w:hint="eastAsia" w:cs="Times New Roman"/>
                      <w:bCs/>
                      <w:snapToGrid w:val="0"/>
                      <w:color w:val="auto"/>
                      <w:spacing w:val="6"/>
                      <w:kern w:val="2"/>
                      <w:sz w:val="21"/>
                      <w:szCs w:val="21"/>
                      <w:lang w:val="en-US" w:eastAsia="zh-CN" w:bidi="ar"/>
                    </w:rPr>
                    <w:t>0.05</w:t>
                  </w:r>
                </w:p>
              </w:tc>
              <w:tc>
                <w:tcPr>
                  <w:tcW w:w="298" w:type="pct"/>
                  <w:vMerge w:val="continue"/>
                  <w:tcBorders>
                    <w:tl2br w:val="nil"/>
                    <w:tr2bl w:val="nil"/>
                  </w:tcBorders>
                  <w:vAlign w:val="center"/>
                </w:tcPr>
                <w:p w14:paraId="2C82BAB8">
                  <w:pPr>
                    <w:snapToGrid w:val="0"/>
                    <w:jc w:val="center"/>
                    <w:textAlignment w:val="baseline"/>
                    <w:rPr>
                      <w:rFonts w:hint="eastAsia" w:ascii="Times New Roman" w:hAnsi="Times New Roman" w:cs="Times New Roman"/>
                      <w:color w:val="auto"/>
                      <w:sz w:val="21"/>
                      <w:szCs w:val="21"/>
                      <w:lang w:bidi="ar-SA"/>
                    </w:rPr>
                  </w:pPr>
                </w:p>
              </w:tc>
            </w:tr>
            <w:tr w14:paraId="50ACCFBF">
              <w:tblPrEx>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CellMar>
                  <w:top w:w="0" w:type="dxa"/>
                  <w:left w:w="28" w:type="dxa"/>
                  <w:bottom w:w="0" w:type="dxa"/>
                  <w:right w:w="28" w:type="dxa"/>
                </w:tblCellMar>
              </w:tblPrEx>
              <w:trPr>
                <w:trHeight w:val="23" w:hRule="atLeast"/>
                <w:jc w:val="center"/>
              </w:trPr>
              <w:tc>
                <w:tcPr>
                  <w:tcW w:w="233" w:type="pct"/>
                  <w:tcBorders>
                    <w:tl2br w:val="nil"/>
                    <w:tr2bl w:val="nil"/>
                  </w:tcBorders>
                  <w:vAlign w:val="center"/>
                </w:tcPr>
                <w:p w14:paraId="1CFF8651">
                  <w:pPr>
                    <w:numPr>
                      <w:ilvl w:val="0"/>
                      <w:numId w:val="15"/>
                    </w:numPr>
                    <w:snapToGrid w:val="0"/>
                    <w:ind w:left="0" w:leftChars="0" w:firstLine="0" w:firstLineChars="0"/>
                    <w:jc w:val="center"/>
                    <w:textAlignment w:val="baseline"/>
                    <w:rPr>
                      <w:rFonts w:hint="default" w:ascii="Times New Roman" w:hAnsi="Times New Roman" w:cs="Times New Roman"/>
                      <w:color w:val="auto"/>
                      <w:sz w:val="21"/>
                      <w:szCs w:val="21"/>
                      <w:lang w:val="en-US" w:eastAsia="zh-CN" w:bidi="ar-SA"/>
                    </w:rPr>
                  </w:pPr>
                </w:p>
              </w:tc>
              <w:tc>
                <w:tcPr>
                  <w:tcW w:w="451" w:type="pct"/>
                  <w:tcBorders>
                    <w:tl2br w:val="nil"/>
                    <w:tr2bl w:val="nil"/>
                  </w:tcBorders>
                  <w:shd w:val="clear" w:color="auto" w:fill="auto"/>
                  <w:vAlign w:val="center"/>
                </w:tcPr>
                <w:p w14:paraId="3F9B51D5">
                  <w:pPr>
                    <w:widowControl/>
                    <w:jc w:val="center"/>
                    <w:rPr>
                      <w:rFonts w:hint="default" w:ascii="Times New Roman" w:hAnsi="Times New Roman" w:eastAsia="宋体" w:cs="Times New Roman"/>
                      <w:bCs/>
                      <w:snapToGrid w:val="0"/>
                      <w:color w:val="auto"/>
                      <w:spacing w:val="6"/>
                      <w:kern w:val="2"/>
                      <w:sz w:val="21"/>
                      <w:szCs w:val="21"/>
                      <w:lang w:val="en-US" w:eastAsia="zh-CN" w:bidi="ar"/>
                    </w:rPr>
                  </w:pPr>
                  <w:r>
                    <w:rPr>
                      <w:rFonts w:hint="default" w:ascii="Times New Roman" w:hAnsi="Times New Roman" w:eastAsia="宋体" w:cs="Times New Roman"/>
                      <w:bCs/>
                      <w:snapToGrid w:val="0"/>
                      <w:color w:val="auto"/>
                      <w:spacing w:val="6"/>
                      <w:sz w:val="21"/>
                      <w:szCs w:val="21"/>
                    </w:rPr>
                    <w:t>收集尘</w:t>
                  </w:r>
                </w:p>
              </w:tc>
              <w:tc>
                <w:tcPr>
                  <w:tcW w:w="205" w:type="pct"/>
                  <w:vMerge w:val="continue"/>
                  <w:tcBorders>
                    <w:tl2br w:val="nil"/>
                    <w:tr2bl w:val="nil"/>
                  </w:tcBorders>
                  <w:vAlign w:val="center"/>
                </w:tcPr>
                <w:p w14:paraId="4111BE37">
                  <w:pPr>
                    <w:snapToGrid w:val="0"/>
                    <w:jc w:val="center"/>
                    <w:textAlignment w:val="baseline"/>
                    <w:rPr>
                      <w:rFonts w:hint="default" w:ascii="Times New Roman" w:hAnsi="Times New Roman" w:cs="Times New Roman"/>
                      <w:color w:val="auto"/>
                      <w:sz w:val="21"/>
                      <w:szCs w:val="21"/>
                      <w:lang w:bidi="ar-SA"/>
                    </w:rPr>
                  </w:pPr>
                </w:p>
              </w:tc>
              <w:tc>
                <w:tcPr>
                  <w:tcW w:w="716" w:type="pct"/>
                  <w:tcBorders>
                    <w:tl2br w:val="nil"/>
                    <w:tr2bl w:val="nil"/>
                  </w:tcBorders>
                  <w:shd w:val="clear" w:color="auto" w:fill="auto"/>
                  <w:vAlign w:val="center"/>
                </w:tcPr>
                <w:p w14:paraId="3230CB20">
                  <w:pPr>
                    <w:widowControl/>
                    <w:jc w:val="center"/>
                    <w:rPr>
                      <w:rFonts w:hint="default" w:ascii="Times New Roman" w:hAnsi="Times New Roman" w:eastAsia="宋体" w:cs="Times New Roman"/>
                      <w:bCs/>
                      <w:snapToGrid w:val="0"/>
                      <w:color w:val="auto"/>
                      <w:spacing w:val="6"/>
                      <w:kern w:val="2"/>
                      <w:sz w:val="21"/>
                      <w:szCs w:val="21"/>
                      <w:lang w:val="en-US" w:eastAsia="zh-CN" w:bidi="ar"/>
                    </w:rPr>
                  </w:pPr>
                  <w:r>
                    <w:rPr>
                      <w:rFonts w:hint="eastAsia" w:cs="Times New Roman"/>
                      <w:bCs/>
                      <w:snapToGrid w:val="0"/>
                      <w:color w:val="auto"/>
                      <w:spacing w:val="6"/>
                      <w:kern w:val="2"/>
                      <w:sz w:val="21"/>
                      <w:szCs w:val="21"/>
                      <w:lang w:val="en-US" w:eastAsia="zh-CN" w:bidi="ar"/>
                    </w:rPr>
                    <w:t>废气处理</w:t>
                  </w:r>
                </w:p>
              </w:tc>
              <w:tc>
                <w:tcPr>
                  <w:tcW w:w="360" w:type="pct"/>
                  <w:tcBorders>
                    <w:tl2br w:val="nil"/>
                    <w:tr2bl w:val="nil"/>
                  </w:tcBorders>
                  <w:shd w:val="clear" w:color="auto" w:fill="auto"/>
                  <w:vAlign w:val="center"/>
                </w:tcPr>
                <w:p w14:paraId="3E0141C8">
                  <w:pPr>
                    <w:widowControl/>
                    <w:jc w:val="center"/>
                    <w:rPr>
                      <w:rFonts w:hint="default" w:ascii="Times New Roman" w:hAnsi="Times New Roman" w:eastAsia="宋体" w:cs="Times New Roman"/>
                      <w:bCs/>
                      <w:snapToGrid w:val="0"/>
                      <w:color w:val="auto"/>
                      <w:spacing w:val="6"/>
                      <w:kern w:val="2"/>
                      <w:sz w:val="21"/>
                      <w:szCs w:val="21"/>
                      <w:lang w:val="en-US" w:eastAsia="zh-CN" w:bidi="ar"/>
                    </w:rPr>
                  </w:pPr>
                  <w:r>
                    <w:rPr>
                      <w:rFonts w:hint="default" w:ascii="Times New Roman" w:hAnsi="Times New Roman" w:eastAsia="宋体" w:cs="Times New Roman"/>
                      <w:b w:val="0"/>
                      <w:bCs w:val="0"/>
                      <w:snapToGrid w:val="0"/>
                      <w:color w:val="auto"/>
                      <w:spacing w:val="6"/>
                      <w:sz w:val="21"/>
                      <w:szCs w:val="21"/>
                    </w:rPr>
                    <w:t>固态</w:t>
                  </w:r>
                </w:p>
              </w:tc>
              <w:tc>
                <w:tcPr>
                  <w:tcW w:w="473" w:type="pct"/>
                  <w:tcBorders>
                    <w:tl2br w:val="nil"/>
                    <w:tr2bl w:val="nil"/>
                  </w:tcBorders>
                  <w:shd w:val="clear" w:color="auto" w:fill="auto"/>
                  <w:vAlign w:val="center"/>
                </w:tcPr>
                <w:p w14:paraId="2CB62D09">
                  <w:pPr>
                    <w:widowControl/>
                    <w:jc w:val="center"/>
                    <w:rPr>
                      <w:rFonts w:hint="default" w:ascii="Times New Roman" w:hAnsi="Times New Roman" w:eastAsia="宋体" w:cs="Times New Roman"/>
                      <w:color w:val="auto"/>
                      <w:spacing w:val="6"/>
                      <w:kern w:val="2"/>
                      <w:sz w:val="21"/>
                      <w:szCs w:val="21"/>
                      <w:lang w:val="en-US" w:eastAsia="zh-CN" w:bidi="ar"/>
                    </w:rPr>
                  </w:pPr>
                  <w:r>
                    <w:rPr>
                      <w:rFonts w:hint="eastAsia" w:cs="Times New Roman"/>
                      <w:color w:val="auto"/>
                      <w:spacing w:val="6"/>
                      <w:kern w:val="2"/>
                      <w:sz w:val="21"/>
                      <w:szCs w:val="21"/>
                      <w:lang w:val="en-US" w:eastAsia="zh-CN" w:bidi="ar"/>
                    </w:rPr>
                    <w:t>颗粒物</w:t>
                  </w:r>
                </w:p>
              </w:tc>
              <w:tc>
                <w:tcPr>
                  <w:tcW w:w="309" w:type="pct"/>
                  <w:tcBorders>
                    <w:tl2br w:val="nil"/>
                    <w:tr2bl w:val="nil"/>
                  </w:tcBorders>
                  <w:shd w:val="clear" w:color="auto" w:fill="auto"/>
                  <w:vAlign w:val="center"/>
                </w:tcPr>
                <w:p w14:paraId="6E85537D">
                  <w:pPr>
                    <w:widowControl/>
                    <w:jc w:val="center"/>
                    <w:rPr>
                      <w:rFonts w:hint="eastAsia" w:cs="Times New Roman"/>
                      <w:color w:val="auto"/>
                      <w:spacing w:val="6"/>
                      <w:kern w:val="2"/>
                      <w:sz w:val="21"/>
                      <w:szCs w:val="21"/>
                      <w:lang w:val="en-US" w:eastAsia="zh-CN" w:bidi="ar"/>
                    </w:rPr>
                  </w:pPr>
                  <w:r>
                    <w:rPr>
                      <w:rFonts w:hint="eastAsia" w:ascii="Times New Roman" w:hAnsi="Times New Roman" w:eastAsia="宋体" w:cs="Times New Roman"/>
                      <w:bCs/>
                      <w:color w:val="auto"/>
                      <w:kern w:val="0"/>
                      <w:sz w:val="21"/>
                      <w:szCs w:val="21"/>
                      <w:lang w:val="en-US" w:eastAsia="zh-CN" w:bidi="ar-SA"/>
                    </w:rPr>
                    <w:t>/</w:t>
                  </w:r>
                </w:p>
              </w:tc>
              <w:tc>
                <w:tcPr>
                  <w:tcW w:w="746" w:type="pct"/>
                  <w:tcBorders>
                    <w:tl2br w:val="nil"/>
                    <w:tr2bl w:val="nil"/>
                  </w:tcBorders>
                  <w:shd w:val="clear" w:color="auto" w:fill="auto"/>
                  <w:vAlign w:val="center"/>
                </w:tcPr>
                <w:p w14:paraId="4480DF28">
                  <w:pPr>
                    <w:pStyle w:val="22"/>
                    <w:widowControl w:val="0"/>
                    <w:snapToGrid w:val="0"/>
                    <w:spacing w:before="0" w:beforeAutospacing="0" w:after="0" w:afterAutospacing="0"/>
                    <w:jc w:val="center"/>
                    <w:rPr>
                      <w:rFonts w:ascii="Times New Roman" w:hAnsi="Times New Roman"/>
                      <w:bCs/>
                      <w:color w:val="auto"/>
                      <w:sz w:val="21"/>
                      <w:szCs w:val="21"/>
                    </w:rPr>
                  </w:pPr>
                  <w:r>
                    <w:rPr>
                      <w:rFonts w:hint="eastAsia" w:ascii="Times New Roman" w:hAnsi="Times New Roman"/>
                      <w:bCs/>
                      <w:color w:val="auto"/>
                      <w:sz w:val="21"/>
                      <w:szCs w:val="21"/>
                    </w:rPr>
                    <w:t>SW59</w:t>
                  </w:r>
                </w:p>
                <w:p w14:paraId="55855453">
                  <w:pPr>
                    <w:pStyle w:val="22"/>
                    <w:widowControl w:val="0"/>
                    <w:snapToGrid w:val="0"/>
                    <w:spacing w:before="0" w:beforeAutospacing="0" w:after="0" w:afterAutospacing="0"/>
                    <w:jc w:val="center"/>
                    <w:rPr>
                      <w:rFonts w:hint="eastAsia" w:ascii="Times New Roman" w:hAnsi="Times New Roman" w:eastAsia="宋体" w:cs="Times New Roman"/>
                      <w:bCs/>
                      <w:color w:val="auto"/>
                      <w:kern w:val="2"/>
                      <w:sz w:val="21"/>
                      <w:szCs w:val="21"/>
                      <w:lang w:val="en-US" w:eastAsia="zh-CN" w:bidi="ar-SA"/>
                    </w:rPr>
                  </w:pPr>
                  <w:r>
                    <w:rPr>
                      <w:rFonts w:hint="eastAsia" w:ascii="Times New Roman" w:hAnsi="Times New Roman"/>
                      <w:bCs/>
                      <w:color w:val="auto"/>
                      <w:sz w:val="21"/>
                      <w:szCs w:val="21"/>
                    </w:rPr>
                    <w:t>其他工业固体废物</w:t>
                  </w:r>
                </w:p>
              </w:tc>
              <w:tc>
                <w:tcPr>
                  <w:tcW w:w="748" w:type="pct"/>
                  <w:tcBorders>
                    <w:tl2br w:val="nil"/>
                    <w:tr2bl w:val="nil"/>
                  </w:tcBorders>
                  <w:shd w:val="clear" w:color="auto" w:fill="auto"/>
                  <w:vAlign w:val="center"/>
                </w:tcPr>
                <w:p w14:paraId="16909A04">
                  <w:pPr>
                    <w:pStyle w:val="22"/>
                    <w:spacing w:before="0" w:beforeAutospacing="0" w:after="0"/>
                    <w:jc w:val="center"/>
                    <w:rPr>
                      <w:rFonts w:hint="eastAsia" w:ascii="Times New Roman" w:hAnsi="Times New Roman" w:eastAsia="宋体" w:cs="Times New Roman"/>
                      <w:bCs/>
                      <w:color w:val="auto"/>
                      <w:kern w:val="2"/>
                      <w:sz w:val="21"/>
                      <w:szCs w:val="21"/>
                      <w:lang w:val="en-US" w:eastAsia="zh-CN" w:bidi="ar-SA"/>
                    </w:rPr>
                  </w:pPr>
                  <w:r>
                    <w:rPr>
                      <w:rFonts w:hint="eastAsia" w:ascii="Times New Roman" w:hAnsi="Times New Roman"/>
                      <w:bCs/>
                      <w:color w:val="auto"/>
                      <w:kern w:val="2"/>
                      <w:sz w:val="21"/>
                      <w:szCs w:val="21"/>
                    </w:rPr>
                    <w:t>900-0</w:t>
                  </w:r>
                  <w:r>
                    <w:rPr>
                      <w:rFonts w:hint="eastAsia" w:ascii="Times New Roman" w:hAnsi="Times New Roman"/>
                      <w:bCs/>
                      <w:color w:val="auto"/>
                      <w:kern w:val="2"/>
                      <w:sz w:val="21"/>
                      <w:szCs w:val="21"/>
                      <w:lang w:val="en-US" w:eastAsia="zh-CN"/>
                    </w:rPr>
                    <w:t>9</w:t>
                  </w:r>
                  <w:r>
                    <w:rPr>
                      <w:rFonts w:hint="eastAsia" w:ascii="Times New Roman" w:hAnsi="Times New Roman"/>
                      <w:bCs/>
                      <w:color w:val="auto"/>
                      <w:kern w:val="2"/>
                      <w:sz w:val="21"/>
                      <w:szCs w:val="21"/>
                    </w:rPr>
                    <w:t>9-S59</w:t>
                  </w:r>
                </w:p>
              </w:tc>
              <w:tc>
                <w:tcPr>
                  <w:tcW w:w="456" w:type="pct"/>
                  <w:tcBorders>
                    <w:tl2br w:val="nil"/>
                    <w:tr2bl w:val="nil"/>
                  </w:tcBorders>
                  <w:shd w:val="clear" w:color="auto" w:fill="auto"/>
                  <w:vAlign w:val="center"/>
                </w:tcPr>
                <w:p w14:paraId="7545D5AE">
                  <w:pPr>
                    <w:widowControl/>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0.1637</w:t>
                  </w:r>
                </w:p>
              </w:tc>
              <w:tc>
                <w:tcPr>
                  <w:tcW w:w="298" w:type="pct"/>
                  <w:vMerge w:val="continue"/>
                  <w:tcBorders>
                    <w:tl2br w:val="nil"/>
                    <w:tr2bl w:val="nil"/>
                  </w:tcBorders>
                  <w:vAlign w:val="center"/>
                </w:tcPr>
                <w:p w14:paraId="3FF58AAF">
                  <w:pPr>
                    <w:snapToGrid w:val="0"/>
                    <w:jc w:val="center"/>
                    <w:textAlignment w:val="baseline"/>
                    <w:rPr>
                      <w:rFonts w:hint="eastAsia" w:ascii="Times New Roman" w:hAnsi="Times New Roman" w:cs="Times New Roman"/>
                      <w:color w:val="auto"/>
                      <w:sz w:val="21"/>
                      <w:szCs w:val="21"/>
                      <w:lang w:bidi="ar-SA"/>
                    </w:rPr>
                  </w:pPr>
                </w:p>
              </w:tc>
            </w:tr>
            <w:tr w14:paraId="166C6631">
              <w:tblPrEx>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CellMar>
                  <w:top w:w="0" w:type="dxa"/>
                  <w:left w:w="28" w:type="dxa"/>
                  <w:bottom w:w="0" w:type="dxa"/>
                  <w:right w:w="28" w:type="dxa"/>
                </w:tblCellMar>
              </w:tblPrEx>
              <w:trPr>
                <w:trHeight w:val="23" w:hRule="atLeast"/>
                <w:jc w:val="center"/>
              </w:trPr>
              <w:tc>
                <w:tcPr>
                  <w:tcW w:w="233" w:type="pct"/>
                  <w:tcBorders>
                    <w:tl2br w:val="nil"/>
                    <w:tr2bl w:val="nil"/>
                  </w:tcBorders>
                  <w:vAlign w:val="center"/>
                </w:tcPr>
                <w:p w14:paraId="6923A27D">
                  <w:pPr>
                    <w:numPr>
                      <w:ilvl w:val="0"/>
                      <w:numId w:val="15"/>
                    </w:numPr>
                    <w:snapToGrid w:val="0"/>
                    <w:ind w:left="0" w:leftChars="0" w:firstLine="0" w:firstLineChars="0"/>
                    <w:jc w:val="center"/>
                    <w:textAlignment w:val="baseline"/>
                    <w:rPr>
                      <w:rFonts w:hint="default" w:ascii="Times New Roman" w:hAnsi="Times New Roman" w:cs="Times New Roman"/>
                      <w:color w:val="auto"/>
                      <w:sz w:val="21"/>
                      <w:szCs w:val="21"/>
                      <w:lang w:val="en-US" w:eastAsia="zh-CN" w:bidi="ar-SA"/>
                    </w:rPr>
                  </w:pPr>
                </w:p>
              </w:tc>
              <w:tc>
                <w:tcPr>
                  <w:tcW w:w="451" w:type="pct"/>
                  <w:tcBorders>
                    <w:tl2br w:val="nil"/>
                    <w:tr2bl w:val="nil"/>
                  </w:tcBorders>
                  <w:shd w:val="clear" w:color="auto" w:fill="auto"/>
                  <w:vAlign w:val="center"/>
                </w:tcPr>
                <w:p w14:paraId="08FDB25C">
                  <w:pPr>
                    <w:widowControl/>
                    <w:jc w:val="center"/>
                    <w:rPr>
                      <w:rFonts w:hint="default" w:ascii="Times New Roman" w:hAnsi="Times New Roman" w:eastAsia="宋体" w:cs="Times New Roman"/>
                      <w:bCs/>
                      <w:snapToGrid w:val="0"/>
                      <w:color w:val="auto"/>
                      <w:spacing w:val="6"/>
                      <w:kern w:val="2"/>
                      <w:sz w:val="21"/>
                      <w:szCs w:val="21"/>
                      <w:lang w:val="en-US" w:eastAsia="zh-CN" w:bidi="ar"/>
                    </w:rPr>
                  </w:pPr>
                  <w:r>
                    <w:rPr>
                      <w:rFonts w:hint="default" w:ascii="Times New Roman" w:hAnsi="Times New Roman" w:eastAsia="宋体" w:cs="Times New Roman"/>
                      <w:bCs/>
                      <w:snapToGrid w:val="0"/>
                      <w:color w:val="auto"/>
                      <w:spacing w:val="6"/>
                      <w:sz w:val="21"/>
                      <w:szCs w:val="21"/>
                    </w:rPr>
                    <w:t>废包装材料</w:t>
                  </w:r>
                </w:p>
              </w:tc>
              <w:tc>
                <w:tcPr>
                  <w:tcW w:w="205" w:type="pct"/>
                  <w:vMerge w:val="continue"/>
                  <w:tcBorders>
                    <w:tl2br w:val="nil"/>
                    <w:tr2bl w:val="nil"/>
                  </w:tcBorders>
                  <w:vAlign w:val="center"/>
                </w:tcPr>
                <w:p w14:paraId="14959890">
                  <w:pPr>
                    <w:snapToGrid w:val="0"/>
                    <w:jc w:val="center"/>
                    <w:textAlignment w:val="baseline"/>
                    <w:rPr>
                      <w:rFonts w:hint="default" w:ascii="Times New Roman" w:hAnsi="Times New Roman" w:cs="Times New Roman"/>
                      <w:color w:val="auto"/>
                      <w:sz w:val="21"/>
                      <w:szCs w:val="21"/>
                      <w:lang w:bidi="ar-SA"/>
                    </w:rPr>
                  </w:pPr>
                </w:p>
              </w:tc>
              <w:tc>
                <w:tcPr>
                  <w:tcW w:w="716" w:type="pct"/>
                  <w:tcBorders>
                    <w:tl2br w:val="nil"/>
                    <w:tr2bl w:val="nil"/>
                  </w:tcBorders>
                  <w:shd w:val="clear" w:color="auto" w:fill="auto"/>
                  <w:vAlign w:val="center"/>
                </w:tcPr>
                <w:p w14:paraId="407CE22A">
                  <w:pPr>
                    <w:widowControl/>
                    <w:jc w:val="center"/>
                    <w:rPr>
                      <w:rFonts w:hint="default" w:ascii="Times New Roman" w:hAnsi="Times New Roman" w:eastAsia="宋体" w:cs="Times New Roman"/>
                      <w:bCs/>
                      <w:snapToGrid w:val="0"/>
                      <w:color w:val="auto"/>
                      <w:spacing w:val="6"/>
                      <w:kern w:val="2"/>
                      <w:sz w:val="21"/>
                      <w:szCs w:val="21"/>
                      <w:lang w:val="en-US" w:eastAsia="zh-CN" w:bidi="ar"/>
                    </w:rPr>
                  </w:pPr>
                  <w:r>
                    <w:rPr>
                      <w:rFonts w:hint="eastAsia" w:ascii="Times New Roman" w:hAnsi="Times New Roman" w:cs="Times New Roman"/>
                      <w:bCs/>
                      <w:color w:val="auto"/>
                      <w:sz w:val="21"/>
                      <w:szCs w:val="21"/>
                      <w:lang w:val="en-US" w:eastAsia="zh-CN"/>
                    </w:rPr>
                    <w:t>原料</w:t>
                  </w:r>
                  <w:r>
                    <w:rPr>
                      <w:rFonts w:hint="default" w:ascii="Times New Roman" w:hAnsi="Times New Roman" w:eastAsia="宋体" w:cs="Times New Roman"/>
                      <w:bCs/>
                      <w:color w:val="auto"/>
                      <w:sz w:val="21"/>
                      <w:szCs w:val="21"/>
                    </w:rPr>
                    <w:t>包装</w:t>
                  </w:r>
                </w:p>
              </w:tc>
              <w:tc>
                <w:tcPr>
                  <w:tcW w:w="360" w:type="pct"/>
                  <w:tcBorders>
                    <w:tl2br w:val="nil"/>
                    <w:tr2bl w:val="nil"/>
                  </w:tcBorders>
                  <w:shd w:val="clear" w:color="auto" w:fill="auto"/>
                  <w:vAlign w:val="center"/>
                </w:tcPr>
                <w:p w14:paraId="27D9068D">
                  <w:pPr>
                    <w:widowControl/>
                    <w:jc w:val="center"/>
                    <w:rPr>
                      <w:rFonts w:hint="default" w:ascii="Times New Roman" w:hAnsi="Times New Roman" w:eastAsia="宋体" w:cs="Times New Roman"/>
                      <w:bCs/>
                      <w:snapToGrid w:val="0"/>
                      <w:color w:val="auto"/>
                      <w:spacing w:val="6"/>
                      <w:kern w:val="2"/>
                      <w:sz w:val="21"/>
                      <w:szCs w:val="21"/>
                      <w:lang w:val="en-US" w:eastAsia="zh-CN" w:bidi="ar"/>
                    </w:rPr>
                  </w:pPr>
                  <w:r>
                    <w:rPr>
                      <w:rFonts w:hint="default" w:ascii="Times New Roman" w:hAnsi="Times New Roman" w:eastAsia="宋体" w:cs="Times New Roman"/>
                      <w:b w:val="0"/>
                      <w:bCs w:val="0"/>
                      <w:snapToGrid w:val="0"/>
                      <w:color w:val="auto"/>
                      <w:spacing w:val="6"/>
                      <w:sz w:val="21"/>
                      <w:szCs w:val="21"/>
                    </w:rPr>
                    <w:t>固态</w:t>
                  </w:r>
                </w:p>
              </w:tc>
              <w:tc>
                <w:tcPr>
                  <w:tcW w:w="473" w:type="pct"/>
                  <w:tcBorders>
                    <w:tl2br w:val="nil"/>
                    <w:tr2bl w:val="nil"/>
                  </w:tcBorders>
                  <w:shd w:val="clear" w:color="auto" w:fill="auto"/>
                  <w:vAlign w:val="center"/>
                </w:tcPr>
                <w:p w14:paraId="035AE6CE">
                  <w:pPr>
                    <w:widowControl/>
                    <w:jc w:val="center"/>
                    <w:rPr>
                      <w:rFonts w:hint="default" w:ascii="Times New Roman" w:hAnsi="Times New Roman" w:eastAsia="宋体" w:cs="Times New Roman"/>
                      <w:color w:val="auto"/>
                      <w:spacing w:val="6"/>
                      <w:kern w:val="2"/>
                      <w:sz w:val="21"/>
                      <w:szCs w:val="21"/>
                      <w:lang w:val="en-US" w:eastAsia="zh-CN" w:bidi="ar"/>
                    </w:rPr>
                  </w:pPr>
                  <w:r>
                    <w:rPr>
                      <w:rFonts w:hint="default" w:ascii="Times New Roman" w:hAnsi="Times New Roman" w:eastAsia="宋体" w:cs="Times New Roman"/>
                      <w:color w:val="auto"/>
                      <w:spacing w:val="6"/>
                      <w:kern w:val="2"/>
                      <w:sz w:val="21"/>
                      <w:szCs w:val="21"/>
                      <w:lang w:val="en-US" w:eastAsia="zh-CN" w:bidi="ar"/>
                    </w:rPr>
                    <w:t>包装材料</w:t>
                  </w:r>
                </w:p>
              </w:tc>
              <w:tc>
                <w:tcPr>
                  <w:tcW w:w="309" w:type="pct"/>
                  <w:tcBorders>
                    <w:tl2br w:val="nil"/>
                    <w:tr2bl w:val="nil"/>
                  </w:tcBorders>
                  <w:shd w:val="clear" w:color="auto" w:fill="auto"/>
                  <w:vAlign w:val="center"/>
                </w:tcPr>
                <w:p w14:paraId="3C0F4067">
                  <w:pPr>
                    <w:widowControl/>
                    <w:jc w:val="center"/>
                    <w:rPr>
                      <w:rFonts w:hint="default" w:ascii="Times New Roman" w:hAnsi="Times New Roman" w:eastAsia="宋体" w:cs="Times New Roman"/>
                      <w:color w:val="auto"/>
                      <w:spacing w:val="6"/>
                      <w:kern w:val="2"/>
                      <w:sz w:val="21"/>
                      <w:szCs w:val="21"/>
                      <w:lang w:val="en-US" w:eastAsia="zh-CN" w:bidi="ar"/>
                    </w:rPr>
                  </w:pPr>
                  <w:r>
                    <w:rPr>
                      <w:rFonts w:hint="eastAsia" w:ascii="Times New Roman" w:hAnsi="Times New Roman" w:eastAsia="宋体" w:cs="Times New Roman"/>
                      <w:bCs/>
                      <w:color w:val="auto"/>
                      <w:kern w:val="0"/>
                      <w:sz w:val="21"/>
                      <w:szCs w:val="21"/>
                      <w:lang w:val="en-US" w:eastAsia="zh-CN" w:bidi="ar-SA"/>
                    </w:rPr>
                    <w:t>/</w:t>
                  </w:r>
                </w:p>
              </w:tc>
              <w:tc>
                <w:tcPr>
                  <w:tcW w:w="746" w:type="pct"/>
                  <w:tcBorders>
                    <w:tl2br w:val="nil"/>
                    <w:tr2bl w:val="nil"/>
                  </w:tcBorders>
                  <w:shd w:val="clear" w:color="auto" w:fill="auto"/>
                  <w:vAlign w:val="center"/>
                </w:tcPr>
                <w:p w14:paraId="2BB038DF">
                  <w:pPr>
                    <w:pStyle w:val="34"/>
                    <w:spacing w:before="24" w:after="24"/>
                    <w:ind w:firstLine="0" w:firstLineChars="0"/>
                    <w:rPr>
                      <w:rFonts w:hint="eastAsia" w:ascii="Times New Roman" w:hAnsi="宋体" w:eastAsia="宋体" w:cs="Times New Roman"/>
                      <w:color w:val="auto"/>
                      <w:spacing w:val="-10"/>
                      <w:kern w:val="0"/>
                      <w:sz w:val="21"/>
                      <w:szCs w:val="21"/>
                      <w:lang w:val="en-US" w:eastAsia="zh-CN" w:bidi="ar"/>
                    </w:rPr>
                  </w:pPr>
                  <w:r>
                    <w:rPr>
                      <w:rFonts w:ascii="Times New Roman" w:eastAsia="宋体"/>
                      <w:color w:val="auto"/>
                      <w:szCs w:val="21"/>
                    </w:rPr>
                    <w:t>SW59其他工业固体废物</w:t>
                  </w:r>
                </w:p>
              </w:tc>
              <w:tc>
                <w:tcPr>
                  <w:tcW w:w="748" w:type="pct"/>
                  <w:tcBorders>
                    <w:tl2br w:val="nil"/>
                    <w:tr2bl w:val="nil"/>
                  </w:tcBorders>
                  <w:shd w:val="clear" w:color="auto" w:fill="auto"/>
                  <w:vAlign w:val="center"/>
                </w:tcPr>
                <w:p w14:paraId="4D699F30">
                  <w:pPr>
                    <w:pStyle w:val="34"/>
                    <w:spacing w:before="24" w:after="24"/>
                    <w:ind w:firstLine="0" w:firstLineChars="0"/>
                    <w:rPr>
                      <w:rFonts w:hint="eastAsia" w:ascii="Times New Roman" w:hAnsi="宋体" w:eastAsia="宋体" w:cs="Times New Roman"/>
                      <w:color w:val="auto"/>
                      <w:spacing w:val="-10"/>
                      <w:kern w:val="0"/>
                      <w:sz w:val="21"/>
                      <w:szCs w:val="21"/>
                      <w:lang w:val="en-US" w:eastAsia="zh-CN" w:bidi="ar"/>
                    </w:rPr>
                  </w:pPr>
                  <w:r>
                    <w:rPr>
                      <w:rFonts w:ascii="Times New Roman" w:eastAsia="宋体"/>
                      <w:color w:val="auto"/>
                      <w:szCs w:val="21"/>
                    </w:rPr>
                    <w:t>900-099-S59</w:t>
                  </w:r>
                </w:p>
              </w:tc>
              <w:tc>
                <w:tcPr>
                  <w:tcW w:w="456" w:type="pct"/>
                  <w:tcBorders>
                    <w:tl2br w:val="nil"/>
                    <w:tr2bl w:val="nil"/>
                  </w:tcBorders>
                  <w:shd w:val="clear" w:color="auto" w:fill="auto"/>
                  <w:vAlign w:val="center"/>
                </w:tcPr>
                <w:p w14:paraId="1F4F463D">
                  <w:pPr>
                    <w:widowControl/>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0.65</w:t>
                  </w:r>
                </w:p>
              </w:tc>
              <w:tc>
                <w:tcPr>
                  <w:tcW w:w="298" w:type="pct"/>
                  <w:vMerge w:val="continue"/>
                  <w:tcBorders>
                    <w:tl2br w:val="nil"/>
                    <w:tr2bl w:val="nil"/>
                  </w:tcBorders>
                  <w:vAlign w:val="center"/>
                </w:tcPr>
                <w:p w14:paraId="40147D26">
                  <w:pPr>
                    <w:snapToGrid w:val="0"/>
                    <w:jc w:val="center"/>
                    <w:textAlignment w:val="baseline"/>
                    <w:rPr>
                      <w:rFonts w:hint="eastAsia" w:ascii="Times New Roman" w:hAnsi="Times New Roman" w:cs="Times New Roman"/>
                      <w:color w:val="auto"/>
                      <w:sz w:val="21"/>
                      <w:szCs w:val="21"/>
                      <w:lang w:bidi="ar-SA"/>
                    </w:rPr>
                  </w:pPr>
                </w:p>
              </w:tc>
            </w:tr>
            <w:tr w14:paraId="481DE972">
              <w:tblPrEx>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CellMar>
                  <w:top w:w="0" w:type="dxa"/>
                  <w:left w:w="28" w:type="dxa"/>
                  <w:bottom w:w="0" w:type="dxa"/>
                  <w:right w:w="28" w:type="dxa"/>
                </w:tblCellMar>
              </w:tblPrEx>
              <w:trPr>
                <w:trHeight w:val="23" w:hRule="atLeast"/>
                <w:jc w:val="center"/>
              </w:trPr>
              <w:tc>
                <w:tcPr>
                  <w:tcW w:w="233" w:type="pct"/>
                  <w:tcBorders>
                    <w:tl2br w:val="nil"/>
                    <w:tr2bl w:val="nil"/>
                  </w:tcBorders>
                  <w:vAlign w:val="center"/>
                </w:tcPr>
                <w:p w14:paraId="26AC0112">
                  <w:pPr>
                    <w:numPr>
                      <w:ilvl w:val="0"/>
                      <w:numId w:val="15"/>
                    </w:numPr>
                    <w:snapToGrid w:val="0"/>
                    <w:ind w:left="0" w:leftChars="0" w:firstLine="0" w:firstLineChars="0"/>
                    <w:jc w:val="center"/>
                    <w:textAlignment w:val="baseline"/>
                    <w:rPr>
                      <w:rFonts w:hint="default" w:ascii="Times New Roman" w:hAnsi="Times New Roman" w:cs="Times New Roman"/>
                      <w:color w:val="auto"/>
                      <w:sz w:val="21"/>
                      <w:szCs w:val="21"/>
                      <w:lang w:val="en-US" w:eastAsia="zh-CN" w:bidi="ar-SA"/>
                    </w:rPr>
                  </w:pPr>
                </w:p>
              </w:tc>
              <w:tc>
                <w:tcPr>
                  <w:tcW w:w="451" w:type="pct"/>
                  <w:tcBorders>
                    <w:tl2br w:val="nil"/>
                    <w:tr2bl w:val="nil"/>
                  </w:tcBorders>
                  <w:shd w:val="clear" w:color="auto" w:fill="auto"/>
                  <w:vAlign w:val="center"/>
                </w:tcPr>
                <w:p w14:paraId="24C08DC8">
                  <w:pPr>
                    <w:widowControl/>
                    <w:jc w:val="center"/>
                    <w:rPr>
                      <w:rFonts w:hint="default" w:ascii="Times New Roman" w:hAnsi="Times New Roman" w:eastAsia="宋体" w:cs="Times New Roman"/>
                      <w:bCs/>
                      <w:snapToGrid w:val="0"/>
                      <w:color w:val="auto"/>
                      <w:spacing w:val="6"/>
                      <w:sz w:val="21"/>
                      <w:szCs w:val="21"/>
                    </w:rPr>
                  </w:pPr>
                  <w:r>
                    <w:rPr>
                      <w:rFonts w:hint="default" w:ascii="Times New Roman" w:hAnsi="Times New Roman" w:eastAsia="宋体" w:cs="Times New Roman"/>
                      <w:bCs/>
                      <w:snapToGrid w:val="0"/>
                      <w:color w:val="auto"/>
                      <w:spacing w:val="6"/>
                      <w:sz w:val="21"/>
                      <w:szCs w:val="21"/>
                    </w:rPr>
                    <w:t>废耐火材料</w:t>
                  </w:r>
                </w:p>
              </w:tc>
              <w:tc>
                <w:tcPr>
                  <w:tcW w:w="205" w:type="pct"/>
                  <w:vMerge w:val="continue"/>
                  <w:tcBorders>
                    <w:tl2br w:val="nil"/>
                    <w:tr2bl w:val="nil"/>
                  </w:tcBorders>
                  <w:vAlign w:val="center"/>
                </w:tcPr>
                <w:p w14:paraId="78B0072C">
                  <w:pPr>
                    <w:snapToGrid w:val="0"/>
                    <w:jc w:val="center"/>
                    <w:textAlignment w:val="baseline"/>
                    <w:rPr>
                      <w:rFonts w:hint="default" w:ascii="Times New Roman" w:hAnsi="Times New Roman" w:cs="Times New Roman"/>
                      <w:color w:val="auto"/>
                      <w:sz w:val="21"/>
                      <w:szCs w:val="21"/>
                      <w:lang w:bidi="ar-SA"/>
                    </w:rPr>
                  </w:pPr>
                </w:p>
              </w:tc>
              <w:tc>
                <w:tcPr>
                  <w:tcW w:w="716" w:type="pct"/>
                  <w:tcBorders>
                    <w:tl2br w:val="nil"/>
                    <w:tr2bl w:val="nil"/>
                  </w:tcBorders>
                  <w:shd w:val="clear" w:color="auto" w:fill="auto"/>
                  <w:vAlign w:val="center"/>
                </w:tcPr>
                <w:p w14:paraId="2C5194E1">
                  <w:pPr>
                    <w:widowControl/>
                    <w:jc w:val="center"/>
                    <w:rPr>
                      <w:rFonts w:hint="eastAsia" w:ascii="Times New Roman" w:hAnsi="Times New Roman" w:eastAsia="宋体" w:cs="Times New Roman"/>
                      <w:bCs/>
                      <w:color w:val="auto"/>
                      <w:kern w:val="2"/>
                      <w:sz w:val="21"/>
                      <w:szCs w:val="21"/>
                      <w:lang w:val="en-US" w:eastAsia="zh-CN" w:bidi="ar"/>
                    </w:rPr>
                  </w:pPr>
                  <w:r>
                    <w:rPr>
                      <w:rFonts w:hint="eastAsia" w:cs="Times New Roman"/>
                      <w:bCs/>
                      <w:color w:val="auto"/>
                      <w:sz w:val="21"/>
                      <w:szCs w:val="21"/>
                      <w:lang w:val="en-US" w:eastAsia="zh-CN"/>
                    </w:rPr>
                    <w:t>真空炉耐火材料更换</w:t>
                  </w:r>
                </w:p>
              </w:tc>
              <w:tc>
                <w:tcPr>
                  <w:tcW w:w="360" w:type="pct"/>
                  <w:tcBorders>
                    <w:tl2br w:val="nil"/>
                    <w:tr2bl w:val="nil"/>
                  </w:tcBorders>
                  <w:shd w:val="clear" w:color="auto" w:fill="auto"/>
                  <w:vAlign w:val="center"/>
                </w:tcPr>
                <w:p w14:paraId="34322508">
                  <w:pPr>
                    <w:widowControl/>
                    <w:jc w:val="center"/>
                    <w:rPr>
                      <w:rFonts w:hint="default" w:ascii="Times New Roman" w:hAnsi="Times New Roman" w:eastAsia="宋体" w:cs="Times New Roman"/>
                      <w:b w:val="0"/>
                      <w:bCs w:val="0"/>
                      <w:snapToGrid w:val="0"/>
                      <w:color w:val="auto"/>
                      <w:spacing w:val="6"/>
                      <w:kern w:val="2"/>
                      <w:sz w:val="21"/>
                      <w:szCs w:val="21"/>
                      <w:lang w:val="en-US" w:eastAsia="zh-CN" w:bidi="ar"/>
                    </w:rPr>
                  </w:pPr>
                  <w:r>
                    <w:rPr>
                      <w:rFonts w:hint="default" w:ascii="Times New Roman" w:hAnsi="Times New Roman" w:eastAsia="宋体" w:cs="Times New Roman"/>
                      <w:b w:val="0"/>
                      <w:bCs w:val="0"/>
                      <w:snapToGrid w:val="0"/>
                      <w:color w:val="auto"/>
                      <w:spacing w:val="6"/>
                      <w:sz w:val="21"/>
                      <w:szCs w:val="21"/>
                    </w:rPr>
                    <w:t>固态</w:t>
                  </w:r>
                </w:p>
              </w:tc>
              <w:tc>
                <w:tcPr>
                  <w:tcW w:w="473" w:type="pct"/>
                  <w:tcBorders>
                    <w:tl2br w:val="nil"/>
                    <w:tr2bl w:val="nil"/>
                  </w:tcBorders>
                  <w:shd w:val="clear" w:color="auto" w:fill="auto"/>
                  <w:vAlign w:val="center"/>
                </w:tcPr>
                <w:p w14:paraId="6B0389D3">
                  <w:pPr>
                    <w:widowControl/>
                    <w:jc w:val="center"/>
                    <w:rPr>
                      <w:rFonts w:hint="default" w:ascii="Times New Roman" w:hAnsi="Times New Roman" w:eastAsia="宋体" w:cs="Times New Roman"/>
                      <w:color w:val="auto"/>
                      <w:spacing w:val="6"/>
                      <w:kern w:val="2"/>
                      <w:sz w:val="21"/>
                      <w:szCs w:val="21"/>
                      <w:lang w:val="en-US" w:eastAsia="zh-CN" w:bidi="ar"/>
                    </w:rPr>
                  </w:pPr>
                  <w:r>
                    <w:rPr>
                      <w:rFonts w:hint="eastAsia" w:cs="Times New Roman"/>
                      <w:bCs/>
                      <w:color w:val="auto"/>
                      <w:sz w:val="21"/>
                      <w:szCs w:val="21"/>
                      <w:lang w:val="en-US" w:eastAsia="zh-CN"/>
                    </w:rPr>
                    <w:t>耐火材料</w:t>
                  </w:r>
                </w:p>
              </w:tc>
              <w:tc>
                <w:tcPr>
                  <w:tcW w:w="309" w:type="pct"/>
                  <w:tcBorders>
                    <w:tl2br w:val="nil"/>
                    <w:tr2bl w:val="nil"/>
                  </w:tcBorders>
                  <w:shd w:val="clear" w:color="auto" w:fill="auto"/>
                  <w:vAlign w:val="center"/>
                </w:tcPr>
                <w:p w14:paraId="55BA3410">
                  <w:pPr>
                    <w:widowControl/>
                    <w:jc w:val="center"/>
                    <w:rPr>
                      <w:rFonts w:hint="default" w:ascii="Times New Roman" w:hAnsi="Times New Roman" w:eastAsia="宋体" w:cs="Times New Roman"/>
                      <w:bCs/>
                      <w:color w:val="auto"/>
                      <w:kern w:val="0"/>
                      <w:sz w:val="21"/>
                      <w:szCs w:val="21"/>
                      <w:lang w:val="en-US" w:eastAsia="zh-CN" w:bidi="ar-SA"/>
                    </w:rPr>
                  </w:pPr>
                  <w:r>
                    <w:rPr>
                      <w:rFonts w:hint="eastAsia" w:cs="Times New Roman"/>
                      <w:bCs/>
                      <w:color w:val="auto"/>
                      <w:kern w:val="0"/>
                      <w:sz w:val="21"/>
                      <w:szCs w:val="21"/>
                      <w:lang w:val="en-US" w:eastAsia="zh-CN" w:bidi="ar-SA"/>
                    </w:rPr>
                    <w:t>/</w:t>
                  </w:r>
                </w:p>
              </w:tc>
              <w:tc>
                <w:tcPr>
                  <w:tcW w:w="746" w:type="pct"/>
                  <w:tcBorders>
                    <w:tl2br w:val="nil"/>
                    <w:tr2bl w:val="nil"/>
                  </w:tcBorders>
                  <w:shd w:val="clear" w:color="auto" w:fill="auto"/>
                  <w:vAlign w:val="center"/>
                </w:tcPr>
                <w:p w14:paraId="4AE7427B">
                  <w:pPr>
                    <w:pStyle w:val="22"/>
                    <w:widowControl w:val="0"/>
                    <w:snapToGrid w:val="0"/>
                    <w:spacing w:before="0" w:beforeAutospacing="0" w:after="0" w:afterAutospacing="0"/>
                    <w:jc w:val="center"/>
                    <w:rPr>
                      <w:rFonts w:ascii="Times New Roman" w:hAnsi="Times New Roman"/>
                      <w:bCs/>
                      <w:color w:val="auto"/>
                      <w:sz w:val="21"/>
                      <w:szCs w:val="21"/>
                    </w:rPr>
                  </w:pPr>
                  <w:r>
                    <w:rPr>
                      <w:rFonts w:hint="eastAsia" w:ascii="Times New Roman" w:hAnsi="Times New Roman"/>
                      <w:bCs/>
                      <w:color w:val="auto"/>
                      <w:sz w:val="21"/>
                      <w:szCs w:val="21"/>
                    </w:rPr>
                    <w:t>SW59</w:t>
                  </w:r>
                </w:p>
                <w:p w14:paraId="64EF2E2D">
                  <w:pPr>
                    <w:pStyle w:val="22"/>
                    <w:widowControl w:val="0"/>
                    <w:snapToGrid w:val="0"/>
                    <w:spacing w:before="0" w:beforeAutospacing="0" w:after="0" w:afterAutospacing="0"/>
                    <w:jc w:val="center"/>
                    <w:rPr>
                      <w:rFonts w:hint="default" w:ascii="Times New Roman" w:hAnsi="Times New Roman" w:eastAsia="宋体" w:cs="Times New Roman"/>
                      <w:bCs/>
                      <w:color w:val="auto"/>
                      <w:kern w:val="0"/>
                      <w:sz w:val="21"/>
                      <w:szCs w:val="21"/>
                      <w:lang w:val="en-US" w:eastAsia="zh-CN" w:bidi="ar"/>
                    </w:rPr>
                  </w:pPr>
                  <w:r>
                    <w:rPr>
                      <w:rFonts w:hint="eastAsia" w:ascii="Times New Roman" w:hAnsi="Times New Roman"/>
                      <w:bCs/>
                      <w:color w:val="auto"/>
                      <w:sz w:val="21"/>
                      <w:szCs w:val="21"/>
                    </w:rPr>
                    <w:t>其他工业固体废物</w:t>
                  </w:r>
                </w:p>
              </w:tc>
              <w:tc>
                <w:tcPr>
                  <w:tcW w:w="748" w:type="pct"/>
                  <w:tcBorders>
                    <w:tl2br w:val="nil"/>
                    <w:tr2bl w:val="nil"/>
                  </w:tcBorders>
                  <w:shd w:val="clear" w:color="auto" w:fill="auto"/>
                  <w:vAlign w:val="center"/>
                </w:tcPr>
                <w:p w14:paraId="4A6F4190">
                  <w:pPr>
                    <w:pStyle w:val="22"/>
                    <w:spacing w:before="0" w:beforeAutospacing="0" w:after="0"/>
                    <w:jc w:val="center"/>
                    <w:rPr>
                      <w:rFonts w:hint="default" w:ascii="Times New Roman" w:hAnsi="Times New Roman" w:eastAsia="宋体" w:cs="Times New Roman"/>
                      <w:bCs/>
                      <w:color w:val="auto"/>
                      <w:kern w:val="2"/>
                      <w:sz w:val="21"/>
                      <w:szCs w:val="21"/>
                      <w:lang w:val="en-US" w:eastAsia="zh-CN" w:bidi="ar"/>
                    </w:rPr>
                  </w:pPr>
                  <w:r>
                    <w:rPr>
                      <w:rFonts w:hint="eastAsia" w:ascii="Times New Roman" w:hAnsi="Times New Roman"/>
                      <w:bCs/>
                      <w:color w:val="auto"/>
                      <w:kern w:val="2"/>
                      <w:sz w:val="21"/>
                      <w:szCs w:val="21"/>
                    </w:rPr>
                    <w:t>900-002-S59</w:t>
                  </w:r>
                </w:p>
              </w:tc>
              <w:tc>
                <w:tcPr>
                  <w:tcW w:w="456" w:type="pct"/>
                  <w:tcBorders>
                    <w:tl2br w:val="nil"/>
                    <w:tr2bl w:val="nil"/>
                  </w:tcBorders>
                  <w:shd w:val="clear" w:color="auto" w:fill="auto"/>
                  <w:vAlign w:val="center"/>
                </w:tcPr>
                <w:p w14:paraId="17EA0965">
                  <w:pPr>
                    <w:widowControl/>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0.</w:t>
                  </w:r>
                  <w:r>
                    <w:rPr>
                      <w:rFonts w:hint="eastAsia" w:cs="Times New Roman"/>
                      <w:color w:val="auto"/>
                      <w:kern w:val="2"/>
                      <w:sz w:val="21"/>
                      <w:szCs w:val="21"/>
                      <w:lang w:val="en-US" w:eastAsia="zh-CN" w:bidi="ar-SA"/>
                    </w:rPr>
                    <w:t>6</w:t>
                  </w:r>
                  <w:r>
                    <w:rPr>
                      <w:rFonts w:hint="eastAsia" w:ascii="Times New Roman" w:hAnsi="Times New Roman" w:eastAsia="宋体" w:cs="Times New Roman"/>
                      <w:color w:val="auto"/>
                      <w:kern w:val="2"/>
                      <w:sz w:val="21"/>
                      <w:szCs w:val="21"/>
                      <w:lang w:val="en-US" w:eastAsia="zh-CN" w:bidi="ar-SA"/>
                    </w:rPr>
                    <w:t>t/5a</w:t>
                  </w:r>
                </w:p>
              </w:tc>
              <w:tc>
                <w:tcPr>
                  <w:tcW w:w="298" w:type="pct"/>
                  <w:tcBorders>
                    <w:tl2br w:val="nil"/>
                    <w:tr2bl w:val="nil"/>
                  </w:tcBorders>
                  <w:vAlign w:val="center"/>
                </w:tcPr>
                <w:p w14:paraId="21985411">
                  <w:pPr>
                    <w:snapToGrid w:val="0"/>
                    <w:jc w:val="center"/>
                    <w:textAlignment w:val="baseline"/>
                    <w:rPr>
                      <w:rFonts w:hint="eastAsia" w:ascii="Times New Roman" w:hAnsi="Times New Roman" w:cs="Times New Roman"/>
                      <w:color w:val="auto"/>
                      <w:sz w:val="21"/>
                      <w:szCs w:val="21"/>
                      <w:lang w:bidi="ar-SA"/>
                    </w:rPr>
                  </w:pPr>
                </w:p>
              </w:tc>
            </w:tr>
            <w:tr w14:paraId="4973DF72">
              <w:tblPrEx>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CellMar>
                  <w:top w:w="0" w:type="dxa"/>
                  <w:left w:w="28" w:type="dxa"/>
                  <w:bottom w:w="0" w:type="dxa"/>
                  <w:right w:w="28" w:type="dxa"/>
                </w:tblCellMar>
              </w:tblPrEx>
              <w:trPr>
                <w:trHeight w:val="23" w:hRule="atLeast"/>
                <w:jc w:val="center"/>
              </w:trPr>
              <w:tc>
                <w:tcPr>
                  <w:tcW w:w="233" w:type="pct"/>
                  <w:tcBorders>
                    <w:tl2br w:val="nil"/>
                    <w:tr2bl w:val="nil"/>
                  </w:tcBorders>
                  <w:vAlign w:val="center"/>
                </w:tcPr>
                <w:p w14:paraId="4691E01A">
                  <w:pPr>
                    <w:numPr>
                      <w:ilvl w:val="0"/>
                      <w:numId w:val="15"/>
                    </w:numPr>
                    <w:snapToGrid w:val="0"/>
                    <w:ind w:left="0" w:leftChars="0" w:firstLine="0" w:firstLineChars="0"/>
                    <w:jc w:val="center"/>
                    <w:textAlignment w:val="baseline"/>
                    <w:rPr>
                      <w:rFonts w:hint="default" w:cs="Times New Roman"/>
                      <w:color w:val="auto"/>
                      <w:sz w:val="21"/>
                      <w:szCs w:val="21"/>
                      <w:lang w:val="en-US" w:eastAsia="zh-CN" w:bidi="ar-SA"/>
                    </w:rPr>
                  </w:pPr>
                </w:p>
              </w:tc>
              <w:tc>
                <w:tcPr>
                  <w:tcW w:w="451" w:type="pct"/>
                  <w:tcBorders>
                    <w:tl2br w:val="nil"/>
                    <w:tr2bl w:val="nil"/>
                  </w:tcBorders>
                  <w:shd w:val="clear" w:color="auto" w:fill="auto"/>
                  <w:vAlign w:val="center"/>
                </w:tcPr>
                <w:p w14:paraId="0FD6F7D2">
                  <w:pPr>
                    <w:widowControl/>
                    <w:jc w:val="center"/>
                    <w:rPr>
                      <w:rFonts w:hint="default" w:ascii="Times New Roman" w:hAnsi="Times New Roman" w:eastAsia="宋体" w:cs="Times New Roman"/>
                      <w:bCs/>
                      <w:snapToGrid w:val="0"/>
                      <w:color w:val="auto"/>
                      <w:spacing w:val="6"/>
                      <w:kern w:val="2"/>
                      <w:sz w:val="21"/>
                      <w:szCs w:val="21"/>
                      <w:lang w:val="en-US" w:eastAsia="zh-CN" w:bidi="ar"/>
                    </w:rPr>
                  </w:pPr>
                  <w:r>
                    <w:rPr>
                      <w:rFonts w:hint="default" w:ascii="Times New Roman" w:hAnsi="Times New Roman" w:eastAsia="宋体" w:cs="Times New Roman"/>
                      <w:bCs/>
                      <w:snapToGrid w:val="0"/>
                      <w:color w:val="auto"/>
                      <w:spacing w:val="6"/>
                      <w:sz w:val="21"/>
                      <w:szCs w:val="21"/>
                    </w:rPr>
                    <w:t>废深孔钻油</w:t>
                  </w:r>
                </w:p>
              </w:tc>
              <w:tc>
                <w:tcPr>
                  <w:tcW w:w="205" w:type="pct"/>
                  <w:vMerge w:val="restart"/>
                  <w:tcBorders>
                    <w:tl2br w:val="nil"/>
                    <w:tr2bl w:val="nil"/>
                  </w:tcBorders>
                  <w:vAlign w:val="center"/>
                </w:tcPr>
                <w:p w14:paraId="132F3356">
                  <w:pPr>
                    <w:snapToGrid w:val="0"/>
                    <w:jc w:val="center"/>
                    <w:textAlignment w:val="baseline"/>
                    <w:rPr>
                      <w:rFonts w:hint="default" w:ascii="Times New Roman" w:hAnsi="Times New Roman" w:cs="Times New Roman"/>
                      <w:color w:val="auto"/>
                      <w:sz w:val="21"/>
                      <w:szCs w:val="21"/>
                      <w:lang w:bidi="ar-SA"/>
                    </w:rPr>
                  </w:pPr>
                  <w:r>
                    <w:rPr>
                      <w:rFonts w:hint="eastAsia" w:ascii="Times New Roman" w:hAnsi="Times New Roman" w:eastAsia="宋体" w:cs="Times New Roman"/>
                      <w:bCs/>
                      <w:color w:val="auto"/>
                      <w:kern w:val="0"/>
                      <w:sz w:val="21"/>
                      <w:szCs w:val="21"/>
                      <w:lang w:val="en-US" w:eastAsia="zh-CN" w:bidi="ar-SA"/>
                    </w:rPr>
                    <w:t>危险废物</w:t>
                  </w:r>
                </w:p>
              </w:tc>
              <w:tc>
                <w:tcPr>
                  <w:tcW w:w="716" w:type="pct"/>
                  <w:tcBorders>
                    <w:tl2br w:val="nil"/>
                    <w:tr2bl w:val="nil"/>
                  </w:tcBorders>
                  <w:shd w:val="clear" w:color="auto" w:fill="auto"/>
                  <w:vAlign w:val="center"/>
                </w:tcPr>
                <w:p w14:paraId="45A57584">
                  <w:pPr>
                    <w:pStyle w:val="2"/>
                    <w:spacing w:before="0" w:after="0" w:line="240" w:lineRule="auto"/>
                    <w:jc w:val="center"/>
                    <w:rPr>
                      <w:rFonts w:hint="eastAsia" w:ascii="Times New Roman" w:hAnsi="Times New Roman" w:eastAsia="宋体" w:cs="Times New Roman"/>
                      <w:b w:val="0"/>
                      <w:bCs w:val="0"/>
                      <w:color w:val="auto"/>
                      <w:kern w:val="2"/>
                      <w:sz w:val="21"/>
                      <w:szCs w:val="21"/>
                      <w:lang w:val="en-US" w:eastAsia="zh-CN" w:bidi="ar"/>
                    </w:rPr>
                  </w:pPr>
                  <w:r>
                    <w:rPr>
                      <w:rFonts w:hint="default" w:ascii="Times New Roman" w:hAnsi="Times New Roman" w:eastAsia="宋体" w:cs="Times New Roman"/>
                      <w:b w:val="0"/>
                      <w:bCs w:val="0"/>
                      <w:color w:val="auto"/>
                      <w:kern w:val="2"/>
                      <w:sz w:val="21"/>
                      <w:szCs w:val="21"/>
                      <w:lang w:val="en-US" w:eastAsia="zh-CN" w:bidi="ar"/>
                    </w:rPr>
                    <w:t>钻孔、倒角</w:t>
                  </w:r>
                </w:p>
              </w:tc>
              <w:tc>
                <w:tcPr>
                  <w:tcW w:w="360" w:type="pct"/>
                  <w:tcBorders>
                    <w:tl2br w:val="nil"/>
                    <w:tr2bl w:val="nil"/>
                  </w:tcBorders>
                  <w:shd w:val="clear" w:color="auto" w:fill="auto"/>
                  <w:vAlign w:val="center"/>
                </w:tcPr>
                <w:p w14:paraId="2F40AC3E">
                  <w:pPr>
                    <w:pStyle w:val="2"/>
                    <w:spacing w:before="0" w:after="0" w:line="240" w:lineRule="auto"/>
                    <w:jc w:val="center"/>
                    <w:rPr>
                      <w:rFonts w:hint="default" w:ascii="Times New Roman" w:hAnsi="Times New Roman" w:eastAsia="宋体" w:cs="Times New Roman"/>
                      <w:b w:val="0"/>
                      <w:bCs w:val="0"/>
                      <w:color w:val="auto"/>
                      <w:kern w:val="2"/>
                      <w:sz w:val="21"/>
                      <w:szCs w:val="21"/>
                      <w:lang w:val="en-US" w:eastAsia="zh-CN" w:bidi="ar"/>
                    </w:rPr>
                  </w:pPr>
                  <w:r>
                    <w:rPr>
                      <w:rFonts w:hint="eastAsia" w:ascii="Times New Roman" w:hAnsi="Times New Roman" w:cs="Times New Roman"/>
                      <w:b w:val="0"/>
                      <w:bCs w:val="0"/>
                      <w:color w:val="auto"/>
                      <w:kern w:val="2"/>
                      <w:sz w:val="21"/>
                      <w:szCs w:val="21"/>
                      <w:lang w:val="en-US" w:eastAsia="zh-CN" w:bidi="ar"/>
                    </w:rPr>
                    <w:t>液态</w:t>
                  </w:r>
                </w:p>
              </w:tc>
              <w:tc>
                <w:tcPr>
                  <w:tcW w:w="473" w:type="pct"/>
                  <w:tcBorders>
                    <w:tl2br w:val="nil"/>
                    <w:tr2bl w:val="nil"/>
                  </w:tcBorders>
                  <w:shd w:val="clear" w:color="auto" w:fill="auto"/>
                  <w:vAlign w:val="center"/>
                </w:tcPr>
                <w:p w14:paraId="56491833">
                  <w:pPr>
                    <w:pStyle w:val="2"/>
                    <w:spacing w:before="0" w:after="0" w:line="240" w:lineRule="auto"/>
                    <w:jc w:val="center"/>
                    <w:rPr>
                      <w:rFonts w:hint="default" w:ascii="Times New Roman" w:hAnsi="Times New Roman" w:eastAsia="宋体" w:cs="Times New Roman"/>
                      <w:b w:val="0"/>
                      <w:bCs w:val="0"/>
                      <w:color w:val="auto"/>
                      <w:spacing w:val="6"/>
                      <w:kern w:val="2"/>
                      <w:sz w:val="21"/>
                      <w:szCs w:val="21"/>
                      <w:lang w:val="en-US" w:eastAsia="zh-CN" w:bidi="ar"/>
                    </w:rPr>
                  </w:pPr>
                  <w:r>
                    <w:rPr>
                      <w:rFonts w:hint="eastAsia" w:ascii="Times New Roman" w:hAnsi="Times New Roman" w:cs="Times New Roman"/>
                      <w:b w:val="0"/>
                      <w:bCs w:val="0"/>
                      <w:color w:val="auto"/>
                      <w:spacing w:val="6"/>
                      <w:kern w:val="2"/>
                      <w:sz w:val="21"/>
                      <w:szCs w:val="21"/>
                      <w:lang w:val="en-US" w:eastAsia="zh-CN" w:bidi="ar"/>
                    </w:rPr>
                    <w:t>矿物油等</w:t>
                  </w:r>
                </w:p>
              </w:tc>
              <w:tc>
                <w:tcPr>
                  <w:tcW w:w="309" w:type="pct"/>
                  <w:tcBorders>
                    <w:tl2br w:val="nil"/>
                    <w:tr2bl w:val="nil"/>
                  </w:tcBorders>
                  <w:shd w:val="clear" w:color="auto" w:fill="auto"/>
                  <w:vAlign w:val="center"/>
                </w:tcPr>
                <w:p w14:paraId="03E2F82D">
                  <w:pPr>
                    <w:pStyle w:val="2"/>
                    <w:spacing w:before="0" w:after="0" w:line="240" w:lineRule="auto"/>
                    <w:jc w:val="center"/>
                    <w:rPr>
                      <w:rFonts w:hint="eastAsia" w:ascii="Times New Roman" w:hAnsi="Times New Roman" w:eastAsia="宋体" w:cs="Times New Roman"/>
                      <w:b w:val="0"/>
                      <w:bCs w:val="0"/>
                      <w:color w:val="auto"/>
                      <w:kern w:val="2"/>
                      <w:sz w:val="21"/>
                      <w:szCs w:val="21"/>
                      <w:lang w:val="en-US" w:eastAsia="zh-CN" w:bidi="ar"/>
                    </w:rPr>
                  </w:pPr>
                  <w:r>
                    <w:rPr>
                      <w:rFonts w:hint="default" w:ascii="Times New Roman" w:hAnsi="Times New Roman" w:eastAsia="宋体" w:cs="Times New Roman"/>
                      <w:b w:val="0"/>
                      <w:bCs w:val="0"/>
                      <w:color w:val="auto"/>
                      <w:kern w:val="2"/>
                      <w:sz w:val="21"/>
                      <w:szCs w:val="21"/>
                      <w:lang w:val="en-US" w:eastAsia="zh-CN" w:bidi="ar"/>
                    </w:rPr>
                    <w:t>T，I</w:t>
                  </w:r>
                </w:p>
              </w:tc>
              <w:tc>
                <w:tcPr>
                  <w:tcW w:w="746" w:type="pct"/>
                  <w:tcBorders>
                    <w:tl2br w:val="nil"/>
                    <w:tr2bl w:val="nil"/>
                  </w:tcBorders>
                  <w:shd w:val="clear" w:color="auto" w:fill="auto"/>
                  <w:vAlign w:val="center"/>
                </w:tcPr>
                <w:p w14:paraId="2958E089">
                  <w:pPr>
                    <w:pStyle w:val="2"/>
                    <w:spacing w:before="0" w:after="0" w:line="240" w:lineRule="auto"/>
                    <w:jc w:val="center"/>
                    <w:rPr>
                      <w:rFonts w:hint="default" w:ascii="Times New Roman" w:hAnsi="Times New Roman" w:eastAsia="宋体" w:cs="Times New Roman"/>
                      <w:b w:val="0"/>
                      <w:bCs w:val="0"/>
                      <w:color w:val="auto"/>
                      <w:kern w:val="2"/>
                      <w:sz w:val="21"/>
                      <w:szCs w:val="21"/>
                      <w:lang w:val="en-US" w:eastAsia="zh-CN" w:bidi="ar"/>
                    </w:rPr>
                  </w:pPr>
                  <w:r>
                    <w:rPr>
                      <w:rFonts w:hint="default" w:ascii="Times New Roman" w:hAnsi="Times New Roman" w:eastAsia="宋体" w:cs="Times New Roman"/>
                      <w:b w:val="0"/>
                      <w:bCs w:val="0"/>
                      <w:color w:val="auto"/>
                      <w:kern w:val="2"/>
                      <w:sz w:val="21"/>
                      <w:szCs w:val="21"/>
                      <w:lang w:val="en-US" w:eastAsia="zh-CN" w:bidi="ar"/>
                    </w:rPr>
                    <w:t>HW08</w:t>
                  </w:r>
                </w:p>
              </w:tc>
              <w:tc>
                <w:tcPr>
                  <w:tcW w:w="748" w:type="pct"/>
                  <w:tcBorders>
                    <w:tl2br w:val="nil"/>
                    <w:tr2bl w:val="nil"/>
                  </w:tcBorders>
                  <w:shd w:val="clear" w:color="auto" w:fill="auto"/>
                  <w:vAlign w:val="center"/>
                </w:tcPr>
                <w:p w14:paraId="32E26DF8">
                  <w:pPr>
                    <w:pStyle w:val="2"/>
                    <w:spacing w:before="0" w:after="0" w:line="240" w:lineRule="auto"/>
                    <w:jc w:val="center"/>
                    <w:rPr>
                      <w:rFonts w:hint="default" w:ascii="Times New Roman" w:hAnsi="Times New Roman" w:eastAsia="宋体" w:cs="Times New Roman"/>
                      <w:b w:val="0"/>
                      <w:bCs w:val="0"/>
                      <w:color w:val="auto"/>
                      <w:kern w:val="2"/>
                      <w:sz w:val="21"/>
                      <w:szCs w:val="21"/>
                      <w:lang w:val="en-US" w:eastAsia="zh-CN" w:bidi="ar"/>
                    </w:rPr>
                  </w:pPr>
                  <w:r>
                    <w:rPr>
                      <w:rFonts w:hint="default" w:ascii="Times New Roman" w:hAnsi="Times New Roman" w:eastAsia="宋体" w:cs="Times New Roman"/>
                      <w:b w:val="0"/>
                      <w:bCs w:val="0"/>
                      <w:color w:val="auto"/>
                      <w:kern w:val="2"/>
                      <w:sz w:val="21"/>
                      <w:szCs w:val="21"/>
                      <w:lang w:val="en-US" w:eastAsia="zh-CN" w:bidi="ar"/>
                    </w:rPr>
                    <w:t>900-249-08</w:t>
                  </w:r>
                </w:p>
              </w:tc>
              <w:tc>
                <w:tcPr>
                  <w:tcW w:w="456" w:type="pct"/>
                  <w:tcBorders>
                    <w:tl2br w:val="nil"/>
                    <w:tr2bl w:val="nil"/>
                  </w:tcBorders>
                  <w:shd w:val="clear" w:color="auto" w:fill="auto"/>
                  <w:vAlign w:val="center"/>
                </w:tcPr>
                <w:p w14:paraId="28AC55AD">
                  <w:pPr>
                    <w:pStyle w:val="2"/>
                    <w:spacing w:before="0" w:after="0" w:line="240" w:lineRule="auto"/>
                    <w:jc w:val="center"/>
                    <w:rPr>
                      <w:rFonts w:hint="default" w:ascii="Times New Roman" w:hAnsi="Times New Roman" w:eastAsia="宋体" w:cs="Times New Roman"/>
                      <w:b w:val="0"/>
                      <w:bCs w:val="0"/>
                      <w:color w:val="auto"/>
                      <w:kern w:val="2"/>
                      <w:sz w:val="21"/>
                      <w:szCs w:val="21"/>
                      <w:lang w:val="en-US" w:eastAsia="zh-CN" w:bidi="ar"/>
                    </w:rPr>
                  </w:pPr>
                  <w:r>
                    <w:rPr>
                      <w:rFonts w:hint="eastAsia" w:ascii="Times New Roman" w:hAnsi="Times New Roman" w:cs="Times New Roman"/>
                      <w:b w:val="0"/>
                      <w:bCs w:val="0"/>
                      <w:color w:val="auto"/>
                      <w:kern w:val="2"/>
                      <w:sz w:val="21"/>
                      <w:szCs w:val="21"/>
                      <w:lang w:val="en-US" w:eastAsia="zh-CN" w:bidi="ar"/>
                    </w:rPr>
                    <w:t>12.15</w:t>
                  </w:r>
                </w:p>
              </w:tc>
              <w:tc>
                <w:tcPr>
                  <w:tcW w:w="298" w:type="pct"/>
                  <w:vMerge w:val="restart"/>
                  <w:tcBorders>
                    <w:tl2br w:val="nil"/>
                    <w:tr2bl w:val="nil"/>
                  </w:tcBorders>
                  <w:vAlign w:val="center"/>
                </w:tcPr>
                <w:p w14:paraId="3E44D626">
                  <w:pPr>
                    <w:snapToGrid w:val="0"/>
                    <w:jc w:val="center"/>
                    <w:textAlignment w:val="baseline"/>
                    <w:rPr>
                      <w:rFonts w:hint="eastAsia" w:ascii="Times New Roman" w:hAnsi="Times New Roman" w:cs="Times New Roman"/>
                      <w:color w:val="auto"/>
                      <w:sz w:val="21"/>
                      <w:szCs w:val="21"/>
                      <w:lang w:bidi="ar-SA"/>
                    </w:rPr>
                  </w:pPr>
                  <w:r>
                    <w:rPr>
                      <w:rFonts w:hint="eastAsia" w:ascii="Times New Roman" w:hAnsi="Times New Roman" w:cs="Times New Roman"/>
                      <w:color w:val="auto"/>
                      <w:sz w:val="21"/>
                      <w:szCs w:val="21"/>
                      <w:lang w:bidi="ar-SA"/>
                    </w:rPr>
                    <w:t>委托资质单位处置</w:t>
                  </w:r>
                </w:p>
              </w:tc>
            </w:tr>
            <w:tr w14:paraId="314973D0">
              <w:tblPrEx>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CellMar>
                  <w:top w:w="0" w:type="dxa"/>
                  <w:left w:w="28" w:type="dxa"/>
                  <w:bottom w:w="0" w:type="dxa"/>
                  <w:right w:w="28" w:type="dxa"/>
                </w:tblCellMar>
              </w:tblPrEx>
              <w:trPr>
                <w:trHeight w:val="23" w:hRule="atLeast"/>
                <w:jc w:val="center"/>
              </w:trPr>
              <w:tc>
                <w:tcPr>
                  <w:tcW w:w="233" w:type="pct"/>
                  <w:tcBorders>
                    <w:tl2br w:val="nil"/>
                    <w:tr2bl w:val="nil"/>
                  </w:tcBorders>
                  <w:vAlign w:val="center"/>
                </w:tcPr>
                <w:p w14:paraId="0A71884F">
                  <w:pPr>
                    <w:numPr>
                      <w:ilvl w:val="0"/>
                      <w:numId w:val="15"/>
                    </w:numPr>
                    <w:snapToGrid w:val="0"/>
                    <w:ind w:left="0" w:leftChars="0" w:firstLine="0" w:firstLineChars="0"/>
                    <w:jc w:val="center"/>
                    <w:textAlignment w:val="baseline"/>
                    <w:rPr>
                      <w:rFonts w:hint="default" w:cs="Times New Roman"/>
                      <w:color w:val="auto"/>
                      <w:sz w:val="21"/>
                      <w:szCs w:val="21"/>
                      <w:lang w:val="en-US" w:eastAsia="zh-CN" w:bidi="ar-SA"/>
                    </w:rPr>
                  </w:pPr>
                </w:p>
              </w:tc>
              <w:tc>
                <w:tcPr>
                  <w:tcW w:w="451" w:type="pct"/>
                  <w:tcBorders>
                    <w:tl2br w:val="nil"/>
                    <w:tr2bl w:val="nil"/>
                  </w:tcBorders>
                  <w:shd w:val="clear" w:color="auto" w:fill="auto"/>
                  <w:vAlign w:val="center"/>
                </w:tcPr>
                <w:p w14:paraId="75A19AA7">
                  <w:pPr>
                    <w:widowControl/>
                    <w:jc w:val="center"/>
                    <w:rPr>
                      <w:rFonts w:hint="default" w:ascii="Times New Roman" w:hAnsi="Times New Roman" w:eastAsia="宋体" w:cs="Times New Roman"/>
                      <w:bCs/>
                      <w:snapToGrid w:val="0"/>
                      <w:color w:val="auto"/>
                      <w:spacing w:val="6"/>
                      <w:kern w:val="2"/>
                      <w:sz w:val="21"/>
                      <w:szCs w:val="21"/>
                      <w:lang w:val="en-US" w:eastAsia="zh-CN" w:bidi="ar"/>
                    </w:rPr>
                  </w:pPr>
                  <w:r>
                    <w:rPr>
                      <w:rFonts w:hint="default" w:ascii="Times New Roman" w:hAnsi="Times New Roman" w:eastAsia="宋体" w:cs="Times New Roman"/>
                      <w:bCs/>
                      <w:snapToGrid w:val="0"/>
                      <w:color w:val="auto"/>
                      <w:spacing w:val="6"/>
                      <w:sz w:val="21"/>
                      <w:szCs w:val="21"/>
                    </w:rPr>
                    <w:t>含油废屑</w:t>
                  </w:r>
                </w:p>
              </w:tc>
              <w:tc>
                <w:tcPr>
                  <w:tcW w:w="205" w:type="pct"/>
                  <w:vMerge w:val="continue"/>
                  <w:tcBorders>
                    <w:tl2br w:val="nil"/>
                    <w:tr2bl w:val="nil"/>
                  </w:tcBorders>
                  <w:vAlign w:val="center"/>
                </w:tcPr>
                <w:p w14:paraId="3DC8E318">
                  <w:pPr>
                    <w:snapToGrid w:val="0"/>
                    <w:jc w:val="center"/>
                    <w:textAlignment w:val="baseline"/>
                    <w:rPr>
                      <w:rFonts w:hint="default" w:ascii="Times New Roman" w:hAnsi="Times New Roman" w:cs="Times New Roman"/>
                      <w:color w:val="auto"/>
                      <w:sz w:val="21"/>
                      <w:szCs w:val="21"/>
                      <w:lang w:bidi="ar-SA"/>
                    </w:rPr>
                  </w:pPr>
                </w:p>
              </w:tc>
              <w:tc>
                <w:tcPr>
                  <w:tcW w:w="716" w:type="pct"/>
                  <w:tcBorders>
                    <w:tl2br w:val="nil"/>
                    <w:tr2bl w:val="nil"/>
                  </w:tcBorders>
                  <w:shd w:val="clear" w:color="auto" w:fill="auto"/>
                  <w:vAlign w:val="center"/>
                </w:tcPr>
                <w:p w14:paraId="2D0C7184">
                  <w:pPr>
                    <w:pStyle w:val="2"/>
                    <w:spacing w:before="0" w:after="0" w:line="240" w:lineRule="auto"/>
                    <w:jc w:val="center"/>
                    <w:rPr>
                      <w:rFonts w:hint="eastAsia" w:ascii="Times New Roman" w:hAnsi="Times New Roman" w:eastAsia="宋体" w:cs="Times New Roman"/>
                      <w:b w:val="0"/>
                      <w:bCs w:val="0"/>
                      <w:color w:val="auto"/>
                      <w:kern w:val="2"/>
                      <w:sz w:val="21"/>
                      <w:szCs w:val="21"/>
                      <w:lang w:val="en-US" w:eastAsia="zh-CN" w:bidi="ar"/>
                    </w:rPr>
                  </w:pPr>
                  <w:r>
                    <w:rPr>
                      <w:rFonts w:hint="default" w:ascii="Times New Roman" w:hAnsi="Times New Roman" w:eastAsia="宋体" w:cs="Times New Roman"/>
                      <w:b w:val="0"/>
                      <w:bCs w:val="0"/>
                      <w:color w:val="auto"/>
                      <w:kern w:val="2"/>
                      <w:sz w:val="21"/>
                      <w:szCs w:val="21"/>
                      <w:lang w:val="en-US" w:eastAsia="zh-CN" w:bidi="ar"/>
                    </w:rPr>
                    <w:t>钻孔、倒角、精加工、机械加工</w:t>
                  </w:r>
                </w:p>
              </w:tc>
              <w:tc>
                <w:tcPr>
                  <w:tcW w:w="360" w:type="pct"/>
                  <w:tcBorders>
                    <w:tl2br w:val="nil"/>
                    <w:tr2bl w:val="nil"/>
                  </w:tcBorders>
                  <w:shd w:val="clear" w:color="auto" w:fill="auto"/>
                  <w:vAlign w:val="center"/>
                </w:tcPr>
                <w:p w14:paraId="2944C0BB">
                  <w:pPr>
                    <w:pStyle w:val="2"/>
                    <w:spacing w:before="0" w:after="0" w:line="240" w:lineRule="auto"/>
                    <w:jc w:val="center"/>
                    <w:rPr>
                      <w:rFonts w:hint="default" w:ascii="Times New Roman" w:hAnsi="Times New Roman" w:eastAsia="宋体" w:cs="Times New Roman"/>
                      <w:b w:val="0"/>
                      <w:bCs w:val="0"/>
                      <w:color w:val="auto"/>
                      <w:kern w:val="2"/>
                      <w:sz w:val="21"/>
                      <w:szCs w:val="21"/>
                      <w:lang w:val="en-US" w:eastAsia="zh-CN" w:bidi="ar"/>
                    </w:rPr>
                  </w:pPr>
                  <w:r>
                    <w:rPr>
                      <w:rFonts w:hint="default" w:ascii="Times New Roman" w:hAnsi="Times New Roman" w:eastAsia="宋体" w:cs="Times New Roman"/>
                      <w:b w:val="0"/>
                      <w:bCs w:val="0"/>
                      <w:snapToGrid w:val="0"/>
                      <w:color w:val="auto"/>
                      <w:spacing w:val="6"/>
                      <w:sz w:val="21"/>
                      <w:szCs w:val="21"/>
                    </w:rPr>
                    <w:t>固态</w:t>
                  </w:r>
                </w:p>
              </w:tc>
              <w:tc>
                <w:tcPr>
                  <w:tcW w:w="473" w:type="pct"/>
                  <w:tcBorders>
                    <w:tl2br w:val="nil"/>
                    <w:tr2bl w:val="nil"/>
                  </w:tcBorders>
                  <w:shd w:val="clear" w:color="auto" w:fill="auto"/>
                  <w:vAlign w:val="center"/>
                </w:tcPr>
                <w:p w14:paraId="7542A562">
                  <w:pPr>
                    <w:pStyle w:val="2"/>
                    <w:spacing w:before="0" w:after="0" w:line="240" w:lineRule="auto"/>
                    <w:jc w:val="center"/>
                    <w:rPr>
                      <w:rFonts w:hint="default" w:ascii="Times New Roman" w:hAnsi="Times New Roman" w:eastAsia="宋体" w:cs="Times New Roman"/>
                      <w:b w:val="0"/>
                      <w:bCs w:val="0"/>
                      <w:color w:val="auto"/>
                      <w:spacing w:val="6"/>
                      <w:kern w:val="2"/>
                      <w:sz w:val="21"/>
                      <w:szCs w:val="21"/>
                      <w:lang w:val="en-US" w:eastAsia="zh-CN" w:bidi="ar"/>
                    </w:rPr>
                  </w:pPr>
                  <w:r>
                    <w:rPr>
                      <w:rFonts w:hint="default" w:ascii="Times New Roman" w:hAnsi="Times New Roman" w:eastAsia="宋体" w:cs="Times New Roman"/>
                      <w:b w:val="0"/>
                      <w:bCs w:val="0"/>
                      <w:color w:val="auto"/>
                      <w:spacing w:val="6"/>
                      <w:kern w:val="2"/>
                      <w:sz w:val="21"/>
                      <w:szCs w:val="21"/>
                      <w:lang w:val="en-US" w:eastAsia="zh-CN" w:bidi="ar"/>
                    </w:rPr>
                    <w:t>金属、切削液</w:t>
                  </w:r>
                </w:p>
              </w:tc>
              <w:tc>
                <w:tcPr>
                  <w:tcW w:w="309" w:type="pct"/>
                  <w:tcBorders>
                    <w:tl2br w:val="nil"/>
                    <w:tr2bl w:val="nil"/>
                  </w:tcBorders>
                  <w:shd w:val="clear" w:color="auto" w:fill="auto"/>
                  <w:vAlign w:val="center"/>
                </w:tcPr>
                <w:p w14:paraId="6D565109">
                  <w:pPr>
                    <w:pStyle w:val="22"/>
                    <w:widowControl w:val="0"/>
                    <w:snapToGrid w:val="0"/>
                    <w:spacing w:before="0" w:beforeAutospacing="0" w:after="0" w:afterAutospacing="0"/>
                    <w:jc w:val="center"/>
                    <w:rPr>
                      <w:rFonts w:hint="eastAsia" w:ascii="Times New Roman" w:hAnsi="Times New Roman" w:eastAsia="宋体" w:cs="Times New Roman"/>
                      <w:color w:val="auto"/>
                      <w:kern w:val="2"/>
                      <w:sz w:val="21"/>
                      <w:szCs w:val="21"/>
                      <w:lang w:val="en-US" w:eastAsia="zh-CN" w:bidi="ar"/>
                    </w:rPr>
                  </w:pPr>
                  <w:r>
                    <w:rPr>
                      <w:rFonts w:ascii="Times New Roman" w:hAnsi="Times New Roman"/>
                      <w:bCs/>
                      <w:color w:val="auto"/>
                      <w:sz w:val="21"/>
                      <w:szCs w:val="21"/>
                    </w:rPr>
                    <w:t>T</w:t>
                  </w:r>
                </w:p>
              </w:tc>
              <w:tc>
                <w:tcPr>
                  <w:tcW w:w="746" w:type="pct"/>
                  <w:tcBorders>
                    <w:tl2br w:val="nil"/>
                    <w:tr2bl w:val="nil"/>
                  </w:tcBorders>
                  <w:shd w:val="clear" w:color="auto" w:fill="auto"/>
                  <w:vAlign w:val="center"/>
                </w:tcPr>
                <w:p w14:paraId="41C326CA">
                  <w:pPr>
                    <w:adjustRightInd w:val="0"/>
                    <w:snapToGrid w:val="0"/>
                    <w:jc w:val="center"/>
                    <w:outlineLvl w:val="8"/>
                    <w:rPr>
                      <w:rFonts w:hint="default" w:ascii="Times New Roman" w:hAnsi="Times New Roman" w:eastAsia="宋体" w:cs="Times New Roman"/>
                      <w:color w:val="auto"/>
                      <w:kern w:val="2"/>
                      <w:sz w:val="21"/>
                      <w:szCs w:val="21"/>
                      <w:lang w:val="en-US" w:eastAsia="zh-CN" w:bidi="ar"/>
                    </w:rPr>
                  </w:pPr>
                  <w:r>
                    <w:rPr>
                      <w:color w:val="auto"/>
                    </w:rPr>
                    <w:t>HW09</w:t>
                  </w:r>
                </w:p>
              </w:tc>
              <w:tc>
                <w:tcPr>
                  <w:tcW w:w="748" w:type="pct"/>
                  <w:tcBorders>
                    <w:tl2br w:val="nil"/>
                    <w:tr2bl w:val="nil"/>
                  </w:tcBorders>
                  <w:shd w:val="clear" w:color="auto" w:fill="auto"/>
                  <w:vAlign w:val="center"/>
                </w:tcPr>
                <w:p w14:paraId="4A136C20">
                  <w:pPr>
                    <w:adjustRightInd w:val="0"/>
                    <w:snapToGrid w:val="0"/>
                    <w:jc w:val="center"/>
                    <w:outlineLvl w:val="8"/>
                    <w:rPr>
                      <w:rFonts w:hint="default" w:ascii="Times New Roman" w:hAnsi="Times New Roman" w:eastAsia="宋体" w:cs="Times New Roman"/>
                      <w:bCs/>
                      <w:color w:val="auto"/>
                      <w:kern w:val="2"/>
                      <w:sz w:val="21"/>
                      <w:szCs w:val="21"/>
                      <w:lang w:val="en-US" w:eastAsia="zh-CN" w:bidi="ar"/>
                    </w:rPr>
                  </w:pPr>
                  <w:r>
                    <w:rPr>
                      <w:color w:val="auto"/>
                    </w:rPr>
                    <w:t>900-006-09</w:t>
                  </w:r>
                </w:p>
              </w:tc>
              <w:tc>
                <w:tcPr>
                  <w:tcW w:w="456" w:type="pct"/>
                  <w:tcBorders>
                    <w:tl2br w:val="nil"/>
                    <w:tr2bl w:val="nil"/>
                  </w:tcBorders>
                  <w:shd w:val="clear" w:color="auto" w:fill="auto"/>
                  <w:vAlign w:val="center"/>
                </w:tcPr>
                <w:p w14:paraId="7C1A4E89">
                  <w:pPr>
                    <w:pStyle w:val="2"/>
                    <w:spacing w:before="0" w:after="0" w:line="240" w:lineRule="auto"/>
                    <w:jc w:val="center"/>
                    <w:rPr>
                      <w:rFonts w:hint="eastAsia" w:ascii="Times New Roman" w:hAnsi="Times New Roman" w:eastAsia="宋体" w:cs="Times New Roman"/>
                      <w:b w:val="0"/>
                      <w:bCs w:val="0"/>
                      <w:color w:val="auto"/>
                      <w:kern w:val="2"/>
                      <w:sz w:val="21"/>
                      <w:szCs w:val="21"/>
                      <w:lang w:val="en-US" w:eastAsia="zh-CN" w:bidi="ar"/>
                    </w:rPr>
                  </w:pPr>
                  <w:r>
                    <w:rPr>
                      <w:rFonts w:hint="eastAsia" w:ascii="Times New Roman" w:hAnsi="Times New Roman" w:eastAsia="宋体" w:cs="Times New Roman"/>
                      <w:b w:val="0"/>
                      <w:bCs w:val="0"/>
                      <w:color w:val="auto"/>
                      <w:kern w:val="2"/>
                      <w:sz w:val="21"/>
                      <w:szCs w:val="21"/>
                      <w:lang w:val="en-US" w:eastAsia="zh-CN" w:bidi="ar"/>
                    </w:rPr>
                    <w:t>4</w:t>
                  </w:r>
                </w:p>
              </w:tc>
              <w:tc>
                <w:tcPr>
                  <w:tcW w:w="298" w:type="pct"/>
                  <w:vMerge w:val="continue"/>
                  <w:tcBorders>
                    <w:tl2br w:val="nil"/>
                    <w:tr2bl w:val="nil"/>
                  </w:tcBorders>
                  <w:vAlign w:val="center"/>
                </w:tcPr>
                <w:p w14:paraId="10A53C7D">
                  <w:pPr>
                    <w:snapToGrid w:val="0"/>
                    <w:jc w:val="center"/>
                    <w:textAlignment w:val="baseline"/>
                    <w:rPr>
                      <w:rFonts w:hint="eastAsia" w:ascii="Times New Roman" w:hAnsi="Times New Roman" w:cs="Times New Roman"/>
                      <w:color w:val="auto"/>
                      <w:sz w:val="21"/>
                      <w:szCs w:val="21"/>
                      <w:lang w:bidi="ar-SA"/>
                    </w:rPr>
                  </w:pPr>
                </w:p>
              </w:tc>
            </w:tr>
            <w:tr w14:paraId="190A1B5A">
              <w:tblPrEx>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CellMar>
                  <w:top w:w="0" w:type="dxa"/>
                  <w:left w:w="28" w:type="dxa"/>
                  <w:bottom w:w="0" w:type="dxa"/>
                  <w:right w:w="28" w:type="dxa"/>
                </w:tblCellMar>
              </w:tblPrEx>
              <w:trPr>
                <w:trHeight w:val="23" w:hRule="atLeast"/>
                <w:jc w:val="center"/>
              </w:trPr>
              <w:tc>
                <w:tcPr>
                  <w:tcW w:w="233" w:type="pct"/>
                  <w:tcBorders>
                    <w:tl2br w:val="nil"/>
                    <w:tr2bl w:val="nil"/>
                  </w:tcBorders>
                  <w:vAlign w:val="center"/>
                </w:tcPr>
                <w:p w14:paraId="11BCEC2E">
                  <w:pPr>
                    <w:numPr>
                      <w:ilvl w:val="0"/>
                      <w:numId w:val="15"/>
                    </w:numPr>
                    <w:snapToGrid w:val="0"/>
                    <w:ind w:left="0" w:leftChars="0" w:firstLine="0" w:firstLineChars="0"/>
                    <w:jc w:val="center"/>
                    <w:textAlignment w:val="baseline"/>
                    <w:rPr>
                      <w:rFonts w:hint="default" w:cs="Times New Roman"/>
                      <w:color w:val="auto"/>
                      <w:sz w:val="21"/>
                      <w:szCs w:val="21"/>
                      <w:lang w:val="en-US" w:eastAsia="zh-CN" w:bidi="ar-SA"/>
                    </w:rPr>
                  </w:pPr>
                </w:p>
              </w:tc>
              <w:tc>
                <w:tcPr>
                  <w:tcW w:w="451" w:type="pct"/>
                  <w:tcBorders>
                    <w:tl2br w:val="nil"/>
                    <w:tr2bl w:val="nil"/>
                  </w:tcBorders>
                  <w:shd w:val="clear" w:color="auto" w:fill="auto"/>
                  <w:vAlign w:val="center"/>
                </w:tcPr>
                <w:p w14:paraId="418A9D56">
                  <w:pPr>
                    <w:widowControl/>
                    <w:jc w:val="center"/>
                    <w:rPr>
                      <w:rFonts w:hint="default" w:ascii="Times New Roman" w:hAnsi="Times New Roman" w:eastAsia="宋体" w:cs="Times New Roman"/>
                      <w:bCs/>
                      <w:snapToGrid w:val="0"/>
                      <w:color w:val="auto"/>
                      <w:spacing w:val="6"/>
                      <w:kern w:val="2"/>
                      <w:sz w:val="21"/>
                      <w:szCs w:val="21"/>
                      <w:lang w:val="en-US" w:eastAsia="zh-CN" w:bidi="ar"/>
                    </w:rPr>
                  </w:pPr>
                  <w:r>
                    <w:rPr>
                      <w:rFonts w:hint="default" w:ascii="Times New Roman" w:hAnsi="Times New Roman" w:eastAsia="宋体" w:cs="Times New Roman"/>
                      <w:bCs/>
                      <w:snapToGrid w:val="0"/>
                      <w:color w:val="auto"/>
                      <w:spacing w:val="6"/>
                      <w:sz w:val="21"/>
                      <w:szCs w:val="21"/>
                    </w:rPr>
                    <w:t>废切削液</w:t>
                  </w:r>
                </w:p>
              </w:tc>
              <w:tc>
                <w:tcPr>
                  <w:tcW w:w="205" w:type="pct"/>
                  <w:vMerge w:val="continue"/>
                  <w:tcBorders>
                    <w:tl2br w:val="nil"/>
                    <w:tr2bl w:val="nil"/>
                  </w:tcBorders>
                  <w:vAlign w:val="center"/>
                </w:tcPr>
                <w:p w14:paraId="18A8C171">
                  <w:pPr>
                    <w:snapToGrid w:val="0"/>
                    <w:jc w:val="center"/>
                    <w:textAlignment w:val="baseline"/>
                    <w:rPr>
                      <w:rFonts w:hint="default" w:ascii="Times New Roman" w:hAnsi="Times New Roman" w:cs="Times New Roman"/>
                      <w:color w:val="auto"/>
                      <w:sz w:val="21"/>
                      <w:szCs w:val="21"/>
                      <w:lang w:bidi="ar-SA"/>
                    </w:rPr>
                  </w:pPr>
                </w:p>
              </w:tc>
              <w:tc>
                <w:tcPr>
                  <w:tcW w:w="716" w:type="pct"/>
                  <w:tcBorders>
                    <w:tl2br w:val="nil"/>
                    <w:tr2bl w:val="nil"/>
                  </w:tcBorders>
                  <w:shd w:val="clear" w:color="auto" w:fill="auto"/>
                  <w:vAlign w:val="center"/>
                </w:tcPr>
                <w:p w14:paraId="23511232">
                  <w:pPr>
                    <w:pStyle w:val="2"/>
                    <w:spacing w:before="0" w:after="0" w:line="240" w:lineRule="auto"/>
                    <w:jc w:val="center"/>
                    <w:rPr>
                      <w:rFonts w:hint="eastAsia" w:ascii="Times New Roman" w:hAnsi="Times New Roman" w:eastAsia="宋体" w:cs="Times New Roman"/>
                      <w:b w:val="0"/>
                      <w:bCs w:val="0"/>
                      <w:color w:val="auto"/>
                      <w:kern w:val="2"/>
                      <w:sz w:val="21"/>
                      <w:szCs w:val="21"/>
                      <w:lang w:val="en-US" w:eastAsia="zh-CN" w:bidi="ar"/>
                    </w:rPr>
                  </w:pPr>
                  <w:r>
                    <w:rPr>
                      <w:rFonts w:hint="default" w:ascii="Times New Roman" w:hAnsi="Times New Roman" w:eastAsia="宋体" w:cs="Times New Roman"/>
                      <w:b w:val="0"/>
                      <w:bCs w:val="0"/>
                      <w:color w:val="auto"/>
                      <w:kern w:val="2"/>
                      <w:sz w:val="21"/>
                      <w:szCs w:val="21"/>
                      <w:lang w:val="en-US" w:eastAsia="zh-CN" w:bidi="ar"/>
                    </w:rPr>
                    <w:t>精加工</w:t>
                  </w:r>
                  <w:r>
                    <w:rPr>
                      <w:rFonts w:hint="eastAsia" w:ascii="Times New Roman" w:hAnsi="Times New Roman" w:eastAsia="宋体" w:cs="Times New Roman"/>
                      <w:b w:val="0"/>
                      <w:bCs w:val="0"/>
                      <w:color w:val="auto"/>
                      <w:kern w:val="2"/>
                      <w:sz w:val="21"/>
                      <w:szCs w:val="21"/>
                      <w:lang w:val="en-US" w:eastAsia="zh-CN" w:bidi="ar"/>
                    </w:rPr>
                    <w:t>、机械加工</w:t>
                  </w:r>
                </w:p>
              </w:tc>
              <w:tc>
                <w:tcPr>
                  <w:tcW w:w="360" w:type="pct"/>
                  <w:tcBorders>
                    <w:tl2br w:val="nil"/>
                    <w:tr2bl w:val="nil"/>
                  </w:tcBorders>
                  <w:shd w:val="clear" w:color="auto" w:fill="auto"/>
                  <w:vAlign w:val="center"/>
                </w:tcPr>
                <w:p w14:paraId="5D166D5E">
                  <w:pPr>
                    <w:pStyle w:val="2"/>
                    <w:spacing w:before="0" w:after="0" w:line="240" w:lineRule="auto"/>
                    <w:jc w:val="center"/>
                    <w:rPr>
                      <w:rFonts w:hint="default" w:ascii="Times New Roman" w:hAnsi="Times New Roman" w:eastAsia="宋体" w:cs="Times New Roman"/>
                      <w:b w:val="0"/>
                      <w:bCs w:val="0"/>
                      <w:color w:val="auto"/>
                      <w:kern w:val="2"/>
                      <w:sz w:val="21"/>
                      <w:szCs w:val="21"/>
                      <w:lang w:val="en-US" w:eastAsia="zh-CN" w:bidi="ar"/>
                    </w:rPr>
                  </w:pPr>
                  <w:r>
                    <w:rPr>
                      <w:rFonts w:hint="eastAsia" w:ascii="Times New Roman" w:hAnsi="Times New Roman" w:cs="Times New Roman"/>
                      <w:b w:val="0"/>
                      <w:bCs w:val="0"/>
                      <w:color w:val="auto"/>
                      <w:kern w:val="2"/>
                      <w:sz w:val="21"/>
                      <w:szCs w:val="21"/>
                      <w:lang w:val="en-US" w:eastAsia="zh-CN" w:bidi="ar"/>
                    </w:rPr>
                    <w:t>液态</w:t>
                  </w:r>
                </w:p>
              </w:tc>
              <w:tc>
                <w:tcPr>
                  <w:tcW w:w="473" w:type="pct"/>
                  <w:tcBorders>
                    <w:tl2br w:val="nil"/>
                    <w:tr2bl w:val="nil"/>
                  </w:tcBorders>
                  <w:shd w:val="clear" w:color="auto" w:fill="auto"/>
                  <w:vAlign w:val="center"/>
                </w:tcPr>
                <w:p w14:paraId="774DD549">
                  <w:pPr>
                    <w:pStyle w:val="2"/>
                    <w:spacing w:before="0" w:after="0" w:line="240" w:lineRule="auto"/>
                    <w:jc w:val="center"/>
                    <w:rPr>
                      <w:rFonts w:hint="default" w:ascii="Times New Roman" w:hAnsi="Times New Roman" w:eastAsia="宋体" w:cs="Times New Roman"/>
                      <w:b w:val="0"/>
                      <w:bCs w:val="0"/>
                      <w:color w:val="auto"/>
                      <w:spacing w:val="6"/>
                      <w:kern w:val="2"/>
                      <w:sz w:val="21"/>
                      <w:szCs w:val="21"/>
                      <w:lang w:val="en-US" w:eastAsia="zh-CN" w:bidi="ar"/>
                    </w:rPr>
                  </w:pPr>
                  <w:r>
                    <w:rPr>
                      <w:rFonts w:hint="default" w:ascii="Times New Roman" w:hAnsi="Times New Roman" w:eastAsia="宋体" w:cs="Times New Roman"/>
                      <w:b w:val="0"/>
                      <w:bCs w:val="0"/>
                      <w:color w:val="auto"/>
                      <w:spacing w:val="6"/>
                      <w:kern w:val="2"/>
                      <w:sz w:val="21"/>
                      <w:szCs w:val="21"/>
                      <w:lang w:val="en-US" w:eastAsia="zh-CN" w:bidi="ar"/>
                    </w:rPr>
                    <w:t>水、切削液</w:t>
                  </w:r>
                </w:p>
              </w:tc>
              <w:tc>
                <w:tcPr>
                  <w:tcW w:w="309" w:type="pct"/>
                  <w:tcBorders>
                    <w:tl2br w:val="nil"/>
                    <w:tr2bl w:val="nil"/>
                  </w:tcBorders>
                  <w:shd w:val="clear" w:color="auto" w:fill="auto"/>
                  <w:vAlign w:val="center"/>
                </w:tcPr>
                <w:p w14:paraId="0DD3B08B">
                  <w:pPr>
                    <w:pStyle w:val="22"/>
                    <w:widowControl w:val="0"/>
                    <w:snapToGrid w:val="0"/>
                    <w:spacing w:before="0" w:beforeAutospacing="0" w:after="0" w:afterAutospacing="0"/>
                    <w:jc w:val="center"/>
                    <w:rPr>
                      <w:rFonts w:hint="eastAsia" w:ascii="Times New Roman" w:hAnsi="Times New Roman" w:eastAsia="宋体" w:cs="Times New Roman"/>
                      <w:bCs/>
                      <w:color w:val="auto"/>
                      <w:kern w:val="0"/>
                      <w:sz w:val="21"/>
                      <w:szCs w:val="21"/>
                      <w:lang w:val="en-US" w:eastAsia="zh-CN" w:bidi="ar"/>
                    </w:rPr>
                  </w:pPr>
                  <w:r>
                    <w:rPr>
                      <w:rFonts w:ascii="Times New Roman" w:hAnsi="Times New Roman"/>
                      <w:color w:val="auto"/>
                      <w:sz w:val="21"/>
                      <w:szCs w:val="21"/>
                    </w:rPr>
                    <w:t>T</w:t>
                  </w:r>
                </w:p>
              </w:tc>
              <w:tc>
                <w:tcPr>
                  <w:tcW w:w="746" w:type="pct"/>
                  <w:tcBorders>
                    <w:tl2br w:val="nil"/>
                    <w:tr2bl w:val="nil"/>
                  </w:tcBorders>
                  <w:shd w:val="clear" w:color="auto" w:fill="auto"/>
                  <w:vAlign w:val="center"/>
                </w:tcPr>
                <w:p w14:paraId="275B2450">
                  <w:pPr>
                    <w:topLinePunct/>
                    <w:contextualSpacing/>
                    <w:jc w:val="center"/>
                    <w:outlineLvl w:val="8"/>
                    <w:rPr>
                      <w:rFonts w:hint="default" w:ascii="Times New Roman" w:hAnsi="Times New Roman" w:eastAsia="宋体" w:cs="Times New Roman"/>
                      <w:color w:val="auto"/>
                      <w:kern w:val="2"/>
                      <w:sz w:val="21"/>
                      <w:szCs w:val="21"/>
                      <w:lang w:val="en-US" w:eastAsia="zh-CN" w:bidi="ar"/>
                    </w:rPr>
                  </w:pPr>
                  <w:r>
                    <w:rPr>
                      <w:color w:val="auto"/>
                    </w:rPr>
                    <w:t>HW09</w:t>
                  </w:r>
                </w:p>
              </w:tc>
              <w:tc>
                <w:tcPr>
                  <w:tcW w:w="748" w:type="pct"/>
                  <w:tcBorders>
                    <w:tl2br w:val="nil"/>
                    <w:tr2bl w:val="nil"/>
                  </w:tcBorders>
                  <w:shd w:val="clear" w:color="auto" w:fill="auto"/>
                  <w:vAlign w:val="center"/>
                </w:tcPr>
                <w:p w14:paraId="26069CA4">
                  <w:pPr>
                    <w:contextualSpacing/>
                    <w:jc w:val="center"/>
                    <w:outlineLvl w:val="8"/>
                    <w:rPr>
                      <w:rFonts w:hint="default" w:ascii="Times New Roman" w:hAnsi="Times New Roman" w:eastAsia="宋体" w:cs="Times New Roman"/>
                      <w:color w:val="auto"/>
                      <w:kern w:val="2"/>
                      <w:sz w:val="21"/>
                      <w:szCs w:val="21"/>
                      <w:lang w:val="en-US" w:eastAsia="zh-CN" w:bidi="ar"/>
                    </w:rPr>
                  </w:pPr>
                  <w:r>
                    <w:rPr>
                      <w:color w:val="auto"/>
                    </w:rPr>
                    <w:t>900-006-09</w:t>
                  </w:r>
                </w:p>
              </w:tc>
              <w:tc>
                <w:tcPr>
                  <w:tcW w:w="456" w:type="pct"/>
                  <w:tcBorders>
                    <w:tl2br w:val="nil"/>
                    <w:tr2bl w:val="nil"/>
                  </w:tcBorders>
                  <w:shd w:val="clear" w:color="auto" w:fill="auto"/>
                  <w:vAlign w:val="center"/>
                </w:tcPr>
                <w:p w14:paraId="7B63CEDF">
                  <w:pPr>
                    <w:pStyle w:val="2"/>
                    <w:spacing w:before="0" w:after="0" w:line="240" w:lineRule="auto"/>
                    <w:jc w:val="center"/>
                    <w:rPr>
                      <w:rFonts w:hint="default" w:ascii="Times New Roman" w:hAnsi="Times New Roman" w:eastAsia="宋体" w:cs="Times New Roman"/>
                      <w:b w:val="0"/>
                      <w:bCs w:val="0"/>
                      <w:color w:val="auto"/>
                      <w:kern w:val="2"/>
                      <w:sz w:val="21"/>
                      <w:szCs w:val="21"/>
                      <w:lang w:val="en-US" w:eastAsia="zh-CN" w:bidi="ar"/>
                    </w:rPr>
                  </w:pPr>
                  <w:r>
                    <w:rPr>
                      <w:rFonts w:hint="eastAsia" w:ascii="Times New Roman" w:hAnsi="Times New Roman" w:eastAsia="宋体" w:cs="Times New Roman"/>
                      <w:b w:val="0"/>
                      <w:bCs w:val="0"/>
                      <w:color w:val="auto"/>
                      <w:kern w:val="2"/>
                      <w:sz w:val="21"/>
                      <w:szCs w:val="21"/>
                      <w:lang w:val="en-US" w:eastAsia="zh-CN" w:bidi="ar"/>
                    </w:rPr>
                    <w:t>15.72</w:t>
                  </w:r>
                </w:p>
              </w:tc>
              <w:tc>
                <w:tcPr>
                  <w:tcW w:w="298" w:type="pct"/>
                  <w:vMerge w:val="continue"/>
                  <w:tcBorders>
                    <w:tl2br w:val="nil"/>
                    <w:tr2bl w:val="nil"/>
                  </w:tcBorders>
                  <w:vAlign w:val="center"/>
                </w:tcPr>
                <w:p w14:paraId="644E1286">
                  <w:pPr>
                    <w:snapToGrid w:val="0"/>
                    <w:jc w:val="center"/>
                    <w:textAlignment w:val="baseline"/>
                    <w:rPr>
                      <w:rFonts w:hint="eastAsia" w:ascii="Times New Roman" w:hAnsi="Times New Roman" w:cs="Times New Roman"/>
                      <w:color w:val="auto"/>
                      <w:sz w:val="21"/>
                      <w:szCs w:val="21"/>
                      <w:lang w:bidi="ar-SA"/>
                    </w:rPr>
                  </w:pPr>
                </w:p>
              </w:tc>
            </w:tr>
            <w:tr w14:paraId="10DDFDB6">
              <w:tblPrEx>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CellMar>
                  <w:top w:w="0" w:type="dxa"/>
                  <w:left w:w="28" w:type="dxa"/>
                  <w:bottom w:w="0" w:type="dxa"/>
                  <w:right w:w="28" w:type="dxa"/>
                </w:tblCellMar>
              </w:tblPrEx>
              <w:trPr>
                <w:trHeight w:val="314" w:hRule="atLeast"/>
                <w:jc w:val="center"/>
              </w:trPr>
              <w:tc>
                <w:tcPr>
                  <w:tcW w:w="233" w:type="pct"/>
                  <w:tcBorders>
                    <w:tl2br w:val="nil"/>
                    <w:tr2bl w:val="nil"/>
                  </w:tcBorders>
                  <w:vAlign w:val="center"/>
                </w:tcPr>
                <w:p w14:paraId="55B685D2">
                  <w:pPr>
                    <w:numPr>
                      <w:ilvl w:val="0"/>
                      <w:numId w:val="15"/>
                    </w:numPr>
                    <w:snapToGrid w:val="0"/>
                    <w:ind w:left="0" w:leftChars="0" w:firstLine="0" w:firstLineChars="0"/>
                    <w:jc w:val="center"/>
                    <w:textAlignment w:val="baseline"/>
                    <w:rPr>
                      <w:rFonts w:hint="default" w:cs="Times New Roman"/>
                      <w:color w:val="auto"/>
                      <w:sz w:val="21"/>
                      <w:szCs w:val="21"/>
                      <w:lang w:val="en-US" w:eastAsia="zh-CN" w:bidi="ar-SA"/>
                    </w:rPr>
                  </w:pPr>
                </w:p>
              </w:tc>
              <w:tc>
                <w:tcPr>
                  <w:tcW w:w="451" w:type="pct"/>
                  <w:tcBorders>
                    <w:tl2br w:val="nil"/>
                    <w:tr2bl w:val="nil"/>
                  </w:tcBorders>
                  <w:shd w:val="clear" w:color="auto" w:fill="auto"/>
                  <w:vAlign w:val="center"/>
                </w:tcPr>
                <w:p w14:paraId="2C12D42E">
                  <w:pPr>
                    <w:widowControl/>
                    <w:jc w:val="center"/>
                    <w:rPr>
                      <w:rFonts w:hint="default" w:ascii="Times New Roman" w:hAnsi="Times New Roman" w:eastAsia="宋体" w:cs="Times New Roman"/>
                      <w:bCs/>
                      <w:snapToGrid w:val="0"/>
                      <w:color w:val="auto"/>
                      <w:spacing w:val="6"/>
                      <w:kern w:val="2"/>
                      <w:sz w:val="21"/>
                      <w:szCs w:val="21"/>
                      <w:lang w:val="en-US" w:eastAsia="zh-CN" w:bidi="ar"/>
                    </w:rPr>
                  </w:pPr>
                  <w:r>
                    <w:rPr>
                      <w:rFonts w:hint="default" w:ascii="Times New Roman" w:hAnsi="Times New Roman" w:eastAsia="宋体" w:cs="Times New Roman"/>
                      <w:bCs/>
                      <w:snapToGrid w:val="0"/>
                      <w:color w:val="auto"/>
                      <w:spacing w:val="6"/>
                      <w:sz w:val="21"/>
                      <w:szCs w:val="21"/>
                    </w:rPr>
                    <w:t>废刷子</w:t>
                  </w:r>
                </w:p>
              </w:tc>
              <w:tc>
                <w:tcPr>
                  <w:tcW w:w="205" w:type="pct"/>
                  <w:vMerge w:val="continue"/>
                  <w:tcBorders>
                    <w:tl2br w:val="nil"/>
                    <w:tr2bl w:val="nil"/>
                  </w:tcBorders>
                  <w:vAlign w:val="center"/>
                </w:tcPr>
                <w:p w14:paraId="135D9CBD">
                  <w:pPr>
                    <w:snapToGrid w:val="0"/>
                    <w:jc w:val="center"/>
                    <w:textAlignment w:val="baseline"/>
                    <w:rPr>
                      <w:rFonts w:hint="default" w:ascii="Times New Roman" w:hAnsi="Times New Roman" w:cs="Times New Roman"/>
                      <w:color w:val="auto"/>
                      <w:sz w:val="21"/>
                      <w:szCs w:val="21"/>
                      <w:lang w:bidi="ar-SA"/>
                    </w:rPr>
                  </w:pPr>
                </w:p>
              </w:tc>
              <w:tc>
                <w:tcPr>
                  <w:tcW w:w="716" w:type="pct"/>
                  <w:tcBorders>
                    <w:tl2br w:val="nil"/>
                    <w:tr2bl w:val="nil"/>
                  </w:tcBorders>
                  <w:shd w:val="clear" w:color="auto" w:fill="auto"/>
                  <w:vAlign w:val="center"/>
                </w:tcPr>
                <w:p w14:paraId="2E503C66">
                  <w:pPr>
                    <w:pStyle w:val="2"/>
                    <w:spacing w:before="0" w:after="0" w:line="240" w:lineRule="auto"/>
                    <w:jc w:val="center"/>
                    <w:rPr>
                      <w:rFonts w:hint="eastAsia" w:ascii="Times New Roman" w:hAnsi="Times New Roman" w:eastAsia="宋体" w:cs="Times New Roman"/>
                      <w:b w:val="0"/>
                      <w:bCs w:val="0"/>
                      <w:color w:val="auto"/>
                      <w:kern w:val="2"/>
                      <w:sz w:val="21"/>
                      <w:szCs w:val="21"/>
                      <w:lang w:val="en-US" w:eastAsia="zh-CN" w:bidi="ar"/>
                    </w:rPr>
                  </w:pPr>
                  <w:r>
                    <w:rPr>
                      <w:rFonts w:hint="default" w:ascii="Times New Roman" w:hAnsi="Times New Roman" w:eastAsia="宋体" w:cs="Times New Roman"/>
                      <w:b w:val="0"/>
                      <w:bCs w:val="0"/>
                      <w:color w:val="auto"/>
                      <w:kern w:val="2"/>
                      <w:sz w:val="21"/>
                      <w:szCs w:val="21"/>
                      <w:lang w:val="en-US" w:eastAsia="zh-CN" w:bidi="ar"/>
                    </w:rPr>
                    <w:t>包装</w:t>
                  </w:r>
                </w:p>
              </w:tc>
              <w:tc>
                <w:tcPr>
                  <w:tcW w:w="360" w:type="pct"/>
                  <w:tcBorders>
                    <w:tl2br w:val="nil"/>
                    <w:tr2bl w:val="nil"/>
                  </w:tcBorders>
                  <w:shd w:val="clear" w:color="auto" w:fill="auto"/>
                  <w:vAlign w:val="center"/>
                </w:tcPr>
                <w:p w14:paraId="2B9429A9">
                  <w:pPr>
                    <w:pStyle w:val="2"/>
                    <w:spacing w:before="0" w:after="0" w:line="240" w:lineRule="auto"/>
                    <w:jc w:val="center"/>
                    <w:rPr>
                      <w:rFonts w:hint="default" w:ascii="Times New Roman" w:hAnsi="Times New Roman" w:eastAsia="宋体" w:cs="Times New Roman"/>
                      <w:b w:val="0"/>
                      <w:bCs w:val="0"/>
                      <w:color w:val="auto"/>
                      <w:kern w:val="2"/>
                      <w:sz w:val="21"/>
                      <w:szCs w:val="21"/>
                      <w:lang w:val="en-US" w:eastAsia="zh-CN" w:bidi="ar"/>
                    </w:rPr>
                  </w:pPr>
                  <w:r>
                    <w:rPr>
                      <w:rFonts w:hint="default" w:ascii="Times New Roman" w:hAnsi="Times New Roman" w:eastAsia="宋体" w:cs="Times New Roman"/>
                      <w:b w:val="0"/>
                      <w:bCs w:val="0"/>
                      <w:snapToGrid w:val="0"/>
                      <w:color w:val="auto"/>
                      <w:spacing w:val="6"/>
                      <w:sz w:val="21"/>
                      <w:szCs w:val="21"/>
                    </w:rPr>
                    <w:t>固态</w:t>
                  </w:r>
                </w:p>
              </w:tc>
              <w:tc>
                <w:tcPr>
                  <w:tcW w:w="473" w:type="pct"/>
                  <w:tcBorders>
                    <w:tl2br w:val="nil"/>
                    <w:tr2bl w:val="nil"/>
                  </w:tcBorders>
                  <w:shd w:val="clear" w:color="auto" w:fill="auto"/>
                  <w:vAlign w:val="center"/>
                </w:tcPr>
                <w:p w14:paraId="26103A79">
                  <w:pPr>
                    <w:widowControl/>
                    <w:jc w:val="center"/>
                    <w:rPr>
                      <w:rFonts w:hint="default" w:ascii="Times New Roman" w:hAnsi="Times New Roman" w:eastAsia="宋体" w:cs="Times New Roman"/>
                      <w:color w:val="auto"/>
                      <w:spacing w:val="6"/>
                      <w:kern w:val="2"/>
                      <w:sz w:val="21"/>
                      <w:szCs w:val="21"/>
                      <w:lang w:val="en-US" w:eastAsia="zh-CN" w:bidi="ar"/>
                    </w:rPr>
                  </w:pPr>
                  <w:r>
                    <w:rPr>
                      <w:rFonts w:hint="default" w:ascii="Times New Roman" w:hAnsi="Times New Roman" w:eastAsia="宋体" w:cs="Times New Roman"/>
                      <w:bCs/>
                      <w:snapToGrid w:val="0"/>
                      <w:color w:val="auto"/>
                      <w:spacing w:val="6"/>
                      <w:kern w:val="2"/>
                      <w:sz w:val="21"/>
                      <w:szCs w:val="21"/>
                      <w:lang w:val="en-US" w:eastAsia="zh-CN" w:bidi="ar"/>
                    </w:rPr>
                    <w:t>刷子</w:t>
                  </w:r>
                  <w:r>
                    <w:rPr>
                      <w:rFonts w:hint="eastAsia" w:ascii="Times New Roman" w:hAnsi="Times New Roman" w:eastAsia="宋体" w:cs="Times New Roman"/>
                      <w:bCs/>
                      <w:snapToGrid w:val="0"/>
                      <w:color w:val="auto"/>
                      <w:spacing w:val="6"/>
                      <w:kern w:val="2"/>
                      <w:sz w:val="21"/>
                      <w:szCs w:val="21"/>
                      <w:lang w:val="en-US" w:eastAsia="zh-CN" w:bidi="ar"/>
                    </w:rPr>
                    <w:t>、有机物</w:t>
                  </w:r>
                </w:p>
              </w:tc>
              <w:tc>
                <w:tcPr>
                  <w:tcW w:w="309" w:type="pct"/>
                  <w:tcBorders>
                    <w:tl2br w:val="nil"/>
                    <w:tr2bl w:val="nil"/>
                  </w:tcBorders>
                  <w:shd w:val="clear" w:color="auto" w:fill="auto"/>
                  <w:vAlign w:val="center"/>
                </w:tcPr>
                <w:p w14:paraId="1F2B1ABF">
                  <w:pPr>
                    <w:pStyle w:val="22"/>
                    <w:widowControl w:val="0"/>
                    <w:snapToGrid w:val="0"/>
                    <w:spacing w:before="0" w:beforeAutospacing="0" w:after="0" w:afterAutospacing="0"/>
                    <w:jc w:val="center"/>
                    <w:rPr>
                      <w:rFonts w:hint="eastAsia" w:ascii="Times New Roman" w:hAnsi="Times New Roman" w:eastAsia="宋体" w:cs="Times New Roman"/>
                      <w:bCs/>
                      <w:color w:val="auto"/>
                      <w:kern w:val="0"/>
                      <w:sz w:val="21"/>
                      <w:szCs w:val="21"/>
                      <w:lang w:val="en-US" w:eastAsia="zh-CN" w:bidi="ar-SA"/>
                    </w:rPr>
                  </w:pPr>
                  <w:r>
                    <w:rPr>
                      <w:rFonts w:ascii="Times New Roman" w:hAnsi="Times New Roman"/>
                      <w:bCs/>
                      <w:color w:val="auto"/>
                      <w:sz w:val="21"/>
                      <w:szCs w:val="21"/>
                    </w:rPr>
                    <w:t>T/In</w:t>
                  </w:r>
                </w:p>
              </w:tc>
              <w:tc>
                <w:tcPr>
                  <w:tcW w:w="746" w:type="pct"/>
                  <w:tcBorders>
                    <w:tl2br w:val="nil"/>
                    <w:tr2bl w:val="nil"/>
                  </w:tcBorders>
                  <w:shd w:val="clear" w:color="auto" w:fill="auto"/>
                  <w:vAlign w:val="center"/>
                </w:tcPr>
                <w:p w14:paraId="42A973EF">
                  <w:pPr>
                    <w:pStyle w:val="22"/>
                    <w:widowControl w:val="0"/>
                    <w:snapToGrid w:val="0"/>
                    <w:spacing w:before="0" w:beforeAutospacing="0" w:after="0" w:afterAutospacing="0"/>
                    <w:jc w:val="center"/>
                    <w:rPr>
                      <w:rFonts w:hint="default" w:ascii="宋体" w:hAnsi="宋体" w:eastAsia="宋体" w:cs="Times New Roman"/>
                      <w:color w:val="auto"/>
                      <w:kern w:val="0"/>
                      <w:sz w:val="21"/>
                      <w:szCs w:val="21"/>
                      <w:lang w:val="en-US" w:eastAsia="zh-CN" w:bidi="ar-SA"/>
                    </w:rPr>
                  </w:pPr>
                  <w:r>
                    <w:rPr>
                      <w:rFonts w:ascii="Times New Roman" w:hAnsi="Times New Roman"/>
                      <w:bCs/>
                      <w:color w:val="auto"/>
                      <w:sz w:val="21"/>
                      <w:szCs w:val="21"/>
                    </w:rPr>
                    <w:t>HW49</w:t>
                  </w:r>
                </w:p>
              </w:tc>
              <w:tc>
                <w:tcPr>
                  <w:tcW w:w="748" w:type="pct"/>
                  <w:tcBorders>
                    <w:tl2br w:val="nil"/>
                    <w:tr2bl w:val="nil"/>
                  </w:tcBorders>
                  <w:shd w:val="clear" w:color="auto" w:fill="auto"/>
                  <w:vAlign w:val="center"/>
                </w:tcPr>
                <w:p w14:paraId="15148B4A">
                  <w:pPr>
                    <w:pStyle w:val="22"/>
                    <w:widowControl w:val="0"/>
                    <w:snapToGrid w:val="0"/>
                    <w:spacing w:before="0" w:beforeAutospacing="0" w:after="0" w:afterAutospacing="0"/>
                    <w:jc w:val="center"/>
                    <w:rPr>
                      <w:rFonts w:hint="default" w:ascii="宋体" w:hAnsi="宋体" w:eastAsia="宋体" w:cs="Times New Roman"/>
                      <w:color w:val="auto"/>
                      <w:kern w:val="0"/>
                      <w:sz w:val="21"/>
                      <w:szCs w:val="21"/>
                      <w:lang w:val="en-US" w:eastAsia="zh-CN" w:bidi="ar-SA"/>
                    </w:rPr>
                  </w:pPr>
                  <w:r>
                    <w:rPr>
                      <w:rFonts w:ascii="Times New Roman" w:hAnsi="Times New Roman"/>
                      <w:bCs/>
                      <w:color w:val="auto"/>
                      <w:sz w:val="21"/>
                      <w:szCs w:val="21"/>
                    </w:rPr>
                    <w:t>900-041-49</w:t>
                  </w:r>
                </w:p>
              </w:tc>
              <w:tc>
                <w:tcPr>
                  <w:tcW w:w="456" w:type="pct"/>
                  <w:tcBorders>
                    <w:tl2br w:val="nil"/>
                    <w:tr2bl w:val="nil"/>
                  </w:tcBorders>
                  <w:shd w:val="clear" w:color="auto" w:fill="auto"/>
                  <w:vAlign w:val="center"/>
                </w:tcPr>
                <w:p w14:paraId="284916C6">
                  <w:pPr>
                    <w:widowControl/>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0.3</w:t>
                  </w:r>
                </w:p>
              </w:tc>
              <w:tc>
                <w:tcPr>
                  <w:tcW w:w="298" w:type="pct"/>
                  <w:vMerge w:val="continue"/>
                  <w:tcBorders>
                    <w:tl2br w:val="nil"/>
                    <w:tr2bl w:val="nil"/>
                  </w:tcBorders>
                  <w:vAlign w:val="center"/>
                </w:tcPr>
                <w:p w14:paraId="026FB764">
                  <w:pPr>
                    <w:snapToGrid w:val="0"/>
                    <w:jc w:val="center"/>
                    <w:textAlignment w:val="baseline"/>
                    <w:rPr>
                      <w:rFonts w:hint="eastAsia" w:ascii="Times New Roman" w:hAnsi="Times New Roman" w:cs="Times New Roman"/>
                      <w:color w:val="auto"/>
                      <w:sz w:val="21"/>
                      <w:szCs w:val="21"/>
                      <w:lang w:bidi="ar-SA"/>
                    </w:rPr>
                  </w:pPr>
                </w:p>
              </w:tc>
            </w:tr>
            <w:tr w14:paraId="66605B1F">
              <w:tblPrEx>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CellMar>
                  <w:top w:w="0" w:type="dxa"/>
                  <w:left w:w="28" w:type="dxa"/>
                  <w:bottom w:w="0" w:type="dxa"/>
                  <w:right w:w="28" w:type="dxa"/>
                </w:tblCellMar>
              </w:tblPrEx>
              <w:trPr>
                <w:trHeight w:val="23" w:hRule="atLeast"/>
                <w:jc w:val="center"/>
              </w:trPr>
              <w:tc>
                <w:tcPr>
                  <w:tcW w:w="233" w:type="pct"/>
                  <w:tcBorders>
                    <w:tl2br w:val="nil"/>
                    <w:tr2bl w:val="nil"/>
                  </w:tcBorders>
                  <w:vAlign w:val="center"/>
                </w:tcPr>
                <w:p w14:paraId="7639889A">
                  <w:pPr>
                    <w:numPr>
                      <w:ilvl w:val="0"/>
                      <w:numId w:val="15"/>
                    </w:numPr>
                    <w:snapToGrid w:val="0"/>
                    <w:ind w:left="0" w:leftChars="0" w:firstLine="0" w:firstLineChars="0"/>
                    <w:jc w:val="center"/>
                    <w:textAlignment w:val="baseline"/>
                    <w:rPr>
                      <w:rFonts w:hint="default" w:cs="Times New Roman"/>
                      <w:color w:val="auto"/>
                      <w:sz w:val="21"/>
                      <w:szCs w:val="21"/>
                      <w:lang w:val="en-US" w:eastAsia="zh-CN" w:bidi="ar-SA"/>
                    </w:rPr>
                  </w:pPr>
                </w:p>
              </w:tc>
              <w:tc>
                <w:tcPr>
                  <w:tcW w:w="451" w:type="pct"/>
                  <w:tcBorders>
                    <w:tl2br w:val="nil"/>
                    <w:tr2bl w:val="nil"/>
                  </w:tcBorders>
                  <w:shd w:val="clear" w:color="auto" w:fill="auto"/>
                  <w:vAlign w:val="center"/>
                </w:tcPr>
                <w:p w14:paraId="53C90A46">
                  <w:pPr>
                    <w:widowControl/>
                    <w:jc w:val="center"/>
                    <w:rPr>
                      <w:rFonts w:hint="default" w:ascii="Times New Roman" w:hAnsi="Times New Roman" w:eastAsia="宋体" w:cs="Times New Roman"/>
                      <w:bCs/>
                      <w:snapToGrid w:val="0"/>
                      <w:color w:val="auto"/>
                      <w:spacing w:val="6"/>
                      <w:kern w:val="2"/>
                      <w:sz w:val="21"/>
                      <w:szCs w:val="21"/>
                      <w:lang w:val="en-US" w:eastAsia="zh-CN" w:bidi="ar"/>
                    </w:rPr>
                  </w:pPr>
                  <w:r>
                    <w:rPr>
                      <w:rFonts w:hint="default" w:ascii="Times New Roman" w:hAnsi="Times New Roman" w:eastAsia="宋体" w:cs="Times New Roman"/>
                      <w:bCs/>
                      <w:snapToGrid w:val="0"/>
                      <w:color w:val="auto"/>
                      <w:spacing w:val="6"/>
                      <w:sz w:val="21"/>
                      <w:szCs w:val="21"/>
                    </w:rPr>
                    <w:t>废抹布及手套</w:t>
                  </w:r>
                </w:p>
              </w:tc>
              <w:tc>
                <w:tcPr>
                  <w:tcW w:w="205" w:type="pct"/>
                  <w:vMerge w:val="continue"/>
                  <w:tcBorders>
                    <w:tl2br w:val="nil"/>
                    <w:tr2bl w:val="nil"/>
                  </w:tcBorders>
                  <w:vAlign w:val="center"/>
                </w:tcPr>
                <w:p w14:paraId="475A2FAC">
                  <w:pPr>
                    <w:snapToGrid w:val="0"/>
                    <w:jc w:val="center"/>
                    <w:textAlignment w:val="baseline"/>
                    <w:rPr>
                      <w:rFonts w:hint="default" w:ascii="Times New Roman" w:hAnsi="Times New Roman" w:cs="Times New Roman"/>
                      <w:color w:val="auto"/>
                      <w:sz w:val="21"/>
                      <w:szCs w:val="21"/>
                      <w:lang w:bidi="ar-SA"/>
                    </w:rPr>
                  </w:pPr>
                </w:p>
              </w:tc>
              <w:tc>
                <w:tcPr>
                  <w:tcW w:w="716" w:type="pct"/>
                  <w:tcBorders>
                    <w:tl2br w:val="nil"/>
                    <w:tr2bl w:val="nil"/>
                  </w:tcBorders>
                  <w:shd w:val="clear" w:color="auto" w:fill="auto"/>
                  <w:vAlign w:val="center"/>
                </w:tcPr>
                <w:p w14:paraId="56E4F308">
                  <w:pPr>
                    <w:widowControl/>
                    <w:jc w:val="center"/>
                    <w:rPr>
                      <w:rFonts w:hint="eastAsia" w:ascii="Times New Roman" w:hAnsi="Times New Roman" w:eastAsia="宋体" w:cs="Times New Roman"/>
                      <w:bCs/>
                      <w:snapToGrid w:val="0"/>
                      <w:color w:val="auto"/>
                      <w:spacing w:val="6"/>
                      <w:kern w:val="2"/>
                      <w:sz w:val="21"/>
                      <w:szCs w:val="21"/>
                      <w:lang w:val="en-US" w:eastAsia="zh-CN" w:bidi="ar-SA"/>
                    </w:rPr>
                  </w:pPr>
                  <w:r>
                    <w:rPr>
                      <w:rFonts w:hint="default" w:ascii="Times New Roman" w:hAnsi="Times New Roman" w:eastAsia="宋体" w:cs="Times New Roman"/>
                      <w:bCs/>
                      <w:snapToGrid w:val="0"/>
                      <w:color w:val="auto"/>
                      <w:spacing w:val="6"/>
                      <w:sz w:val="21"/>
                      <w:szCs w:val="21"/>
                    </w:rPr>
                    <w:t>员工操作</w:t>
                  </w:r>
                </w:p>
              </w:tc>
              <w:tc>
                <w:tcPr>
                  <w:tcW w:w="360" w:type="pct"/>
                  <w:tcBorders>
                    <w:tl2br w:val="nil"/>
                    <w:tr2bl w:val="nil"/>
                  </w:tcBorders>
                  <w:shd w:val="clear" w:color="auto" w:fill="auto"/>
                  <w:vAlign w:val="center"/>
                </w:tcPr>
                <w:p w14:paraId="646826CF">
                  <w:pPr>
                    <w:widowControl/>
                    <w:jc w:val="center"/>
                    <w:rPr>
                      <w:rFonts w:hint="default" w:ascii="Times New Roman" w:hAnsi="Times New Roman" w:eastAsia="宋体" w:cs="Times New Roman"/>
                      <w:bCs/>
                      <w:snapToGrid w:val="0"/>
                      <w:color w:val="auto"/>
                      <w:spacing w:val="6"/>
                      <w:kern w:val="2"/>
                      <w:sz w:val="21"/>
                      <w:szCs w:val="21"/>
                      <w:lang w:val="en-US" w:eastAsia="zh-CN" w:bidi="ar-SA"/>
                    </w:rPr>
                  </w:pPr>
                  <w:r>
                    <w:rPr>
                      <w:rFonts w:hint="default" w:ascii="Times New Roman" w:hAnsi="Times New Roman" w:eastAsia="宋体" w:cs="Times New Roman"/>
                      <w:bCs/>
                      <w:snapToGrid w:val="0"/>
                      <w:color w:val="auto"/>
                      <w:spacing w:val="6"/>
                      <w:sz w:val="21"/>
                      <w:szCs w:val="21"/>
                    </w:rPr>
                    <w:t>固态</w:t>
                  </w:r>
                </w:p>
              </w:tc>
              <w:tc>
                <w:tcPr>
                  <w:tcW w:w="473" w:type="pct"/>
                  <w:tcBorders>
                    <w:tl2br w:val="nil"/>
                    <w:tr2bl w:val="nil"/>
                  </w:tcBorders>
                  <w:shd w:val="clear" w:color="auto" w:fill="auto"/>
                  <w:vAlign w:val="center"/>
                </w:tcPr>
                <w:p w14:paraId="5F021D3D">
                  <w:pPr>
                    <w:widowControl/>
                    <w:jc w:val="center"/>
                    <w:rPr>
                      <w:rFonts w:hint="default" w:ascii="Times New Roman" w:hAnsi="Times New Roman" w:eastAsia="宋体" w:cs="Times New Roman"/>
                      <w:bCs/>
                      <w:snapToGrid w:val="0"/>
                      <w:color w:val="auto"/>
                      <w:spacing w:val="6"/>
                      <w:kern w:val="2"/>
                      <w:sz w:val="21"/>
                      <w:szCs w:val="21"/>
                      <w:lang w:val="en-US" w:eastAsia="zh-CN" w:bidi="ar-SA"/>
                    </w:rPr>
                  </w:pPr>
                  <w:r>
                    <w:rPr>
                      <w:rFonts w:hint="default" w:ascii="Times New Roman" w:hAnsi="Times New Roman" w:eastAsia="宋体" w:cs="Times New Roman"/>
                      <w:bCs/>
                      <w:snapToGrid w:val="0"/>
                      <w:color w:val="auto"/>
                      <w:spacing w:val="6"/>
                      <w:sz w:val="21"/>
                      <w:szCs w:val="21"/>
                    </w:rPr>
                    <w:t>抹布手套、有机物</w:t>
                  </w:r>
                </w:p>
              </w:tc>
              <w:tc>
                <w:tcPr>
                  <w:tcW w:w="309" w:type="pct"/>
                  <w:tcBorders>
                    <w:tl2br w:val="nil"/>
                    <w:tr2bl w:val="nil"/>
                  </w:tcBorders>
                  <w:shd w:val="clear" w:color="auto" w:fill="auto"/>
                  <w:vAlign w:val="center"/>
                </w:tcPr>
                <w:p w14:paraId="46496EFA">
                  <w:pPr>
                    <w:pStyle w:val="22"/>
                    <w:widowControl w:val="0"/>
                    <w:snapToGrid w:val="0"/>
                    <w:spacing w:before="0" w:beforeAutospacing="0" w:after="0" w:afterAutospacing="0"/>
                    <w:jc w:val="center"/>
                    <w:rPr>
                      <w:rFonts w:hint="eastAsia" w:ascii="Times New Roman" w:hAnsi="Times New Roman" w:eastAsia="宋体" w:cs="Times New Roman"/>
                      <w:bCs/>
                      <w:color w:val="auto"/>
                      <w:kern w:val="0"/>
                      <w:sz w:val="21"/>
                      <w:szCs w:val="21"/>
                      <w:lang w:val="en-US" w:eastAsia="zh-CN" w:bidi="ar-SA"/>
                    </w:rPr>
                  </w:pPr>
                  <w:r>
                    <w:rPr>
                      <w:rFonts w:ascii="Times New Roman" w:hAnsi="Times New Roman"/>
                      <w:bCs/>
                      <w:color w:val="auto"/>
                      <w:sz w:val="21"/>
                      <w:szCs w:val="21"/>
                    </w:rPr>
                    <w:t>T/In</w:t>
                  </w:r>
                </w:p>
              </w:tc>
              <w:tc>
                <w:tcPr>
                  <w:tcW w:w="746" w:type="pct"/>
                  <w:tcBorders>
                    <w:tl2br w:val="nil"/>
                    <w:tr2bl w:val="nil"/>
                  </w:tcBorders>
                  <w:shd w:val="clear" w:color="auto" w:fill="auto"/>
                  <w:vAlign w:val="center"/>
                </w:tcPr>
                <w:p w14:paraId="247A95FB">
                  <w:pPr>
                    <w:pStyle w:val="22"/>
                    <w:widowControl w:val="0"/>
                    <w:snapToGrid w:val="0"/>
                    <w:spacing w:before="0" w:beforeAutospacing="0" w:after="0" w:afterAutospacing="0"/>
                    <w:jc w:val="center"/>
                    <w:rPr>
                      <w:rFonts w:hint="default" w:ascii="宋体" w:hAnsi="宋体" w:eastAsia="宋体" w:cs="Times New Roman"/>
                      <w:color w:val="auto"/>
                      <w:kern w:val="0"/>
                      <w:sz w:val="21"/>
                      <w:szCs w:val="21"/>
                      <w:lang w:val="en-US" w:eastAsia="zh-CN" w:bidi="ar-SA"/>
                    </w:rPr>
                  </w:pPr>
                  <w:r>
                    <w:rPr>
                      <w:rFonts w:ascii="Times New Roman" w:hAnsi="Times New Roman"/>
                      <w:bCs/>
                      <w:color w:val="auto"/>
                      <w:sz w:val="21"/>
                      <w:szCs w:val="21"/>
                    </w:rPr>
                    <w:t>HW49</w:t>
                  </w:r>
                </w:p>
              </w:tc>
              <w:tc>
                <w:tcPr>
                  <w:tcW w:w="748" w:type="pct"/>
                  <w:tcBorders>
                    <w:tl2br w:val="nil"/>
                    <w:tr2bl w:val="nil"/>
                  </w:tcBorders>
                  <w:shd w:val="clear" w:color="auto" w:fill="auto"/>
                  <w:vAlign w:val="center"/>
                </w:tcPr>
                <w:p w14:paraId="40F8F7C8">
                  <w:pPr>
                    <w:pStyle w:val="22"/>
                    <w:widowControl w:val="0"/>
                    <w:snapToGrid w:val="0"/>
                    <w:spacing w:before="0" w:beforeAutospacing="0" w:after="0" w:afterAutospacing="0"/>
                    <w:jc w:val="center"/>
                    <w:rPr>
                      <w:rFonts w:hint="default" w:ascii="宋体" w:hAnsi="宋体" w:eastAsia="宋体" w:cs="Times New Roman"/>
                      <w:color w:val="auto"/>
                      <w:kern w:val="0"/>
                      <w:sz w:val="21"/>
                      <w:szCs w:val="21"/>
                      <w:lang w:val="en-US" w:eastAsia="zh-CN" w:bidi="ar-SA"/>
                    </w:rPr>
                  </w:pPr>
                  <w:r>
                    <w:rPr>
                      <w:rFonts w:ascii="Times New Roman" w:hAnsi="Times New Roman"/>
                      <w:bCs/>
                      <w:color w:val="auto"/>
                      <w:sz w:val="21"/>
                      <w:szCs w:val="21"/>
                    </w:rPr>
                    <w:t>900-041-49</w:t>
                  </w:r>
                </w:p>
              </w:tc>
              <w:tc>
                <w:tcPr>
                  <w:tcW w:w="456" w:type="pct"/>
                  <w:tcBorders>
                    <w:tl2br w:val="nil"/>
                    <w:tr2bl w:val="nil"/>
                  </w:tcBorders>
                  <w:shd w:val="clear" w:color="auto" w:fill="auto"/>
                  <w:vAlign w:val="center"/>
                </w:tcPr>
                <w:p w14:paraId="001F6170">
                  <w:pPr>
                    <w:widowControl/>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0.06</w:t>
                  </w:r>
                </w:p>
              </w:tc>
              <w:tc>
                <w:tcPr>
                  <w:tcW w:w="298" w:type="pct"/>
                  <w:vMerge w:val="continue"/>
                  <w:tcBorders>
                    <w:tl2br w:val="nil"/>
                    <w:tr2bl w:val="nil"/>
                  </w:tcBorders>
                  <w:vAlign w:val="center"/>
                </w:tcPr>
                <w:p w14:paraId="72D5B62D">
                  <w:pPr>
                    <w:snapToGrid w:val="0"/>
                    <w:jc w:val="center"/>
                    <w:textAlignment w:val="baseline"/>
                    <w:rPr>
                      <w:rFonts w:hint="eastAsia" w:ascii="Times New Roman" w:hAnsi="Times New Roman" w:cs="Times New Roman"/>
                      <w:color w:val="auto"/>
                      <w:sz w:val="21"/>
                      <w:szCs w:val="21"/>
                      <w:lang w:bidi="ar-SA"/>
                    </w:rPr>
                  </w:pPr>
                </w:p>
              </w:tc>
            </w:tr>
            <w:tr w14:paraId="64D80651">
              <w:tblPrEx>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CellMar>
                  <w:top w:w="0" w:type="dxa"/>
                  <w:left w:w="28" w:type="dxa"/>
                  <w:bottom w:w="0" w:type="dxa"/>
                  <w:right w:w="28" w:type="dxa"/>
                </w:tblCellMar>
              </w:tblPrEx>
              <w:trPr>
                <w:trHeight w:val="23" w:hRule="atLeast"/>
                <w:jc w:val="center"/>
              </w:trPr>
              <w:tc>
                <w:tcPr>
                  <w:tcW w:w="233" w:type="pct"/>
                  <w:tcBorders>
                    <w:tl2br w:val="nil"/>
                    <w:tr2bl w:val="nil"/>
                  </w:tcBorders>
                  <w:vAlign w:val="center"/>
                </w:tcPr>
                <w:p w14:paraId="49F661D3">
                  <w:pPr>
                    <w:numPr>
                      <w:ilvl w:val="0"/>
                      <w:numId w:val="15"/>
                    </w:numPr>
                    <w:snapToGrid w:val="0"/>
                    <w:ind w:left="0" w:leftChars="0" w:firstLine="0" w:firstLineChars="0"/>
                    <w:jc w:val="center"/>
                    <w:textAlignment w:val="baseline"/>
                    <w:rPr>
                      <w:rFonts w:hint="default" w:cs="Times New Roman"/>
                      <w:color w:val="auto"/>
                      <w:sz w:val="21"/>
                      <w:szCs w:val="21"/>
                      <w:lang w:val="en-US" w:eastAsia="zh-CN" w:bidi="ar-SA"/>
                    </w:rPr>
                  </w:pPr>
                </w:p>
              </w:tc>
              <w:tc>
                <w:tcPr>
                  <w:tcW w:w="451" w:type="pct"/>
                  <w:tcBorders>
                    <w:tl2br w:val="nil"/>
                    <w:tr2bl w:val="nil"/>
                  </w:tcBorders>
                  <w:shd w:val="clear" w:color="auto" w:fill="auto"/>
                  <w:vAlign w:val="center"/>
                </w:tcPr>
                <w:p w14:paraId="07D83AE4">
                  <w:pPr>
                    <w:widowControl/>
                    <w:jc w:val="center"/>
                    <w:rPr>
                      <w:rFonts w:hint="default" w:ascii="Times New Roman" w:hAnsi="Times New Roman" w:eastAsia="宋体" w:cs="Times New Roman"/>
                      <w:bCs/>
                      <w:snapToGrid w:val="0"/>
                      <w:color w:val="auto"/>
                      <w:spacing w:val="6"/>
                      <w:kern w:val="2"/>
                      <w:sz w:val="21"/>
                      <w:szCs w:val="21"/>
                      <w:lang w:val="en-US" w:eastAsia="zh-CN" w:bidi="ar"/>
                    </w:rPr>
                  </w:pPr>
                  <w:r>
                    <w:rPr>
                      <w:rFonts w:hint="default" w:ascii="Times New Roman" w:hAnsi="Times New Roman" w:eastAsia="宋体" w:cs="Times New Roman"/>
                      <w:bCs/>
                      <w:snapToGrid w:val="0"/>
                      <w:color w:val="auto"/>
                      <w:spacing w:val="6"/>
                      <w:kern w:val="2"/>
                      <w:sz w:val="21"/>
                      <w:szCs w:val="21"/>
                      <w:lang w:val="en-US" w:eastAsia="zh-CN" w:bidi="ar"/>
                    </w:rPr>
                    <w:t>废包装桶</w:t>
                  </w:r>
                </w:p>
              </w:tc>
              <w:tc>
                <w:tcPr>
                  <w:tcW w:w="205" w:type="pct"/>
                  <w:vMerge w:val="continue"/>
                  <w:tcBorders>
                    <w:tl2br w:val="nil"/>
                    <w:tr2bl w:val="nil"/>
                  </w:tcBorders>
                  <w:vAlign w:val="center"/>
                </w:tcPr>
                <w:p w14:paraId="61423864">
                  <w:pPr>
                    <w:snapToGrid w:val="0"/>
                    <w:jc w:val="center"/>
                    <w:textAlignment w:val="baseline"/>
                    <w:rPr>
                      <w:rFonts w:hint="default" w:ascii="Times New Roman" w:hAnsi="Times New Roman" w:cs="Times New Roman"/>
                      <w:color w:val="auto"/>
                      <w:sz w:val="21"/>
                      <w:szCs w:val="21"/>
                      <w:lang w:bidi="ar-SA"/>
                    </w:rPr>
                  </w:pPr>
                </w:p>
              </w:tc>
              <w:tc>
                <w:tcPr>
                  <w:tcW w:w="716" w:type="pct"/>
                  <w:tcBorders>
                    <w:tl2br w:val="nil"/>
                    <w:tr2bl w:val="nil"/>
                  </w:tcBorders>
                  <w:shd w:val="clear" w:color="auto" w:fill="auto"/>
                  <w:vAlign w:val="center"/>
                </w:tcPr>
                <w:p w14:paraId="139D597C">
                  <w:pPr>
                    <w:pStyle w:val="22"/>
                    <w:widowControl w:val="0"/>
                    <w:snapToGrid w:val="0"/>
                    <w:spacing w:before="0" w:beforeAutospacing="0" w:after="0" w:afterAutospacing="0"/>
                    <w:jc w:val="center"/>
                    <w:rPr>
                      <w:rFonts w:hint="eastAsia" w:ascii="Times New Roman" w:hAnsi="Times New Roman" w:eastAsia="宋体" w:cs="Times New Roman"/>
                      <w:bCs/>
                      <w:color w:val="auto"/>
                      <w:kern w:val="0"/>
                      <w:sz w:val="21"/>
                      <w:szCs w:val="21"/>
                      <w:lang w:val="en-US" w:eastAsia="zh-CN" w:bidi="ar-SA"/>
                    </w:rPr>
                  </w:pPr>
                  <w:r>
                    <w:rPr>
                      <w:rFonts w:hint="default" w:ascii="Times New Roman" w:hAnsi="Times New Roman" w:eastAsia="宋体" w:cs="Times New Roman"/>
                      <w:bCs/>
                      <w:color w:val="auto"/>
                      <w:sz w:val="21"/>
                      <w:szCs w:val="21"/>
                    </w:rPr>
                    <w:t>原料使用</w:t>
                  </w:r>
                </w:p>
              </w:tc>
              <w:tc>
                <w:tcPr>
                  <w:tcW w:w="360" w:type="pct"/>
                  <w:tcBorders>
                    <w:tl2br w:val="nil"/>
                    <w:tr2bl w:val="nil"/>
                  </w:tcBorders>
                  <w:shd w:val="clear" w:color="auto" w:fill="auto"/>
                  <w:vAlign w:val="center"/>
                </w:tcPr>
                <w:p w14:paraId="1183AE41">
                  <w:pPr>
                    <w:pStyle w:val="22"/>
                    <w:widowControl w:val="0"/>
                    <w:snapToGrid w:val="0"/>
                    <w:spacing w:before="0" w:beforeAutospacing="0" w:after="0" w:afterAutospacing="0"/>
                    <w:jc w:val="center"/>
                    <w:rPr>
                      <w:rFonts w:hint="default" w:ascii="Times New Roman" w:hAnsi="Times New Roman" w:eastAsia="宋体" w:cs="Times New Roman"/>
                      <w:bCs/>
                      <w:color w:val="auto"/>
                      <w:kern w:val="0"/>
                      <w:sz w:val="21"/>
                      <w:szCs w:val="21"/>
                      <w:lang w:val="en-US" w:eastAsia="zh-CN" w:bidi="ar-SA"/>
                    </w:rPr>
                  </w:pPr>
                  <w:r>
                    <w:rPr>
                      <w:rFonts w:hint="default" w:ascii="Times New Roman" w:hAnsi="Times New Roman" w:eastAsia="宋体" w:cs="Times New Roman"/>
                      <w:bCs/>
                      <w:color w:val="auto"/>
                      <w:sz w:val="21"/>
                      <w:szCs w:val="21"/>
                    </w:rPr>
                    <w:t>固态</w:t>
                  </w:r>
                </w:p>
              </w:tc>
              <w:tc>
                <w:tcPr>
                  <w:tcW w:w="473" w:type="pct"/>
                  <w:tcBorders>
                    <w:tl2br w:val="nil"/>
                    <w:tr2bl w:val="nil"/>
                  </w:tcBorders>
                  <w:shd w:val="clear" w:color="auto" w:fill="auto"/>
                  <w:vAlign w:val="center"/>
                </w:tcPr>
                <w:p w14:paraId="39DF0449">
                  <w:pPr>
                    <w:widowControl/>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bCs/>
                      <w:snapToGrid w:val="0"/>
                      <w:color w:val="auto"/>
                      <w:spacing w:val="6"/>
                      <w:sz w:val="21"/>
                      <w:szCs w:val="21"/>
                    </w:rPr>
                    <w:t>包装桶、有机物</w:t>
                  </w:r>
                </w:p>
              </w:tc>
              <w:tc>
                <w:tcPr>
                  <w:tcW w:w="309" w:type="pct"/>
                  <w:tcBorders>
                    <w:tl2br w:val="nil"/>
                    <w:tr2bl w:val="nil"/>
                  </w:tcBorders>
                  <w:shd w:val="clear" w:color="auto" w:fill="auto"/>
                  <w:vAlign w:val="center"/>
                </w:tcPr>
                <w:p w14:paraId="276B0863">
                  <w:pPr>
                    <w:pStyle w:val="22"/>
                    <w:widowControl w:val="0"/>
                    <w:snapToGrid w:val="0"/>
                    <w:spacing w:before="0" w:beforeAutospacing="0" w:after="0" w:afterAutospacing="0"/>
                    <w:jc w:val="center"/>
                    <w:rPr>
                      <w:rFonts w:hint="eastAsia" w:ascii="Times New Roman" w:hAnsi="Times New Roman" w:eastAsia="宋体" w:cs="Times New Roman"/>
                      <w:bCs/>
                      <w:color w:val="auto"/>
                      <w:kern w:val="0"/>
                      <w:sz w:val="21"/>
                      <w:szCs w:val="21"/>
                      <w:lang w:val="en-US" w:eastAsia="zh-CN" w:bidi="ar-SA"/>
                    </w:rPr>
                  </w:pPr>
                  <w:r>
                    <w:rPr>
                      <w:rFonts w:ascii="Times New Roman" w:hAnsi="Times New Roman"/>
                      <w:bCs/>
                      <w:color w:val="auto"/>
                      <w:sz w:val="21"/>
                      <w:szCs w:val="21"/>
                    </w:rPr>
                    <w:t>T/In</w:t>
                  </w:r>
                </w:p>
              </w:tc>
              <w:tc>
                <w:tcPr>
                  <w:tcW w:w="746" w:type="pct"/>
                  <w:tcBorders>
                    <w:tl2br w:val="nil"/>
                    <w:tr2bl w:val="nil"/>
                  </w:tcBorders>
                  <w:shd w:val="clear" w:color="auto" w:fill="auto"/>
                  <w:vAlign w:val="center"/>
                </w:tcPr>
                <w:p w14:paraId="1F9C31D2">
                  <w:pPr>
                    <w:pStyle w:val="22"/>
                    <w:widowControl w:val="0"/>
                    <w:snapToGrid w:val="0"/>
                    <w:spacing w:before="0" w:beforeAutospacing="0" w:after="0" w:afterAutospacing="0"/>
                    <w:jc w:val="center"/>
                    <w:rPr>
                      <w:rFonts w:hint="default" w:ascii="宋体" w:hAnsi="宋体" w:eastAsia="宋体" w:cs="Times New Roman"/>
                      <w:color w:val="auto"/>
                      <w:kern w:val="0"/>
                      <w:sz w:val="21"/>
                      <w:szCs w:val="21"/>
                      <w:lang w:val="en-US" w:eastAsia="zh-CN" w:bidi="ar-SA"/>
                    </w:rPr>
                  </w:pPr>
                  <w:r>
                    <w:rPr>
                      <w:rFonts w:ascii="Times New Roman" w:hAnsi="Times New Roman"/>
                      <w:bCs/>
                      <w:color w:val="auto"/>
                      <w:sz w:val="21"/>
                      <w:szCs w:val="21"/>
                    </w:rPr>
                    <w:t>HW49</w:t>
                  </w:r>
                </w:p>
              </w:tc>
              <w:tc>
                <w:tcPr>
                  <w:tcW w:w="748" w:type="pct"/>
                  <w:tcBorders>
                    <w:tl2br w:val="nil"/>
                    <w:tr2bl w:val="nil"/>
                  </w:tcBorders>
                  <w:shd w:val="clear" w:color="auto" w:fill="auto"/>
                  <w:vAlign w:val="center"/>
                </w:tcPr>
                <w:p w14:paraId="02DF6241">
                  <w:pPr>
                    <w:pStyle w:val="22"/>
                    <w:widowControl w:val="0"/>
                    <w:snapToGrid w:val="0"/>
                    <w:spacing w:before="0" w:beforeAutospacing="0" w:after="0" w:afterAutospacing="0"/>
                    <w:jc w:val="center"/>
                    <w:rPr>
                      <w:rFonts w:hint="default" w:ascii="宋体" w:hAnsi="宋体" w:eastAsia="宋体" w:cs="Times New Roman"/>
                      <w:color w:val="auto"/>
                      <w:kern w:val="0"/>
                      <w:sz w:val="21"/>
                      <w:szCs w:val="21"/>
                      <w:lang w:val="en-US" w:eastAsia="zh-CN" w:bidi="ar-SA"/>
                    </w:rPr>
                  </w:pPr>
                  <w:r>
                    <w:rPr>
                      <w:rFonts w:ascii="Times New Roman" w:hAnsi="Times New Roman"/>
                      <w:bCs/>
                      <w:color w:val="auto"/>
                      <w:sz w:val="21"/>
                      <w:szCs w:val="21"/>
                    </w:rPr>
                    <w:t>900-041-49</w:t>
                  </w:r>
                </w:p>
              </w:tc>
              <w:tc>
                <w:tcPr>
                  <w:tcW w:w="456" w:type="pct"/>
                  <w:tcBorders>
                    <w:tl2br w:val="nil"/>
                    <w:tr2bl w:val="nil"/>
                  </w:tcBorders>
                  <w:shd w:val="clear" w:color="auto" w:fill="auto"/>
                  <w:vAlign w:val="center"/>
                </w:tcPr>
                <w:p w14:paraId="57732D01">
                  <w:pPr>
                    <w:widowControl/>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0.22</w:t>
                  </w:r>
                </w:p>
              </w:tc>
              <w:tc>
                <w:tcPr>
                  <w:tcW w:w="298" w:type="pct"/>
                  <w:vMerge w:val="continue"/>
                  <w:tcBorders>
                    <w:tl2br w:val="nil"/>
                    <w:tr2bl w:val="nil"/>
                  </w:tcBorders>
                  <w:vAlign w:val="center"/>
                </w:tcPr>
                <w:p w14:paraId="2166A5D9">
                  <w:pPr>
                    <w:snapToGrid w:val="0"/>
                    <w:jc w:val="center"/>
                    <w:textAlignment w:val="baseline"/>
                    <w:rPr>
                      <w:rFonts w:hint="eastAsia" w:ascii="Times New Roman" w:hAnsi="Times New Roman" w:cs="Times New Roman"/>
                      <w:color w:val="auto"/>
                      <w:sz w:val="21"/>
                      <w:szCs w:val="21"/>
                      <w:lang w:bidi="ar-SA"/>
                    </w:rPr>
                  </w:pPr>
                </w:p>
              </w:tc>
            </w:tr>
            <w:tr w14:paraId="408C2B2F">
              <w:tblPrEx>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CellMar>
                  <w:top w:w="0" w:type="dxa"/>
                  <w:left w:w="28" w:type="dxa"/>
                  <w:bottom w:w="0" w:type="dxa"/>
                  <w:right w:w="28" w:type="dxa"/>
                </w:tblCellMar>
              </w:tblPrEx>
              <w:trPr>
                <w:trHeight w:val="23" w:hRule="atLeast"/>
                <w:jc w:val="center"/>
              </w:trPr>
              <w:tc>
                <w:tcPr>
                  <w:tcW w:w="233" w:type="pct"/>
                  <w:tcBorders>
                    <w:tl2br w:val="nil"/>
                    <w:tr2bl w:val="nil"/>
                  </w:tcBorders>
                  <w:vAlign w:val="center"/>
                </w:tcPr>
                <w:p w14:paraId="6EB53985">
                  <w:pPr>
                    <w:numPr>
                      <w:ilvl w:val="0"/>
                      <w:numId w:val="15"/>
                    </w:numPr>
                    <w:snapToGrid w:val="0"/>
                    <w:ind w:left="0" w:leftChars="0" w:firstLine="0" w:firstLineChars="0"/>
                    <w:jc w:val="center"/>
                    <w:textAlignment w:val="baseline"/>
                    <w:rPr>
                      <w:rFonts w:hint="default" w:cs="Times New Roman"/>
                      <w:color w:val="auto"/>
                      <w:sz w:val="21"/>
                      <w:szCs w:val="21"/>
                      <w:lang w:val="en-US" w:eastAsia="zh-CN" w:bidi="ar-SA"/>
                    </w:rPr>
                  </w:pPr>
                </w:p>
              </w:tc>
              <w:tc>
                <w:tcPr>
                  <w:tcW w:w="451" w:type="pct"/>
                  <w:tcBorders>
                    <w:tl2br w:val="nil"/>
                    <w:tr2bl w:val="nil"/>
                  </w:tcBorders>
                  <w:shd w:val="clear" w:color="auto" w:fill="auto"/>
                  <w:vAlign w:val="center"/>
                </w:tcPr>
                <w:p w14:paraId="22C7D247">
                  <w:pPr>
                    <w:widowControl/>
                    <w:jc w:val="center"/>
                    <w:rPr>
                      <w:rFonts w:hint="default" w:ascii="Times New Roman" w:hAnsi="Times New Roman" w:eastAsia="宋体" w:cs="Times New Roman"/>
                      <w:bCs/>
                      <w:snapToGrid w:val="0"/>
                      <w:color w:val="auto"/>
                      <w:spacing w:val="6"/>
                      <w:kern w:val="2"/>
                      <w:sz w:val="21"/>
                      <w:szCs w:val="21"/>
                      <w:lang w:val="en-US" w:eastAsia="zh-CN" w:bidi="ar"/>
                    </w:rPr>
                  </w:pPr>
                  <w:r>
                    <w:rPr>
                      <w:rFonts w:hint="default" w:ascii="Times New Roman" w:hAnsi="Times New Roman" w:eastAsia="宋体" w:cs="Times New Roman"/>
                      <w:bCs/>
                      <w:snapToGrid w:val="0"/>
                      <w:color w:val="auto"/>
                      <w:spacing w:val="6"/>
                      <w:kern w:val="2"/>
                      <w:sz w:val="21"/>
                      <w:szCs w:val="21"/>
                      <w:lang w:val="en-US" w:eastAsia="zh-CN" w:bidi="ar"/>
                    </w:rPr>
                    <w:t>废油桶</w:t>
                  </w:r>
                </w:p>
              </w:tc>
              <w:tc>
                <w:tcPr>
                  <w:tcW w:w="205" w:type="pct"/>
                  <w:vMerge w:val="continue"/>
                  <w:tcBorders>
                    <w:tl2br w:val="nil"/>
                    <w:tr2bl w:val="nil"/>
                  </w:tcBorders>
                  <w:vAlign w:val="center"/>
                </w:tcPr>
                <w:p w14:paraId="7BE5A4DB">
                  <w:pPr>
                    <w:snapToGrid w:val="0"/>
                    <w:jc w:val="center"/>
                    <w:textAlignment w:val="baseline"/>
                    <w:rPr>
                      <w:rFonts w:hint="default" w:ascii="Times New Roman" w:hAnsi="Times New Roman" w:cs="Times New Roman"/>
                      <w:color w:val="auto"/>
                      <w:sz w:val="21"/>
                      <w:szCs w:val="21"/>
                      <w:lang w:bidi="ar-SA"/>
                    </w:rPr>
                  </w:pPr>
                </w:p>
              </w:tc>
              <w:tc>
                <w:tcPr>
                  <w:tcW w:w="716" w:type="pct"/>
                  <w:tcBorders>
                    <w:tl2br w:val="nil"/>
                    <w:tr2bl w:val="nil"/>
                  </w:tcBorders>
                  <w:shd w:val="clear" w:color="auto" w:fill="auto"/>
                  <w:vAlign w:val="center"/>
                </w:tcPr>
                <w:p w14:paraId="22D433C6">
                  <w:pPr>
                    <w:widowControl/>
                    <w:jc w:val="center"/>
                    <w:rPr>
                      <w:rFonts w:hint="eastAsia" w:ascii="Times New Roman" w:hAnsi="Times New Roman" w:eastAsia="宋体" w:cs="Times New Roman"/>
                      <w:bCs/>
                      <w:snapToGrid w:val="0"/>
                      <w:color w:val="auto"/>
                      <w:spacing w:val="6"/>
                      <w:kern w:val="2"/>
                      <w:sz w:val="21"/>
                      <w:szCs w:val="21"/>
                      <w:lang w:val="en-US" w:eastAsia="zh-CN" w:bidi="ar"/>
                    </w:rPr>
                  </w:pPr>
                  <w:r>
                    <w:rPr>
                      <w:rFonts w:hint="eastAsia" w:cs="Times New Roman"/>
                      <w:bCs/>
                      <w:snapToGrid w:val="0"/>
                      <w:color w:val="auto"/>
                      <w:spacing w:val="6"/>
                      <w:sz w:val="21"/>
                      <w:szCs w:val="21"/>
                      <w:lang w:val="en-US" w:eastAsia="zh-CN"/>
                    </w:rPr>
                    <w:t>原料包装</w:t>
                  </w:r>
                </w:p>
              </w:tc>
              <w:tc>
                <w:tcPr>
                  <w:tcW w:w="360" w:type="pct"/>
                  <w:tcBorders>
                    <w:tl2br w:val="nil"/>
                    <w:tr2bl w:val="nil"/>
                  </w:tcBorders>
                  <w:shd w:val="clear" w:color="auto" w:fill="auto"/>
                  <w:vAlign w:val="center"/>
                </w:tcPr>
                <w:p w14:paraId="4BB18F6C">
                  <w:pPr>
                    <w:widowControl/>
                    <w:jc w:val="center"/>
                    <w:rPr>
                      <w:rFonts w:hint="default" w:ascii="Times New Roman" w:hAnsi="Times New Roman" w:eastAsia="宋体" w:cs="Times New Roman"/>
                      <w:bCs/>
                      <w:snapToGrid w:val="0"/>
                      <w:color w:val="auto"/>
                      <w:spacing w:val="6"/>
                      <w:kern w:val="2"/>
                      <w:sz w:val="21"/>
                      <w:szCs w:val="21"/>
                      <w:lang w:val="en-US" w:eastAsia="zh-CN" w:bidi="ar-SA"/>
                    </w:rPr>
                  </w:pPr>
                  <w:r>
                    <w:rPr>
                      <w:rFonts w:hint="default" w:ascii="Times New Roman" w:hAnsi="Times New Roman" w:eastAsia="宋体" w:cs="Times New Roman"/>
                      <w:bCs/>
                      <w:snapToGrid w:val="0"/>
                      <w:color w:val="auto"/>
                      <w:spacing w:val="6"/>
                      <w:sz w:val="21"/>
                      <w:szCs w:val="21"/>
                    </w:rPr>
                    <w:t>固态</w:t>
                  </w:r>
                </w:p>
              </w:tc>
              <w:tc>
                <w:tcPr>
                  <w:tcW w:w="473" w:type="pct"/>
                  <w:tcBorders>
                    <w:tl2br w:val="nil"/>
                    <w:tr2bl w:val="nil"/>
                  </w:tcBorders>
                  <w:shd w:val="clear" w:color="auto" w:fill="auto"/>
                  <w:vAlign w:val="center"/>
                </w:tcPr>
                <w:p w14:paraId="36C7DBB1">
                  <w:pPr>
                    <w:widowControl/>
                    <w:jc w:val="center"/>
                    <w:rPr>
                      <w:rFonts w:hint="default" w:ascii="Times New Roman" w:hAnsi="Times New Roman" w:eastAsia="宋体" w:cs="Times New Roman"/>
                      <w:bCs/>
                      <w:snapToGrid w:val="0"/>
                      <w:color w:val="auto"/>
                      <w:spacing w:val="6"/>
                      <w:kern w:val="2"/>
                      <w:sz w:val="21"/>
                      <w:szCs w:val="21"/>
                      <w:lang w:val="en-US" w:eastAsia="zh-CN" w:bidi="ar-SA"/>
                    </w:rPr>
                  </w:pPr>
                  <w:r>
                    <w:rPr>
                      <w:rFonts w:hint="default" w:ascii="Times New Roman" w:hAnsi="Times New Roman" w:eastAsia="宋体" w:cs="Times New Roman"/>
                      <w:bCs/>
                      <w:snapToGrid w:val="0"/>
                      <w:color w:val="auto"/>
                      <w:spacing w:val="6"/>
                      <w:sz w:val="21"/>
                      <w:szCs w:val="21"/>
                    </w:rPr>
                    <w:t>油桶、矿物油</w:t>
                  </w:r>
                </w:p>
              </w:tc>
              <w:tc>
                <w:tcPr>
                  <w:tcW w:w="309" w:type="pct"/>
                  <w:tcBorders>
                    <w:tl2br w:val="nil"/>
                    <w:tr2bl w:val="nil"/>
                  </w:tcBorders>
                  <w:shd w:val="clear" w:color="auto" w:fill="auto"/>
                  <w:vAlign w:val="center"/>
                </w:tcPr>
                <w:p w14:paraId="6226E7C6">
                  <w:pPr>
                    <w:pStyle w:val="22"/>
                    <w:widowControl w:val="0"/>
                    <w:snapToGrid w:val="0"/>
                    <w:spacing w:before="0" w:beforeAutospacing="0" w:after="0" w:afterAutospacing="0"/>
                    <w:jc w:val="center"/>
                    <w:rPr>
                      <w:rFonts w:hint="eastAsia" w:ascii="Times New Roman" w:hAnsi="Times New Roman" w:eastAsia="宋体" w:cs="Times New Roman"/>
                      <w:bCs/>
                      <w:color w:val="auto"/>
                      <w:kern w:val="0"/>
                      <w:sz w:val="21"/>
                      <w:szCs w:val="21"/>
                      <w:lang w:val="en-US" w:eastAsia="zh-CN" w:bidi="ar-SA"/>
                    </w:rPr>
                  </w:pPr>
                  <w:r>
                    <w:rPr>
                      <w:rFonts w:ascii="Times New Roman" w:hAnsi="Times New Roman"/>
                      <w:bCs/>
                      <w:color w:val="auto"/>
                      <w:sz w:val="21"/>
                      <w:szCs w:val="21"/>
                    </w:rPr>
                    <w:t>T，I</w:t>
                  </w:r>
                </w:p>
              </w:tc>
              <w:tc>
                <w:tcPr>
                  <w:tcW w:w="746" w:type="pct"/>
                  <w:tcBorders>
                    <w:tl2br w:val="nil"/>
                    <w:tr2bl w:val="nil"/>
                  </w:tcBorders>
                  <w:shd w:val="clear" w:color="auto" w:fill="auto"/>
                  <w:vAlign w:val="center"/>
                </w:tcPr>
                <w:p w14:paraId="435CD9DD">
                  <w:pPr>
                    <w:pStyle w:val="22"/>
                    <w:widowControl w:val="0"/>
                    <w:snapToGrid w:val="0"/>
                    <w:spacing w:before="0" w:beforeAutospacing="0" w:after="0" w:afterAutospacing="0"/>
                    <w:jc w:val="center"/>
                    <w:rPr>
                      <w:rFonts w:hint="default" w:ascii="宋体" w:hAnsi="宋体" w:eastAsia="宋体" w:cs="Times New Roman"/>
                      <w:color w:val="auto"/>
                      <w:kern w:val="0"/>
                      <w:sz w:val="21"/>
                      <w:szCs w:val="21"/>
                      <w:lang w:val="en-US" w:eastAsia="zh-CN" w:bidi="ar-SA"/>
                    </w:rPr>
                  </w:pPr>
                  <w:r>
                    <w:rPr>
                      <w:rFonts w:ascii="Times New Roman" w:hAnsi="Times New Roman"/>
                      <w:bCs/>
                      <w:color w:val="auto"/>
                      <w:sz w:val="21"/>
                      <w:szCs w:val="21"/>
                    </w:rPr>
                    <w:t>HW08</w:t>
                  </w:r>
                </w:p>
              </w:tc>
              <w:tc>
                <w:tcPr>
                  <w:tcW w:w="748" w:type="pct"/>
                  <w:tcBorders>
                    <w:tl2br w:val="nil"/>
                    <w:tr2bl w:val="nil"/>
                  </w:tcBorders>
                  <w:shd w:val="clear" w:color="auto" w:fill="auto"/>
                  <w:vAlign w:val="center"/>
                </w:tcPr>
                <w:p w14:paraId="72697510">
                  <w:pPr>
                    <w:pStyle w:val="22"/>
                    <w:widowControl w:val="0"/>
                    <w:snapToGrid w:val="0"/>
                    <w:spacing w:before="0" w:beforeAutospacing="0" w:after="0" w:afterAutospacing="0"/>
                    <w:jc w:val="center"/>
                    <w:rPr>
                      <w:rFonts w:hint="default" w:ascii="宋体" w:hAnsi="宋体" w:eastAsia="宋体" w:cs="Times New Roman"/>
                      <w:color w:val="auto"/>
                      <w:kern w:val="0"/>
                      <w:sz w:val="21"/>
                      <w:szCs w:val="21"/>
                      <w:lang w:val="en-US" w:eastAsia="zh-CN" w:bidi="ar-SA"/>
                    </w:rPr>
                  </w:pPr>
                  <w:r>
                    <w:rPr>
                      <w:rFonts w:ascii="Times New Roman" w:hAnsi="Times New Roman"/>
                      <w:bCs/>
                      <w:color w:val="auto"/>
                      <w:sz w:val="21"/>
                      <w:szCs w:val="21"/>
                    </w:rPr>
                    <w:t>900-249-08</w:t>
                  </w:r>
                </w:p>
              </w:tc>
              <w:tc>
                <w:tcPr>
                  <w:tcW w:w="456" w:type="pct"/>
                  <w:tcBorders>
                    <w:tl2br w:val="nil"/>
                    <w:tr2bl w:val="nil"/>
                  </w:tcBorders>
                  <w:shd w:val="clear" w:color="auto" w:fill="auto"/>
                  <w:vAlign w:val="center"/>
                </w:tcPr>
                <w:p w14:paraId="4CC9A6B2">
                  <w:pPr>
                    <w:widowControl/>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0.705</w:t>
                  </w:r>
                </w:p>
              </w:tc>
              <w:tc>
                <w:tcPr>
                  <w:tcW w:w="298" w:type="pct"/>
                  <w:vMerge w:val="continue"/>
                  <w:tcBorders>
                    <w:tl2br w:val="nil"/>
                    <w:tr2bl w:val="nil"/>
                  </w:tcBorders>
                  <w:vAlign w:val="center"/>
                </w:tcPr>
                <w:p w14:paraId="57072473">
                  <w:pPr>
                    <w:snapToGrid w:val="0"/>
                    <w:jc w:val="center"/>
                    <w:textAlignment w:val="baseline"/>
                    <w:rPr>
                      <w:rFonts w:hint="eastAsia" w:ascii="Times New Roman" w:hAnsi="Times New Roman" w:cs="Times New Roman"/>
                      <w:color w:val="auto"/>
                      <w:sz w:val="21"/>
                      <w:szCs w:val="21"/>
                      <w:lang w:bidi="ar-SA"/>
                    </w:rPr>
                  </w:pPr>
                </w:p>
              </w:tc>
            </w:tr>
            <w:tr w14:paraId="29EAE157">
              <w:tblPrEx>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CellMar>
                  <w:top w:w="0" w:type="dxa"/>
                  <w:left w:w="28" w:type="dxa"/>
                  <w:bottom w:w="0" w:type="dxa"/>
                  <w:right w:w="28" w:type="dxa"/>
                </w:tblCellMar>
              </w:tblPrEx>
              <w:trPr>
                <w:trHeight w:val="23" w:hRule="atLeast"/>
                <w:jc w:val="center"/>
              </w:trPr>
              <w:tc>
                <w:tcPr>
                  <w:tcW w:w="233" w:type="pct"/>
                  <w:tcBorders>
                    <w:tl2br w:val="nil"/>
                    <w:tr2bl w:val="nil"/>
                  </w:tcBorders>
                  <w:vAlign w:val="center"/>
                </w:tcPr>
                <w:p w14:paraId="0876E3A3">
                  <w:pPr>
                    <w:numPr>
                      <w:ilvl w:val="0"/>
                      <w:numId w:val="15"/>
                    </w:numPr>
                    <w:snapToGrid w:val="0"/>
                    <w:ind w:left="0" w:leftChars="0" w:firstLine="0" w:firstLineChars="0"/>
                    <w:jc w:val="center"/>
                    <w:textAlignment w:val="baseline"/>
                    <w:rPr>
                      <w:rFonts w:hint="default" w:cs="Times New Roman"/>
                      <w:color w:val="auto"/>
                      <w:sz w:val="21"/>
                      <w:szCs w:val="21"/>
                      <w:lang w:val="en-US" w:eastAsia="zh-CN" w:bidi="ar-SA"/>
                    </w:rPr>
                  </w:pPr>
                </w:p>
              </w:tc>
              <w:tc>
                <w:tcPr>
                  <w:tcW w:w="451" w:type="pct"/>
                  <w:tcBorders>
                    <w:tl2br w:val="nil"/>
                    <w:tr2bl w:val="nil"/>
                  </w:tcBorders>
                  <w:shd w:val="clear" w:color="auto" w:fill="auto"/>
                  <w:vAlign w:val="center"/>
                </w:tcPr>
                <w:p w14:paraId="628CAF6A">
                  <w:pPr>
                    <w:widowControl/>
                    <w:jc w:val="center"/>
                    <w:rPr>
                      <w:rFonts w:hint="default" w:ascii="Times New Roman" w:hAnsi="Times New Roman" w:eastAsia="宋体" w:cs="Times New Roman"/>
                      <w:bCs/>
                      <w:snapToGrid w:val="0"/>
                      <w:color w:val="auto"/>
                      <w:spacing w:val="6"/>
                      <w:kern w:val="2"/>
                      <w:sz w:val="21"/>
                      <w:szCs w:val="21"/>
                      <w:lang w:val="en-US" w:eastAsia="zh-CN" w:bidi="ar"/>
                    </w:rPr>
                  </w:pPr>
                  <w:r>
                    <w:rPr>
                      <w:rFonts w:hint="default" w:ascii="Times New Roman" w:hAnsi="Times New Roman" w:eastAsia="宋体" w:cs="Times New Roman"/>
                      <w:bCs/>
                      <w:snapToGrid w:val="0"/>
                      <w:color w:val="auto"/>
                      <w:spacing w:val="6"/>
                      <w:kern w:val="2"/>
                      <w:sz w:val="21"/>
                      <w:szCs w:val="21"/>
                      <w:lang w:val="en-US" w:eastAsia="zh-CN" w:bidi="ar"/>
                    </w:rPr>
                    <w:t>废润滑油</w:t>
                  </w:r>
                </w:p>
              </w:tc>
              <w:tc>
                <w:tcPr>
                  <w:tcW w:w="205" w:type="pct"/>
                  <w:vMerge w:val="continue"/>
                  <w:tcBorders>
                    <w:tl2br w:val="nil"/>
                    <w:tr2bl w:val="nil"/>
                  </w:tcBorders>
                  <w:vAlign w:val="center"/>
                </w:tcPr>
                <w:p w14:paraId="18F4ADC9">
                  <w:pPr>
                    <w:snapToGrid w:val="0"/>
                    <w:jc w:val="center"/>
                    <w:textAlignment w:val="baseline"/>
                    <w:rPr>
                      <w:rFonts w:hint="default" w:ascii="Times New Roman" w:hAnsi="Times New Roman" w:cs="Times New Roman"/>
                      <w:color w:val="auto"/>
                      <w:sz w:val="21"/>
                      <w:szCs w:val="21"/>
                      <w:lang w:bidi="ar-SA"/>
                    </w:rPr>
                  </w:pPr>
                </w:p>
              </w:tc>
              <w:tc>
                <w:tcPr>
                  <w:tcW w:w="716" w:type="pct"/>
                  <w:tcBorders>
                    <w:tl2br w:val="nil"/>
                    <w:tr2bl w:val="nil"/>
                  </w:tcBorders>
                  <w:shd w:val="clear" w:color="auto" w:fill="auto"/>
                  <w:vAlign w:val="center"/>
                </w:tcPr>
                <w:p w14:paraId="6C7D1629">
                  <w:pPr>
                    <w:widowControl/>
                    <w:jc w:val="center"/>
                    <w:rPr>
                      <w:rFonts w:hint="eastAsia" w:ascii="Times New Roman" w:hAnsi="Times New Roman" w:eastAsia="宋体" w:cs="Times New Roman"/>
                      <w:bCs/>
                      <w:snapToGrid w:val="0"/>
                      <w:color w:val="auto"/>
                      <w:spacing w:val="6"/>
                      <w:kern w:val="2"/>
                      <w:sz w:val="21"/>
                      <w:szCs w:val="21"/>
                      <w:lang w:val="en-US" w:eastAsia="zh-CN" w:bidi="ar"/>
                    </w:rPr>
                  </w:pPr>
                  <w:r>
                    <w:rPr>
                      <w:rFonts w:hint="eastAsia" w:cs="Times New Roman"/>
                      <w:bCs/>
                      <w:snapToGrid w:val="0"/>
                      <w:color w:val="auto"/>
                      <w:spacing w:val="6"/>
                      <w:kern w:val="2"/>
                      <w:sz w:val="21"/>
                      <w:szCs w:val="21"/>
                      <w:lang w:val="en-US" w:eastAsia="zh-CN" w:bidi="ar"/>
                    </w:rPr>
                    <w:t>设备维护</w:t>
                  </w:r>
                </w:p>
              </w:tc>
              <w:tc>
                <w:tcPr>
                  <w:tcW w:w="360" w:type="pct"/>
                  <w:tcBorders>
                    <w:tl2br w:val="nil"/>
                    <w:tr2bl w:val="nil"/>
                  </w:tcBorders>
                  <w:shd w:val="clear" w:color="auto" w:fill="auto"/>
                  <w:vAlign w:val="center"/>
                </w:tcPr>
                <w:p w14:paraId="272FED80">
                  <w:pPr>
                    <w:widowControl/>
                    <w:jc w:val="center"/>
                    <w:rPr>
                      <w:rFonts w:hint="default" w:ascii="Times New Roman" w:hAnsi="Times New Roman" w:eastAsia="宋体" w:cs="Times New Roman"/>
                      <w:bCs/>
                      <w:snapToGrid w:val="0"/>
                      <w:color w:val="auto"/>
                      <w:spacing w:val="6"/>
                      <w:kern w:val="2"/>
                      <w:sz w:val="21"/>
                      <w:szCs w:val="21"/>
                      <w:lang w:val="en-US" w:eastAsia="zh-CN" w:bidi="ar"/>
                    </w:rPr>
                  </w:pPr>
                  <w:r>
                    <w:rPr>
                      <w:rFonts w:hint="eastAsia" w:cs="Times New Roman"/>
                      <w:bCs/>
                      <w:snapToGrid w:val="0"/>
                      <w:color w:val="auto"/>
                      <w:spacing w:val="6"/>
                      <w:kern w:val="2"/>
                      <w:sz w:val="21"/>
                      <w:szCs w:val="21"/>
                      <w:lang w:val="en-US" w:eastAsia="zh-CN" w:bidi="ar"/>
                    </w:rPr>
                    <w:t>液态</w:t>
                  </w:r>
                </w:p>
              </w:tc>
              <w:tc>
                <w:tcPr>
                  <w:tcW w:w="473" w:type="pct"/>
                  <w:tcBorders>
                    <w:tl2br w:val="nil"/>
                    <w:tr2bl w:val="nil"/>
                  </w:tcBorders>
                  <w:shd w:val="clear" w:color="auto" w:fill="auto"/>
                  <w:vAlign w:val="center"/>
                </w:tcPr>
                <w:p w14:paraId="61FC9E72">
                  <w:pPr>
                    <w:widowControl/>
                    <w:jc w:val="center"/>
                    <w:rPr>
                      <w:rFonts w:hint="default" w:ascii="Times New Roman" w:hAnsi="Times New Roman" w:eastAsia="宋体" w:cs="Times New Roman"/>
                      <w:color w:val="auto"/>
                      <w:spacing w:val="6"/>
                      <w:kern w:val="2"/>
                      <w:sz w:val="21"/>
                      <w:szCs w:val="21"/>
                      <w:lang w:val="en-US" w:eastAsia="zh-CN" w:bidi="ar"/>
                    </w:rPr>
                  </w:pPr>
                  <w:r>
                    <w:rPr>
                      <w:rFonts w:hint="default" w:ascii="Times New Roman" w:hAnsi="Times New Roman" w:eastAsia="宋体" w:cs="Times New Roman"/>
                      <w:bCs/>
                      <w:snapToGrid w:val="0"/>
                      <w:color w:val="auto"/>
                      <w:spacing w:val="6"/>
                      <w:sz w:val="21"/>
                      <w:szCs w:val="21"/>
                    </w:rPr>
                    <w:t>矿物油</w:t>
                  </w:r>
                </w:p>
              </w:tc>
              <w:tc>
                <w:tcPr>
                  <w:tcW w:w="309" w:type="pct"/>
                  <w:tcBorders>
                    <w:tl2br w:val="nil"/>
                    <w:tr2bl w:val="nil"/>
                  </w:tcBorders>
                  <w:shd w:val="clear" w:color="auto" w:fill="auto"/>
                  <w:vAlign w:val="center"/>
                </w:tcPr>
                <w:p w14:paraId="63C191D2">
                  <w:pPr>
                    <w:pStyle w:val="22"/>
                    <w:widowControl w:val="0"/>
                    <w:snapToGrid w:val="0"/>
                    <w:spacing w:before="0" w:beforeAutospacing="0" w:after="0" w:afterAutospacing="0"/>
                    <w:jc w:val="center"/>
                    <w:rPr>
                      <w:rFonts w:hint="eastAsia" w:ascii="Times New Roman" w:hAnsi="Times New Roman" w:eastAsia="宋体" w:cs="Times New Roman"/>
                      <w:bCs/>
                      <w:color w:val="auto"/>
                      <w:kern w:val="0"/>
                      <w:sz w:val="21"/>
                      <w:szCs w:val="21"/>
                      <w:lang w:val="en-US" w:eastAsia="zh-CN" w:bidi="ar"/>
                    </w:rPr>
                  </w:pPr>
                  <w:r>
                    <w:rPr>
                      <w:rFonts w:ascii="Times New Roman" w:hAnsi="Times New Roman"/>
                      <w:bCs/>
                      <w:color w:val="auto"/>
                      <w:sz w:val="21"/>
                      <w:szCs w:val="21"/>
                      <w:lang w:bidi="ar"/>
                    </w:rPr>
                    <w:t>T</w:t>
                  </w:r>
                  <w:r>
                    <w:rPr>
                      <w:rFonts w:hint="eastAsia" w:ascii="Times New Roman" w:hAnsi="Times New Roman"/>
                      <w:bCs/>
                      <w:color w:val="auto"/>
                      <w:sz w:val="21"/>
                      <w:szCs w:val="21"/>
                      <w:lang w:bidi="ar"/>
                    </w:rPr>
                    <w:t>，I</w:t>
                  </w:r>
                </w:p>
              </w:tc>
              <w:tc>
                <w:tcPr>
                  <w:tcW w:w="746" w:type="pct"/>
                  <w:tcBorders>
                    <w:tl2br w:val="nil"/>
                    <w:tr2bl w:val="nil"/>
                  </w:tcBorders>
                  <w:shd w:val="clear" w:color="auto" w:fill="auto"/>
                  <w:vAlign w:val="center"/>
                </w:tcPr>
                <w:p w14:paraId="228F956A">
                  <w:pPr>
                    <w:adjustRightInd w:val="0"/>
                    <w:snapToGrid w:val="0"/>
                    <w:jc w:val="center"/>
                    <w:rPr>
                      <w:rFonts w:hint="default" w:ascii="Times New Roman" w:hAnsi="Times New Roman" w:eastAsia="宋体" w:cs="Times New Roman"/>
                      <w:bCs/>
                      <w:color w:val="auto"/>
                      <w:kern w:val="2"/>
                      <w:sz w:val="21"/>
                      <w:szCs w:val="21"/>
                      <w:lang w:val="en-US" w:eastAsia="zh-CN" w:bidi="ar"/>
                    </w:rPr>
                  </w:pPr>
                  <w:r>
                    <w:rPr>
                      <w:color w:val="auto"/>
                      <w:sz w:val="21"/>
                      <w:szCs w:val="21"/>
                      <w:lang w:bidi="ar"/>
                    </w:rPr>
                    <w:t>HW</w:t>
                  </w:r>
                  <w:r>
                    <w:rPr>
                      <w:rFonts w:hint="eastAsia"/>
                      <w:color w:val="auto"/>
                      <w:sz w:val="21"/>
                      <w:szCs w:val="21"/>
                      <w:lang w:bidi="ar"/>
                    </w:rPr>
                    <w:t>08</w:t>
                  </w:r>
                </w:p>
              </w:tc>
              <w:tc>
                <w:tcPr>
                  <w:tcW w:w="748" w:type="pct"/>
                  <w:tcBorders>
                    <w:tl2br w:val="nil"/>
                    <w:tr2bl w:val="nil"/>
                  </w:tcBorders>
                  <w:shd w:val="clear" w:color="auto" w:fill="auto"/>
                  <w:vAlign w:val="center"/>
                </w:tcPr>
                <w:p w14:paraId="43B2A093">
                  <w:pPr>
                    <w:adjustRightInd w:val="0"/>
                    <w:snapToGrid w:val="0"/>
                    <w:jc w:val="center"/>
                    <w:rPr>
                      <w:rFonts w:hint="default" w:ascii="Times New Roman" w:hAnsi="Times New Roman" w:eastAsia="宋体" w:cs="Times New Roman"/>
                      <w:bCs/>
                      <w:color w:val="auto"/>
                      <w:kern w:val="2"/>
                      <w:sz w:val="21"/>
                      <w:szCs w:val="21"/>
                      <w:lang w:val="en-US" w:eastAsia="zh-CN" w:bidi="ar"/>
                    </w:rPr>
                  </w:pPr>
                  <w:r>
                    <w:rPr>
                      <w:color w:val="auto"/>
                      <w:sz w:val="21"/>
                      <w:szCs w:val="21"/>
                      <w:lang w:bidi="ar"/>
                    </w:rPr>
                    <w:t>900-</w:t>
                  </w:r>
                  <w:r>
                    <w:rPr>
                      <w:rFonts w:hint="eastAsia"/>
                      <w:color w:val="auto"/>
                      <w:sz w:val="21"/>
                      <w:szCs w:val="21"/>
                      <w:lang w:bidi="ar"/>
                    </w:rPr>
                    <w:t>217</w:t>
                  </w:r>
                  <w:r>
                    <w:rPr>
                      <w:color w:val="auto"/>
                      <w:sz w:val="21"/>
                      <w:szCs w:val="21"/>
                      <w:lang w:bidi="ar"/>
                    </w:rPr>
                    <w:t>-</w:t>
                  </w:r>
                  <w:r>
                    <w:rPr>
                      <w:rFonts w:hint="eastAsia"/>
                      <w:color w:val="auto"/>
                      <w:sz w:val="21"/>
                      <w:szCs w:val="21"/>
                      <w:lang w:bidi="ar"/>
                    </w:rPr>
                    <w:t>08</w:t>
                  </w:r>
                </w:p>
              </w:tc>
              <w:tc>
                <w:tcPr>
                  <w:tcW w:w="456" w:type="pct"/>
                  <w:tcBorders>
                    <w:tl2br w:val="nil"/>
                    <w:tr2bl w:val="nil"/>
                  </w:tcBorders>
                  <w:shd w:val="clear" w:color="auto" w:fill="auto"/>
                  <w:vAlign w:val="center"/>
                </w:tcPr>
                <w:p w14:paraId="0558A2A9">
                  <w:pPr>
                    <w:widowControl/>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6</w:t>
                  </w:r>
                </w:p>
              </w:tc>
              <w:tc>
                <w:tcPr>
                  <w:tcW w:w="298" w:type="pct"/>
                  <w:vMerge w:val="continue"/>
                  <w:tcBorders>
                    <w:tl2br w:val="nil"/>
                    <w:tr2bl w:val="nil"/>
                  </w:tcBorders>
                  <w:vAlign w:val="center"/>
                </w:tcPr>
                <w:p w14:paraId="1F5EA060">
                  <w:pPr>
                    <w:snapToGrid w:val="0"/>
                    <w:jc w:val="center"/>
                    <w:textAlignment w:val="baseline"/>
                    <w:rPr>
                      <w:rFonts w:hint="eastAsia" w:ascii="Times New Roman" w:hAnsi="Times New Roman" w:cs="Times New Roman"/>
                      <w:color w:val="auto"/>
                      <w:sz w:val="21"/>
                      <w:szCs w:val="21"/>
                      <w:lang w:bidi="ar-SA"/>
                    </w:rPr>
                  </w:pPr>
                </w:p>
              </w:tc>
            </w:tr>
            <w:tr w14:paraId="55A3328B">
              <w:tblPrEx>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CellMar>
                  <w:top w:w="0" w:type="dxa"/>
                  <w:left w:w="28" w:type="dxa"/>
                  <w:bottom w:w="0" w:type="dxa"/>
                  <w:right w:w="28" w:type="dxa"/>
                </w:tblCellMar>
              </w:tblPrEx>
              <w:trPr>
                <w:trHeight w:val="23" w:hRule="atLeast"/>
                <w:jc w:val="center"/>
              </w:trPr>
              <w:tc>
                <w:tcPr>
                  <w:tcW w:w="233" w:type="pct"/>
                  <w:tcBorders>
                    <w:tl2br w:val="nil"/>
                    <w:tr2bl w:val="nil"/>
                  </w:tcBorders>
                  <w:vAlign w:val="center"/>
                </w:tcPr>
                <w:p w14:paraId="48E8CB71">
                  <w:pPr>
                    <w:numPr>
                      <w:ilvl w:val="0"/>
                      <w:numId w:val="15"/>
                    </w:numPr>
                    <w:snapToGrid w:val="0"/>
                    <w:ind w:left="0" w:leftChars="0" w:firstLine="0" w:firstLineChars="0"/>
                    <w:jc w:val="center"/>
                    <w:textAlignment w:val="baseline"/>
                    <w:rPr>
                      <w:rFonts w:hint="default" w:cs="Times New Roman"/>
                      <w:color w:val="auto"/>
                      <w:sz w:val="21"/>
                      <w:szCs w:val="21"/>
                      <w:lang w:val="en-US" w:eastAsia="zh-CN" w:bidi="ar-SA"/>
                    </w:rPr>
                  </w:pPr>
                </w:p>
              </w:tc>
              <w:tc>
                <w:tcPr>
                  <w:tcW w:w="451" w:type="pct"/>
                  <w:tcBorders>
                    <w:tl2br w:val="nil"/>
                    <w:tr2bl w:val="nil"/>
                  </w:tcBorders>
                  <w:shd w:val="clear" w:color="auto" w:fill="auto"/>
                  <w:vAlign w:val="center"/>
                </w:tcPr>
                <w:p w14:paraId="1EA818DE">
                  <w:pPr>
                    <w:widowControl/>
                    <w:jc w:val="center"/>
                    <w:rPr>
                      <w:rFonts w:hint="default" w:ascii="Times New Roman" w:hAnsi="Times New Roman" w:eastAsia="宋体" w:cs="Times New Roman"/>
                      <w:bCs/>
                      <w:snapToGrid w:val="0"/>
                      <w:color w:val="auto"/>
                      <w:spacing w:val="6"/>
                      <w:kern w:val="2"/>
                      <w:sz w:val="21"/>
                      <w:szCs w:val="21"/>
                      <w:lang w:val="en-US" w:eastAsia="zh-CN" w:bidi="ar"/>
                    </w:rPr>
                  </w:pPr>
                  <w:r>
                    <w:rPr>
                      <w:rFonts w:hint="default" w:ascii="Times New Roman" w:hAnsi="Times New Roman" w:eastAsia="宋体" w:cs="Times New Roman"/>
                      <w:bCs/>
                      <w:snapToGrid w:val="0"/>
                      <w:color w:val="auto"/>
                      <w:spacing w:val="6"/>
                      <w:kern w:val="2"/>
                      <w:sz w:val="21"/>
                      <w:szCs w:val="21"/>
                      <w:lang w:val="en-US" w:eastAsia="zh-CN" w:bidi="ar"/>
                    </w:rPr>
                    <w:t>废液压油</w:t>
                  </w:r>
                </w:p>
              </w:tc>
              <w:tc>
                <w:tcPr>
                  <w:tcW w:w="205" w:type="pct"/>
                  <w:vMerge w:val="continue"/>
                  <w:tcBorders>
                    <w:tl2br w:val="nil"/>
                    <w:tr2bl w:val="nil"/>
                  </w:tcBorders>
                  <w:vAlign w:val="center"/>
                </w:tcPr>
                <w:p w14:paraId="271D7884">
                  <w:pPr>
                    <w:snapToGrid w:val="0"/>
                    <w:jc w:val="center"/>
                    <w:textAlignment w:val="baseline"/>
                    <w:rPr>
                      <w:rFonts w:hint="default" w:ascii="Times New Roman" w:hAnsi="Times New Roman" w:cs="Times New Roman"/>
                      <w:color w:val="auto"/>
                      <w:sz w:val="21"/>
                      <w:szCs w:val="21"/>
                      <w:lang w:bidi="ar-SA"/>
                    </w:rPr>
                  </w:pPr>
                </w:p>
              </w:tc>
              <w:tc>
                <w:tcPr>
                  <w:tcW w:w="716" w:type="pct"/>
                  <w:tcBorders>
                    <w:tl2br w:val="nil"/>
                    <w:tr2bl w:val="nil"/>
                  </w:tcBorders>
                  <w:shd w:val="clear" w:color="auto" w:fill="auto"/>
                  <w:vAlign w:val="center"/>
                </w:tcPr>
                <w:p w14:paraId="65F8C488">
                  <w:pPr>
                    <w:pStyle w:val="22"/>
                    <w:widowControl w:val="0"/>
                    <w:snapToGrid w:val="0"/>
                    <w:spacing w:before="0" w:beforeAutospacing="0" w:after="0" w:afterAutospacing="0"/>
                    <w:jc w:val="center"/>
                    <w:rPr>
                      <w:rFonts w:hint="eastAsia" w:ascii="Times New Roman" w:hAnsi="Times New Roman" w:eastAsia="宋体" w:cs="Times New Roman"/>
                      <w:bCs/>
                      <w:color w:val="auto"/>
                      <w:kern w:val="0"/>
                      <w:sz w:val="21"/>
                      <w:szCs w:val="21"/>
                      <w:lang w:val="en-US" w:eastAsia="zh-CN" w:bidi="ar"/>
                    </w:rPr>
                  </w:pPr>
                  <w:r>
                    <w:rPr>
                      <w:rFonts w:ascii="Times New Roman" w:hAnsi="Times New Roman"/>
                      <w:bCs/>
                      <w:color w:val="auto"/>
                      <w:sz w:val="21"/>
                      <w:szCs w:val="21"/>
                    </w:rPr>
                    <w:t>设备使用</w:t>
                  </w:r>
                </w:p>
              </w:tc>
              <w:tc>
                <w:tcPr>
                  <w:tcW w:w="360" w:type="pct"/>
                  <w:tcBorders>
                    <w:tl2br w:val="nil"/>
                    <w:tr2bl w:val="nil"/>
                  </w:tcBorders>
                  <w:shd w:val="clear" w:color="auto" w:fill="auto"/>
                  <w:vAlign w:val="center"/>
                </w:tcPr>
                <w:p w14:paraId="0FB1E800">
                  <w:pPr>
                    <w:pStyle w:val="22"/>
                    <w:widowControl w:val="0"/>
                    <w:snapToGrid w:val="0"/>
                    <w:spacing w:before="0" w:beforeAutospacing="0" w:after="0" w:afterAutospacing="0"/>
                    <w:jc w:val="center"/>
                    <w:rPr>
                      <w:rFonts w:hint="default" w:ascii="Times New Roman" w:hAnsi="Times New Roman" w:eastAsia="宋体" w:cs="Times New Roman"/>
                      <w:bCs/>
                      <w:color w:val="auto"/>
                      <w:kern w:val="0"/>
                      <w:sz w:val="21"/>
                      <w:szCs w:val="21"/>
                      <w:lang w:val="en-US" w:eastAsia="zh-CN" w:bidi="ar"/>
                    </w:rPr>
                  </w:pPr>
                  <w:r>
                    <w:rPr>
                      <w:rFonts w:ascii="Times New Roman" w:hAnsi="Times New Roman"/>
                      <w:bCs/>
                      <w:color w:val="auto"/>
                      <w:sz w:val="21"/>
                      <w:szCs w:val="21"/>
                    </w:rPr>
                    <w:t>液态</w:t>
                  </w:r>
                </w:p>
              </w:tc>
              <w:tc>
                <w:tcPr>
                  <w:tcW w:w="473" w:type="pct"/>
                  <w:tcBorders>
                    <w:tl2br w:val="nil"/>
                    <w:tr2bl w:val="nil"/>
                  </w:tcBorders>
                  <w:shd w:val="clear" w:color="auto" w:fill="auto"/>
                  <w:vAlign w:val="center"/>
                </w:tcPr>
                <w:p w14:paraId="7A8696CD">
                  <w:pPr>
                    <w:pStyle w:val="22"/>
                    <w:adjustRightInd w:val="0"/>
                    <w:snapToGrid w:val="0"/>
                    <w:spacing w:before="0" w:beforeAutospacing="0" w:after="0" w:afterAutospacing="0"/>
                    <w:jc w:val="center"/>
                    <w:rPr>
                      <w:rFonts w:hint="default" w:ascii="Times New Roman" w:hAnsi="Times New Roman" w:eastAsia="宋体" w:cs="Times New Roman"/>
                      <w:color w:val="auto"/>
                      <w:kern w:val="0"/>
                      <w:sz w:val="21"/>
                      <w:szCs w:val="21"/>
                      <w:lang w:val="en-US" w:eastAsia="zh-CN" w:bidi="ar"/>
                    </w:rPr>
                  </w:pPr>
                  <w:r>
                    <w:rPr>
                      <w:rFonts w:ascii="Times New Roman" w:hAnsi="Times New Roman"/>
                      <w:color w:val="auto"/>
                      <w:spacing w:val="6"/>
                      <w:sz w:val="21"/>
                      <w:szCs w:val="21"/>
                    </w:rPr>
                    <w:t>矿物油</w:t>
                  </w:r>
                </w:p>
              </w:tc>
              <w:tc>
                <w:tcPr>
                  <w:tcW w:w="309" w:type="pct"/>
                  <w:tcBorders>
                    <w:tl2br w:val="nil"/>
                    <w:tr2bl w:val="nil"/>
                  </w:tcBorders>
                  <w:shd w:val="clear" w:color="auto" w:fill="auto"/>
                  <w:vAlign w:val="center"/>
                </w:tcPr>
                <w:p w14:paraId="57D20A84">
                  <w:pPr>
                    <w:pStyle w:val="22"/>
                    <w:widowControl w:val="0"/>
                    <w:snapToGrid w:val="0"/>
                    <w:spacing w:before="0" w:beforeAutospacing="0" w:after="0" w:afterAutospacing="0"/>
                    <w:jc w:val="center"/>
                    <w:rPr>
                      <w:rFonts w:hint="eastAsia" w:ascii="Times New Roman" w:hAnsi="Times New Roman" w:eastAsia="宋体" w:cs="Times New Roman"/>
                      <w:bCs/>
                      <w:color w:val="auto"/>
                      <w:kern w:val="0"/>
                      <w:sz w:val="21"/>
                      <w:szCs w:val="21"/>
                      <w:lang w:val="en-US" w:eastAsia="zh-CN" w:bidi="ar"/>
                    </w:rPr>
                  </w:pPr>
                  <w:r>
                    <w:rPr>
                      <w:rFonts w:ascii="Times New Roman" w:hAnsi="Times New Roman"/>
                      <w:bCs/>
                      <w:color w:val="auto"/>
                      <w:sz w:val="21"/>
                      <w:szCs w:val="21"/>
                    </w:rPr>
                    <w:t>T</w:t>
                  </w:r>
                  <w:r>
                    <w:rPr>
                      <w:rFonts w:hint="eastAsia" w:ascii="Times New Roman" w:hAnsi="Times New Roman"/>
                      <w:bCs/>
                      <w:color w:val="auto"/>
                      <w:sz w:val="21"/>
                      <w:szCs w:val="21"/>
                    </w:rPr>
                    <w:t>，I</w:t>
                  </w:r>
                </w:p>
              </w:tc>
              <w:tc>
                <w:tcPr>
                  <w:tcW w:w="746" w:type="pct"/>
                  <w:tcBorders>
                    <w:tl2br w:val="nil"/>
                    <w:tr2bl w:val="nil"/>
                  </w:tcBorders>
                  <w:shd w:val="clear" w:color="auto" w:fill="auto"/>
                  <w:vAlign w:val="center"/>
                </w:tcPr>
                <w:p w14:paraId="36AE89D8">
                  <w:pPr>
                    <w:adjustRightInd w:val="0"/>
                    <w:snapToGrid w:val="0"/>
                    <w:jc w:val="center"/>
                    <w:rPr>
                      <w:rFonts w:hint="default" w:ascii="Times New Roman" w:hAnsi="Times New Roman" w:eastAsia="宋体" w:cs="Times New Roman"/>
                      <w:color w:val="auto"/>
                      <w:kern w:val="2"/>
                      <w:sz w:val="21"/>
                      <w:szCs w:val="21"/>
                      <w:lang w:val="en-US" w:eastAsia="zh-CN" w:bidi="ar"/>
                    </w:rPr>
                  </w:pPr>
                  <w:r>
                    <w:rPr>
                      <w:color w:val="auto"/>
                    </w:rPr>
                    <w:t>HW</w:t>
                  </w:r>
                  <w:r>
                    <w:rPr>
                      <w:rFonts w:hint="eastAsia"/>
                      <w:color w:val="auto"/>
                    </w:rPr>
                    <w:t>08</w:t>
                  </w:r>
                </w:p>
              </w:tc>
              <w:tc>
                <w:tcPr>
                  <w:tcW w:w="748" w:type="pct"/>
                  <w:tcBorders>
                    <w:tl2br w:val="nil"/>
                    <w:tr2bl w:val="nil"/>
                  </w:tcBorders>
                  <w:shd w:val="clear" w:color="auto" w:fill="auto"/>
                  <w:vAlign w:val="center"/>
                </w:tcPr>
                <w:p w14:paraId="151011B4">
                  <w:pPr>
                    <w:adjustRightInd w:val="0"/>
                    <w:snapToGrid w:val="0"/>
                    <w:jc w:val="center"/>
                    <w:rPr>
                      <w:rFonts w:hint="default" w:ascii="Times New Roman" w:hAnsi="Times New Roman" w:eastAsia="宋体" w:cs="Times New Roman"/>
                      <w:color w:val="auto"/>
                      <w:kern w:val="0"/>
                      <w:sz w:val="21"/>
                      <w:szCs w:val="21"/>
                      <w:lang w:val="en-US" w:eastAsia="zh-CN" w:bidi="ar"/>
                    </w:rPr>
                  </w:pPr>
                  <w:r>
                    <w:rPr>
                      <w:color w:val="auto"/>
                    </w:rPr>
                    <w:t>900-</w:t>
                  </w:r>
                  <w:r>
                    <w:rPr>
                      <w:rFonts w:hint="eastAsia"/>
                      <w:color w:val="auto"/>
                    </w:rPr>
                    <w:t>218</w:t>
                  </w:r>
                  <w:r>
                    <w:rPr>
                      <w:color w:val="auto"/>
                    </w:rPr>
                    <w:t>-</w:t>
                  </w:r>
                  <w:r>
                    <w:rPr>
                      <w:rFonts w:hint="eastAsia"/>
                      <w:color w:val="auto"/>
                    </w:rPr>
                    <w:t>08</w:t>
                  </w:r>
                </w:p>
              </w:tc>
              <w:tc>
                <w:tcPr>
                  <w:tcW w:w="456" w:type="pct"/>
                  <w:tcBorders>
                    <w:tl2br w:val="nil"/>
                    <w:tr2bl w:val="nil"/>
                  </w:tcBorders>
                  <w:shd w:val="clear" w:color="auto" w:fill="auto"/>
                  <w:vAlign w:val="center"/>
                </w:tcPr>
                <w:p w14:paraId="732E307D">
                  <w:pPr>
                    <w:widowControl/>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2</w:t>
                  </w:r>
                </w:p>
              </w:tc>
              <w:tc>
                <w:tcPr>
                  <w:tcW w:w="298" w:type="pct"/>
                  <w:vMerge w:val="continue"/>
                  <w:tcBorders>
                    <w:tl2br w:val="nil"/>
                    <w:tr2bl w:val="nil"/>
                  </w:tcBorders>
                  <w:vAlign w:val="center"/>
                </w:tcPr>
                <w:p w14:paraId="1006F7DC">
                  <w:pPr>
                    <w:snapToGrid w:val="0"/>
                    <w:jc w:val="center"/>
                    <w:textAlignment w:val="baseline"/>
                    <w:rPr>
                      <w:rFonts w:hint="eastAsia" w:ascii="Times New Roman" w:hAnsi="Times New Roman" w:cs="Times New Roman"/>
                      <w:color w:val="auto"/>
                      <w:sz w:val="21"/>
                      <w:szCs w:val="21"/>
                      <w:lang w:bidi="ar-SA"/>
                    </w:rPr>
                  </w:pPr>
                </w:p>
              </w:tc>
            </w:tr>
            <w:tr w14:paraId="59C04FDA">
              <w:tblPrEx>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CellMar>
                  <w:top w:w="0" w:type="dxa"/>
                  <w:left w:w="28" w:type="dxa"/>
                  <w:bottom w:w="0" w:type="dxa"/>
                  <w:right w:w="28" w:type="dxa"/>
                </w:tblCellMar>
              </w:tblPrEx>
              <w:trPr>
                <w:trHeight w:val="23" w:hRule="atLeast"/>
                <w:jc w:val="center"/>
              </w:trPr>
              <w:tc>
                <w:tcPr>
                  <w:tcW w:w="233" w:type="pct"/>
                  <w:tcBorders>
                    <w:tl2br w:val="nil"/>
                    <w:tr2bl w:val="nil"/>
                  </w:tcBorders>
                  <w:vAlign w:val="center"/>
                </w:tcPr>
                <w:p w14:paraId="4F126EA7">
                  <w:pPr>
                    <w:numPr>
                      <w:ilvl w:val="0"/>
                      <w:numId w:val="15"/>
                    </w:numPr>
                    <w:snapToGrid w:val="0"/>
                    <w:ind w:left="0" w:leftChars="0" w:firstLine="0" w:firstLineChars="0"/>
                    <w:jc w:val="center"/>
                    <w:textAlignment w:val="baseline"/>
                    <w:rPr>
                      <w:rFonts w:hint="default" w:cs="Times New Roman"/>
                      <w:color w:val="auto"/>
                      <w:sz w:val="21"/>
                      <w:szCs w:val="21"/>
                      <w:lang w:val="en-US" w:eastAsia="zh-CN" w:bidi="ar-SA"/>
                    </w:rPr>
                  </w:pPr>
                </w:p>
              </w:tc>
              <w:tc>
                <w:tcPr>
                  <w:tcW w:w="451" w:type="pct"/>
                  <w:tcBorders>
                    <w:tl2br w:val="nil"/>
                    <w:tr2bl w:val="nil"/>
                  </w:tcBorders>
                  <w:shd w:val="clear" w:color="auto" w:fill="auto"/>
                  <w:vAlign w:val="center"/>
                </w:tcPr>
                <w:p w14:paraId="4C6F116A">
                  <w:pPr>
                    <w:widowControl/>
                    <w:jc w:val="center"/>
                    <w:rPr>
                      <w:rFonts w:hint="default" w:ascii="Times New Roman" w:hAnsi="Times New Roman" w:eastAsia="宋体" w:cs="Times New Roman"/>
                      <w:bCs/>
                      <w:snapToGrid w:val="0"/>
                      <w:color w:val="auto"/>
                      <w:spacing w:val="6"/>
                      <w:kern w:val="2"/>
                      <w:sz w:val="21"/>
                      <w:szCs w:val="21"/>
                      <w:lang w:val="en-US" w:eastAsia="zh-CN" w:bidi="ar"/>
                    </w:rPr>
                  </w:pPr>
                  <w:r>
                    <w:rPr>
                      <w:rFonts w:hint="default" w:ascii="Times New Roman" w:hAnsi="Times New Roman" w:eastAsia="宋体" w:cs="Times New Roman"/>
                      <w:bCs/>
                      <w:snapToGrid w:val="0"/>
                      <w:color w:val="auto"/>
                      <w:spacing w:val="6"/>
                      <w:kern w:val="2"/>
                      <w:sz w:val="21"/>
                      <w:szCs w:val="21"/>
                      <w:lang w:val="en-US" w:eastAsia="zh-CN" w:bidi="ar"/>
                    </w:rPr>
                    <w:t>浓液</w:t>
                  </w:r>
                </w:p>
              </w:tc>
              <w:tc>
                <w:tcPr>
                  <w:tcW w:w="205" w:type="pct"/>
                  <w:vMerge w:val="continue"/>
                  <w:tcBorders>
                    <w:tl2br w:val="nil"/>
                    <w:tr2bl w:val="nil"/>
                  </w:tcBorders>
                  <w:vAlign w:val="center"/>
                </w:tcPr>
                <w:p w14:paraId="1DCA55FD">
                  <w:pPr>
                    <w:snapToGrid w:val="0"/>
                    <w:jc w:val="center"/>
                    <w:textAlignment w:val="baseline"/>
                    <w:rPr>
                      <w:rFonts w:hint="default" w:ascii="Times New Roman" w:hAnsi="Times New Roman" w:cs="Times New Roman"/>
                      <w:color w:val="auto"/>
                      <w:sz w:val="21"/>
                      <w:szCs w:val="21"/>
                      <w:lang w:bidi="ar-SA"/>
                    </w:rPr>
                  </w:pPr>
                </w:p>
              </w:tc>
              <w:tc>
                <w:tcPr>
                  <w:tcW w:w="716" w:type="pct"/>
                  <w:tcBorders>
                    <w:tl2br w:val="nil"/>
                    <w:tr2bl w:val="nil"/>
                  </w:tcBorders>
                  <w:shd w:val="clear" w:color="auto" w:fill="auto"/>
                  <w:vAlign w:val="center"/>
                </w:tcPr>
                <w:p w14:paraId="744F21E6">
                  <w:pPr>
                    <w:widowControl/>
                    <w:jc w:val="center"/>
                    <w:rPr>
                      <w:rFonts w:hint="eastAsia" w:ascii="Times New Roman" w:hAnsi="Times New Roman" w:eastAsia="宋体" w:cs="Times New Roman"/>
                      <w:bCs/>
                      <w:snapToGrid w:val="0"/>
                      <w:color w:val="auto"/>
                      <w:spacing w:val="6"/>
                      <w:kern w:val="2"/>
                      <w:sz w:val="21"/>
                      <w:szCs w:val="21"/>
                      <w:lang w:val="en-US" w:eastAsia="zh-CN" w:bidi="ar"/>
                    </w:rPr>
                  </w:pPr>
                  <w:r>
                    <w:rPr>
                      <w:rFonts w:hint="eastAsia" w:cs="Times New Roman"/>
                      <w:bCs/>
                      <w:snapToGrid w:val="0"/>
                      <w:color w:val="auto"/>
                      <w:spacing w:val="6"/>
                      <w:kern w:val="2"/>
                      <w:sz w:val="21"/>
                      <w:szCs w:val="21"/>
                      <w:lang w:val="en-US" w:eastAsia="zh-CN" w:bidi="ar"/>
                    </w:rPr>
                    <w:t>废水处理</w:t>
                  </w:r>
                </w:p>
              </w:tc>
              <w:tc>
                <w:tcPr>
                  <w:tcW w:w="360" w:type="pct"/>
                  <w:tcBorders>
                    <w:tl2br w:val="nil"/>
                    <w:tr2bl w:val="nil"/>
                  </w:tcBorders>
                  <w:shd w:val="clear" w:color="auto" w:fill="auto"/>
                  <w:vAlign w:val="center"/>
                </w:tcPr>
                <w:p w14:paraId="0AA61BDF">
                  <w:pPr>
                    <w:widowControl/>
                    <w:jc w:val="center"/>
                    <w:rPr>
                      <w:rFonts w:hint="default" w:ascii="Times New Roman" w:hAnsi="Times New Roman" w:eastAsia="宋体" w:cs="Times New Roman"/>
                      <w:bCs/>
                      <w:snapToGrid w:val="0"/>
                      <w:color w:val="auto"/>
                      <w:spacing w:val="6"/>
                      <w:kern w:val="2"/>
                      <w:sz w:val="21"/>
                      <w:szCs w:val="21"/>
                      <w:lang w:val="en-US" w:eastAsia="zh-CN" w:bidi="ar"/>
                    </w:rPr>
                  </w:pPr>
                  <w:r>
                    <w:rPr>
                      <w:rFonts w:ascii="Times New Roman" w:hAnsi="Times New Roman"/>
                      <w:bCs/>
                      <w:color w:val="auto"/>
                      <w:sz w:val="21"/>
                      <w:szCs w:val="21"/>
                    </w:rPr>
                    <w:t>液态</w:t>
                  </w:r>
                </w:p>
              </w:tc>
              <w:tc>
                <w:tcPr>
                  <w:tcW w:w="473" w:type="pct"/>
                  <w:tcBorders>
                    <w:tl2br w:val="nil"/>
                    <w:tr2bl w:val="nil"/>
                  </w:tcBorders>
                  <w:shd w:val="clear" w:color="auto" w:fill="auto"/>
                  <w:vAlign w:val="center"/>
                </w:tcPr>
                <w:p w14:paraId="53440CA9">
                  <w:pPr>
                    <w:widowControl/>
                    <w:jc w:val="center"/>
                    <w:rPr>
                      <w:rFonts w:hint="default" w:ascii="Times New Roman" w:hAnsi="Times New Roman" w:eastAsia="宋体" w:cs="Times New Roman"/>
                      <w:color w:val="auto"/>
                      <w:spacing w:val="6"/>
                      <w:kern w:val="2"/>
                      <w:sz w:val="21"/>
                      <w:szCs w:val="21"/>
                      <w:lang w:val="en-US" w:eastAsia="zh-CN" w:bidi="ar"/>
                    </w:rPr>
                  </w:pPr>
                  <w:r>
                    <w:rPr>
                      <w:rFonts w:hint="eastAsia" w:cs="Times New Roman"/>
                      <w:color w:val="auto"/>
                      <w:spacing w:val="6"/>
                      <w:kern w:val="2"/>
                      <w:sz w:val="21"/>
                      <w:szCs w:val="21"/>
                      <w:lang w:val="en-US" w:eastAsia="zh-CN" w:bidi="ar"/>
                    </w:rPr>
                    <w:t>矿物油、清洗剂、防锈剂等</w:t>
                  </w:r>
                </w:p>
              </w:tc>
              <w:tc>
                <w:tcPr>
                  <w:tcW w:w="309" w:type="pct"/>
                  <w:tcBorders>
                    <w:tl2br w:val="nil"/>
                    <w:tr2bl w:val="nil"/>
                  </w:tcBorders>
                  <w:shd w:val="clear" w:color="auto" w:fill="auto"/>
                  <w:vAlign w:val="center"/>
                </w:tcPr>
                <w:p w14:paraId="4F20AE59">
                  <w:pPr>
                    <w:widowControl/>
                    <w:jc w:val="center"/>
                    <w:textAlignment w:val="bottom"/>
                    <w:rPr>
                      <w:rFonts w:hint="eastAsia" w:ascii="Times New Roman" w:hAnsi="Times New Roman" w:eastAsia="宋体" w:cs="Times New Roman"/>
                      <w:color w:val="auto"/>
                      <w:spacing w:val="5"/>
                      <w:kern w:val="0"/>
                      <w:sz w:val="21"/>
                      <w:szCs w:val="21"/>
                      <w:lang w:val="en-US" w:eastAsia="zh-CN" w:bidi="ar"/>
                    </w:rPr>
                  </w:pPr>
                  <w:r>
                    <w:rPr>
                      <w:rFonts w:ascii="Times New Roman" w:hAnsi="Times New Roman" w:eastAsia="宋体" w:cs="Times New Roman"/>
                      <w:color w:val="auto"/>
                      <w:kern w:val="0"/>
                      <w:sz w:val="21"/>
                      <w:szCs w:val="21"/>
                      <w:lang w:bidi="ar"/>
                    </w:rPr>
                    <w:t>T/In</w:t>
                  </w:r>
                </w:p>
              </w:tc>
              <w:tc>
                <w:tcPr>
                  <w:tcW w:w="746" w:type="pct"/>
                  <w:tcBorders>
                    <w:tl2br w:val="nil"/>
                    <w:tr2bl w:val="nil"/>
                  </w:tcBorders>
                  <w:shd w:val="clear" w:color="auto" w:fill="auto"/>
                  <w:vAlign w:val="center"/>
                </w:tcPr>
                <w:p w14:paraId="46282A76">
                  <w:pPr>
                    <w:widowControl/>
                    <w:jc w:val="center"/>
                    <w:textAlignment w:val="bottom"/>
                    <w:rPr>
                      <w:rFonts w:hint="default" w:ascii="Times New Roman" w:hAnsi="Times New Roman" w:eastAsia="宋体" w:cs="Times New Roman"/>
                      <w:color w:val="auto"/>
                      <w:spacing w:val="5"/>
                      <w:kern w:val="0"/>
                      <w:sz w:val="21"/>
                      <w:szCs w:val="21"/>
                      <w:lang w:val="en-US" w:eastAsia="zh-CN" w:bidi="ar"/>
                    </w:rPr>
                  </w:pPr>
                  <w:r>
                    <w:rPr>
                      <w:rFonts w:ascii="Times New Roman" w:hAnsi="Times New Roman" w:eastAsia="宋体" w:cs="Times New Roman"/>
                      <w:color w:val="auto"/>
                      <w:kern w:val="0"/>
                      <w:sz w:val="21"/>
                      <w:szCs w:val="21"/>
                      <w:lang w:bidi="ar"/>
                    </w:rPr>
                    <w:t>HW49</w:t>
                  </w:r>
                </w:p>
              </w:tc>
              <w:tc>
                <w:tcPr>
                  <w:tcW w:w="748" w:type="pct"/>
                  <w:tcBorders>
                    <w:tl2br w:val="nil"/>
                    <w:tr2bl w:val="nil"/>
                  </w:tcBorders>
                  <w:shd w:val="clear" w:color="auto" w:fill="auto"/>
                  <w:vAlign w:val="center"/>
                </w:tcPr>
                <w:p w14:paraId="11347086">
                  <w:pPr>
                    <w:widowControl/>
                    <w:jc w:val="center"/>
                    <w:textAlignment w:val="bottom"/>
                    <w:rPr>
                      <w:rFonts w:hint="default" w:ascii="Times New Roman" w:hAnsi="Times New Roman" w:eastAsia="宋体" w:cs="Times New Roman"/>
                      <w:color w:val="auto"/>
                      <w:spacing w:val="5"/>
                      <w:kern w:val="0"/>
                      <w:sz w:val="21"/>
                      <w:szCs w:val="21"/>
                      <w:lang w:val="en-US" w:eastAsia="zh-CN" w:bidi="ar"/>
                    </w:rPr>
                  </w:pPr>
                  <w:r>
                    <w:rPr>
                      <w:rFonts w:hint="eastAsia" w:ascii="Times New Roman" w:hAnsi="Times New Roman" w:eastAsia="宋体" w:cs="Times New Roman"/>
                      <w:color w:val="auto"/>
                      <w:kern w:val="0"/>
                      <w:sz w:val="21"/>
                      <w:szCs w:val="21"/>
                      <w:lang w:val="en-US" w:eastAsia="zh-CN" w:bidi="ar"/>
                    </w:rPr>
                    <w:t>772-006-49</w:t>
                  </w:r>
                </w:p>
              </w:tc>
              <w:tc>
                <w:tcPr>
                  <w:tcW w:w="456" w:type="pct"/>
                  <w:tcBorders>
                    <w:tl2br w:val="nil"/>
                    <w:tr2bl w:val="nil"/>
                  </w:tcBorders>
                  <w:shd w:val="clear" w:color="auto" w:fill="auto"/>
                  <w:vAlign w:val="center"/>
                </w:tcPr>
                <w:p w14:paraId="5DFF129D">
                  <w:pPr>
                    <w:widowControl/>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8.44</w:t>
                  </w:r>
                </w:p>
              </w:tc>
              <w:tc>
                <w:tcPr>
                  <w:tcW w:w="298" w:type="pct"/>
                  <w:vMerge w:val="continue"/>
                  <w:tcBorders>
                    <w:tl2br w:val="nil"/>
                    <w:tr2bl w:val="nil"/>
                  </w:tcBorders>
                  <w:vAlign w:val="center"/>
                </w:tcPr>
                <w:p w14:paraId="0DBCA56D">
                  <w:pPr>
                    <w:snapToGrid w:val="0"/>
                    <w:jc w:val="center"/>
                    <w:textAlignment w:val="baseline"/>
                    <w:rPr>
                      <w:rFonts w:hint="eastAsia" w:ascii="Times New Roman" w:hAnsi="Times New Roman" w:cs="Times New Roman"/>
                      <w:color w:val="auto"/>
                      <w:sz w:val="21"/>
                      <w:szCs w:val="21"/>
                      <w:lang w:bidi="ar-SA"/>
                    </w:rPr>
                  </w:pPr>
                </w:p>
              </w:tc>
            </w:tr>
            <w:tr w14:paraId="31E3CA0D">
              <w:tblPrEx>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CellMar>
                  <w:top w:w="0" w:type="dxa"/>
                  <w:left w:w="28" w:type="dxa"/>
                  <w:bottom w:w="0" w:type="dxa"/>
                  <w:right w:w="28" w:type="dxa"/>
                </w:tblCellMar>
              </w:tblPrEx>
              <w:trPr>
                <w:trHeight w:val="23" w:hRule="atLeast"/>
                <w:jc w:val="center"/>
              </w:trPr>
              <w:tc>
                <w:tcPr>
                  <w:tcW w:w="233" w:type="pct"/>
                  <w:tcBorders>
                    <w:tl2br w:val="nil"/>
                    <w:tr2bl w:val="nil"/>
                  </w:tcBorders>
                  <w:vAlign w:val="center"/>
                </w:tcPr>
                <w:p w14:paraId="038F022C">
                  <w:pPr>
                    <w:numPr>
                      <w:ilvl w:val="0"/>
                      <w:numId w:val="15"/>
                    </w:numPr>
                    <w:snapToGrid w:val="0"/>
                    <w:ind w:left="0" w:leftChars="0" w:firstLine="0" w:firstLineChars="0"/>
                    <w:jc w:val="center"/>
                    <w:textAlignment w:val="baseline"/>
                    <w:rPr>
                      <w:rFonts w:hint="default" w:cs="Times New Roman"/>
                      <w:color w:val="auto"/>
                      <w:sz w:val="21"/>
                      <w:szCs w:val="21"/>
                      <w:lang w:val="en-US" w:eastAsia="zh-CN" w:bidi="ar-SA"/>
                    </w:rPr>
                  </w:pPr>
                </w:p>
              </w:tc>
              <w:tc>
                <w:tcPr>
                  <w:tcW w:w="451" w:type="pct"/>
                  <w:tcBorders>
                    <w:tl2br w:val="nil"/>
                    <w:tr2bl w:val="nil"/>
                  </w:tcBorders>
                  <w:shd w:val="clear" w:color="auto" w:fill="auto"/>
                  <w:vAlign w:val="center"/>
                </w:tcPr>
                <w:p w14:paraId="408E772B">
                  <w:pPr>
                    <w:widowControl/>
                    <w:jc w:val="center"/>
                    <w:rPr>
                      <w:rFonts w:hint="default" w:ascii="Times New Roman" w:hAnsi="Times New Roman" w:eastAsia="宋体" w:cs="Times New Roman"/>
                      <w:bCs/>
                      <w:snapToGrid w:val="0"/>
                      <w:color w:val="auto"/>
                      <w:spacing w:val="6"/>
                      <w:kern w:val="2"/>
                      <w:sz w:val="21"/>
                      <w:szCs w:val="21"/>
                      <w:lang w:val="en-US" w:eastAsia="zh-CN" w:bidi="ar"/>
                    </w:rPr>
                  </w:pPr>
                  <w:r>
                    <w:rPr>
                      <w:rFonts w:hint="default" w:ascii="Times New Roman" w:hAnsi="Times New Roman" w:eastAsia="宋体" w:cs="Times New Roman"/>
                      <w:bCs/>
                      <w:snapToGrid w:val="0"/>
                      <w:color w:val="auto"/>
                      <w:spacing w:val="6"/>
                      <w:kern w:val="2"/>
                      <w:sz w:val="21"/>
                      <w:szCs w:val="21"/>
                      <w:lang w:val="en-US" w:eastAsia="zh-CN" w:bidi="ar"/>
                    </w:rPr>
                    <w:t>过滤材料</w:t>
                  </w:r>
                </w:p>
              </w:tc>
              <w:tc>
                <w:tcPr>
                  <w:tcW w:w="205" w:type="pct"/>
                  <w:vMerge w:val="continue"/>
                  <w:tcBorders>
                    <w:tl2br w:val="nil"/>
                    <w:tr2bl w:val="nil"/>
                  </w:tcBorders>
                  <w:vAlign w:val="center"/>
                </w:tcPr>
                <w:p w14:paraId="7DA7D91A">
                  <w:pPr>
                    <w:snapToGrid w:val="0"/>
                    <w:jc w:val="center"/>
                    <w:textAlignment w:val="baseline"/>
                    <w:rPr>
                      <w:rFonts w:hint="default" w:ascii="Times New Roman" w:hAnsi="Times New Roman" w:cs="Times New Roman"/>
                      <w:color w:val="auto"/>
                      <w:sz w:val="21"/>
                      <w:szCs w:val="21"/>
                      <w:lang w:bidi="ar-SA"/>
                    </w:rPr>
                  </w:pPr>
                </w:p>
              </w:tc>
              <w:tc>
                <w:tcPr>
                  <w:tcW w:w="716" w:type="pct"/>
                  <w:tcBorders>
                    <w:tl2br w:val="nil"/>
                    <w:tr2bl w:val="nil"/>
                  </w:tcBorders>
                  <w:shd w:val="clear" w:color="auto" w:fill="auto"/>
                  <w:vAlign w:val="center"/>
                </w:tcPr>
                <w:p w14:paraId="575EA95B">
                  <w:pPr>
                    <w:widowControl/>
                    <w:jc w:val="center"/>
                    <w:rPr>
                      <w:rFonts w:hint="eastAsia" w:ascii="Times New Roman" w:hAnsi="Times New Roman" w:eastAsia="宋体" w:cs="Times New Roman"/>
                      <w:bCs/>
                      <w:snapToGrid w:val="0"/>
                      <w:color w:val="auto"/>
                      <w:spacing w:val="6"/>
                      <w:kern w:val="2"/>
                      <w:sz w:val="21"/>
                      <w:szCs w:val="21"/>
                      <w:lang w:val="en-US" w:eastAsia="zh-CN" w:bidi="ar"/>
                    </w:rPr>
                  </w:pPr>
                  <w:r>
                    <w:rPr>
                      <w:rFonts w:hint="eastAsia" w:cs="Times New Roman"/>
                      <w:bCs/>
                      <w:snapToGrid w:val="0"/>
                      <w:color w:val="auto"/>
                      <w:spacing w:val="6"/>
                      <w:kern w:val="2"/>
                      <w:sz w:val="21"/>
                      <w:szCs w:val="21"/>
                      <w:lang w:val="en-US" w:eastAsia="zh-CN" w:bidi="ar"/>
                    </w:rPr>
                    <w:t>废水处理</w:t>
                  </w:r>
                </w:p>
              </w:tc>
              <w:tc>
                <w:tcPr>
                  <w:tcW w:w="360" w:type="pct"/>
                  <w:tcBorders>
                    <w:tl2br w:val="nil"/>
                    <w:tr2bl w:val="nil"/>
                  </w:tcBorders>
                  <w:shd w:val="clear" w:color="auto" w:fill="auto"/>
                  <w:vAlign w:val="center"/>
                </w:tcPr>
                <w:p w14:paraId="02338A38">
                  <w:pPr>
                    <w:widowControl/>
                    <w:jc w:val="center"/>
                    <w:rPr>
                      <w:rFonts w:hint="default" w:ascii="Times New Roman" w:hAnsi="Times New Roman" w:eastAsia="宋体" w:cs="Times New Roman"/>
                      <w:bCs/>
                      <w:snapToGrid w:val="0"/>
                      <w:color w:val="auto"/>
                      <w:spacing w:val="6"/>
                      <w:kern w:val="2"/>
                      <w:sz w:val="21"/>
                      <w:szCs w:val="21"/>
                      <w:lang w:val="en-US" w:eastAsia="zh-CN" w:bidi="ar"/>
                    </w:rPr>
                  </w:pPr>
                  <w:r>
                    <w:rPr>
                      <w:rFonts w:hint="eastAsia" w:cs="Times New Roman"/>
                      <w:bCs/>
                      <w:snapToGrid w:val="0"/>
                      <w:color w:val="auto"/>
                      <w:spacing w:val="6"/>
                      <w:kern w:val="2"/>
                      <w:sz w:val="21"/>
                      <w:szCs w:val="21"/>
                      <w:lang w:val="en-US" w:eastAsia="zh-CN" w:bidi="ar"/>
                    </w:rPr>
                    <w:t>固态</w:t>
                  </w:r>
                </w:p>
              </w:tc>
              <w:tc>
                <w:tcPr>
                  <w:tcW w:w="473" w:type="pct"/>
                  <w:tcBorders>
                    <w:tl2br w:val="nil"/>
                    <w:tr2bl w:val="nil"/>
                  </w:tcBorders>
                  <w:shd w:val="clear" w:color="auto" w:fill="auto"/>
                  <w:vAlign w:val="center"/>
                </w:tcPr>
                <w:p w14:paraId="28BC593E">
                  <w:pPr>
                    <w:widowControl/>
                    <w:jc w:val="center"/>
                    <w:rPr>
                      <w:rFonts w:hint="default" w:ascii="Times New Roman" w:hAnsi="Times New Roman" w:eastAsia="宋体" w:cs="Times New Roman"/>
                      <w:color w:val="auto"/>
                      <w:spacing w:val="6"/>
                      <w:kern w:val="2"/>
                      <w:sz w:val="21"/>
                      <w:szCs w:val="21"/>
                      <w:lang w:val="en-US" w:eastAsia="zh-CN" w:bidi="ar"/>
                    </w:rPr>
                  </w:pPr>
                  <w:r>
                    <w:rPr>
                      <w:rFonts w:hint="eastAsia" w:ascii="Times New Roman" w:hAnsi="Times New Roman" w:eastAsia="宋体" w:cs="Times New Roman"/>
                      <w:bCs/>
                      <w:snapToGrid w:val="0"/>
                      <w:color w:val="auto"/>
                      <w:spacing w:val="6"/>
                      <w:kern w:val="2"/>
                      <w:sz w:val="21"/>
                      <w:szCs w:val="21"/>
                      <w:lang w:val="en-US" w:eastAsia="zh-CN" w:bidi="ar"/>
                    </w:rPr>
                    <w:t>滤袋、陶瓷膜、矿物油等</w:t>
                  </w:r>
                </w:p>
              </w:tc>
              <w:tc>
                <w:tcPr>
                  <w:tcW w:w="309" w:type="pct"/>
                  <w:tcBorders>
                    <w:tl2br w:val="nil"/>
                    <w:tr2bl w:val="nil"/>
                  </w:tcBorders>
                  <w:shd w:val="clear" w:color="auto" w:fill="auto"/>
                  <w:vAlign w:val="center"/>
                </w:tcPr>
                <w:p w14:paraId="10AC5704">
                  <w:pPr>
                    <w:pStyle w:val="22"/>
                    <w:widowControl w:val="0"/>
                    <w:snapToGrid w:val="0"/>
                    <w:spacing w:before="0" w:beforeAutospacing="0" w:after="0" w:afterAutospacing="0"/>
                    <w:jc w:val="center"/>
                    <w:rPr>
                      <w:rFonts w:hint="eastAsia" w:ascii="Times New Roman" w:hAnsi="Times New Roman" w:eastAsia="宋体" w:cs="Times New Roman"/>
                      <w:bCs/>
                      <w:color w:val="auto"/>
                      <w:kern w:val="0"/>
                      <w:sz w:val="21"/>
                      <w:szCs w:val="21"/>
                      <w:lang w:val="en-US" w:eastAsia="zh-CN" w:bidi="ar-SA"/>
                    </w:rPr>
                  </w:pPr>
                  <w:r>
                    <w:rPr>
                      <w:rFonts w:ascii="Times New Roman" w:hAnsi="Times New Roman"/>
                      <w:bCs/>
                      <w:color w:val="auto"/>
                      <w:sz w:val="21"/>
                      <w:szCs w:val="21"/>
                    </w:rPr>
                    <w:t>T/In</w:t>
                  </w:r>
                </w:p>
              </w:tc>
              <w:tc>
                <w:tcPr>
                  <w:tcW w:w="746" w:type="pct"/>
                  <w:tcBorders>
                    <w:tl2br w:val="nil"/>
                    <w:tr2bl w:val="nil"/>
                  </w:tcBorders>
                  <w:shd w:val="clear" w:color="auto" w:fill="auto"/>
                  <w:vAlign w:val="center"/>
                </w:tcPr>
                <w:p w14:paraId="7FAF3A94">
                  <w:pPr>
                    <w:pStyle w:val="22"/>
                    <w:widowControl w:val="0"/>
                    <w:snapToGrid w:val="0"/>
                    <w:spacing w:before="0" w:beforeAutospacing="0" w:after="0" w:afterAutospacing="0"/>
                    <w:jc w:val="center"/>
                    <w:rPr>
                      <w:rFonts w:hint="default" w:ascii="宋体" w:hAnsi="宋体" w:eastAsia="宋体" w:cs="Times New Roman"/>
                      <w:color w:val="auto"/>
                      <w:kern w:val="0"/>
                      <w:sz w:val="21"/>
                      <w:szCs w:val="21"/>
                      <w:lang w:val="en-US" w:eastAsia="zh-CN" w:bidi="ar-SA"/>
                    </w:rPr>
                  </w:pPr>
                  <w:r>
                    <w:rPr>
                      <w:rFonts w:ascii="Times New Roman" w:hAnsi="Times New Roman"/>
                      <w:bCs/>
                      <w:color w:val="auto"/>
                      <w:sz w:val="21"/>
                      <w:szCs w:val="21"/>
                    </w:rPr>
                    <w:t>HW49</w:t>
                  </w:r>
                </w:p>
              </w:tc>
              <w:tc>
                <w:tcPr>
                  <w:tcW w:w="748" w:type="pct"/>
                  <w:tcBorders>
                    <w:tl2br w:val="nil"/>
                    <w:tr2bl w:val="nil"/>
                  </w:tcBorders>
                  <w:shd w:val="clear" w:color="auto" w:fill="auto"/>
                  <w:vAlign w:val="center"/>
                </w:tcPr>
                <w:p w14:paraId="1864FEC1">
                  <w:pPr>
                    <w:pStyle w:val="22"/>
                    <w:widowControl w:val="0"/>
                    <w:snapToGrid w:val="0"/>
                    <w:spacing w:before="0" w:beforeAutospacing="0" w:after="0" w:afterAutospacing="0"/>
                    <w:jc w:val="center"/>
                    <w:rPr>
                      <w:rFonts w:hint="default" w:ascii="宋体" w:hAnsi="宋体" w:eastAsia="宋体" w:cs="Times New Roman"/>
                      <w:color w:val="auto"/>
                      <w:kern w:val="0"/>
                      <w:sz w:val="21"/>
                      <w:szCs w:val="21"/>
                      <w:lang w:val="en-US" w:eastAsia="zh-CN" w:bidi="ar-SA"/>
                    </w:rPr>
                  </w:pPr>
                  <w:r>
                    <w:rPr>
                      <w:rFonts w:ascii="Times New Roman" w:hAnsi="Times New Roman"/>
                      <w:bCs/>
                      <w:color w:val="auto"/>
                      <w:sz w:val="21"/>
                      <w:szCs w:val="21"/>
                    </w:rPr>
                    <w:t>900-041-49</w:t>
                  </w:r>
                </w:p>
              </w:tc>
              <w:tc>
                <w:tcPr>
                  <w:tcW w:w="456" w:type="pct"/>
                  <w:tcBorders>
                    <w:tl2br w:val="nil"/>
                    <w:tr2bl w:val="nil"/>
                  </w:tcBorders>
                  <w:shd w:val="clear" w:color="auto" w:fill="auto"/>
                  <w:vAlign w:val="center"/>
                </w:tcPr>
                <w:p w14:paraId="4666203A">
                  <w:pPr>
                    <w:widowControl/>
                    <w:jc w:val="center"/>
                    <w:rPr>
                      <w:rFonts w:hint="eastAsia" w:ascii="Times New Roman" w:hAnsi="Times New Roman" w:eastAsia="宋体" w:cs="Times New Roman"/>
                      <w:color w:val="auto"/>
                      <w:kern w:val="2"/>
                      <w:sz w:val="21"/>
                      <w:szCs w:val="21"/>
                      <w:lang w:val="en-US" w:eastAsia="zh-CN" w:bidi="ar-SA"/>
                    </w:rPr>
                  </w:pPr>
                  <w:r>
                    <w:rPr>
                      <w:rFonts w:hint="eastAsia"/>
                      <w:bCs/>
                      <w:color w:val="auto"/>
                      <w:sz w:val="21"/>
                      <w:szCs w:val="21"/>
                      <w:lang w:val="en-US" w:eastAsia="zh-CN"/>
                    </w:rPr>
                    <w:t>0.5t/2a</w:t>
                  </w:r>
                </w:p>
              </w:tc>
              <w:tc>
                <w:tcPr>
                  <w:tcW w:w="298" w:type="pct"/>
                  <w:vMerge w:val="continue"/>
                  <w:tcBorders>
                    <w:tl2br w:val="nil"/>
                    <w:tr2bl w:val="nil"/>
                  </w:tcBorders>
                  <w:vAlign w:val="center"/>
                </w:tcPr>
                <w:p w14:paraId="27471D24">
                  <w:pPr>
                    <w:snapToGrid w:val="0"/>
                    <w:jc w:val="center"/>
                    <w:textAlignment w:val="baseline"/>
                    <w:rPr>
                      <w:rFonts w:hint="eastAsia" w:ascii="Times New Roman" w:hAnsi="Times New Roman" w:cs="Times New Roman"/>
                      <w:color w:val="auto"/>
                      <w:sz w:val="21"/>
                      <w:szCs w:val="21"/>
                      <w:lang w:bidi="ar-SA"/>
                    </w:rPr>
                  </w:pPr>
                </w:p>
              </w:tc>
            </w:tr>
            <w:tr w14:paraId="0AF24AB5">
              <w:tblPrEx>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CellMar>
                  <w:top w:w="0" w:type="dxa"/>
                  <w:left w:w="28" w:type="dxa"/>
                  <w:bottom w:w="0" w:type="dxa"/>
                  <w:right w:w="28" w:type="dxa"/>
                </w:tblCellMar>
              </w:tblPrEx>
              <w:trPr>
                <w:trHeight w:val="23" w:hRule="atLeast"/>
                <w:jc w:val="center"/>
              </w:trPr>
              <w:tc>
                <w:tcPr>
                  <w:tcW w:w="233" w:type="pct"/>
                  <w:tcBorders>
                    <w:tl2br w:val="nil"/>
                    <w:tr2bl w:val="nil"/>
                  </w:tcBorders>
                  <w:vAlign w:val="center"/>
                </w:tcPr>
                <w:p w14:paraId="64FA5707">
                  <w:pPr>
                    <w:numPr>
                      <w:ilvl w:val="0"/>
                      <w:numId w:val="15"/>
                    </w:numPr>
                    <w:snapToGrid w:val="0"/>
                    <w:ind w:left="0" w:leftChars="0" w:firstLine="0" w:firstLineChars="0"/>
                    <w:jc w:val="center"/>
                    <w:textAlignment w:val="baseline"/>
                    <w:rPr>
                      <w:rFonts w:hint="default" w:cs="Times New Roman"/>
                      <w:color w:val="auto"/>
                      <w:sz w:val="21"/>
                      <w:szCs w:val="21"/>
                      <w:lang w:val="en-US" w:eastAsia="zh-CN" w:bidi="ar-SA"/>
                    </w:rPr>
                  </w:pPr>
                </w:p>
              </w:tc>
              <w:tc>
                <w:tcPr>
                  <w:tcW w:w="451" w:type="pct"/>
                  <w:tcBorders>
                    <w:tl2br w:val="nil"/>
                    <w:tr2bl w:val="nil"/>
                  </w:tcBorders>
                  <w:shd w:val="clear" w:color="auto" w:fill="auto"/>
                  <w:vAlign w:val="center"/>
                </w:tcPr>
                <w:p w14:paraId="6E08B503">
                  <w:pPr>
                    <w:widowControl/>
                    <w:jc w:val="center"/>
                    <w:rPr>
                      <w:rFonts w:hint="default" w:ascii="Times New Roman" w:hAnsi="Times New Roman" w:eastAsia="宋体" w:cs="Times New Roman"/>
                      <w:bCs/>
                      <w:snapToGrid w:val="0"/>
                      <w:color w:val="auto"/>
                      <w:spacing w:val="6"/>
                      <w:kern w:val="2"/>
                      <w:sz w:val="21"/>
                      <w:szCs w:val="21"/>
                      <w:lang w:val="en-US" w:eastAsia="zh-CN" w:bidi="ar"/>
                    </w:rPr>
                  </w:pPr>
                  <w:r>
                    <w:rPr>
                      <w:rFonts w:hint="default" w:ascii="Times New Roman" w:hAnsi="Times New Roman" w:eastAsia="宋体" w:cs="Times New Roman"/>
                      <w:bCs/>
                      <w:snapToGrid w:val="0"/>
                      <w:color w:val="auto"/>
                      <w:spacing w:val="6"/>
                      <w:kern w:val="2"/>
                      <w:sz w:val="21"/>
                      <w:szCs w:val="21"/>
                      <w:lang w:val="en-US" w:eastAsia="zh-CN" w:bidi="ar"/>
                    </w:rPr>
                    <w:t>空压机含油废水</w:t>
                  </w:r>
                </w:p>
              </w:tc>
              <w:tc>
                <w:tcPr>
                  <w:tcW w:w="205" w:type="pct"/>
                  <w:vMerge w:val="continue"/>
                  <w:tcBorders>
                    <w:tl2br w:val="nil"/>
                    <w:tr2bl w:val="nil"/>
                  </w:tcBorders>
                  <w:vAlign w:val="center"/>
                </w:tcPr>
                <w:p w14:paraId="47ED373C">
                  <w:pPr>
                    <w:snapToGrid w:val="0"/>
                    <w:jc w:val="center"/>
                    <w:textAlignment w:val="baseline"/>
                    <w:rPr>
                      <w:rFonts w:hint="default" w:ascii="Times New Roman" w:hAnsi="Times New Roman" w:cs="Times New Roman"/>
                      <w:color w:val="auto"/>
                      <w:sz w:val="21"/>
                      <w:szCs w:val="21"/>
                      <w:lang w:bidi="ar-SA"/>
                    </w:rPr>
                  </w:pPr>
                </w:p>
              </w:tc>
              <w:tc>
                <w:tcPr>
                  <w:tcW w:w="716" w:type="pct"/>
                  <w:tcBorders>
                    <w:tl2br w:val="nil"/>
                    <w:tr2bl w:val="nil"/>
                  </w:tcBorders>
                  <w:shd w:val="clear" w:color="auto" w:fill="auto"/>
                  <w:vAlign w:val="center"/>
                </w:tcPr>
                <w:p w14:paraId="38D4B38F">
                  <w:pPr>
                    <w:widowControl/>
                    <w:jc w:val="center"/>
                    <w:rPr>
                      <w:rFonts w:hint="eastAsia" w:ascii="Times New Roman" w:hAnsi="Times New Roman" w:eastAsia="宋体" w:cs="Times New Roman"/>
                      <w:bCs/>
                      <w:snapToGrid w:val="0"/>
                      <w:color w:val="auto"/>
                      <w:spacing w:val="6"/>
                      <w:kern w:val="2"/>
                      <w:sz w:val="21"/>
                      <w:szCs w:val="21"/>
                      <w:lang w:val="en-US" w:eastAsia="zh-CN" w:bidi="ar-SA"/>
                    </w:rPr>
                  </w:pPr>
                  <w:r>
                    <w:rPr>
                      <w:rFonts w:hint="eastAsia"/>
                      <w:bCs/>
                      <w:snapToGrid w:val="0"/>
                      <w:color w:val="auto"/>
                      <w:spacing w:val="6"/>
                    </w:rPr>
                    <w:t>空压机</w:t>
                  </w:r>
                  <w:r>
                    <w:rPr>
                      <w:rFonts w:hint="eastAsia"/>
                      <w:bCs/>
                      <w:snapToGrid w:val="0"/>
                      <w:color w:val="auto"/>
                      <w:spacing w:val="6"/>
                      <w:lang w:val="en-US" w:eastAsia="zh-CN"/>
                    </w:rPr>
                    <w:t>运行</w:t>
                  </w:r>
                </w:p>
              </w:tc>
              <w:tc>
                <w:tcPr>
                  <w:tcW w:w="360" w:type="pct"/>
                  <w:tcBorders>
                    <w:tl2br w:val="nil"/>
                    <w:tr2bl w:val="nil"/>
                  </w:tcBorders>
                  <w:shd w:val="clear" w:color="auto" w:fill="auto"/>
                  <w:vAlign w:val="center"/>
                </w:tcPr>
                <w:p w14:paraId="082B5060">
                  <w:pPr>
                    <w:widowControl/>
                    <w:jc w:val="center"/>
                    <w:rPr>
                      <w:rFonts w:hint="eastAsia" w:ascii="Times New Roman" w:hAnsi="Times New Roman" w:eastAsia="宋体" w:cs="Times New Roman"/>
                      <w:bCs/>
                      <w:snapToGrid w:val="0"/>
                      <w:color w:val="auto"/>
                      <w:spacing w:val="6"/>
                      <w:kern w:val="2"/>
                      <w:sz w:val="21"/>
                      <w:szCs w:val="21"/>
                      <w:lang w:val="en-US" w:eastAsia="zh-CN" w:bidi="ar-SA"/>
                    </w:rPr>
                  </w:pPr>
                  <w:r>
                    <w:rPr>
                      <w:rFonts w:hint="eastAsia"/>
                      <w:bCs/>
                      <w:snapToGrid w:val="0"/>
                      <w:color w:val="auto"/>
                      <w:spacing w:val="6"/>
                      <w:lang w:val="en-US" w:eastAsia="zh-CN"/>
                    </w:rPr>
                    <w:t>液态</w:t>
                  </w:r>
                </w:p>
              </w:tc>
              <w:tc>
                <w:tcPr>
                  <w:tcW w:w="473" w:type="pct"/>
                  <w:tcBorders>
                    <w:tl2br w:val="nil"/>
                    <w:tr2bl w:val="nil"/>
                  </w:tcBorders>
                  <w:shd w:val="clear" w:color="auto" w:fill="auto"/>
                  <w:vAlign w:val="center"/>
                </w:tcPr>
                <w:p w14:paraId="12BCF100">
                  <w:pPr>
                    <w:widowControl/>
                    <w:jc w:val="center"/>
                    <w:rPr>
                      <w:rFonts w:hint="default" w:ascii="Times New Roman" w:hAnsi="Times New Roman" w:eastAsia="宋体" w:cs="Times New Roman"/>
                      <w:bCs/>
                      <w:snapToGrid w:val="0"/>
                      <w:color w:val="auto"/>
                      <w:spacing w:val="6"/>
                      <w:kern w:val="2"/>
                      <w:sz w:val="21"/>
                      <w:szCs w:val="21"/>
                      <w:lang w:val="en-US" w:eastAsia="zh-CN" w:bidi="ar-SA"/>
                    </w:rPr>
                  </w:pPr>
                  <w:r>
                    <w:rPr>
                      <w:rFonts w:hint="eastAsia" w:ascii="Times New Roman" w:hAnsi="Times New Roman"/>
                      <w:color w:val="auto"/>
                      <w:sz w:val="21"/>
                      <w:szCs w:val="21"/>
                    </w:rPr>
                    <w:t>矿物油、水</w:t>
                  </w:r>
                </w:p>
              </w:tc>
              <w:tc>
                <w:tcPr>
                  <w:tcW w:w="309" w:type="pct"/>
                  <w:tcBorders>
                    <w:tl2br w:val="nil"/>
                    <w:tr2bl w:val="nil"/>
                  </w:tcBorders>
                  <w:shd w:val="clear" w:color="auto" w:fill="auto"/>
                  <w:vAlign w:val="center"/>
                </w:tcPr>
                <w:p w14:paraId="28246DF3">
                  <w:pPr>
                    <w:pStyle w:val="22"/>
                    <w:widowControl w:val="0"/>
                    <w:snapToGrid w:val="0"/>
                    <w:spacing w:before="0" w:beforeAutospacing="0" w:after="0" w:afterAutospacing="0"/>
                    <w:jc w:val="center"/>
                    <w:rPr>
                      <w:rFonts w:hint="eastAsia" w:ascii="Times New Roman" w:hAnsi="Times New Roman" w:eastAsia="宋体" w:cs="Times New Roman"/>
                      <w:bCs/>
                      <w:color w:val="auto"/>
                      <w:kern w:val="0"/>
                      <w:sz w:val="21"/>
                      <w:szCs w:val="21"/>
                      <w:highlight w:val="none"/>
                      <w:lang w:val="en-US" w:eastAsia="zh-CN" w:bidi="ar"/>
                    </w:rPr>
                  </w:pPr>
                  <w:r>
                    <w:rPr>
                      <w:rFonts w:hint="eastAsia" w:ascii="Times New Roman" w:hAnsi="Times New Roman"/>
                      <w:bCs/>
                      <w:color w:val="auto"/>
                      <w:sz w:val="21"/>
                      <w:szCs w:val="21"/>
                      <w:highlight w:val="none"/>
                      <w:lang w:val="en-US" w:eastAsia="zh-CN" w:bidi="ar"/>
                    </w:rPr>
                    <w:t>T</w:t>
                  </w:r>
                </w:p>
              </w:tc>
              <w:tc>
                <w:tcPr>
                  <w:tcW w:w="746" w:type="pct"/>
                  <w:tcBorders>
                    <w:tl2br w:val="nil"/>
                    <w:tr2bl w:val="nil"/>
                  </w:tcBorders>
                  <w:shd w:val="clear" w:color="auto" w:fill="auto"/>
                  <w:vAlign w:val="center"/>
                </w:tcPr>
                <w:p w14:paraId="6999CF7B">
                  <w:pPr>
                    <w:adjustRightInd w:val="0"/>
                    <w:snapToGrid w:val="0"/>
                    <w:jc w:val="center"/>
                    <w:rPr>
                      <w:rFonts w:hint="default" w:ascii="Times New Roman" w:hAnsi="Times New Roman" w:eastAsia="宋体" w:cs="Times New Roman"/>
                      <w:color w:val="auto"/>
                      <w:kern w:val="2"/>
                      <w:sz w:val="21"/>
                      <w:szCs w:val="21"/>
                      <w:highlight w:val="none"/>
                      <w:lang w:val="en-US" w:eastAsia="zh-CN" w:bidi="ar"/>
                    </w:rPr>
                  </w:pPr>
                  <w:r>
                    <w:rPr>
                      <w:rFonts w:hint="eastAsia"/>
                      <w:color w:val="auto"/>
                      <w:sz w:val="21"/>
                      <w:szCs w:val="21"/>
                      <w:highlight w:val="none"/>
                      <w:lang w:val="en-US" w:eastAsia="zh-CN" w:bidi="ar"/>
                    </w:rPr>
                    <w:t>HW09</w:t>
                  </w:r>
                </w:p>
              </w:tc>
              <w:tc>
                <w:tcPr>
                  <w:tcW w:w="748" w:type="pct"/>
                  <w:tcBorders>
                    <w:tl2br w:val="nil"/>
                    <w:tr2bl w:val="nil"/>
                  </w:tcBorders>
                  <w:shd w:val="clear" w:color="auto" w:fill="auto"/>
                  <w:vAlign w:val="center"/>
                </w:tcPr>
                <w:p w14:paraId="5EDCCBEC">
                  <w:pPr>
                    <w:adjustRightInd w:val="0"/>
                    <w:snapToGrid w:val="0"/>
                    <w:jc w:val="center"/>
                    <w:rPr>
                      <w:rFonts w:hint="default" w:ascii="Times New Roman" w:hAnsi="Times New Roman" w:eastAsia="宋体" w:cs="Times New Roman"/>
                      <w:color w:val="auto"/>
                      <w:kern w:val="2"/>
                      <w:sz w:val="21"/>
                      <w:szCs w:val="21"/>
                      <w:highlight w:val="none"/>
                      <w:lang w:val="en-US" w:eastAsia="zh-CN" w:bidi="ar"/>
                    </w:rPr>
                  </w:pPr>
                  <w:r>
                    <w:rPr>
                      <w:rFonts w:hint="default"/>
                      <w:color w:val="auto"/>
                      <w:sz w:val="21"/>
                      <w:szCs w:val="21"/>
                      <w:highlight w:val="none"/>
                      <w:lang w:bidi="ar"/>
                    </w:rPr>
                    <w:t>900-</w:t>
                  </w:r>
                  <w:r>
                    <w:rPr>
                      <w:rFonts w:hint="eastAsia"/>
                      <w:color w:val="auto"/>
                      <w:sz w:val="21"/>
                      <w:szCs w:val="21"/>
                      <w:highlight w:val="none"/>
                      <w:lang w:val="en-US" w:eastAsia="zh-CN" w:bidi="ar"/>
                    </w:rPr>
                    <w:t>007-09</w:t>
                  </w:r>
                </w:p>
              </w:tc>
              <w:tc>
                <w:tcPr>
                  <w:tcW w:w="456" w:type="pct"/>
                  <w:tcBorders>
                    <w:tl2br w:val="nil"/>
                    <w:tr2bl w:val="nil"/>
                  </w:tcBorders>
                  <w:shd w:val="clear" w:color="auto" w:fill="auto"/>
                  <w:vAlign w:val="center"/>
                </w:tcPr>
                <w:p w14:paraId="282C80AC">
                  <w:pPr>
                    <w:widowControl/>
                    <w:jc w:val="center"/>
                    <w:rPr>
                      <w:rFonts w:hint="default"/>
                      <w:bCs/>
                      <w:color w:val="auto"/>
                      <w:sz w:val="24"/>
                      <w:szCs w:val="24"/>
                      <w:lang w:val="en-US" w:eastAsia="zh-CN"/>
                    </w:rPr>
                  </w:pPr>
                  <w:r>
                    <w:rPr>
                      <w:rFonts w:hint="eastAsia"/>
                      <w:bCs/>
                      <w:color w:val="auto"/>
                      <w:sz w:val="24"/>
                      <w:szCs w:val="24"/>
                      <w:lang w:val="en-US" w:eastAsia="zh-CN"/>
                    </w:rPr>
                    <w:t>0.2</w:t>
                  </w:r>
                </w:p>
              </w:tc>
              <w:tc>
                <w:tcPr>
                  <w:tcW w:w="298" w:type="pct"/>
                  <w:vMerge w:val="continue"/>
                  <w:tcBorders>
                    <w:tl2br w:val="nil"/>
                    <w:tr2bl w:val="nil"/>
                  </w:tcBorders>
                  <w:vAlign w:val="center"/>
                </w:tcPr>
                <w:p w14:paraId="11A2B5CC">
                  <w:pPr>
                    <w:snapToGrid w:val="0"/>
                    <w:jc w:val="center"/>
                    <w:textAlignment w:val="baseline"/>
                    <w:rPr>
                      <w:rFonts w:hint="eastAsia" w:ascii="Times New Roman" w:hAnsi="Times New Roman" w:cs="Times New Roman"/>
                      <w:color w:val="auto"/>
                      <w:sz w:val="21"/>
                      <w:szCs w:val="21"/>
                      <w:lang w:bidi="ar-SA"/>
                    </w:rPr>
                  </w:pPr>
                </w:p>
              </w:tc>
            </w:tr>
            <w:tr w14:paraId="3807AC97">
              <w:tblPrEx>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CellMar>
                  <w:top w:w="0" w:type="dxa"/>
                  <w:left w:w="28" w:type="dxa"/>
                  <w:bottom w:w="0" w:type="dxa"/>
                  <w:right w:w="28" w:type="dxa"/>
                </w:tblCellMar>
              </w:tblPrEx>
              <w:trPr>
                <w:trHeight w:val="23" w:hRule="atLeast"/>
                <w:jc w:val="center"/>
              </w:trPr>
              <w:tc>
                <w:tcPr>
                  <w:tcW w:w="233" w:type="pct"/>
                  <w:tcBorders>
                    <w:tl2br w:val="nil"/>
                    <w:tr2bl w:val="nil"/>
                  </w:tcBorders>
                  <w:vAlign w:val="center"/>
                </w:tcPr>
                <w:p w14:paraId="16E77ED1">
                  <w:pPr>
                    <w:numPr>
                      <w:ilvl w:val="0"/>
                      <w:numId w:val="15"/>
                    </w:numPr>
                    <w:snapToGrid w:val="0"/>
                    <w:ind w:left="0" w:leftChars="0" w:firstLine="0" w:firstLineChars="0"/>
                    <w:jc w:val="center"/>
                    <w:textAlignment w:val="baseline"/>
                    <w:rPr>
                      <w:rFonts w:hint="default" w:cs="Times New Roman"/>
                      <w:color w:val="auto"/>
                      <w:sz w:val="21"/>
                      <w:szCs w:val="21"/>
                      <w:lang w:val="en-US" w:eastAsia="zh-CN" w:bidi="ar-SA"/>
                    </w:rPr>
                  </w:pPr>
                </w:p>
              </w:tc>
              <w:tc>
                <w:tcPr>
                  <w:tcW w:w="451" w:type="pct"/>
                  <w:tcBorders>
                    <w:tl2br w:val="nil"/>
                    <w:tr2bl w:val="nil"/>
                  </w:tcBorders>
                  <w:shd w:val="clear" w:color="auto" w:fill="auto"/>
                  <w:vAlign w:val="center"/>
                </w:tcPr>
                <w:p w14:paraId="484BCEB9">
                  <w:pPr>
                    <w:widowControl/>
                    <w:jc w:val="center"/>
                    <w:rPr>
                      <w:rFonts w:hint="default" w:ascii="Times New Roman" w:hAnsi="Times New Roman" w:eastAsia="宋体" w:cs="Times New Roman"/>
                      <w:bCs/>
                      <w:snapToGrid w:val="0"/>
                      <w:color w:val="auto"/>
                      <w:spacing w:val="6"/>
                      <w:kern w:val="2"/>
                      <w:sz w:val="21"/>
                      <w:szCs w:val="21"/>
                      <w:lang w:val="en-US" w:eastAsia="zh-CN" w:bidi="ar"/>
                    </w:rPr>
                  </w:pPr>
                  <w:r>
                    <w:rPr>
                      <w:rFonts w:hint="default" w:ascii="Times New Roman" w:hAnsi="Times New Roman" w:eastAsia="宋体" w:cs="Times New Roman"/>
                      <w:bCs/>
                      <w:snapToGrid w:val="0"/>
                      <w:color w:val="auto"/>
                      <w:spacing w:val="6"/>
                      <w:sz w:val="21"/>
                      <w:szCs w:val="21"/>
                    </w:rPr>
                    <w:t>抛光废料</w:t>
                  </w:r>
                </w:p>
              </w:tc>
              <w:tc>
                <w:tcPr>
                  <w:tcW w:w="205" w:type="pct"/>
                  <w:vMerge w:val="continue"/>
                  <w:tcBorders>
                    <w:tl2br w:val="nil"/>
                    <w:tr2bl w:val="nil"/>
                  </w:tcBorders>
                  <w:vAlign w:val="center"/>
                </w:tcPr>
                <w:p w14:paraId="5A3F9BA0">
                  <w:pPr>
                    <w:snapToGrid w:val="0"/>
                    <w:jc w:val="center"/>
                    <w:textAlignment w:val="baseline"/>
                    <w:rPr>
                      <w:rFonts w:hint="default" w:ascii="Times New Roman" w:hAnsi="Times New Roman" w:cs="Times New Roman"/>
                      <w:color w:val="auto"/>
                      <w:sz w:val="21"/>
                      <w:szCs w:val="21"/>
                      <w:lang w:bidi="ar-SA"/>
                    </w:rPr>
                  </w:pPr>
                </w:p>
              </w:tc>
              <w:tc>
                <w:tcPr>
                  <w:tcW w:w="716" w:type="pct"/>
                  <w:tcBorders>
                    <w:tl2br w:val="nil"/>
                    <w:tr2bl w:val="nil"/>
                  </w:tcBorders>
                  <w:shd w:val="clear" w:color="auto" w:fill="auto"/>
                  <w:vAlign w:val="center"/>
                </w:tcPr>
                <w:p w14:paraId="0846D114">
                  <w:pPr>
                    <w:widowControl/>
                    <w:jc w:val="center"/>
                    <w:rPr>
                      <w:rFonts w:hint="eastAsia" w:ascii="Times New Roman" w:hAnsi="Times New Roman" w:eastAsia="宋体" w:cs="Times New Roman"/>
                      <w:bCs/>
                      <w:snapToGrid w:val="0"/>
                      <w:color w:val="auto"/>
                      <w:spacing w:val="6"/>
                      <w:kern w:val="2"/>
                      <w:sz w:val="21"/>
                      <w:szCs w:val="21"/>
                      <w:lang w:val="en-US" w:eastAsia="zh-CN" w:bidi="ar"/>
                    </w:rPr>
                  </w:pPr>
                  <w:r>
                    <w:rPr>
                      <w:rFonts w:hint="default" w:ascii="Times New Roman" w:hAnsi="Times New Roman" w:eastAsia="宋体" w:cs="Times New Roman"/>
                      <w:bCs/>
                      <w:snapToGrid w:val="0"/>
                      <w:color w:val="auto"/>
                      <w:spacing w:val="6"/>
                      <w:sz w:val="21"/>
                      <w:szCs w:val="21"/>
                    </w:rPr>
                    <w:t>抛光测试</w:t>
                  </w:r>
                </w:p>
              </w:tc>
              <w:tc>
                <w:tcPr>
                  <w:tcW w:w="360" w:type="pct"/>
                  <w:tcBorders>
                    <w:tl2br w:val="nil"/>
                    <w:tr2bl w:val="nil"/>
                  </w:tcBorders>
                  <w:shd w:val="clear" w:color="auto" w:fill="auto"/>
                  <w:vAlign w:val="center"/>
                </w:tcPr>
                <w:p w14:paraId="710C32D3">
                  <w:pPr>
                    <w:widowControl/>
                    <w:jc w:val="center"/>
                    <w:rPr>
                      <w:rFonts w:hint="eastAsia" w:ascii="Times New Roman" w:hAnsi="Times New Roman" w:eastAsia="宋体" w:cs="Times New Roman"/>
                      <w:bCs/>
                      <w:snapToGrid w:val="0"/>
                      <w:color w:val="auto"/>
                      <w:spacing w:val="6"/>
                      <w:kern w:val="2"/>
                      <w:sz w:val="21"/>
                      <w:szCs w:val="21"/>
                      <w:lang w:val="en-US" w:eastAsia="zh-CN" w:bidi="ar"/>
                    </w:rPr>
                  </w:pPr>
                  <w:r>
                    <w:rPr>
                      <w:rFonts w:hint="default" w:ascii="Times New Roman" w:hAnsi="Times New Roman" w:eastAsia="宋体" w:cs="Times New Roman"/>
                      <w:bCs/>
                      <w:snapToGrid w:val="0"/>
                      <w:color w:val="auto"/>
                      <w:spacing w:val="6"/>
                      <w:sz w:val="21"/>
                      <w:szCs w:val="21"/>
                    </w:rPr>
                    <w:t>固态</w:t>
                  </w:r>
                </w:p>
              </w:tc>
              <w:tc>
                <w:tcPr>
                  <w:tcW w:w="473" w:type="pct"/>
                  <w:tcBorders>
                    <w:tl2br w:val="nil"/>
                    <w:tr2bl w:val="nil"/>
                  </w:tcBorders>
                  <w:shd w:val="clear" w:color="auto" w:fill="auto"/>
                  <w:vAlign w:val="center"/>
                </w:tcPr>
                <w:p w14:paraId="14372696">
                  <w:pPr>
                    <w:widowControl/>
                    <w:jc w:val="center"/>
                    <w:rPr>
                      <w:rFonts w:hint="eastAsia" w:ascii="Times New Roman" w:hAnsi="Times New Roman" w:eastAsia="宋体" w:cs="Times New Roman"/>
                      <w:bCs/>
                      <w:snapToGrid w:val="0"/>
                      <w:color w:val="auto"/>
                      <w:spacing w:val="6"/>
                      <w:kern w:val="2"/>
                      <w:sz w:val="21"/>
                      <w:szCs w:val="21"/>
                      <w:lang w:val="en-US" w:eastAsia="zh-CN" w:bidi="ar"/>
                    </w:rPr>
                  </w:pPr>
                  <w:r>
                    <w:rPr>
                      <w:rFonts w:hint="eastAsia" w:cs="Times New Roman"/>
                      <w:bCs/>
                      <w:snapToGrid w:val="0"/>
                      <w:color w:val="auto"/>
                      <w:spacing w:val="6"/>
                      <w:sz w:val="21"/>
                      <w:szCs w:val="21"/>
                      <w:lang w:val="en-US" w:eastAsia="zh-CN"/>
                    </w:rPr>
                    <w:t>金刚砂、米糠、轻质白油等</w:t>
                  </w:r>
                </w:p>
              </w:tc>
              <w:tc>
                <w:tcPr>
                  <w:tcW w:w="309" w:type="pct"/>
                  <w:tcBorders>
                    <w:tl2br w:val="nil"/>
                    <w:tr2bl w:val="nil"/>
                  </w:tcBorders>
                  <w:shd w:val="clear" w:color="auto" w:fill="auto"/>
                  <w:vAlign w:val="center"/>
                </w:tcPr>
                <w:p w14:paraId="02E98644">
                  <w:pPr>
                    <w:pStyle w:val="2"/>
                    <w:spacing w:before="0" w:after="0" w:line="240" w:lineRule="auto"/>
                    <w:jc w:val="center"/>
                    <w:rPr>
                      <w:rFonts w:hint="eastAsia" w:ascii="Times New Roman" w:hAnsi="Times New Roman" w:eastAsia="宋体" w:cs="Times New Roman"/>
                      <w:b w:val="0"/>
                      <w:bCs w:val="0"/>
                      <w:color w:val="auto"/>
                      <w:kern w:val="2"/>
                      <w:sz w:val="21"/>
                      <w:szCs w:val="21"/>
                      <w:lang w:val="en-US" w:eastAsia="zh-CN" w:bidi="ar"/>
                    </w:rPr>
                  </w:pPr>
                  <w:r>
                    <w:rPr>
                      <w:rFonts w:hint="default" w:ascii="Times New Roman" w:hAnsi="Times New Roman" w:eastAsia="宋体" w:cs="Times New Roman"/>
                      <w:b w:val="0"/>
                      <w:bCs w:val="0"/>
                      <w:color w:val="auto"/>
                      <w:kern w:val="2"/>
                      <w:sz w:val="21"/>
                      <w:szCs w:val="21"/>
                      <w:lang w:val="en-US" w:eastAsia="zh-CN" w:bidi="ar"/>
                    </w:rPr>
                    <w:t>T，I</w:t>
                  </w:r>
                </w:p>
              </w:tc>
              <w:tc>
                <w:tcPr>
                  <w:tcW w:w="746" w:type="pct"/>
                  <w:tcBorders>
                    <w:tl2br w:val="nil"/>
                    <w:tr2bl w:val="nil"/>
                  </w:tcBorders>
                  <w:shd w:val="clear" w:color="auto" w:fill="auto"/>
                  <w:vAlign w:val="center"/>
                </w:tcPr>
                <w:p w14:paraId="5F1108D6">
                  <w:pPr>
                    <w:pStyle w:val="2"/>
                    <w:spacing w:before="0" w:after="0" w:line="240" w:lineRule="auto"/>
                    <w:jc w:val="center"/>
                    <w:rPr>
                      <w:rFonts w:hint="eastAsia" w:ascii="Times New Roman" w:hAnsi="Times New Roman" w:eastAsia="宋体" w:cs="Times New Roman"/>
                      <w:b w:val="0"/>
                      <w:bCs w:val="0"/>
                      <w:color w:val="auto"/>
                      <w:kern w:val="2"/>
                      <w:sz w:val="21"/>
                      <w:szCs w:val="21"/>
                      <w:lang w:val="en-US" w:eastAsia="zh-CN" w:bidi="ar"/>
                    </w:rPr>
                  </w:pPr>
                  <w:r>
                    <w:rPr>
                      <w:rFonts w:hint="default" w:ascii="Times New Roman" w:hAnsi="Times New Roman" w:eastAsia="宋体" w:cs="Times New Roman"/>
                      <w:b w:val="0"/>
                      <w:bCs w:val="0"/>
                      <w:color w:val="auto"/>
                      <w:kern w:val="2"/>
                      <w:sz w:val="21"/>
                      <w:szCs w:val="21"/>
                      <w:lang w:val="en-US" w:eastAsia="zh-CN" w:bidi="ar"/>
                    </w:rPr>
                    <w:t>HW08</w:t>
                  </w:r>
                </w:p>
              </w:tc>
              <w:tc>
                <w:tcPr>
                  <w:tcW w:w="748" w:type="pct"/>
                  <w:tcBorders>
                    <w:tl2br w:val="nil"/>
                    <w:tr2bl w:val="nil"/>
                  </w:tcBorders>
                  <w:shd w:val="clear" w:color="auto" w:fill="auto"/>
                  <w:vAlign w:val="center"/>
                </w:tcPr>
                <w:p w14:paraId="5718D0D9">
                  <w:pPr>
                    <w:pStyle w:val="2"/>
                    <w:spacing w:before="0" w:after="0" w:line="240" w:lineRule="auto"/>
                    <w:jc w:val="center"/>
                    <w:rPr>
                      <w:rFonts w:hint="default" w:ascii="Times New Roman" w:hAnsi="Times New Roman" w:eastAsia="宋体" w:cs="Times New Roman"/>
                      <w:b w:val="0"/>
                      <w:bCs w:val="0"/>
                      <w:color w:val="auto"/>
                      <w:kern w:val="2"/>
                      <w:sz w:val="21"/>
                      <w:szCs w:val="21"/>
                      <w:lang w:val="en-US" w:eastAsia="zh-CN" w:bidi="ar"/>
                    </w:rPr>
                  </w:pPr>
                  <w:r>
                    <w:rPr>
                      <w:rFonts w:hint="default" w:ascii="Times New Roman" w:hAnsi="Times New Roman" w:eastAsia="宋体" w:cs="Times New Roman"/>
                      <w:b w:val="0"/>
                      <w:bCs w:val="0"/>
                      <w:color w:val="auto"/>
                      <w:kern w:val="2"/>
                      <w:sz w:val="21"/>
                      <w:szCs w:val="21"/>
                      <w:lang w:val="en-US" w:eastAsia="zh-CN" w:bidi="ar"/>
                    </w:rPr>
                    <w:t>900-249-08</w:t>
                  </w:r>
                </w:p>
              </w:tc>
              <w:tc>
                <w:tcPr>
                  <w:tcW w:w="456" w:type="pct"/>
                  <w:tcBorders>
                    <w:tl2br w:val="nil"/>
                    <w:tr2bl w:val="nil"/>
                  </w:tcBorders>
                  <w:shd w:val="clear" w:color="auto" w:fill="auto"/>
                  <w:vAlign w:val="center"/>
                </w:tcPr>
                <w:p w14:paraId="2E6AE68F">
                  <w:pPr>
                    <w:widowControl/>
                    <w:jc w:val="center"/>
                    <w:rPr>
                      <w:rFonts w:hint="eastAsia" w:ascii="Times New Roman" w:hAnsi="Times New Roman" w:eastAsia="宋体" w:cs="Times New Roman"/>
                      <w:bCs/>
                      <w:snapToGrid w:val="0"/>
                      <w:color w:val="auto"/>
                      <w:spacing w:val="6"/>
                      <w:kern w:val="2"/>
                      <w:sz w:val="21"/>
                      <w:szCs w:val="21"/>
                      <w:lang w:val="en-US" w:eastAsia="zh-CN" w:bidi="ar"/>
                    </w:rPr>
                  </w:pPr>
                  <w:r>
                    <w:rPr>
                      <w:rFonts w:hint="eastAsia" w:ascii="Times New Roman" w:hAnsi="Times New Roman" w:eastAsia="宋体" w:cs="Times New Roman"/>
                      <w:bCs/>
                      <w:snapToGrid w:val="0"/>
                      <w:color w:val="auto"/>
                      <w:spacing w:val="6"/>
                      <w:kern w:val="2"/>
                      <w:sz w:val="21"/>
                      <w:szCs w:val="21"/>
                      <w:lang w:val="en-US" w:eastAsia="zh-CN" w:bidi="ar"/>
                    </w:rPr>
                    <w:t>14.3</w:t>
                  </w:r>
                </w:p>
              </w:tc>
              <w:tc>
                <w:tcPr>
                  <w:tcW w:w="298" w:type="pct"/>
                  <w:vMerge w:val="continue"/>
                  <w:tcBorders>
                    <w:tl2br w:val="nil"/>
                    <w:tr2bl w:val="nil"/>
                  </w:tcBorders>
                  <w:vAlign w:val="center"/>
                </w:tcPr>
                <w:p w14:paraId="00F44152">
                  <w:pPr>
                    <w:snapToGrid w:val="0"/>
                    <w:jc w:val="center"/>
                    <w:textAlignment w:val="baseline"/>
                    <w:rPr>
                      <w:rFonts w:hint="eastAsia" w:ascii="Times New Roman" w:hAnsi="Times New Roman" w:cs="Times New Roman"/>
                      <w:color w:val="auto"/>
                      <w:sz w:val="21"/>
                      <w:szCs w:val="21"/>
                      <w:lang w:bidi="ar-SA"/>
                    </w:rPr>
                  </w:pPr>
                </w:p>
              </w:tc>
            </w:tr>
            <w:tr w14:paraId="05377130">
              <w:tblPrEx>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CellMar>
                  <w:top w:w="0" w:type="dxa"/>
                  <w:left w:w="28" w:type="dxa"/>
                  <w:bottom w:w="0" w:type="dxa"/>
                  <w:right w:w="28" w:type="dxa"/>
                </w:tblCellMar>
              </w:tblPrEx>
              <w:trPr>
                <w:trHeight w:val="23" w:hRule="atLeast"/>
                <w:jc w:val="center"/>
              </w:trPr>
              <w:tc>
                <w:tcPr>
                  <w:tcW w:w="233" w:type="pct"/>
                  <w:tcBorders>
                    <w:tl2br w:val="nil"/>
                    <w:tr2bl w:val="nil"/>
                  </w:tcBorders>
                  <w:vAlign w:val="center"/>
                </w:tcPr>
                <w:p w14:paraId="42AC48CE">
                  <w:pPr>
                    <w:numPr>
                      <w:ilvl w:val="0"/>
                      <w:numId w:val="15"/>
                    </w:numPr>
                    <w:snapToGrid w:val="0"/>
                    <w:ind w:left="0" w:leftChars="0" w:firstLine="0" w:firstLineChars="0"/>
                    <w:jc w:val="center"/>
                    <w:textAlignment w:val="baseline"/>
                    <w:rPr>
                      <w:rFonts w:hint="default" w:cs="Times New Roman"/>
                      <w:color w:val="auto"/>
                      <w:sz w:val="21"/>
                      <w:szCs w:val="21"/>
                      <w:lang w:val="en-US" w:eastAsia="zh-CN" w:bidi="ar-SA"/>
                    </w:rPr>
                  </w:pPr>
                </w:p>
              </w:tc>
              <w:tc>
                <w:tcPr>
                  <w:tcW w:w="451" w:type="pct"/>
                  <w:tcBorders>
                    <w:tl2br w:val="nil"/>
                    <w:tr2bl w:val="nil"/>
                  </w:tcBorders>
                  <w:shd w:val="clear" w:color="auto" w:fill="auto"/>
                  <w:vAlign w:val="center"/>
                </w:tcPr>
                <w:p w14:paraId="7AEC7792">
                  <w:pPr>
                    <w:widowControl/>
                    <w:jc w:val="center"/>
                    <w:rPr>
                      <w:rFonts w:hint="default" w:ascii="Times New Roman" w:hAnsi="Times New Roman" w:eastAsia="宋体" w:cs="Times New Roman"/>
                      <w:bCs/>
                      <w:snapToGrid w:val="0"/>
                      <w:color w:val="auto"/>
                      <w:spacing w:val="6"/>
                      <w:kern w:val="2"/>
                      <w:sz w:val="21"/>
                      <w:szCs w:val="21"/>
                      <w:lang w:val="en-US" w:eastAsia="zh-CN" w:bidi="ar"/>
                    </w:rPr>
                  </w:pPr>
                  <w:r>
                    <w:rPr>
                      <w:rFonts w:hint="eastAsia"/>
                      <w:bCs/>
                      <w:snapToGrid w:val="0"/>
                      <w:color w:val="auto"/>
                      <w:spacing w:val="6"/>
                    </w:rPr>
                    <w:t>废电池</w:t>
                  </w:r>
                </w:p>
              </w:tc>
              <w:tc>
                <w:tcPr>
                  <w:tcW w:w="205" w:type="pct"/>
                  <w:vMerge w:val="continue"/>
                  <w:tcBorders>
                    <w:tl2br w:val="nil"/>
                    <w:tr2bl w:val="nil"/>
                  </w:tcBorders>
                  <w:vAlign w:val="center"/>
                </w:tcPr>
                <w:p w14:paraId="294AD834">
                  <w:pPr>
                    <w:snapToGrid w:val="0"/>
                    <w:jc w:val="center"/>
                    <w:textAlignment w:val="baseline"/>
                    <w:rPr>
                      <w:rFonts w:hint="default" w:ascii="Times New Roman" w:hAnsi="Times New Roman" w:cs="Times New Roman"/>
                      <w:color w:val="auto"/>
                      <w:sz w:val="21"/>
                      <w:szCs w:val="21"/>
                      <w:lang w:bidi="ar-SA"/>
                    </w:rPr>
                  </w:pPr>
                </w:p>
              </w:tc>
              <w:tc>
                <w:tcPr>
                  <w:tcW w:w="716" w:type="pct"/>
                  <w:tcBorders>
                    <w:tl2br w:val="nil"/>
                    <w:tr2bl w:val="nil"/>
                  </w:tcBorders>
                  <w:shd w:val="clear" w:color="auto" w:fill="auto"/>
                  <w:vAlign w:val="center"/>
                </w:tcPr>
                <w:p w14:paraId="3924C974">
                  <w:pPr>
                    <w:widowControl/>
                    <w:jc w:val="center"/>
                    <w:rPr>
                      <w:rFonts w:hint="eastAsia" w:ascii="Times New Roman" w:hAnsi="Times New Roman" w:eastAsia="宋体" w:cs="Times New Roman"/>
                      <w:bCs/>
                      <w:snapToGrid w:val="0"/>
                      <w:color w:val="auto"/>
                      <w:spacing w:val="6"/>
                      <w:kern w:val="2"/>
                      <w:sz w:val="21"/>
                      <w:szCs w:val="21"/>
                      <w:lang w:val="en-US" w:eastAsia="zh-CN" w:bidi="ar"/>
                    </w:rPr>
                  </w:pPr>
                  <w:r>
                    <w:rPr>
                      <w:rFonts w:hint="eastAsia"/>
                      <w:bCs/>
                      <w:snapToGrid w:val="0"/>
                      <w:color w:val="auto"/>
                      <w:spacing w:val="6"/>
                      <w:lang w:val="en-US" w:eastAsia="zh-CN"/>
                    </w:rPr>
                    <w:t>电叉车更换电池</w:t>
                  </w:r>
                </w:p>
              </w:tc>
              <w:tc>
                <w:tcPr>
                  <w:tcW w:w="360" w:type="pct"/>
                  <w:tcBorders>
                    <w:tl2br w:val="nil"/>
                    <w:tr2bl w:val="nil"/>
                  </w:tcBorders>
                  <w:shd w:val="clear" w:color="auto" w:fill="auto"/>
                  <w:vAlign w:val="center"/>
                </w:tcPr>
                <w:p w14:paraId="142742A4">
                  <w:pPr>
                    <w:widowControl/>
                    <w:jc w:val="center"/>
                    <w:rPr>
                      <w:rFonts w:hint="eastAsia" w:ascii="Times New Roman" w:hAnsi="Times New Roman" w:eastAsia="宋体" w:cs="Times New Roman"/>
                      <w:bCs/>
                      <w:snapToGrid w:val="0"/>
                      <w:color w:val="auto"/>
                      <w:spacing w:val="6"/>
                      <w:kern w:val="2"/>
                      <w:sz w:val="21"/>
                      <w:szCs w:val="21"/>
                      <w:lang w:val="en-US" w:eastAsia="zh-CN" w:bidi="ar"/>
                    </w:rPr>
                  </w:pPr>
                  <w:r>
                    <w:rPr>
                      <w:bCs/>
                      <w:snapToGrid w:val="0"/>
                      <w:color w:val="auto"/>
                      <w:spacing w:val="6"/>
                    </w:rPr>
                    <w:t>固态</w:t>
                  </w:r>
                </w:p>
              </w:tc>
              <w:tc>
                <w:tcPr>
                  <w:tcW w:w="473" w:type="pct"/>
                  <w:tcBorders>
                    <w:tl2br w:val="nil"/>
                    <w:tr2bl w:val="nil"/>
                  </w:tcBorders>
                  <w:shd w:val="clear" w:color="auto" w:fill="auto"/>
                  <w:vAlign w:val="center"/>
                </w:tcPr>
                <w:p w14:paraId="04777E6F">
                  <w:pPr>
                    <w:widowControl/>
                    <w:jc w:val="center"/>
                    <w:rPr>
                      <w:rFonts w:hint="eastAsia" w:ascii="Times New Roman" w:hAnsi="Times New Roman" w:eastAsia="宋体" w:cs="Times New Roman"/>
                      <w:bCs/>
                      <w:snapToGrid w:val="0"/>
                      <w:color w:val="auto"/>
                      <w:spacing w:val="6"/>
                      <w:kern w:val="2"/>
                      <w:sz w:val="21"/>
                      <w:szCs w:val="21"/>
                      <w:lang w:val="en-US" w:eastAsia="zh-CN" w:bidi="ar"/>
                    </w:rPr>
                  </w:pPr>
                  <w:r>
                    <w:rPr>
                      <w:rFonts w:hint="eastAsia"/>
                      <w:bCs/>
                      <w:snapToGrid w:val="0"/>
                      <w:color w:val="auto"/>
                      <w:spacing w:val="6"/>
                      <w:lang w:val="en-US" w:eastAsia="zh-CN"/>
                    </w:rPr>
                    <w:t>电池</w:t>
                  </w:r>
                </w:p>
              </w:tc>
              <w:tc>
                <w:tcPr>
                  <w:tcW w:w="309" w:type="pct"/>
                  <w:tcBorders>
                    <w:tl2br w:val="nil"/>
                    <w:tr2bl w:val="nil"/>
                  </w:tcBorders>
                  <w:shd w:val="clear" w:color="auto" w:fill="auto"/>
                  <w:vAlign w:val="center"/>
                </w:tcPr>
                <w:p w14:paraId="01D492EB">
                  <w:pPr>
                    <w:widowControl/>
                    <w:jc w:val="center"/>
                    <w:rPr>
                      <w:rFonts w:hint="eastAsia" w:ascii="Times New Roman" w:hAnsi="Times New Roman" w:eastAsia="宋体" w:cs="Times New Roman"/>
                      <w:bCs/>
                      <w:snapToGrid w:val="0"/>
                      <w:color w:val="auto"/>
                      <w:spacing w:val="6"/>
                      <w:kern w:val="2"/>
                      <w:sz w:val="21"/>
                      <w:szCs w:val="21"/>
                      <w:lang w:val="en-US" w:eastAsia="zh-CN" w:bidi="ar-SA"/>
                    </w:rPr>
                  </w:pPr>
                  <w:r>
                    <w:rPr>
                      <w:rFonts w:hint="eastAsia" w:ascii="Times New Roman" w:hAnsi="Times New Roman" w:eastAsia="宋体" w:cs="Times New Roman"/>
                      <w:bCs/>
                      <w:snapToGrid w:val="0"/>
                      <w:color w:val="auto"/>
                      <w:spacing w:val="6"/>
                      <w:kern w:val="2"/>
                      <w:sz w:val="21"/>
                      <w:szCs w:val="21"/>
                      <w:lang w:val="en-US" w:eastAsia="zh-CN" w:bidi="ar-SA"/>
                    </w:rPr>
                    <w:t>T，C</w:t>
                  </w:r>
                </w:p>
              </w:tc>
              <w:tc>
                <w:tcPr>
                  <w:tcW w:w="746" w:type="pct"/>
                  <w:tcBorders>
                    <w:tl2br w:val="nil"/>
                    <w:tr2bl w:val="nil"/>
                  </w:tcBorders>
                  <w:shd w:val="clear" w:color="auto" w:fill="auto"/>
                  <w:vAlign w:val="center"/>
                </w:tcPr>
                <w:p w14:paraId="3D356886">
                  <w:pPr>
                    <w:pStyle w:val="22"/>
                    <w:widowControl w:val="0"/>
                    <w:snapToGrid w:val="0"/>
                    <w:spacing w:before="0" w:beforeAutospacing="0" w:after="0" w:afterAutospacing="0"/>
                    <w:jc w:val="center"/>
                    <w:rPr>
                      <w:rFonts w:hint="eastAsia" w:ascii="Times New Roman" w:hAnsi="Times New Roman" w:eastAsia="宋体" w:cs="Times New Roman"/>
                      <w:bCs/>
                      <w:color w:val="auto"/>
                      <w:kern w:val="0"/>
                      <w:sz w:val="21"/>
                      <w:szCs w:val="21"/>
                      <w:lang w:val="en-US" w:eastAsia="zh-CN" w:bidi="ar"/>
                    </w:rPr>
                  </w:pPr>
                  <w:r>
                    <w:rPr>
                      <w:rFonts w:hint="eastAsia" w:ascii="Times New Roman" w:hAnsi="Times New Roman"/>
                      <w:bCs/>
                      <w:color w:val="auto"/>
                      <w:sz w:val="21"/>
                      <w:szCs w:val="21"/>
                    </w:rPr>
                    <w:t>HW31</w:t>
                  </w:r>
                </w:p>
              </w:tc>
              <w:tc>
                <w:tcPr>
                  <w:tcW w:w="748" w:type="pct"/>
                  <w:tcBorders>
                    <w:tl2br w:val="nil"/>
                    <w:tr2bl w:val="nil"/>
                  </w:tcBorders>
                  <w:shd w:val="clear" w:color="auto" w:fill="auto"/>
                  <w:vAlign w:val="center"/>
                </w:tcPr>
                <w:p w14:paraId="2298E2C4">
                  <w:pPr>
                    <w:pStyle w:val="22"/>
                    <w:widowControl w:val="0"/>
                    <w:snapToGrid w:val="0"/>
                    <w:spacing w:before="0" w:beforeAutospacing="0" w:after="0" w:afterAutospacing="0"/>
                    <w:jc w:val="center"/>
                    <w:rPr>
                      <w:rFonts w:hint="default" w:ascii="Times New Roman" w:hAnsi="Times New Roman" w:eastAsia="宋体" w:cs="Times New Roman"/>
                      <w:bCs/>
                      <w:color w:val="auto"/>
                      <w:kern w:val="0"/>
                      <w:sz w:val="21"/>
                      <w:szCs w:val="21"/>
                      <w:lang w:val="en-US" w:eastAsia="zh-CN" w:bidi="ar"/>
                    </w:rPr>
                  </w:pPr>
                  <w:r>
                    <w:rPr>
                      <w:rFonts w:hint="eastAsia" w:ascii="Times New Roman" w:hAnsi="Times New Roman"/>
                      <w:bCs/>
                      <w:color w:val="auto"/>
                      <w:sz w:val="21"/>
                      <w:szCs w:val="21"/>
                    </w:rPr>
                    <w:t>900-052-31</w:t>
                  </w:r>
                </w:p>
              </w:tc>
              <w:tc>
                <w:tcPr>
                  <w:tcW w:w="456" w:type="pct"/>
                  <w:tcBorders>
                    <w:tl2br w:val="nil"/>
                    <w:tr2bl w:val="nil"/>
                  </w:tcBorders>
                  <w:shd w:val="clear" w:color="auto" w:fill="auto"/>
                  <w:vAlign w:val="center"/>
                </w:tcPr>
                <w:p w14:paraId="41BCBAD4">
                  <w:pPr>
                    <w:widowControl/>
                    <w:jc w:val="center"/>
                    <w:rPr>
                      <w:rFonts w:hint="eastAsia" w:ascii="Times New Roman" w:hAnsi="Times New Roman" w:eastAsia="宋体" w:cs="Times New Roman"/>
                      <w:bCs/>
                      <w:snapToGrid w:val="0"/>
                      <w:color w:val="auto"/>
                      <w:spacing w:val="6"/>
                      <w:kern w:val="2"/>
                      <w:sz w:val="21"/>
                      <w:szCs w:val="21"/>
                      <w:lang w:val="en-US" w:eastAsia="zh-CN" w:bidi="ar"/>
                    </w:rPr>
                  </w:pPr>
                  <w:r>
                    <w:rPr>
                      <w:rFonts w:hint="eastAsia" w:ascii="Times New Roman" w:hAnsi="Times New Roman" w:eastAsia="宋体" w:cs="Times New Roman"/>
                      <w:bCs/>
                      <w:snapToGrid w:val="0"/>
                      <w:color w:val="auto"/>
                      <w:spacing w:val="6"/>
                      <w:kern w:val="2"/>
                      <w:sz w:val="21"/>
                      <w:szCs w:val="21"/>
                      <w:lang w:val="en-US" w:eastAsia="zh-CN" w:bidi="ar"/>
                    </w:rPr>
                    <w:t>0.25t/3a</w:t>
                  </w:r>
                </w:p>
              </w:tc>
              <w:tc>
                <w:tcPr>
                  <w:tcW w:w="298" w:type="pct"/>
                  <w:vMerge w:val="continue"/>
                  <w:tcBorders>
                    <w:tl2br w:val="nil"/>
                    <w:tr2bl w:val="nil"/>
                  </w:tcBorders>
                  <w:vAlign w:val="center"/>
                </w:tcPr>
                <w:p w14:paraId="70811330">
                  <w:pPr>
                    <w:snapToGrid w:val="0"/>
                    <w:jc w:val="center"/>
                    <w:textAlignment w:val="baseline"/>
                    <w:rPr>
                      <w:rFonts w:hint="eastAsia" w:ascii="Times New Roman" w:hAnsi="Times New Roman" w:cs="Times New Roman"/>
                      <w:color w:val="auto"/>
                      <w:sz w:val="21"/>
                      <w:szCs w:val="21"/>
                      <w:lang w:bidi="ar-SA"/>
                    </w:rPr>
                  </w:pPr>
                </w:p>
              </w:tc>
            </w:tr>
            <w:tr w14:paraId="78F8ACCB">
              <w:tblPrEx>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CellMar>
                  <w:top w:w="0" w:type="dxa"/>
                  <w:left w:w="28" w:type="dxa"/>
                  <w:bottom w:w="0" w:type="dxa"/>
                  <w:right w:w="28" w:type="dxa"/>
                </w:tblCellMar>
              </w:tblPrEx>
              <w:trPr>
                <w:trHeight w:val="23" w:hRule="atLeast"/>
                <w:jc w:val="center"/>
              </w:trPr>
              <w:tc>
                <w:tcPr>
                  <w:tcW w:w="233" w:type="pct"/>
                  <w:tcBorders>
                    <w:tl2br w:val="nil"/>
                    <w:tr2bl w:val="nil"/>
                  </w:tcBorders>
                  <w:vAlign w:val="center"/>
                </w:tcPr>
                <w:p w14:paraId="745872CF">
                  <w:pPr>
                    <w:numPr>
                      <w:ilvl w:val="0"/>
                      <w:numId w:val="15"/>
                    </w:numPr>
                    <w:snapToGrid w:val="0"/>
                    <w:ind w:left="0" w:leftChars="0" w:firstLine="0" w:firstLineChars="0"/>
                    <w:jc w:val="center"/>
                    <w:textAlignment w:val="baseline"/>
                    <w:rPr>
                      <w:rFonts w:hint="default" w:cs="Times New Roman"/>
                      <w:color w:val="auto"/>
                      <w:sz w:val="21"/>
                      <w:szCs w:val="21"/>
                      <w:lang w:val="en-US" w:eastAsia="zh-CN" w:bidi="ar-SA"/>
                    </w:rPr>
                  </w:pPr>
                </w:p>
              </w:tc>
              <w:tc>
                <w:tcPr>
                  <w:tcW w:w="451" w:type="pct"/>
                  <w:tcBorders>
                    <w:tl2br w:val="nil"/>
                    <w:tr2bl w:val="nil"/>
                  </w:tcBorders>
                  <w:shd w:val="clear" w:color="auto" w:fill="auto"/>
                  <w:vAlign w:val="center"/>
                </w:tcPr>
                <w:p w14:paraId="6F68D4EF">
                  <w:pPr>
                    <w:widowControl/>
                    <w:jc w:val="center"/>
                    <w:rPr>
                      <w:rFonts w:hint="default" w:ascii="Times New Roman" w:hAnsi="Times New Roman" w:eastAsia="宋体" w:cs="Times New Roman"/>
                      <w:bCs/>
                      <w:snapToGrid w:val="0"/>
                      <w:color w:val="auto"/>
                      <w:spacing w:val="6"/>
                      <w:kern w:val="2"/>
                      <w:sz w:val="21"/>
                      <w:szCs w:val="21"/>
                      <w:lang w:val="en-US" w:eastAsia="zh-CN" w:bidi="ar"/>
                    </w:rPr>
                  </w:pPr>
                  <w:r>
                    <w:rPr>
                      <w:rFonts w:hint="eastAsia" w:ascii="Times New Roman" w:hAnsi="Times New Roman" w:eastAsia="宋体" w:cs="Times New Roman"/>
                      <w:bCs/>
                      <w:snapToGrid w:val="0"/>
                      <w:color w:val="auto"/>
                      <w:spacing w:val="6"/>
                      <w:kern w:val="2"/>
                      <w:sz w:val="21"/>
                      <w:szCs w:val="21"/>
                      <w:lang w:val="en-US" w:eastAsia="zh-CN" w:bidi="ar"/>
                    </w:rPr>
                    <w:t>废油</w:t>
                  </w:r>
                </w:p>
              </w:tc>
              <w:tc>
                <w:tcPr>
                  <w:tcW w:w="205" w:type="pct"/>
                  <w:vMerge w:val="continue"/>
                  <w:tcBorders>
                    <w:tl2br w:val="nil"/>
                    <w:tr2bl w:val="nil"/>
                  </w:tcBorders>
                  <w:vAlign w:val="center"/>
                </w:tcPr>
                <w:p w14:paraId="6CA6E75F">
                  <w:pPr>
                    <w:snapToGrid w:val="0"/>
                    <w:jc w:val="center"/>
                    <w:textAlignment w:val="baseline"/>
                    <w:rPr>
                      <w:rFonts w:hint="default" w:ascii="Times New Roman" w:hAnsi="Times New Roman" w:cs="Times New Roman"/>
                      <w:color w:val="auto"/>
                      <w:sz w:val="21"/>
                      <w:szCs w:val="21"/>
                      <w:lang w:bidi="ar-SA"/>
                    </w:rPr>
                  </w:pPr>
                </w:p>
              </w:tc>
              <w:tc>
                <w:tcPr>
                  <w:tcW w:w="716" w:type="pct"/>
                  <w:tcBorders>
                    <w:tl2br w:val="nil"/>
                    <w:tr2bl w:val="nil"/>
                  </w:tcBorders>
                  <w:shd w:val="clear" w:color="auto" w:fill="auto"/>
                  <w:vAlign w:val="center"/>
                </w:tcPr>
                <w:p w14:paraId="14C13268">
                  <w:pPr>
                    <w:pStyle w:val="2"/>
                    <w:spacing w:before="0" w:after="0" w:line="240" w:lineRule="auto"/>
                    <w:jc w:val="center"/>
                    <w:rPr>
                      <w:rFonts w:hint="eastAsia" w:ascii="Times New Roman" w:hAnsi="Times New Roman" w:eastAsia="宋体" w:cs="Times New Roman"/>
                      <w:b w:val="0"/>
                      <w:bCs w:val="0"/>
                      <w:color w:val="auto"/>
                      <w:kern w:val="2"/>
                      <w:sz w:val="21"/>
                      <w:szCs w:val="21"/>
                      <w:lang w:val="en-US" w:eastAsia="zh-CN" w:bidi="ar"/>
                    </w:rPr>
                  </w:pPr>
                  <w:r>
                    <w:rPr>
                      <w:rFonts w:hint="default" w:ascii="Times New Roman" w:hAnsi="Times New Roman" w:eastAsia="宋体" w:cs="Times New Roman"/>
                      <w:b w:val="0"/>
                      <w:bCs w:val="0"/>
                      <w:color w:val="auto"/>
                      <w:kern w:val="2"/>
                      <w:sz w:val="21"/>
                      <w:szCs w:val="21"/>
                      <w:lang w:val="en-US" w:eastAsia="zh-CN" w:bidi="ar"/>
                    </w:rPr>
                    <w:t>钻孔、倒角、机械加工</w:t>
                  </w:r>
                </w:p>
              </w:tc>
              <w:tc>
                <w:tcPr>
                  <w:tcW w:w="360" w:type="pct"/>
                  <w:tcBorders>
                    <w:tl2br w:val="nil"/>
                    <w:tr2bl w:val="nil"/>
                  </w:tcBorders>
                  <w:shd w:val="clear" w:color="auto" w:fill="auto"/>
                  <w:vAlign w:val="center"/>
                </w:tcPr>
                <w:p w14:paraId="05917B44">
                  <w:pPr>
                    <w:pStyle w:val="2"/>
                    <w:spacing w:before="0" w:after="0" w:line="240" w:lineRule="auto"/>
                    <w:jc w:val="center"/>
                    <w:rPr>
                      <w:rFonts w:hint="eastAsia" w:ascii="Times New Roman" w:hAnsi="Times New Roman" w:eastAsia="宋体" w:cs="Times New Roman"/>
                      <w:b w:val="0"/>
                      <w:bCs w:val="0"/>
                      <w:color w:val="auto"/>
                      <w:kern w:val="2"/>
                      <w:sz w:val="21"/>
                      <w:szCs w:val="21"/>
                      <w:lang w:val="en-US" w:eastAsia="zh-CN" w:bidi="ar"/>
                    </w:rPr>
                  </w:pPr>
                  <w:r>
                    <w:rPr>
                      <w:rFonts w:hint="eastAsia" w:ascii="Times New Roman" w:hAnsi="Times New Roman" w:eastAsia="宋体" w:cs="Times New Roman"/>
                      <w:b w:val="0"/>
                      <w:bCs w:val="0"/>
                      <w:snapToGrid w:val="0"/>
                      <w:color w:val="auto"/>
                      <w:spacing w:val="6"/>
                      <w:sz w:val="21"/>
                      <w:szCs w:val="21"/>
                      <w:lang w:val="en-US" w:eastAsia="zh-CN"/>
                    </w:rPr>
                    <w:t>液态</w:t>
                  </w:r>
                </w:p>
              </w:tc>
              <w:tc>
                <w:tcPr>
                  <w:tcW w:w="473" w:type="pct"/>
                  <w:tcBorders>
                    <w:tl2br w:val="nil"/>
                    <w:tr2bl w:val="nil"/>
                  </w:tcBorders>
                  <w:shd w:val="clear" w:color="auto" w:fill="auto"/>
                  <w:vAlign w:val="center"/>
                </w:tcPr>
                <w:p w14:paraId="6296B892">
                  <w:pPr>
                    <w:pStyle w:val="2"/>
                    <w:spacing w:before="0" w:after="0" w:line="240" w:lineRule="auto"/>
                    <w:jc w:val="center"/>
                    <w:rPr>
                      <w:rFonts w:hint="eastAsia" w:ascii="Times New Roman" w:hAnsi="Times New Roman" w:eastAsia="宋体" w:cs="Times New Roman"/>
                      <w:b w:val="0"/>
                      <w:bCs w:val="0"/>
                      <w:color w:val="auto"/>
                      <w:spacing w:val="6"/>
                      <w:kern w:val="2"/>
                      <w:sz w:val="21"/>
                      <w:szCs w:val="21"/>
                      <w:lang w:val="en-US" w:eastAsia="zh-CN" w:bidi="ar"/>
                    </w:rPr>
                  </w:pPr>
                  <w:r>
                    <w:rPr>
                      <w:rFonts w:hint="eastAsia" w:ascii="Times New Roman" w:hAnsi="Times New Roman" w:eastAsia="宋体" w:cs="Times New Roman"/>
                      <w:b w:val="0"/>
                      <w:bCs w:val="0"/>
                      <w:color w:val="auto"/>
                      <w:spacing w:val="6"/>
                      <w:kern w:val="2"/>
                      <w:sz w:val="21"/>
                      <w:szCs w:val="21"/>
                      <w:lang w:val="en-US" w:eastAsia="zh-CN" w:bidi="ar"/>
                    </w:rPr>
                    <w:t>矿物油、水等</w:t>
                  </w:r>
                </w:p>
              </w:tc>
              <w:tc>
                <w:tcPr>
                  <w:tcW w:w="309" w:type="pct"/>
                  <w:tcBorders>
                    <w:tl2br w:val="nil"/>
                    <w:tr2bl w:val="nil"/>
                  </w:tcBorders>
                  <w:shd w:val="clear" w:color="auto" w:fill="auto"/>
                  <w:vAlign w:val="center"/>
                </w:tcPr>
                <w:p w14:paraId="685EF529">
                  <w:pPr>
                    <w:pStyle w:val="2"/>
                    <w:spacing w:before="0" w:after="0" w:line="240" w:lineRule="auto"/>
                    <w:jc w:val="center"/>
                    <w:rPr>
                      <w:rFonts w:hint="eastAsia" w:ascii="Times New Roman" w:hAnsi="Times New Roman" w:eastAsia="宋体" w:cs="Times New Roman"/>
                      <w:b w:val="0"/>
                      <w:bCs w:val="0"/>
                      <w:color w:val="auto"/>
                      <w:kern w:val="2"/>
                      <w:sz w:val="21"/>
                      <w:szCs w:val="21"/>
                      <w:lang w:val="en-US" w:eastAsia="zh-CN" w:bidi="ar"/>
                    </w:rPr>
                  </w:pPr>
                  <w:r>
                    <w:rPr>
                      <w:rFonts w:hint="eastAsia" w:ascii="Times New Roman" w:hAnsi="Times New Roman" w:eastAsia="宋体" w:cs="Times New Roman"/>
                      <w:b w:val="0"/>
                      <w:bCs w:val="0"/>
                      <w:color w:val="auto"/>
                      <w:kern w:val="2"/>
                      <w:sz w:val="21"/>
                      <w:szCs w:val="21"/>
                      <w:lang w:val="en-US" w:eastAsia="zh-CN" w:bidi="ar"/>
                    </w:rPr>
                    <w:t>T</w:t>
                  </w:r>
                </w:p>
              </w:tc>
              <w:tc>
                <w:tcPr>
                  <w:tcW w:w="746" w:type="pct"/>
                  <w:tcBorders>
                    <w:tl2br w:val="nil"/>
                    <w:tr2bl w:val="nil"/>
                  </w:tcBorders>
                  <w:shd w:val="clear" w:color="auto" w:fill="auto"/>
                  <w:vAlign w:val="center"/>
                </w:tcPr>
                <w:p w14:paraId="1AB505FF">
                  <w:pPr>
                    <w:pStyle w:val="2"/>
                    <w:spacing w:before="0" w:after="0" w:line="240" w:lineRule="auto"/>
                    <w:jc w:val="center"/>
                    <w:rPr>
                      <w:rFonts w:hint="eastAsia" w:ascii="Times New Roman" w:hAnsi="Times New Roman" w:eastAsia="宋体" w:cs="Times New Roman"/>
                      <w:b w:val="0"/>
                      <w:bCs w:val="0"/>
                      <w:color w:val="auto"/>
                      <w:kern w:val="2"/>
                      <w:sz w:val="21"/>
                      <w:szCs w:val="21"/>
                      <w:lang w:val="en-US" w:eastAsia="zh-CN" w:bidi="ar"/>
                    </w:rPr>
                  </w:pPr>
                  <w:r>
                    <w:rPr>
                      <w:rFonts w:hint="eastAsia" w:ascii="Times New Roman" w:hAnsi="Times New Roman" w:eastAsia="宋体" w:cs="Times New Roman"/>
                      <w:b w:val="0"/>
                      <w:bCs w:val="0"/>
                      <w:color w:val="auto"/>
                      <w:kern w:val="2"/>
                      <w:sz w:val="21"/>
                      <w:szCs w:val="21"/>
                      <w:lang w:val="en-US" w:eastAsia="zh-CN" w:bidi="ar"/>
                    </w:rPr>
                    <w:t>HW09</w:t>
                  </w:r>
                </w:p>
              </w:tc>
              <w:tc>
                <w:tcPr>
                  <w:tcW w:w="748" w:type="pct"/>
                  <w:tcBorders>
                    <w:tl2br w:val="nil"/>
                    <w:tr2bl w:val="nil"/>
                  </w:tcBorders>
                  <w:shd w:val="clear" w:color="auto" w:fill="auto"/>
                  <w:vAlign w:val="center"/>
                </w:tcPr>
                <w:p w14:paraId="770EFAB3">
                  <w:pPr>
                    <w:pStyle w:val="2"/>
                    <w:spacing w:before="0" w:after="0" w:line="240" w:lineRule="auto"/>
                    <w:jc w:val="center"/>
                    <w:rPr>
                      <w:rFonts w:hint="default" w:ascii="Times New Roman" w:hAnsi="Times New Roman" w:eastAsia="宋体" w:cs="Times New Roman"/>
                      <w:b w:val="0"/>
                      <w:bCs w:val="0"/>
                      <w:color w:val="auto"/>
                      <w:kern w:val="2"/>
                      <w:sz w:val="21"/>
                      <w:szCs w:val="21"/>
                      <w:lang w:val="en-US" w:eastAsia="zh-CN" w:bidi="ar"/>
                    </w:rPr>
                  </w:pPr>
                  <w:r>
                    <w:rPr>
                      <w:rFonts w:hint="default" w:ascii="Times New Roman" w:hAnsi="Times New Roman" w:eastAsia="宋体" w:cs="Times New Roman"/>
                      <w:b w:val="0"/>
                      <w:bCs w:val="0"/>
                      <w:color w:val="auto"/>
                      <w:kern w:val="2"/>
                      <w:sz w:val="21"/>
                      <w:szCs w:val="21"/>
                      <w:lang w:val="en-US" w:eastAsia="zh-CN" w:bidi="ar"/>
                    </w:rPr>
                    <w:t>900-007-09</w:t>
                  </w:r>
                </w:p>
              </w:tc>
              <w:tc>
                <w:tcPr>
                  <w:tcW w:w="456" w:type="pct"/>
                  <w:tcBorders>
                    <w:tl2br w:val="nil"/>
                    <w:tr2bl w:val="nil"/>
                  </w:tcBorders>
                  <w:shd w:val="clear" w:color="auto" w:fill="auto"/>
                  <w:vAlign w:val="center"/>
                </w:tcPr>
                <w:p w14:paraId="13DC24BA">
                  <w:pPr>
                    <w:pStyle w:val="2"/>
                    <w:spacing w:before="0" w:after="0" w:line="240" w:lineRule="auto"/>
                    <w:jc w:val="center"/>
                    <w:rPr>
                      <w:rFonts w:hint="default" w:ascii="Times New Roman" w:hAnsi="Times New Roman" w:eastAsia="宋体" w:cs="Times New Roman"/>
                      <w:b w:val="0"/>
                      <w:bCs w:val="0"/>
                      <w:color w:val="auto"/>
                      <w:kern w:val="2"/>
                      <w:sz w:val="21"/>
                      <w:szCs w:val="21"/>
                      <w:lang w:val="en-US" w:eastAsia="zh-CN" w:bidi="ar"/>
                    </w:rPr>
                  </w:pPr>
                  <w:r>
                    <w:rPr>
                      <w:rFonts w:hint="eastAsia" w:ascii="Times New Roman" w:hAnsi="Times New Roman" w:cs="Times New Roman"/>
                      <w:b w:val="0"/>
                      <w:bCs w:val="0"/>
                      <w:color w:val="auto"/>
                      <w:kern w:val="2"/>
                      <w:sz w:val="21"/>
                      <w:szCs w:val="21"/>
                      <w:lang w:val="en-US" w:eastAsia="zh-CN" w:bidi="ar"/>
                    </w:rPr>
                    <w:t>9.996</w:t>
                  </w:r>
                </w:p>
              </w:tc>
              <w:tc>
                <w:tcPr>
                  <w:tcW w:w="298" w:type="pct"/>
                  <w:vMerge w:val="continue"/>
                  <w:tcBorders>
                    <w:tl2br w:val="nil"/>
                    <w:tr2bl w:val="nil"/>
                  </w:tcBorders>
                  <w:vAlign w:val="center"/>
                </w:tcPr>
                <w:p w14:paraId="537FEDC4">
                  <w:pPr>
                    <w:snapToGrid w:val="0"/>
                    <w:jc w:val="center"/>
                    <w:textAlignment w:val="baseline"/>
                    <w:rPr>
                      <w:rFonts w:hint="eastAsia" w:ascii="Times New Roman" w:hAnsi="Times New Roman" w:cs="Times New Roman"/>
                      <w:color w:val="auto"/>
                      <w:sz w:val="21"/>
                      <w:szCs w:val="21"/>
                      <w:lang w:bidi="ar-SA"/>
                    </w:rPr>
                  </w:pPr>
                </w:p>
              </w:tc>
            </w:tr>
            <w:tr w14:paraId="3344F38A">
              <w:tblPrEx>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CellMar>
                  <w:top w:w="0" w:type="dxa"/>
                  <w:left w:w="28" w:type="dxa"/>
                  <w:bottom w:w="0" w:type="dxa"/>
                  <w:right w:w="28" w:type="dxa"/>
                </w:tblCellMar>
              </w:tblPrEx>
              <w:trPr>
                <w:trHeight w:val="23" w:hRule="atLeast"/>
                <w:jc w:val="center"/>
              </w:trPr>
              <w:tc>
                <w:tcPr>
                  <w:tcW w:w="233" w:type="pct"/>
                  <w:tcBorders>
                    <w:tl2br w:val="nil"/>
                    <w:tr2bl w:val="nil"/>
                  </w:tcBorders>
                  <w:vAlign w:val="center"/>
                </w:tcPr>
                <w:p w14:paraId="4C343132">
                  <w:pPr>
                    <w:numPr>
                      <w:ilvl w:val="0"/>
                      <w:numId w:val="15"/>
                    </w:numPr>
                    <w:snapToGrid w:val="0"/>
                    <w:ind w:left="0" w:leftChars="0" w:firstLine="0" w:firstLineChars="0"/>
                    <w:jc w:val="center"/>
                    <w:textAlignment w:val="baseline"/>
                    <w:rPr>
                      <w:rFonts w:hint="default" w:cs="Times New Roman"/>
                      <w:color w:val="auto"/>
                      <w:sz w:val="21"/>
                      <w:szCs w:val="21"/>
                      <w:lang w:val="en-US" w:eastAsia="zh-CN" w:bidi="ar-SA"/>
                    </w:rPr>
                  </w:pPr>
                </w:p>
              </w:tc>
              <w:tc>
                <w:tcPr>
                  <w:tcW w:w="451" w:type="pct"/>
                  <w:tcBorders>
                    <w:tl2br w:val="nil"/>
                    <w:tr2bl w:val="nil"/>
                  </w:tcBorders>
                  <w:shd w:val="clear" w:color="auto" w:fill="auto"/>
                  <w:vAlign w:val="center"/>
                </w:tcPr>
                <w:p w14:paraId="6054D475">
                  <w:pPr>
                    <w:widowControl/>
                    <w:jc w:val="center"/>
                    <w:rPr>
                      <w:rFonts w:hint="default" w:ascii="Times New Roman" w:hAnsi="Times New Roman" w:eastAsia="宋体" w:cs="Times New Roman"/>
                      <w:bCs/>
                      <w:snapToGrid w:val="0"/>
                      <w:color w:val="auto"/>
                      <w:spacing w:val="6"/>
                      <w:kern w:val="2"/>
                      <w:sz w:val="21"/>
                      <w:szCs w:val="21"/>
                      <w:lang w:val="en-US" w:eastAsia="zh-CN" w:bidi="ar"/>
                    </w:rPr>
                  </w:pPr>
                  <w:r>
                    <w:rPr>
                      <w:rFonts w:hint="eastAsia"/>
                      <w:bCs/>
                      <w:snapToGrid w:val="0"/>
                      <w:color w:val="auto"/>
                      <w:spacing w:val="6"/>
                    </w:rPr>
                    <w:t>金属屑</w:t>
                  </w:r>
                </w:p>
              </w:tc>
              <w:tc>
                <w:tcPr>
                  <w:tcW w:w="205" w:type="pct"/>
                  <w:tcBorders>
                    <w:tl2br w:val="nil"/>
                    <w:tr2bl w:val="nil"/>
                  </w:tcBorders>
                  <w:vAlign w:val="center"/>
                </w:tcPr>
                <w:p w14:paraId="32128788">
                  <w:pPr>
                    <w:snapToGrid w:val="0"/>
                    <w:jc w:val="center"/>
                    <w:textAlignment w:val="baseline"/>
                    <w:rPr>
                      <w:rFonts w:hint="default" w:ascii="Times New Roman" w:hAnsi="Times New Roman" w:cs="Times New Roman"/>
                      <w:color w:val="auto"/>
                      <w:sz w:val="21"/>
                      <w:szCs w:val="21"/>
                      <w:lang w:bidi="ar-SA"/>
                    </w:rPr>
                  </w:pPr>
                  <w:r>
                    <w:rPr>
                      <w:rFonts w:hint="default" w:ascii="Times New Roman" w:hAnsi="Times New Roman" w:eastAsia="宋体" w:cs="Times New Roman"/>
                      <w:color w:val="auto"/>
                      <w:kern w:val="2"/>
                      <w:sz w:val="21"/>
                      <w:szCs w:val="21"/>
                      <w:lang w:val="en-US" w:eastAsia="zh-CN" w:bidi="ar"/>
                    </w:rPr>
                    <w:t>待</w:t>
                  </w:r>
                  <w:r>
                    <w:rPr>
                      <w:rFonts w:hint="eastAsia" w:ascii="Times New Roman" w:hAnsi="Times New Roman" w:cs="Times New Roman"/>
                      <w:color w:val="auto"/>
                      <w:kern w:val="2"/>
                      <w:sz w:val="21"/>
                      <w:szCs w:val="21"/>
                      <w:lang w:val="en-US" w:eastAsia="zh-CN" w:bidi="ar"/>
                    </w:rPr>
                    <w:t>鉴别</w:t>
                  </w:r>
                </w:p>
              </w:tc>
              <w:tc>
                <w:tcPr>
                  <w:tcW w:w="716" w:type="pct"/>
                  <w:tcBorders>
                    <w:tl2br w:val="nil"/>
                    <w:tr2bl w:val="nil"/>
                  </w:tcBorders>
                  <w:shd w:val="clear" w:color="auto" w:fill="auto"/>
                  <w:vAlign w:val="center"/>
                </w:tcPr>
                <w:p w14:paraId="30ED9AD7">
                  <w:pPr>
                    <w:widowControl/>
                    <w:jc w:val="center"/>
                    <w:rPr>
                      <w:rFonts w:hint="eastAsia" w:ascii="Times New Roman" w:hAnsi="Times New Roman" w:eastAsia="宋体" w:cs="Times New Roman"/>
                      <w:bCs/>
                      <w:snapToGrid w:val="0"/>
                      <w:color w:val="auto"/>
                      <w:spacing w:val="6"/>
                      <w:kern w:val="2"/>
                      <w:sz w:val="21"/>
                      <w:szCs w:val="21"/>
                      <w:lang w:val="en-US" w:eastAsia="zh-CN" w:bidi="ar"/>
                    </w:rPr>
                  </w:pPr>
                  <w:r>
                    <w:rPr>
                      <w:rFonts w:hint="default" w:ascii="Times New Roman" w:hAnsi="Times New Roman" w:eastAsia="宋体" w:cs="Times New Roman"/>
                      <w:b w:val="0"/>
                      <w:bCs w:val="0"/>
                      <w:color w:val="auto"/>
                      <w:kern w:val="2"/>
                      <w:sz w:val="21"/>
                      <w:szCs w:val="21"/>
                      <w:lang w:val="en-US" w:eastAsia="zh-CN" w:bidi="ar"/>
                    </w:rPr>
                    <w:t>钻孔、倒角、机械加工</w:t>
                  </w:r>
                </w:p>
              </w:tc>
              <w:tc>
                <w:tcPr>
                  <w:tcW w:w="360" w:type="pct"/>
                  <w:tcBorders>
                    <w:tl2br w:val="nil"/>
                    <w:tr2bl w:val="nil"/>
                  </w:tcBorders>
                  <w:shd w:val="clear" w:color="auto" w:fill="auto"/>
                  <w:vAlign w:val="center"/>
                </w:tcPr>
                <w:p w14:paraId="547BDBEE">
                  <w:pPr>
                    <w:widowControl/>
                    <w:jc w:val="center"/>
                    <w:rPr>
                      <w:rFonts w:hint="eastAsia" w:ascii="Times New Roman" w:hAnsi="Times New Roman" w:eastAsia="宋体" w:cs="Times New Roman"/>
                      <w:bCs/>
                      <w:snapToGrid w:val="0"/>
                      <w:color w:val="auto"/>
                      <w:spacing w:val="6"/>
                      <w:kern w:val="2"/>
                      <w:sz w:val="21"/>
                      <w:szCs w:val="21"/>
                      <w:lang w:val="en-US" w:eastAsia="zh-CN" w:bidi="ar"/>
                    </w:rPr>
                  </w:pPr>
                  <w:r>
                    <w:rPr>
                      <w:rFonts w:hint="default" w:ascii="Times New Roman" w:hAnsi="Times New Roman" w:eastAsia="宋体" w:cs="Times New Roman"/>
                      <w:b w:val="0"/>
                      <w:bCs w:val="0"/>
                      <w:snapToGrid w:val="0"/>
                      <w:color w:val="auto"/>
                      <w:spacing w:val="6"/>
                      <w:sz w:val="21"/>
                      <w:szCs w:val="21"/>
                    </w:rPr>
                    <w:t>固态</w:t>
                  </w:r>
                </w:p>
              </w:tc>
              <w:tc>
                <w:tcPr>
                  <w:tcW w:w="473" w:type="pct"/>
                  <w:tcBorders>
                    <w:tl2br w:val="nil"/>
                    <w:tr2bl w:val="nil"/>
                  </w:tcBorders>
                  <w:shd w:val="clear" w:color="auto" w:fill="auto"/>
                  <w:vAlign w:val="center"/>
                </w:tcPr>
                <w:p w14:paraId="384F5D9D">
                  <w:pPr>
                    <w:widowControl/>
                    <w:jc w:val="center"/>
                    <w:rPr>
                      <w:rFonts w:hint="eastAsia" w:ascii="Times New Roman" w:hAnsi="Times New Roman" w:eastAsia="宋体" w:cs="Times New Roman"/>
                      <w:color w:val="auto"/>
                      <w:kern w:val="2"/>
                      <w:sz w:val="21"/>
                      <w:szCs w:val="21"/>
                      <w:lang w:val="en-US" w:eastAsia="zh-CN" w:bidi="ar"/>
                    </w:rPr>
                  </w:pPr>
                  <w:r>
                    <w:rPr>
                      <w:rFonts w:hint="eastAsia"/>
                      <w:color w:val="auto"/>
                      <w:sz w:val="21"/>
                      <w:szCs w:val="21"/>
                      <w:lang w:val="en-US" w:eastAsia="zh-CN"/>
                    </w:rPr>
                    <w:t>金属</w:t>
                  </w:r>
                </w:p>
              </w:tc>
              <w:tc>
                <w:tcPr>
                  <w:tcW w:w="309" w:type="pct"/>
                  <w:tcBorders>
                    <w:tl2br w:val="nil"/>
                    <w:tr2bl w:val="nil"/>
                  </w:tcBorders>
                  <w:shd w:val="clear" w:color="auto" w:fill="auto"/>
                  <w:vAlign w:val="center"/>
                </w:tcPr>
                <w:p w14:paraId="00A23464">
                  <w:pPr>
                    <w:pStyle w:val="22"/>
                    <w:keepNext w:val="0"/>
                    <w:keepLines w:val="0"/>
                    <w:widowControl w:val="0"/>
                    <w:suppressLineNumbers w:val="0"/>
                    <w:adjustRightInd w:val="0"/>
                    <w:snapToGrid w:val="0"/>
                    <w:spacing w:before="0" w:beforeAutospacing="0" w:after="0" w:afterAutospacing="0"/>
                    <w:ind w:left="0" w:leftChars="0" w:right="0" w:rightChars="0"/>
                    <w:jc w:val="center"/>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
                    </w:rPr>
                    <w:t>待</w:t>
                  </w:r>
                  <w:r>
                    <w:rPr>
                      <w:rFonts w:hint="eastAsia" w:ascii="Times New Roman" w:hAnsi="Times New Roman" w:cs="Times New Roman"/>
                      <w:color w:val="auto"/>
                      <w:kern w:val="2"/>
                      <w:sz w:val="21"/>
                      <w:szCs w:val="21"/>
                      <w:lang w:val="en-US" w:eastAsia="zh-CN" w:bidi="ar"/>
                    </w:rPr>
                    <w:t>鉴别</w:t>
                  </w:r>
                </w:p>
              </w:tc>
              <w:tc>
                <w:tcPr>
                  <w:tcW w:w="746" w:type="pct"/>
                  <w:tcBorders>
                    <w:tl2br w:val="nil"/>
                    <w:tr2bl w:val="nil"/>
                  </w:tcBorders>
                  <w:shd w:val="clear" w:color="auto" w:fill="auto"/>
                  <w:vAlign w:val="center"/>
                </w:tcPr>
                <w:p w14:paraId="699F3AF7">
                  <w:pPr>
                    <w:pStyle w:val="22"/>
                    <w:keepNext w:val="0"/>
                    <w:keepLines w:val="0"/>
                    <w:widowControl w:val="0"/>
                    <w:suppressLineNumbers w:val="0"/>
                    <w:adjustRightInd w:val="0"/>
                    <w:snapToGrid w:val="0"/>
                    <w:spacing w:before="0" w:beforeAutospacing="0" w:after="0" w:afterAutospacing="0"/>
                    <w:ind w:left="0" w:leftChars="0" w:right="0" w:rightChars="0"/>
                    <w:jc w:val="center"/>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
                    </w:rPr>
                    <w:t>待</w:t>
                  </w:r>
                  <w:r>
                    <w:rPr>
                      <w:rFonts w:hint="eastAsia" w:ascii="Times New Roman" w:hAnsi="Times New Roman" w:cs="Times New Roman"/>
                      <w:color w:val="auto"/>
                      <w:kern w:val="2"/>
                      <w:sz w:val="21"/>
                      <w:szCs w:val="21"/>
                      <w:lang w:val="en-US" w:eastAsia="zh-CN" w:bidi="ar"/>
                    </w:rPr>
                    <w:t>鉴别</w:t>
                  </w:r>
                </w:p>
              </w:tc>
              <w:tc>
                <w:tcPr>
                  <w:tcW w:w="748" w:type="pct"/>
                  <w:tcBorders>
                    <w:tl2br w:val="nil"/>
                    <w:tr2bl w:val="nil"/>
                  </w:tcBorders>
                  <w:shd w:val="clear" w:color="auto" w:fill="auto"/>
                  <w:vAlign w:val="center"/>
                </w:tcPr>
                <w:p w14:paraId="13340961">
                  <w:pPr>
                    <w:pStyle w:val="22"/>
                    <w:keepNext w:val="0"/>
                    <w:keepLines w:val="0"/>
                    <w:widowControl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
                    </w:rPr>
                    <w:t>待</w:t>
                  </w:r>
                  <w:r>
                    <w:rPr>
                      <w:rFonts w:hint="eastAsia" w:ascii="Times New Roman" w:hAnsi="Times New Roman" w:cs="Times New Roman"/>
                      <w:color w:val="auto"/>
                      <w:kern w:val="2"/>
                      <w:sz w:val="21"/>
                      <w:szCs w:val="21"/>
                      <w:lang w:val="en-US" w:eastAsia="zh-CN" w:bidi="ar"/>
                    </w:rPr>
                    <w:t>鉴别</w:t>
                  </w:r>
                </w:p>
              </w:tc>
              <w:tc>
                <w:tcPr>
                  <w:tcW w:w="456" w:type="pct"/>
                  <w:tcBorders>
                    <w:tl2br w:val="nil"/>
                    <w:tr2bl w:val="nil"/>
                  </w:tcBorders>
                  <w:shd w:val="clear" w:color="auto" w:fill="auto"/>
                  <w:vAlign w:val="center"/>
                </w:tcPr>
                <w:p w14:paraId="04429503">
                  <w:pPr>
                    <w:widowControl/>
                    <w:jc w:val="center"/>
                    <w:rPr>
                      <w:rFonts w:hint="default" w:ascii="Times New Roman" w:hAnsi="Times New Roman" w:eastAsia="宋体" w:cs="Times New Roman"/>
                      <w:bCs/>
                      <w:snapToGrid w:val="0"/>
                      <w:color w:val="auto"/>
                      <w:spacing w:val="6"/>
                      <w:kern w:val="2"/>
                      <w:sz w:val="21"/>
                      <w:szCs w:val="21"/>
                      <w:lang w:val="en-US" w:eastAsia="zh-CN" w:bidi="ar"/>
                    </w:rPr>
                  </w:pPr>
                  <w:r>
                    <w:rPr>
                      <w:rFonts w:hint="default" w:ascii="Times New Roman" w:hAnsi="Times New Roman" w:eastAsia="宋体" w:cs="Times New Roman"/>
                      <w:bCs/>
                      <w:snapToGrid w:val="0"/>
                      <w:color w:val="auto"/>
                      <w:spacing w:val="6"/>
                      <w:kern w:val="2"/>
                      <w:sz w:val="21"/>
                      <w:szCs w:val="21"/>
                      <w:lang w:val="en-US" w:eastAsia="zh-CN" w:bidi="ar"/>
                    </w:rPr>
                    <w:t>650</w:t>
                  </w:r>
                </w:p>
              </w:tc>
              <w:tc>
                <w:tcPr>
                  <w:tcW w:w="298" w:type="pct"/>
                  <w:tcBorders>
                    <w:tl2br w:val="nil"/>
                    <w:tr2bl w:val="nil"/>
                  </w:tcBorders>
                  <w:vAlign w:val="center"/>
                </w:tcPr>
                <w:p w14:paraId="50BAEEDC">
                  <w:pPr>
                    <w:snapToGrid w:val="0"/>
                    <w:jc w:val="center"/>
                    <w:textAlignment w:val="baseline"/>
                    <w:rPr>
                      <w:rFonts w:hint="eastAsia" w:ascii="Times New Roman" w:hAnsi="Times New Roman" w:eastAsia="宋体" w:cs="Times New Roman"/>
                      <w:color w:val="auto"/>
                      <w:sz w:val="21"/>
                      <w:szCs w:val="21"/>
                      <w:lang w:val="en-US" w:eastAsia="zh-CN" w:bidi="ar-SA"/>
                    </w:rPr>
                  </w:pPr>
                  <w:r>
                    <w:rPr>
                      <w:rFonts w:hint="eastAsia" w:cs="Times New Roman"/>
                      <w:color w:val="auto"/>
                      <w:sz w:val="21"/>
                      <w:szCs w:val="21"/>
                      <w:lang w:val="en-US" w:eastAsia="zh-CN" w:bidi="ar-SA"/>
                    </w:rPr>
                    <w:t>/</w:t>
                  </w:r>
                </w:p>
              </w:tc>
            </w:tr>
          </w:tbl>
          <w:p w14:paraId="2A9E08AD">
            <w:pPr>
              <w:adjustRightInd w:val="0"/>
              <w:snapToGrid w:val="0"/>
              <w:spacing w:before="120" w:beforeLines="50" w:line="360" w:lineRule="auto"/>
              <w:ind w:firstLine="442" w:firstLineChars="200"/>
              <w:rPr>
                <w:b/>
                <w:color w:val="auto"/>
                <w:spacing w:val="-10"/>
                <w:sz w:val="24"/>
                <w:szCs w:val="24"/>
              </w:rPr>
            </w:pPr>
            <w:r>
              <w:rPr>
                <w:b/>
                <w:color w:val="auto"/>
                <w:spacing w:val="-10"/>
                <w:sz w:val="24"/>
                <w:szCs w:val="24"/>
              </w:rPr>
              <w:t>4.2</w:t>
            </w:r>
            <w:r>
              <w:rPr>
                <w:b/>
                <w:color w:val="auto"/>
                <w:sz w:val="24"/>
                <w:szCs w:val="24"/>
              </w:rPr>
              <w:t>固体废物贮存场环保标识牌设置要求</w:t>
            </w:r>
          </w:p>
          <w:p w14:paraId="062801C5">
            <w:pPr>
              <w:autoSpaceDE w:val="0"/>
              <w:autoSpaceDN w:val="0"/>
              <w:adjustRightInd w:val="0"/>
              <w:snapToGrid w:val="0"/>
              <w:spacing w:line="360" w:lineRule="auto"/>
              <w:ind w:firstLine="480" w:firstLineChars="200"/>
              <w:rPr>
                <w:rFonts w:hint="default"/>
                <w:color w:val="auto"/>
                <w:sz w:val="24"/>
                <w:szCs w:val="24"/>
                <w:lang w:bidi="ar-SA"/>
              </w:rPr>
            </w:pPr>
            <w:r>
              <w:rPr>
                <w:rFonts w:hint="default"/>
                <w:color w:val="auto"/>
                <w:sz w:val="24"/>
                <w:szCs w:val="24"/>
                <w:lang w:bidi="ar-SA"/>
              </w:rPr>
              <w:t>本项目固废堆放场的环境保护图形标志的具体要求见</w:t>
            </w:r>
            <w:r>
              <w:rPr>
                <w:rFonts w:hint="eastAsia"/>
                <w:color w:val="auto"/>
                <w:sz w:val="24"/>
                <w:szCs w:val="24"/>
                <w:lang w:bidi="ar-SA"/>
              </w:rPr>
              <w:t>下表。</w:t>
            </w:r>
          </w:p>
          <w:p w14:paraId="4A3F3A9C">
            <w:pPr>
              <w:jc w:val="center"/>
              <w:rPr>
                <w:rFonts w:hint="default"/>
                <w:b/>
                <w:bCs/>
                <w:color w:val="auto"/>
                <w:sz w:val="24"/>
                <w:szCs w:val="24"/>
                <w:lang w:bidi="ar-SA"/>
              </w:rPr>
            </w:pPr>
            <w:r>
              <w:rPr>
                <w:rFonts w:hint="eastAsia"/>
                <w:b/>
                <w:bCs/>
                <w:color w:val="auto"/>
                <w:sz w:val="24"/>
                <w:szCs w:val="24"/>
                <w:lang w:bidi="ar-SA"/>
              </w:rPr>
              <w:t>表4-</w:t>
            </w:r>
            <w:r>
              <w:rPr>
                <w:rFonts w:hint="eastAsia"/>
                <w:b/>
                <w:bCs/>
                <w:color w:val="auto"/>
                <w:sz w:val="24"/>
                <w:szCs w:val="24"/>
                <w:lang w:val="en-US" w:eastAsia="zh-CN" w:bidi="ar-SA"/>
              </w:rPr>
              <w:t>24</w:t>
            </w:r>
            <w:r>
              <w:rPr>
                <w:rFonts w:hint="eastAsia"/>
                <w:b/>
                <w:bCs/>
                <w:color w:val="auto"/>
                <w:sz w:val="24"/>
                <w:szCs w:val="24"/>
                <w:lang w:bidi="ar-SA"/>
              </w:rPr>
              <w:t xml:space="preserve"> </w:t>
            </w:r>
            <w:r>
              <w:rPr>
                <w:rFonts w:hint="default"/>
                <w:b/>
                <w:bCs/>
                <w:color w:val="auto"/>
                <w:sz w:val="24"/>
                <w:szCs w:val="24"/>
                <w:lang w:bidi="ar-SA"/>
              </w:rPr>
              <w:t>固废堆放场的环境保护图形标志一览表</w:t>
            </w:r>
          </w:p>
          <w:tbl>
            <w:tblPr>
              <w:tblStyle w:val="26"/>
              <w:tblW w:w="4998" w:type="pct"/>
              <w:jc w:val="center"/>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846"/>
              <w:gridCol w:w="951"/>
              <w:gridCol w:w="1188"/>
              <w:gridCol w:w="638"/>
              <w:gridCol w:w="653"/>
              <w:gridCol w:w="3882"/>
            </w:tblGrid>
            <w:tr w14:paraId="487F25ED">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16" w:hRule="atLeast"/>
                <w:jc w:val="center"/>
              </w:trPr>
              <w:tc>
                <w:tcPr>
                  <w:tcW w:w="518" w:type="pct"/>
                  <w:vAlign w:val="center"/>
                </w:tcPr>
                <w:p w14:paraId="7FA47770">
                  <w:pPr>
                    <w:autoSpaceDE w:val="0"/>
                    <w:autoSpaceDN w:val="0"/>
                    <w:adjustRightInd w:val="0"/>
                    <w:snapToGrid w:val="0"/>
                    <w:jc w:val="center"/>
                    <w:rPr>
                      <w:b/>
                      <w:bCs/>
                      <w:color w:val="auto"/>
                      <w:sz w:val="21"/>
                      <w:szCs w:val="21"/>
                    </w:rPr>
                  </w:pPr>
                  <w:r>
                    <w:rPr>
                      <w:b/>
                      <w:bCs/>
                      <w:color w:val="auto"/>
                      <w:sz w:val="21"/>
                      <w:szCs w:val="21"/>
                    </w:rPr>
                    <w:t>排放口名称</w:t>
                  </w:r>
                </w:p>
              </w:tc>
              <w:tc>
                <w:tcPr>
                  <w:tcW w:w="582" w:type="pct"/>
                  <w:vAlign w:val="center"/>
                </w:tcPr>
                <w:p w14:paraId="0EBBF88C">
                  <w:pPr>
                    <w:autoSpaceDE w:val="0"/>
                    <w:autoSpaceDN w:val="0"/>
                    <w:adjustRightInd w:val="0"/>
                    <w:snapToGrid w:val="0"/>
                    <w:jc w:val="center"/>
                    <w:rPr>
                      <w:b/>
                      <w:bCs/>
                      <w:color w:val="auto"/>
                      <w:sz w:val="21"/>
                      <w:szCs w:val="21"/>
                    </w:rPr>
                  </w:pPr>
                  <w:r>
                    <w:rPr>
                      <w:b/>
                      <w:bCs/>
                      <w:color w:val="auto"/>
                      <w:sz w:val="21"/>
                      <w:szCs w:val="21"/>
                    </w:rPr>
                    <w:t>图形标志</w:t>
                  </w:r>
                </w:p>
              </w:tc>
              <w:tc>
                <w:tcPr>
                  <w:tcW w:w="728" w:type="pct"/>
                  <w:vAlign w:val="center"/>
                </w:tcPr>
                <w:p w14:paraId="3205EF57">
                  <w:pPr>
                    <w:autoSpaceDE w:val="0"/>
                    <w:autoSpaceDN w:val="0"/>
                    <w:adjustRightInd w:val="0"/>
                    <w:snapToGrid w:val="0"/>
                    <w:jc w:val="center"/>
                    <w:rPr>
                      <w:b/>
                      <w:bCs/>
                      <w:color w:val="auto"/>
                      <w:sz w:val="21"/>
                      <w:szCs w:val="21"/>
                    </w:rPr>
                  </w:pPr>
                  <w:r>
                    <w:rPr>
                      <w:b/>
                      <w:bCs/>
                      <w:color w:val="auto"/>
                      <w:sz w:val="21"/>
                      <w:szCs w:val="21"/>
                    </w:rPr>
                    <w:t>形状</w:t>
                  </w:r>
                </w:p>
              </w:tc>
              <w:tc>
                <w:tcPr>
                  <w:tcW w:w="391" w:type="pct"/>
                  <w:vAlign w:val="center"/>
                </w:tcPr>
                <w:p w14:paraId="3361A215">
                  <w:pPr>
                    <w:autoSpaceDE w:val="0"/>
                    <w:autoSpaceDN w:val="0"/>
                    <w:adjustRightInd w:val="0"/>
                    <w:snapToGrid w:val="0"/>
                    <w:jc w:val="center"/>
                    <w:rPr>
                      <w:b/>
                      <w:bCs/>
                      <w:color w:val="auto"/>
                      <w:sz w:val="21"/>
                      <w:szCs w:val="21"/>
                    </w:rPr>
                  </w:pPr>
                  <w:r>
                    <w:rPr>
                      <w:b/>
                      <w:bCs/>
                      <w:color w:val="auto"/>
                      <w:sz w:val="21"/>
                      <w:szCs w:val="21"/>
                    </w:rPr>
                    <w:t>背景颜色</w:t>
                  </w:r>
                </w:p>
              </w:tc>
              <w:tc>
                <w:tcPr>
                  <w:tcW w:w="400" w:type="pct"/>
                  <w:vAlign w:val="center"/>
                </w:tcPr>
                <w:p w14:paraId="361B93C3">
                  <w:pPr>
                    <w:autoSpaceDE w:val="0"/>
                    <w:autoSpaceDN w:val="0"/>
                    <w:adjustRightInd w:val="0"/>
                    <w:snapToGrid w:val="0"/>
                    <w:jc w:val="center"/>
                    <w:rPr>
                      <w:b/>
                      <w:bCs/>
                      <w:color w:val="auto"/>
                      <w:sz w:val="21"/>
                      <w:szCs w:val="21"/>
                    </w:rPr>
                  </w:pPr>
                  <w:r>
                    <w:rPr>
                      <w:b/>
                      <w:bCs/>
                      <w:color w:val="auto"/>
                      <w:sz w:val="21"/>
                      <w:szCs w:val="21"/>
                    </w:rPr>
                    <w:t>图形颜色</w:t>
                  </w:r>
                </w:p>
              </w:tc>
              <w:tc>
                <w:tcPr>
                  <w:tcW w:w="2379" w:type="pct"/>
                  <w:vAlign w:val="center"/>
                </w:tcPr>
                <w:p w14:paraId="7695EFC9">
                  <w:pPr>
                    <w:autoSpaceDE w:val="0"/>
                    <w:autoSpaceDN w:val="0"/>
                    <w:adjustRightInd w:val="0"/>
                    <w:snapToGrid w:val="0"/>
                    <w:jc w:val="center"/>
                    <w:rPr>
                      <w:b/>
                      <w:bCs/>
                      <w:color w:val="auto"/>
                      <w:sz w:val="21"/>
                      <w:szCs w:val="21"/>
                    </w:rPr>
                  </w:pPr>
                  <w:r>
                    <w:rPr>
                      <w:b/>
                      <w:bCs/>
                      <w:color w:val="auto"/>
                      <w:sz w:val="21"/>
                      <w:szCs w:val="21"/>
                    </w:rPr>
                    <w:t>图形标志</w:t>
                  </w:r>
                </w:p>
              </w:tc>
            </w:tr>
            <w:tr w14:paraId="7D1B009D">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16" w:hRule="atLeast"/>
                <w:jc w:val="center"/>
              </w:trPr>
              <w:tc>
                <w:tcPr>
                  <w:tcW w:w="518" w:type="pct"/>
                  <w:vAlign w:val="center"/>
                </w:tcPr>
                <w:p w14:paraId="44C4C59E">
                  <w:pPr>
                    <w:autoSpaceDE w:val="0"/>
                    <w:autoSpaceDN w:val="0"/>
                    <w:adjustRightInd w:val="0"/>
                    <w:snapToGrid w:val="0"/>
                    <w:jc w:val="center"/>
                    <w:rPr>
                      <w:color w:val="auto"/>
                      <w:sz w:val="21"/>
                      <w:szCs w:val="21"/>
                    </w:rPr>
                  </w:pPr>
                  <w:r>
                    <w:rPr>
                      <w:color w:val="auto"/>
                      <w:sz w:val="21"/>
                      <w:szCs w:val="21"/>
                    </w:rPr>
                    <w:t>一般固废暂存场所</w:t>
                  </w:r>
                </w:p>
              </w:tc>
              <w:tc>
                <w:tcPr>
                  <w:tcW w:w="582" w:type="pct"/>
                  <w:vAlign w:val="center"/>
                </w:tcPr>
                <w:p w14:paraId="0754F2DD">
                  <w:pPr>
                    <w:autoSpaceDE w:val="0"/>
                    <w:autoSpaceDN w:val="0"/>
                    <w:adjustRightInd w:val="0"/>
                    <w:snapToGrid w:val="0"/>
                    <w:jc w:val="center"/>
                    <w:rPr>
                      <w:color w:val="auto"/>
                      <w:sz w:val="21"/>
                      <w:szCs w:val="21"/>
                    </w:rPr>
                  </w:pPr>
                  <w:r>
                    <w:rPr>
                      <w:color w:val="auto"/>
                      <w:sz w:val="21"/>
                      <w:szCs w:val="21"/>
                    </w:rPr>
                    <w:t>提示标志</w:t>
                  </w:r>
                </w:p>
              </w:tc>
              <w:tc>
                <w:tcPr>
                  <w:tcW w:w="728" w:type="pct"/>
                  <w:vAlign w:val="center"/>
                </w:tcPr>
                <w:p w14:paraId="7E93EC07">
                  <w:pPr>
                    <w:autoSpaceDE w:val="0"/>
                    <w:autoSpaceDN w:val="0"/>
                    <w:adjustRightInd w:val="0"/>
                    <w:snapToGrid w:val="0"/>
                    <w:jc w:val="center"/>
                    <w:rPr>
                      <w:color w:val="auto"/>
                      <w:sz w:val="21"/>
                      <w:szCs w:val="21"/>
                    </w:rPr>
                  </w:pPr>
                  <w:r>
                    <w:rPr>
                      <w:color w:val="auto"/>
                      <w:sz w:val="21"/>
                      <w:szCs w:val="21"/>
                    </w:rPr>
                    <w:t>正方形边框</w:t>
                  </w:r>
                </w:p>
              </w:tc>
              <w:tc>
                <w:tcPr>
                  <w:tcW w:w="391" w:type="pct"/>
                  <w:vAlign w:val="center"/>
                </w:tcPr>
                <w:p w14:paraId="24B29B8D">
                  <w:pPr>
                    <w:autoSpaceDE w:val="0"/>
                    <w:autoSpaceDN w:val="0"/>
                    <w:adjustRightInd w:val="0"/>
                    <w:snapToGrid w:val="0"/>
                    <w:jc w:val="center"/>
                    <w:rPr>
                      <w:color w:val="auto"/>
                      <w:sz w:val="21"/>
                      <w:szCs w:val="21"/>
                    </w:rPr>
                  </w:pPr>
                  <w:r>
                    <w:rPr>
                      <w:color w:val="auto"/>
                      <w:sz w:val="21"/>
                      <w:szCs w:val="21"/>
                    </w:rPr>
                    <w:t>绿色</w:t>
                  </w:r>
                </w:p>
              </w:tc>
              <w:tc>
                <w:tcPr>
                  <w:tcW w:w="400" w:type="pct"/>
                  <w:vAlign w:val="center"/>
                </w:tcPr>
                <w:p w14:paraId="6E64EE38">
                  <w:pPr>
                    <w:autoSpaceDE w:val="0"/>
                    <w:autoSpaceDN w:val="0"/>
                    <w:adjustRightInd w:val="0"/>
                    <w:snapToGrid w:val="0"/>
                    <w:jc w:val="center"/>
                    <w:rPr>
                      <w:color w:val="auto"/>
                      <w:sz w:val="21"/>
                      <w:szCs w:val="21"/>
                    </w:rPr>
                  </w:pPr>
                  <w:r>
                    <w:rPr>
                      <w:color w:val="auto"/>
                      <w:sz w:val="21"/>
                      <w:szCs w:val="21"/>
                    </w:rPr>
                    <w:t>白色</w:t>
                  </w:r>
                </w:p>
              </w:tc>
              <w:tc>
                <w:tcPr>
                  <w:tcW w:w="2379" w:type="pct"/>
                  <w:vAlign w:val="center"/>
                </w:tcPr>
                <w:p w14:paraId="459A6FAD">
                  <w:pPr>
                    <w:autoSpaceDE w:val="0"/>
                    <w:autoSpaceDN w:val="0"/>
                    <w:adjustRightInd w:val="0"/>
                    <w:snapToGrid w:val="0"/>
                    <w:jc w:val="center"/>
                    <w:rPr>
                      <w:color w:val="auto"/>
                      <w:sz w:val="21"/>
                      <w:szCs w:val="21"/>
                    </w:rPr>
                  </w:pPr>
                  <w:r>
                    <w:rPr>
                      <w:bCs/>
                      <w:color w:val="auto"/>
                      <w:sz w:val="21"/>
                      <w:szCs w:val="21"/>
                    </w:rPr>
                    <w:drawing>
                      <wp:inline distT="0" distB="0" distL="0" distR="0">
                        <wp:extent cx="1949450" cy="1195070"/>
                        <wp:effectExtent l="0" t="0" r="12700" b="5080"/>
                        <wp:docPr id="1042" name="图片 3" descr="1595760436(1)"/>
                        <wp:cNvGraphicFramePr/>
                        <a:graphic xmlns:a="http://schemas.openxmlformats.org/drawingml/2006/main">
                          <a:graphicData uri="http://schemas.openxmlformats.org/drawingml/2006/picture">
                            <pic:pic xmlns:pic="http://schemas.openxmlformats.org/drawingml/2006/picture">
                              <pic:nvPicPr>
                                <pic:cNvPr id="1042" name="图片 3" descr="1595760436(1)"/>
                                <pic:cNvPicPr/>
                              </pic:nvPicPr>
                              <pic:blipFill>
                                <a:blip r:embed="rId14" cstate="print"/>
                                <a:srcRect/>
                                <a:stretch>
                                  <a:fillRect/>
                                </a:stretch>
                              </pic:blipFill>
                              <pic:spPr>
                                <a:xfrm>
                                  <a:off x="0" y="0"/>
                                  <a:ext cx="1949450" cy="1195070"/>
                                </a:xfrm>
                                <a:prstGeom prst="rect">
                                  <a:avLst/>
                                </a:prstGeom>
                                <a:ln>
                                  <a:noFill/>
                                </a:ln>
                              </pic:spPr>
                            </pic:pic>
                          </a:graphicData>
                        </a:graphic>
                      </wp:inline>
                    </w:drawing>
                  </w:r>
                </w:p>
              </w:tc>
            </w:tr>
            <w:tr w14:paraId="58E0827C">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16" w:hRule="atLeast"/>
                <w:jc w:val="center"/>
              </w:trPr>
              <w:tc>
                <w:tcPr>
                  <w:tcW w:w="518" w:type="pct"/>
                  <w:vMerge w:val="restart"/>
                  <w:vAlign w:val="center"/>
                </w:tcPr>
                <w:p w14:paraId="49741441">
                  <w:pPr>
                    <w:autoSpaceDE w:val="0"/>
                    <w:autoSpaceDN w:val="0"/>
                    <w:adjustRightInd w:val="0"/>
                    <w:snapToGrid w:val="0"/>
                    <w:jc w:val="center"/>
                    <w:rPr>
                      <w:color w:val="auto"/>
                      <w:sz w:val="21"/>
                      <w:szCs w:val="21"/>
                    </w:rPr>
                  </w:pPr>
                  <w:r>
                    <w:rPr>
                      <w:color w:val="auto"/>
                      <w:sz w:val="21"/>
                      <w:szCs w:val="21"/>
                    </w:rPr>
                    <w:t>危险废物暂存场所</w:t>
                  </w:r>
                </w:p>
              </w:tc>
              <w:tc>
                <w:tcPr>
                  <w:tcW w:w="582" w:type="pct"/>
                  <w:vAlign w:val="center"/>
                </w:tcPr>
                <w:p w14:paraId="3C3190B7">
                  <w:pPr>
                    <w:autoSpaceDE w:val="0"/>
                    <w:autoSpaceDN w:val="0"/>
                    <w:adjustRightInd w:val="0"/>
                    <w:snapToGrid w:val="0"/>
                    <w:jc w:val="center"/>
                    <w:rPr>
                      <w:color w:val="auto"/>
                      <w:sz w:val="21"/>
                      <w:szCs w:val="21"/>
                    </w:rPr>
                  </w:pPr>
                  <w:r>
                    <w:rPr>
                      <w:rFonts w:hint="eastAsia"/>
                      <w:color w:val="auto"/>
                      <w:sz w:val="21"/>
                      <w:szCs w:val="21"/>
                    </w:rPr>
                    <w:t>贮存设施</w:t>
                  </w:r>
                  <w:r>
                    <w:rPr>
                      <w:color w:val="auto"/>
                      <w:sz w:val="21"/>
                      <w:szCs w:val="21"/>
                    </w:rPr>
                    <w:t>标志</w:t>
                  </w:r>
                </w:p>
              </w:tc>
              <w:tc>
                <w:tcPr>
                  <w:tcW w:w="728" w:type="pct"/>
                  <w:vAlign w:val="center"/>
                </w:tcPr>
                <w:p w14:paraId="6E956B49">
                  <w:pPr>
                    <w:autoSpaceDE w:val="0"/>
                    <w:autoSpaceDN w:val="0"/>
                    <w:adjustRightInd w:val="0"/>
                    <w:snapToGrid w:val="0"/>
                    <w:jc w:val="center"/>
                    <w:rPr>
                      <w:color w:val="auto"/>
                      <w:sz w:val="21"/>
                      <w:szCs w:val="21"/>
                    </w:rPr>
                  </w:pPr>
                  <w:r>
                    <w:rPr>
                      <w:color w:val="auto"/>
                      <w:sz w:val="21"/>
                      <w:szCs w:val="21"/>
                    </w:rPr>
                    <w:t>长方形边框</w:t>
                  </w:r>
                </w:p>
              </w:tc>
              <w:tc>
                <w:tcPr>
                  <w:tcW w:w="391" w:type="pct"/>
                  <w:vAlign w:val="center"/>
                </w:tcPr>
                <w:p w14:paraId="797225CB">
                  <w:pPr>
                    <w:autoSpaceDE w:val="0"/>
                    <w:autoSpaceDN w:val="0"/>
                    <w:adjustRightInd w:val="0"/>
                    <w:snapToGrid w:val="0"/>
                    <w:jc w:val="center"/>
                    <w:rPr>
                      <w:color w:val="auto"/>
                      <w:sz w:val="21"/>
                      <w:szCs w:val="21"/>
                    </w:rPr>
                  </w:pPr>
                  <w:r>
                    <w:rPr>
                      <w:color w:val="auto"/>
                      <w:sz w:val="21"/>
                      <w:szCs w:val="21"/>
                    </w:rPr>
                    <w:t>黄色</w:t>
                  </w:r>
                </w:p>
              </w:tc>
              <w:tc>
                <w:tcPr>
                  <w:tcW w:w="400" w:type="pct"/>
                  <w:vAlign w:val="center"/>
                </w:tcPr>
                <w:p w14:paraId="49D919B1">
                  <w:pPr>
                    <w:autoSpaceDE w:val="0"/>
                    <w:autoSpaceDN w:val="0"/>
                    <w:adjustRightInd w:val="0"/>
                    <w:snapToGrid w:val="0"/>
                    <w:jc w:val="center"/>
                    <w:rPr>
                      <w:color w:val="auto"/>
                      <w:sz w:val="21"/>
                      <w:szCs w:val="21"/>
                    </w:rPr>
                  </w:pPr>
                  <w:r>
                    <w:rPr>
                      <w:color w:val="auto"/>
                      <w:sz w:val="21"/>
                      <w:szCs w:val="21"/>
                    </w:rPr>
                    <w:t>黑色</w:t>
                  </w:r>
                </w:p>
              </w:tc>
              <w:tc>
                <w:tcPr>
                  <w:tcW w:w="2379" w:type="pct"/>
                  <w:vAlign w:val="center"/>
                </w:tcPr>
                <w:p w14:paraId="6621F7E0">
                  <w:pPr>
                    <w:autoSpaceDE w:val="0"/>
                    <w:autoSpaceDN w:val="0"/>
                    <w:adjustRightInd w:val="0"/>
                    <w:snapToGrid w:val="0"/>
                    <w:jc w:val="center"/>
                    <w:rPr>
                      <w:color w:val="auto"/>
                      <w:sz w:val="21"/>
                      <w:szCs w:val="21"/>
                    </w:rPr>
                  </w:pPr>
                  <w:r>
                    <w:rPr>
                      <w:color w:val="auto"/>
                      <w:sz w:val="21"/>
                      <w:szCs w:val="21"/>
                    </w:rPr>
                    <w:drawing>
                      <wp:inline distT="0" distB="0" distL="114300" distR="114300">
                        <wp:extent cx="1939925" cy="1191895"/>
                        <wp:effectExtent l="0" t="0" r="3175" b="825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5"/>
                                <a:stretch>
                                  <a:fillRect/>
                                </a:stretch>
                              </pic:blipFill>
                              <pic:spPr>
                                <a:xfrm>
                                  <a:off x="0" y="0"/>
                                  <a:ext cx="1939925" cy="1191895"/>
                                </a:xfrm>
                                <a:prstGeom prst="rect">
                                  <a:avLst/>
                                </a:prstGeom>
                                <a:noFill/>
                                <a:ln>
                                  <a:noFill/>
                                </a:ln>
                              </pic:spPr>
                            </pic:pic>
                          </a:graphicData>
                        </a:graphic>
                      </wp:inline>
                    </w:drawing>
                  </w:r>
                </w:p>
              </w:tc>
            </w:tr>
            <w:tr w14:paraId="37D99739">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16" w:hRule="atLeast"/>
                <w:jc w:val="center"/>
              </w:trPr>
              <w:tc>
                <w:tcPr>
                  <w:tcW w:w="518" w:type="pct"/>
                  <w:vMerge w:val="continue"/>
                  <w:vAlign w:val="center"/>
                </w:tcPr>
                <w:p w14:paraId="755B641C">
                  <w:pPr>
                    <w:jc w:val="center"/>
                    <w:rPr>
                      <w:color w:val="auto"/>
                      <w:sz w:val="21"/>
                      <w:szCs w:val="21"/>
                    </w:rPr>
                  </w:pPr>
                </w:p>
              </w:tc>
              <w:tc>
                <w:tcPr>
                  <w:tcW w:w="582" w:type="pct"/>
                  <w:vAlign w:val="center"/>
                </w:tcPr>
                <w:p w14:paraId="479316AB">
                  <w:pPr>
                    <w:autoSpaceDE w:val="0"/>
                    <w:autoSpaceDN w:val="0"/>
                    <w:adjustRightInd w:val="0"/>
                    <w:snapToGrid w:val="0"/>
                    <w:jc w:val="center"/>
                    <w:rPr>
                      <w:color w:val="auto"/>
                      <w:sz w:val="21"/>
                      <w:szCs w:val="21"/>
                    </w:rPr>
                  </w:pPr>
                  <w:r>
                    <w:rPr>
                      <w:color w:val="auto"/>
                      <w:sz w:val="21"/>
                      <w:szCs w:val="21"/>
                    </w:rPr>
                    <w:t>贮存分区警示标志</w:t>
                  </w:r>
                </w:p>
              </w:tc>
              <w:tc>
                <w:tcPr>
                  <w:tcW w:w="728" w:type="pct"/>
                  <w:vAlign w:val="center"/>
                </w:tcPr>
                <w:p w14:paraId="694C4538">
                  <w:pPr>
                    <w:autoSpaceDE w:val="0"/>
                    <w:autoSpaceDN w:val="0"/>
                    <w:adjustRightInd w:val="0"/>
                    <w:snapToGrid w:val="0"/>
                    <w:jc w:val="center"/>
                    <w:rPr>
                      <w:color w:val="auto"/>
                      <w:sz w:val="21"/>
                      <w:szCs w:val="21"/>
                    </w:rPr>
                  </w:pPr>
                  <w:r>
                    <w:rPr>
                      <w:color w:val="auto"/>
                      <w:sz w:val="21"/>
                      <w:szCs w:val="21"/>
                    </w:rPr>
                    <w:t>长方形边框</w:t>
                  </w:r>
                </w:p>
              </w:tc>
              <w:tc>
                <w:tcPr>
                  <w:tcW w:w="391" w:type="pct"/>
                  <w:vAlign w:val="center"/>
                </w:tcPr>
                <w:p w14:paraId="07F6DF5B">
                  <w:pPr>
                    <w:autoSpaceDE w:val="0"/>
                    <w:autoSpaceDN w:val="0"/>
                    <w:adjustRightInd w:val="0"/>
                    <w:snapToGrid w:val="0"/>
                    <w:jc w:val="center"/>
                    <w:rPr>
                      <w:color w:val="auto"/>
                      <w:sz w:val="21"/>
                      <w:szCs w:val="21"/>
                    </w:rPr>
                  </w:pPr>
                  <w:r>
                    <w:rPr>
                      <w:color w:val="auto"/>
                      <w:sz w:val="21"/>
                      <w:szCs w:val="21"/>
                    </w:rPr>
                    <w:t>黄色</w:t>
                  </w:r>
                </w:p>
              </w:tc>
              <w:tc>
                <w:tcPr>
                  <w:tcW w:w="400" w:type="pct"/>
                  <w:vAlign w:val="center"/>
                </w:tcPr>
                <w:p w14:paraId="46906AA8">
                  <w:pPr>
                    <w:autoSpaceDE w:val="0"/>
                    <w:autoSpaceDN w:val="0"/>
                    <w:adjustRightInd w:val="0"/>
                    <w:snapToGrid w:val="0"/>
                    <w:jc w:val="center"/>
                    <w:rPr>
                      <w:color w:val="auto"/>
                      <w:sz w:val="21"/>
                      <w:szCs w:val="21"/>
                    </w:rPr>
                  </w:pPr>
                  <w:r>
                    <w:rPr>
                      <w:rFonts w:hint="eastAsia"/>
                      <w:color w:val="auto"/>
                      <w:sz w:val="21"/>
                      <w:szCs w:val="21"/>
                    </w:rPr>
                    <w:t>橘黄</w:t>
                  </w:r>
                  <w:r>
                    <w:rPr>
                      <w:color w:val="auto"/>
                      <w:sz w:val="21"/>
                      <w:szCs w:val="21"/>
                    </w:rPr>
                    <w:t>色</w:t>
                  </w:r>
                </w:p>
              </w:tc>
              <w:tc>
                <w:tcPr>
                  <w:tcW w:w="2379" w:type="pct"/>
                  <w:vAlign w:val="center"/>
                </w:tcPr>
                <w:p w14:paraId="7BE9B9C8">
                  <w:pPr>
                    <w:autoSpaceDE w:val="0"/>
                    <w:autoSpaceDN w:val="0"/>
                    <w:adjustRightInd w:val="0"/>
                    <w:snapToGrid w:val="0"/>
                    <w:jc w:val="center"/>
                    <w:rPr>
                      <w:color w:val="auto"/>
                      <w:sz w:val="21"/>
                      <w:szCs w:val="21"/>
                    </w:rPr>
                  </w:pPr>
                  <w:r>
                    <w:rPr>
                      <w:rFonts w:ascii="宋体" w:hAnsi="宋体" w:cs="宋体"/>
                      <w:color w:val="auto"/>
                      <w:sz w:val="21"/>
                      <w:szCs w:val="21"/>
                    </w:rPr>
                    <w:drawing>
                      <wp:inline distT="0" distB="0" distL="0" distR="0">
                        <wp:extent cx="1890395" cy="1590675"/>
                        <wp:effectExtent l="0" t="0" r="14605" b="9525"/>
                        <wp:docPr id="1045" name="图片 11" descr="IMG_256"/>
                        <wp:cNvGraphicFramePr/>
                        <a:graphic xmlns:a="http://schemas.openxmlformats.org/drawingml/2006/main">
                          <a:graphicData uri="http://schemas.openxmlformats.org/drawingml/2006/picture">
                            <pic:pic xmlns:pic="http://schemas.openxmlformats.org/drawingml/2006/picture">
                              <pic:nvPicPr>
                                <pic:cNvPr id="1045" name="图片 11" descr="IMG_256"/>
                                <pic:cNvPicPr/>
                              </pic:nvPicPr>
                              <pic:blipFill>
                                <a:blip r:embed="rId16" cstate="print"/>
                                <a:srcRect/>
                                <a:stretch>
                                  <a:fillRect/>
                                </a:stretch>
                              </pic:blipFill>
                              <pic:spPr>
                                <a:xfrm>
                                  <a:off x="0" y="0"/>
                                  <a:ext cx="1890395" cy="1590675"/>
                                </a:xfrm>
                                <a:prstGeom prst="rect">
                                  <a:avLst/>
                                </a:prstGeom>
                                <a:ln>
                                  <a:noFill/>
                                </a:ln>
                              </pic:spPr>
                            </pic:pic>
                          </a:graphicData>
                        </a:graphic>
                      </wp:inline>
                    </w:drawing>
                  </w:r>
                </w:p>
              </w:tc>
            </w:tr>
            <w:tr w14:paraId="3481748F">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16" w:hRule="atLeast"/>
                <w:jc w:val="center"/>
              </w:trPr>
              <w:tc>
                <w:tcPr>
                  <w:tcW w:w="518" w:type="pct"/>
                  <w:vMerge w:val="continue"/>
                  <w:vAlign w:val="center"/>
                </w:tcPr>
                <w:p w14:paraId="13952CE8">
                  <w:pPr>
                    <w:jc w:val="center"/>
                    <w:rPr>
                      <w:color w:val="auto"/>
                      <w:sz w:val="21"/>
                      <w:szCs w:val="21"/>
                    </w:rPr>
                  </w:pPr>
                </w:p>
              </w:tc>
              <w:tc>
                <w:tcPr>
                  <w:tcW w:w="582" w:type="pct"/>
                  <w:vAlign w:val="center"/>
                </w:tcPr>
                <w:p w14:paraId="12F96F6E">
                  <w:pPr>
                    <w:autoSpaceDE w:val="0"/>
                    <w:autoSpaceDN w:val="0"/>
                    <w:adjustRightInd w:val="0"/>
                    <w:snapToGrid w:val="0"/>
                    <w:jc w:val="center"/>
                    <w:rPr>
                      <w:color w:val="auto"/>
                      <w:sz w:val="21"/>
                      <w:szCs w:val="21"/>
                    </w:rPr>
                  </w:pPr>
                  <w:r>
                    <w:rPr>
                      <w:color w:val="auto"/>
                      <w:sz w:val="21"/>
                      <w:szCs w:val="21"/>
                    </w:rPr>
                    <w:t>标签</w:t>
                  </w:r>
                  <w:r>
                    <w:rPr>
                      <w:rFonts w:hint="eastAsia"/>
                      <w:color w:val="auto"/>
                      <w:sz w:val="21"/>
                      <w:szCs w:val="21"/>
                    </w:rPr>
                    <w:t>样式</w:t>
                  </w:r>
                </w:p>
              </w:tc>
              <w:tc>
                <w:tcPr>
                  <w:tcW w:w="728" w:type="pct"/>
                  <w:vAlign w:val="center"/>
                </w:tcPr>
                <w:p w14:paraId="5EA245D8">
                  <w:pPr>
                    <w:autoSpaceDE w:val="0"/>
                    <w:autoSpaceDN w:val="0"/>
                    <w:adjustRightInd w:val="0"/>
                    <w:snapToGrid w:val="0"/>
                    <w:jc w:val="center"/>
                    <w:rPr>
                      <w:color w:val="auto"/>
                      <w:sz w:val="21"/>
                      <w:szCs w:val="21"/>
                    </w:rPr>
                  </w:pPr>
                  <w:r>
                    <w:rPr>
                      <w:color w:val="auto"/>
                      <w:sz w:val="21"/>
                      <w:szCs w:val="21"/>
                    </w:rPr>
                    <w:t>/</w:t>
                  </w:r>
                </w:p>
              </w:tc>
              <w:tc>
                <w:tcPr>
                  <w:tcW w:w="391" w:type="pct"/>
                  <w:vAlign w:val="center"/>
                </w:tcPr>
                <w:p w14:paraId="2A36A855">
                  <w:pPr>
                    <w:autoSpaceDE w:val="0"/>
                    <w:autoSpaceDN w:val="0"/>
                    <w:adjustRightInd w:val="0"/>
                    <w:snapToGrid w:val="0"/>
                    <w:jc w:val="center"/>
                    <w:rPr>
                      <w:color w:val="auto"/>
                      <w:sz w:val="21"/>
                      <w:szCs w:val="21"/>
                    </w:rPr>
                  </w:pPr>
                  <w:r>
                    <w:rPr>
                      <w:rFonts w:hint="eastAsia"/>
                      <w:color w:val="auto"/>
                      <w:sz w:val="21"/>
                      <w:szCs w:val="21"/>
                    </w:rPr>
                    <w:t>橘</w:t>
                  </w:r>
                  <w:r>
                    <w:rPr>
                      <w:color w:val="auto"/>
                      <w:sz w:val="21"/>
                      <w:szCs w:val="21"/>
                    </w:rPr>
                    <w:t>黄色</w:t>
                  </w:r>
                </w:p>
              </w:tc>
              <w:tc>
                <w:tcPr>
                  <w:tcW w:w="400" w:type="pct"/>
                  <w:vAlign w:val="center"/>
                </w:tcPr>
                <w:p w14:paraId="5A082FBE">
                  <w:pPr>
                    <w:autoSpaceDE w:val="0"/>
                    <w:autoSpaceDN w:val="0"/>
                    <w:adjustRightInd w:val="0"/>
                    <w:snapToGrid w:val="0"/>
                    <w:jc w:val="center"/>
                    <w:rPr>
                      <w:color w:val="auto"/>
                      <w:sz w:val="21"/>
                      <w:szCs w:val="21"/>
                    </w:rPr>
                  </w:pPr>
                  <w:r>
                    <w:rPr>
                      <w:color w:val="auto"/>
                      <w:sz w:val="21"/>
                      <w:szCs w:val="21"/>
                    </w:rPr>
                    <w:t>黑色</w:t>
                  </w:r>
                </w:p>
              </w:tc>
              <w:tc>
                <w:tcPr>
                  <w:tcW w:w="2379" w:type="pct"/>
                  <w:vAlign w:val="center"/>
                </w:tcPr>
                <w:p w14:paraId="1E5B0C38">
                  <w:pPr>
                    <w:autoSpaceDE w:val="0"/>
                    <w:autoSpaceDN w:val="0"/>
                    <w:adjustRightInd w:val="0"/>
                    <w:snapToGrid w:val="0"/>
                    <w:jc w:val="center"/>
                    <w:rPr>
                      <w:color w:val="auto"/>
                      <w:sz w:val="21"/>
                      <w:szCs w:val="21"/>
                    </w:rPr>
                  </w:pPr>
                  <w:r>
                    <w:rPr>
                      <w:color w:val="auto"/>
                      <w:sz w:val="21"/>
                      <w:szCs w:val="21"/>
                    </w:rPr>
                    <w:drawing>
                      <wp:inline distT="0" distB="0" distL="0" distR="0">
                        <wp:extent cx="1857375" cy="1855470"/>
                        <wp:effectExtent l="0" t="0" r="9525" b="11430"/>
                        <wp:docPr id="1046" name="图片 9"/>
                        <wp:cNvGraphicFramePr/>
                        <a:graphic xmlns:a="http://schemas.openxmlformats.org/drawingml/2006/main">
                          <a:graphicData uri="http://schemas.openxmlformats.org/drawingml/2006/picture">
                            <pic:pic xmlns:pic="http://schemas.openxmlformats.org/drawingml/2006/picture">
                              <pic:nvPicPr>
                                <pic:cNvPr id="1046" name="图片 9"/>
                                <pic:cNvPicPr/>
                              </pic:nvPicPr>
                              <pic:blipFill>
                                <a:blip r:embed="rId17" cstate="print"/>
                                <a:srcRect/>
                                <a:stretch>
                                  <a:fillRect/>
                                </a:stretch>
                              </pic:blipFill>
                              <pic:spPr>
                                <a:xfrm>
                                  <a:off x="0" y="0"/>
                                  <a:ext cx="1857375" cy="1855470"/>
                                </a:xfrm>
                                <a:prstGeom prst="rect">
                                  <a:avLst/>
                                </a:prstGeom>
                                <a:ln>
                                  <a:noFill/>
                                </a:ln>
                              </pic:spPr>
                            </pic:pic>
                          </a:graphicData>
                        </a:graphic>
                      </wp:inline>
                    </w:drawing>
                  </w:r>
                </w:p>
              </w:tc>
            </w:tr>
          </w:tbl>
          <w:p w14:paraId="73E1D80E">
            <w:pPr>
              <w:adjustRightInd w:val="0"/>
              <w:snapToGrid w:val="0"/>
              <w:spacing w:before="120" w:beforeLines="50" w:line="360" w:lineRule="auto"/>
              <w:ind w:firstLine="482" w:firstLineChars="200"/>
              <w:rPr>
                <w:rFonts w:hint="default"/>
                <w:b/>
                <w:color w:val="auto"/>
                <w:sz w:val="24"/>
                <w:szCs w:val="24"/>
                <w:lang w:bidi="ar-SA"/>
              </w:rPr>
            </w:pPr>
            <w:r>
              <w:rPr>
                <w:rFonts w:hint="default"/>
                <w:b/>
                <w:color w:val="auto"/>
                <w:sz w:val="24"/>
                <w:szCs w:val="24"/>
                <w:lang w:bidi="ar-SA"/>
              </w:rPr>
              <w:t>4.3一般固废环境管理要求</w:t>
            </w:r>
          </w:p>
          <w:p w14:paraId="0441C7D7">
            <w:pPr>
              <w:spacing w:line="360" w:lineRule="auto"/>
              <w:ind w:firstLine="480" w:firstLineChars="200"/>
              <w:rPr>
                <w:rFonts w:hint="default"/>
                <w:color w:val="auto"/>
                <w:sz w:val="24"/>
                <w:szCs w:val="24"/>
                <w:lang w:bidi="ar-SA"/>
              </w:rPr>
            </w:pPr>
            <w:r>
              <w:rPr>
                <w:rFonts w:hint="default"/>
                <w:color w:val="auto"/>
                <w:sz w:val="24"/>
                <w:szCs w:val="24"/>
                <w:lang w:bidi="ar-SA"/>
              </w:rPr>
              <w:t>一般工业固废的</w:t>
            </w:r>
            <w:r>
              <w:rPr>
                <w:rFonts w:hint="default"/>
                <w:color w:val="auto"/>
                <w:sz w:val="24"/>
                <w:szCs w:val="24"/>
                <w:lang w:val="en-US" w:eastAsia="zh-CN" w:bidi="ar-SA"/>
              </w:rPr>
              <w:t>暂存及转移</w:t>
            </w:r>
            <w:r>
              <w:rPr>
                <w:rFonts w:hint="eastAsia"/>
                <w:color w:val="auto"/>
                <w:sz w:val="24"/>
                <w:szCs w:val="24"/>
                <w:lang w:val="en-US" w:eastAsia="zh-CN" w:bidi="ar-SA"/>
              </w:rPr>
              <w:t>等</w:t>
            </w:r>
            <w:r>
              <w:rPr>
                <w:rFonts w:hint="default"/>
                <w:color w:val="auto"/>
                <w:sz w:val="24"/>
                <w:szCs w:val="24"/>
                <w:lang w:bidi="ar-SA"/>
              </w:rPr>
              <w:t>应按照</w:t>
            </w:r>
            <w:r>
              <w:rPr>
                <w:rFonts w:hint="eastAsia"/>
                <w:color w:val="auto"/>
                <w:sz w:val="24"/>
                <w:szCs w:val="24"/>
                <w:lang w:eastAsia="zh-CN" w:bidi="ar-SA"/>
              </w:rPr>
              <w:t>《一般工业固体废物环境管理工作指南》（环办固体函〔2026〕18号）</w:t>
            </w:r>
            <w:r>
              <w:rPr>
                <w:rFonts w:hint="eastAsia"/>
                <w:color w:val="auto"/>
                <w:sz w:val="24"/>
                <w:szCs w:val="24"/>
                <w:lang w:val="en-US" w:eastAsia="zh-CN" w:bidi="ar-SA"/>
              </w:rPr>
              <w:t>等</w:t>
            </w:r>
            <w:r>
              <w:rPr>
                <w:rFonts w:hint="default"/>
                <w:color w:val="auto"/>
                <w:sz w:val="24"/>
                <w:szCs w:val="24"/>
                <w:lang w:bidi="ar-SA"/>
              </w:rPr>
              <w:t>要求</w:t>
            </w:r>
            <w:r>
              <w:rPr>
                <w:rFonts w:hint="eastAsia"/>
                <w:color w:val="auto"/>
                <w:sz w:val="24"/>
                <w:szCs w:val="24"/>
                <w:lang w:val="en-US" w:eastAsia="zh-CN" w:bidi="ar-SA"/>
              </w:rPr>
              <w:t>进行</w:t>
            </w:r>
            <w:r>
              <w:rPr>
                <w:rFonts w:hint="default"/>
                <w:color w:val="auto"/>
                <w:sz w:val="24"/>
                <w:szCs w:val="24"/>
                <w:lang w:bidi="ar-SA"/>
              </w:rPr>
              <w:t>。</w:t>
            </w:r>
          </w:p>
          <w:p w14:paraId="651B7350">
            <w:pPr>
              <w:spacing w:line="360" w:lineRule="auto"/>
              <w:ind w:firstLine="480" w:firstLineChars="200"/>
              <w:rPr>
                <w:rFonts w:hint="default"/>
                <w:color w:val="auto"/>
                <w:sz w:val="24"/>
                <w:szCs w:val="24"/>
                <w:lang w:bidi="ar-SA"/>
              </w:rPr>
            </w:pPr>
            <w:r>
              <w:rPr>
                <w:rFonts w:hint="default"/>
                <w:color w:val="auto"/>
                <w:sz w:val="24"/>
                <w:szCs w:val="24"/>
                <w:lang w:bidi="ar-SA"/>
              </w:rPr>
              <w:t>①应对照《固体废物分类与代码目录》，将一般工业固体废物分类分区贮存。</w:t>
            </w:r>
          </w:p>
          <w:p w14:paraId="3B944C04">
            <w:pPr>
              <w:spacing w:line="360" w:lineRule="auto"/>
              <w:ind w:firstLine="480" w:firstLineChars="200"/>
              <w:rPr>
                <w:rFonts w:hint="default"/>
                <w:color w:val="auto"/>
                <w:sz w:val="24"/>
                <w:szCs w:val="24"/>
                <w:lang w:bidi="ar-SA"/>
              </w:rPr>
            </w:pPr>
            <w:r>
              <w:rPr>
                <w:rFonts w:hint="eastAsia"/>
                <w:color w:val="auto"/>
                <w:sz w:val="24"/>
                <w:szCs w:val="24"/>
                <w:lang w:val="en-US" w:eastAsia="zh-CN" w:bidi="ar-SA"/>
              </w:rPr>
              <w:t>②</w:t>
            </w:r>
            <w:r>
              <w:rPr>
                <w:rFonts w:hint="default"/>
                <w:color w:val="auto"/>
                <w:sz w:val="24"/>
                <w:szCs w:val="24"/>
                <w:lang w:bidi="ar-SA"/>
              </w:rPr>
              <w:t>产废单位应在贮存设施显著位置张贴符合《环境保护图形标志一固体废物贮存(处置)场》(GB15562.2)规定的环境保护图形标志，并注明贮存的一般工业固体废物种类等信息。</w:t>
            </w:r>
          </w:p>
          <w:p w14:paraId="43794746">
            <w:pPr>
              <w:spacing w:line="360" w:lineRule="auto"/>
              <w:ind w:firstLine="480" w:firstLineChars="200"/>
              <w:rPr>
                <w:rFonts w:hint="eastAsia" w:eastAsia="宋体"/>
                <w:color w:val="auto"/>
                <w:sz w:val="24"/>
                <w:szCs w:val="24"/>
                <w:lang w:val="en-US" w:eastAsia="zh-CN" w:bidi="ar-SA"/>
              </w:rPr>
            </w:pPr>
            <w:r>
              <w:rPr>
                <w:rFonts w:hint="eastAsia"/>
                <w:color w:val="auto"/>
                <w:sz w:val="24"/>
                <w:szCs w:val="24"/>
                <w:lang w:val="en-US" w:eastAsia="zh-CN" w:bidi="ar-SA"/>
              </w:rPr>
              <w:t>③采用库房、包装工具等贮存一般工业固体废物的，应根据物料特性及可能产生的环境污染风险，合理采取防扬散、防流失、防渗漏等环境保护措施。</w:t>
            </w:r>
          </w:p>
          <w:p w14:paraId="377D85B2">
            <w:pPr>
              <w:spacing w:line="360" w:lineRule="auto"/>
              <w:ind w:firstLine="480" w:firstLineChars="200"/>
              <w:rPr>
                <w:rFonts w:hint="eastAsia" w:eastAsia="宋体"/>
                <w:color w:val="auto"/>
                <w:sz w:val="24"/>
                <w:szCs w:val="24"/>
                <w:lang w:val="en-US" w:eastAsia="zh-CN" w:bidi="ar-SA"/>
              </w:rPr>
            </w:pPr>
            <w:r>
              <w:rPr>
                <w:rFonts w:hint="eastAsia"/>
                <w:color w:val="auto"/>
                <w:sz w:val="24"/>
                <w:szCs w:val="24"/>
                <w:lang w:val="en-US" w:eastAsia="zh-CN" w:bidi="ar-SA"/>
              </w:rPr>
              <w:t>④鼓励有条件的产废单位在贮存场所出入口、磅秤位置等关键点位设置视频监控，配备智能称重设备。</w:t>
            </w:r>
          </w:p>
          <w:p w14:paraId="6D1F46A4">
            <w:pPr>
              <w:spacing w:line="360" w:lineRule="auto"/>
              <w:ind w:firstLine="480" w:firstLineChars="200"/>
              <w:rPr>
                <w:rFonts w:hint="eastAsia" w:eastAsia="宋体"/>
                <w:color w:val="auto"/>
                <w:sz w:val="24"/>
                <w:szCs w:val="24"/>
                <w:lang w:eastAsia="zh-CN" w:bidi="ar-SA"/>
              </w:rPr>
            </w:pPr>
            <w:r>
              <w:rPr>
                <w:rFonts w:hint="eastAsia"/>
                <w:color w:val="auto"/>
                <w:sz w:val="24"/>
                <w:szCs w:val="24"/>
                <w:lang w:val="en-US" w:eastAsia="zh-CN" w:bidi="ar-SA"/>
              </w:rPr>
              <w:t>⑤</w:t>
            </w:r>
            <w:r>
              <w:rPr>
                <w:rFonts w:hint="default"/>
                <w:color w:val="auto"/>
                <w:sz w:val="24"/>
                <w:szCs w:val="24"/>
                <w:lang w:bidi="ar-SA"/>
              </w:rPr>
              <w:t>贮存场应制定运行计划，运行管理人员应定期参加企业的岗位培训</w:t>
            </w:r>
            <w:r>
              <w:rPr>
                <w:rFonts w:hint="eastAsia"/>
                <w:color w:val="auto"/>
                <w:sz w:val="24"/>
                <w:szCs w:val="24"/>
                <w:lang w:eastAsia="zh-CN" w:bidi="ar-SA"/>
              </w:rPr>
              <w:t>。</w:t>
            </w:r>
          </w:p>
          <w:p w14:paraId="674BB3F7">
            <w:pPr>
              <w:spacing w:line="360" w:lineRule="auto"/>
              <w:ind w:firstLine="480" w:firstLineChars="200"/>
              <w:rPr>
                <w:rFonts w:hint="eastAsia" w:eastAsia="宋体"/>
                <w:color w:val="auto"/>
                <w:sz w:val="24"/>
                <w:szCs w:val="24"/>
                <w:lang w:eastAsia="zh-CN" w:bidi="ar-SA"/>
              </w:rPr>
            </w:pPr>
            <w:r>
              <w:rPr>
                <w:rFonts w:hint="eastAsia"/>
                <w:color w:val="auto"/>
                <w:sz w:val="24"/>
                <w:szCs w:val="24"/>
                <w:lang w:val="en-US" w:eastAsia="zh-CN" w:bidi="ar-SA"/>
              </w:rPr>
              <w:t>⑥</w:t>
            </w:r>
            <w:r>
              <w:rPr>
                <w:rFonts w:hint="default"/>
                <w:color w:val="auto"/>
                <w:sz w:val="24"/>
                <w:szCs w:val="24"/>
                <w:lang w:bidi="ar-SA"/>
              </w:rPr>
              <w:t>贮存场运行企业应建立档案管理制度，并按照国家档案管理等法律法规进行整理与归档，永久保存</w:t>
            </w:r>
            <w:r>
              <w:rPr>
                <w:rFonts w:hint="eastAsia"/>
                <w:color w:val="auto"/>
                <w:sz w:val="24"/>
                <w:szCs w:val="24"/>
                <w:lang w:eastAsia="zh-CN" w:bidi="ar-SA"/>
              </w:rPr>
              <w:t>。</w:t>
            </w:r>
          </w:p>
          <w:p w14:paraId="1E831BA1">
            <w:pPr>
              <w:spacing w:line="360" w:lineRule="auto"/>
              <w:ind w:firstLine="480" w:firstLineChars="200"/>
              <w:rPr>
                <w:rFonts w:hint="eastAsia" w:eastAsia="宋体"/>
                <w:color w:val="auto"/>
                <w:sz w:val="24"/>
                <w:szCs w:val="24"/>
                <w:lang w:eastAsia="zh-CN" w:bidi="ar-SA"/>
              </w:rPr>
            </w:pPr>
            <w:r>
              <w:rPr>
                <w:rFonts w:hint="eastAsia"/>
                <w:color w:val="auto"/>
                <w:sz w:val="24"/>
                <w:szCs w:val="24"/>
                <w:lang w:val="en-US" w:eastAsia="zh-CN" w:bidi="ar-SA"/>
              </w:rPr>
              <w:t>⑦</w:t>
            </w:r>
            <w:r>
              <w:rPr>
                <w:rFonts w:hint="default"/>
                <w:color w:val="auto"/>
                <w:sz w:val="24"/>
                <w:szCs w:val="24"/>
                <w:lang w:bidi="ar-SA"/>
              </w:rPr>
              <w:t>危险废物和生活垃圾不得进入一般工业固体废物贮存场。国家及地方有关法律法规、标准另有规定的除外</w:t>
            </w:r>
            <w:r>
              <w:rPr>
                <w:rFonts w:hint="eastAsia"/>
                <w:color w:val="auto"/>
                <w:sz w:val="24"/>
                <w:szCs w:val="24"/>
                <w:lang w:eastAsia="zh-CN" w:bidi="ar-SA"/>
              </w:rPr>
              <w:t>。</w:t>
            </w:r>
          </w:p>
          <w:p w14:paraId="76E74FC6">
            <w:pPr>
              <w:spacing w:line="360" w:lineRule="auto"/>
              <w:ind w:firstLine="480" w:firstLineChars="200"/>
              <w:rPr>
                <w:rFonts w:hint="default"/>
                <w:color w:val="auto"/>
                <w:sz w:val="24"/>
                <w:szCs w:val="24"/>
                <w:lang w:bidi="ar-SA"/>
              </w:rPr>
            </w:pPr>
            <w:r>
              <w:rPr>
                <w:rFonts w:hint="eastAsia"/>
                <w:color w:val="auto"/>
                <w:sz w:val="24"/>
                <w:szCs w:val="24"/>
                <w:lang w:val="en-US" w:eastAsia="zh-CN" w:bidi="ar-SA"/>
              </w:rPr>
              <w:t>⑧</w:t>
            </w:r>
            <w:r>
              <w:rPr>
                <w:rFonts w:hint="default"/>
                <w:color w:val="auto"/>
                <w:sz w:val="24"/>
                <w:szCs w:val="24"/>
                <w:lang w:bidi="ar-SA"/>
              </w:rPr>
              <w:t>易产生扬尘的贮存应采取分区作业、覆盖、洒水等有效抑尘措施防止扬尘污染。</w:t>
            </w:r>
          </w:p>
          <w:p w14:paraId="46D0930A">
            <w:pPr>
              <w:spacing w:line="360" w:lineRule="auto"/>
              <w:ind w:firstLine="480" w:firstLineChars="200"/>
              <w:rPr>
                <w:rFonts w:hint="default"/>
                <w:color w:val="auto"/>
                <w:sz w:val="24"/>
                <w:szCs w:val="24"/>
                <w:lang w:bidi="ar-SA"/>
              </w:rPr>
            </w:pPr>
            <w:r>
              <w:rPr>
                <w:rFonts w:hint="default"/>
                <w:color w:val="auto"/>
                <w:sz w:val="24"/>
                <w:szCs w:val="24"/>
                <w:lang w:bidi="ar-SA"/>
              </w:rPr>
              <w:t>根据《一般工业固体废物管理台账制定指南（试行）》建立一般固废台账。</w:t>
            </w:r>
          </w:p>
          <w:p w14:paraId="677A340D">
            <w:pPr>
              <w:keepNext/>
              <w:widowControl/>
              <w:spacing w:line="360" w:lineRule="auto"/>
              <w:ind w:firstLine="480" w:firstLineChars="200"/>
              <w:rPr>
                <w:rFonts w:hint="default"/>
                <w:color w:val="auto"/>
                <w:sz w:val="24"/>
                <w:szCs w:val="24"/>
                <w:lang w:bidi="ar-SA"/>
              </w:rPr>
            </w:pPr>
            <w:r>
              <w:rPr>
                <w:rFonts w:hint="default"/>
                <w:color w:val="auto"/>
                <w:sz w:val="24"/>
                <w:szCs w:val="24"/>
                <w:lang w:bidi="ar-SA"/>
              </w:rPr>
              <w:t>本项目</w:t>
            </w:r>
            <w:r>
              <w:rPr>
                <w:rFonts w:hint="eastAsia"/>
                <w:color w:val="auto"/>
                <w:sz w:val="24"/>
                <w:szCs w:val="24"/>
                <w:lang w:val="en-US" w:eastAsia="zh-CN" w:bidi="ar-SA"/>
              </w:rPr>
              <w:t>依托现有</w:t>
            </w:r>
            <w:r>
              <w:rPr>
                <w:rFonts w:hint="default"/>
                <w:color w:val="auto"/>
                <w:sz w:val="24"/>
                <w:szCs w:val="24"/>
                <w:lang w:bidi="ar-SA"/>
              </w:rPr>
              <w:t>占地面积10m</w:t>
            </w:r>
            <w:r>
              <w:rPr>
                <w:rFonts w:hint="default"/>
                <w:color w:val="auto"/>
                <w:sz w:val="24"/>
                <w:szCs w:val="24"/>
                <w:vertAlign w:val="superscript"/>
                <w:lang w:bidi="ar-SA"/>
              </w:rPr>
              <w:t>2</w:t>
            </w:r>
            <w:r>
              <w:rPr>
                <w:rFonts w:hint="eastAsia"/>
                <w:color w:val="auto"/>
                <w:sz w:val="24"/>
                <w:szCs w:val="24"/>
                <w:lang w:bidi="ar-SA"/>
              </w:rPr>
              <w:t>的</w:t>
            </w:r>
            <w:r>
              <w:rPr>
                <w:rFonts w:hint="default"/>
                <w:color w:val="auto"/>
                <w:sz w:val="24"/>
                <w:szCs w:val="24"/>
                <w:lang w:bidi="ar-SA"/>
              </w:rPr>
              <w:t>一般固废</w:t>
            </w:r>
            <w:r>
              <w:rPr>
                <w:rFonts w:hint="eastAsia"/>
                <w:color w:val="auto"/>
                <w:sz w:val="24"/>
                <w:szCs w:val="24"/>
                <w:lang w:bidi="ar-SA"/>
              </w:rPr>
              <w:t>暂存场，</w:t>
            </w:r>
            <w:r>
              <w:rPr>
                <w:rFonts w:hint="default"/>
                <w:color w:val="auto"/>
                <w:sz w:val="24"/>
                <w:szCs w:val="24"/>
                <w:lang w:bidi="ar-SA"/>
              </w:rPr>
              <w:t>设置在生产车间外东北角。</w:t>
            </w:r>
          </w:p>
          <w:p w14:paraId="3CB25D6A">
            <w:pPr>
              <w:spacing w:line="360" w:lineRule="auto"/>
              <w:ind w:firstLine="480" w:firstLineChars="200"/>
              <w:rPr>
                <w:rFonts w:hint="default"/>
                <w:color w:val="auto"/>
                <w:sz w:val="24"/>
                <w:szCs w:val="24"/>
                <w:lang w:bidi="ar-SA"/>
              </w:rPr>
            </w:pPr>
            <w:r>
              <w:rPr>
                <w:rFonts w:hint="eastAsia"/>
                <w:color w:val="auto"/>
                <w:sz w:val="24"/>
                <w:szCs w:val="24"/>
                <w:lang w:val="en-US" w:eastAsia="zh-CN" w:bidi="ar-SA"/>
              </w:rPr>
              <w:t>扩建后全厂</w:t>
            </w:r>
            <w:r>
              <w:rPr>
                <w:rFonts w:hint="default"/>
                <w:color w:val="auto"/>
                <w:sz w:val="24"/>
                <w:szCs w:val="24"/>
                <w:lang w:bidi="ar-SA"/>
              </w:rPr>
              <w:t>涉及的一般工业固废为：边角料</w:t>
            </w:r>
            <w:r>
              <w:rPr>
                <w:rFonts w:hint="eastAsia"/>
                <w:color w:val="auto"/>
                <w:sz w:val="24"/>
                <w:szCs w:val="24"/>
                <w:lang w:val="en-US" w:eastAsia="zh-CN" w:bidi="ar-SA"/>
              </w:rPr>
              <w:t>130</w:t>
            </w:r>
            <w:r>
              <w:rPr>
                <w:rFonts w:hint="eastAsia"/>
                <w:color w:val="auto"/>
                <w:sz w:val="24"/>
                <w:szCs w:val="24"/>
                <w:lang w:bidi="ar-SA"/>
              </w:rPr>
              <w:t>t/a</w:t>
            </w:r>
            <w:r>
              <w:rPr>
                <w:rFonts w:hint="eastAsia"/>
                <w:color w:val="auto"/>
                <w:sz w:val="24"/>
                <w:szCs w:val="24"/>
                <w:lang w:eastAsia="zh-CN" w:bidi="ar-SA"/>
              </w:rPr>
              <w:t>、废布袋0.05</w:t>
            </w:r>
            <w:r>
              <w:rPr>
                <w:rFonts w:hint="eastAsia"/>
                <w:color w:val="auto"/>
                <w:sz w:val="24"/>
                <w:szCs w:val="24"/>
                <w:lang w:bidi="ar-SA"/>
              </w:rPr>
              <w:t>t/a</w:t>
            </w:r>
            <w:r>
              <w:rPr>
                <w:rFonts w:hint="eastAsia"/>
                <w:color w:val="auto"/>
                <w:sz w:val="24"/>
                <w:szCs w:val="24"/>
                <w:lang w:eastAsia="zh-CN" w:bidi="ar-SA"/>
              </w:rPr>
              <w:t>、</w:t>
            </w:r>
            <w:r>
              <w:rPr>
                <w:rFonts w:hint="default" w:ascii="Times New Roman" w:hAnsi="Times New Roman" w:eastAsia="宋体" w:cs="Times New Roman"/>
                <w:bCs/>
                <w:snapToGrid w:val="0"/>
                <w:color w:val="auto"/>
                <w:spacing w:val="6"/>
                <w:sz w:val="24"/>
                <w:szCs w:val="24"/>
              </w:rPr>
              <w:t>收集尘</w:t>
            </w:r>
            <w:r>
              <w:rPr>
                <w:rFonts w:hint="default" w:ascii="Times New Roman" w:hAnsi="Times New Roman" w:eastAsia="宋体" w:cs="Times New Roman"/>
                <w:bCs/>
                <w:snapToGrid w:val="0"/>
                <w:color w:val="auto"/>
                <w:spacing w:val="6"/>
                <w:sz w:val="21"/>
                <w:szCs w:val="21"/>
              </w:rPr>
              <w:t>0.1637</w:t>
            </w:r>
            <w:r>
              <w:rPr>
                <w:rFonts w:hint="eastAsia"/>
                <w:color w:val="auto"/>
                <w:sz w:val="24"/>
                <w:szCs w:val="24"/>
                <w:lang w:bidi="ar-SA"/>
              </w:rPr>
              <w:t>t/a</w:t>
            </w:r>
            <w:r>
              <w:rPr>
                <w:rFonts w:hint="eastAsia"/>
                <w:color w:val="auto"/>
                <w:sz w:val="24"/>
                <w:szCs w:val="24"/>
                <w:lang w:eastAsia="zh-CN" w:bidi="ar-SA"/>
              </w:rPr>
              <w:t>、</w:t>
            </w:r>
            <w:r>
              <w:rPr>
                <w:rFonts w:hint="default"/>
                <w:color w:val="auto"/>
                <w:sz w:val="24"/>
                <w:szCs w:val="24"/>
                <w:lang w:bidi="ar-SA"/>
              </w:rPr>
              <w:t>废包装材料0.65</w:t>
            </w:r>
            <w:r>
              <w:rPr>
                <w:rFonts w:hint="eastAsia"/>
                <w:color w:val="auto"/>
                <w:sz w:val="24"/>
                <w:szCs w:val="24"/>
                <w:lang w:bidi="ar-SA"/>
              </w:rPr>
              <w:t>t/a</w:t>
            </w:r>
            <w:r>
              <w:rPr>
                <w:rFonts w:hint="eastAsia"/>
                <w:color w:val="auto"/>
                <w:sz w:val="24"/>
                <w:szCs w:val="24"/>
                <w:lang w:eastAsia="zh-CN" w:bidi="ar-SA"/>
              </w:rPr>
              <w:t>、废耐火材料0.6t/5a</w:t>
            </w:r>
            <w:r>
              <w:rPr>
                <w:rFonts w:hint="eastAsia"/>
                <w:color w:val="auto"/>
                <w:sz w:val="24"/>
                <w:szCs w:val="24"/>
                <w:lang w:bidi="ar-SA"/>
              </w:rPr>
              <w:t>。</w:t>
            </w:r>
          </w:p>
          <w:p w14:paraId="4B8F70C2">
            <w:pPr>
              <w:spacing w:line="360" w:lineRule="auto"/>
              <w:ind w:firstLine="480" w:firstLineChars="200"/>
              <w:rPr>
                <w:rFonts w:hint="default"/>
                <w:color w:val="auto"/>
                <w:sz w:val="24"/>
                <w:szCs w:val="24"/>
                <w:lang w:bidi="ar-SA"/>
              </w:rPr>
            </w:pPr>
            <w:r>
              <w:rPr>
                <w:rFonts w:hint="default"/>
                <w:color w:val="auto"/>
                <w:sz w:val="24"/>
                <w:szCs w:val="24"/>
                <w:lang w:bidi="ar-SA"/>
              </w:rPr>
              <w:t>A、边角料每</w:t>
            </w:r>
            <w:r>
              <w:rPr>
                <w:rFonts w:hint="eastAsia"/>
                <w:color w:val="auto"/>
                <w:sz w:val="24"/>
                <w:szCs w:val="24"/>
                <w:lang w:val="en-US" w:eastAsia="zh-CN" w:bidi="ar-SA"/>
              </w:rPr>
              <w:t>半个月</w:t>
            </w:r>
            <w:r>
              <w:rPr>
                <w:rFonts w:hint="default"/>
                <w:color w:val="auto"/>
                <w:sz w:val="24"/>
                <w:szCs w:val="24"/>
                <w:lang w:bidi="ar-SA"/>
              </w:rPr>
              <w:t>转运一次，</w:t>
            </w:r>
            <w:r>
              <w:rPr>
                <w:rFonts w:hint="eastAsia"/>
                <w:color w:val="auto"/>
                <w:sz w:val="24"/>
                <w:szCs w:val="24"/>
                <w:lang w:bidi="ar-SA"/>
              </w:rPr>
              <w:t>最大</w:t>
            </w:r>
            <w:r>
              <w:rPr>
                <w:rFonts w:hint="default"/>
                <w:color w:val="auto"/>
                <w:sz w:val="24"/>
                <w:szCs w:val="24"/>
                <w:lang w:bidi="ar-SA"/>
              </w:rPr>
              <w:t>暂存量</w:t>
            </w:r>
            <w:r>
              <w:rPr>
                <w:rFonts w:hint="eastAsia"/>
                <w:color w:val="auto"/>
                <w:sz w:val="24"/>
                <w:szCs w:val="24"/>
                <w:lang w:bidi="ar-SA"/>
              </w:rPr>
              <w:t>约</w:t>
            </w:r>
            <w:r>
              <w:rPr>
                <w:rFonts w:hint="eastAsia"/>
                <w:color w:val="auto"/>
                <w:sz w:val="24"/>
                <w:szCs w:val="24"/>
                <w:lang w:val="en-US" w:eastAsia="zh-CN" w:bidi="ar-SA"/>
              </w:rPr>
              <w:t>5.4</w:t>
            </w:r>
            <w:r>
              <w:rPr>
                <w:rFonts w:hint="default"/>
                <w:color w:val="auto"/>
                <w:sz w:val="24"/>
                <w:szCs w:val="24"/>
                <w:lang w:bidi="ar-SA"/>
              </w:rPr>
              <w:t>t，采取</w:t>
            </w:r>
            <w:r>
              <w:rPr>
                <w:rFonts w:hint="eastAsia"/>
                <w:color w:val="auto"/>
                <w:sz w:val="24"/>
                <w:szCs w:val="24"/>
                <w:lang w:bidi="ar-SA"/>
              </w:rPr>
              <w:t>容量为</w:t>
            </w:r>
            <w:r>
              <w:rPr>
                <w:rFonts w:hint="eastAsia" w:ascii="Times New Roman" w:eastAsia="宋体"/>
                <w:color w:val="auto"/>
                <w:sz w:val="24"/>
                <w:szCs w:val="24"/>
                <w:lang w:val="en-US" w:eastAsia="zh-CN" w:bidi="ar-SA"/>
              </w:rPr>
              <w:t>1吨</w:t>
            </w:r>
            <w:r>
              <w:rPr>
                <w:rFonts w:hint="default"/>
                <w:color w:val="auto"/>
                <w:sz w:val="24"/>
                <w:szCs w:val="24"/>
                <w:lang w:bidi="ar-SA"/>
              </w:rPr>
              <w:t>的</w:t>
            </w:r>
            <w:r>
              <w:rPr>
                <w:rFonts w:hint="eastAsia" w:ascii="Times New Roman" w:eastAsia="宋体"/>
                <w:color w:val="auto"/>
                <w:sz w:val="24"/>
                <w:szCs w:val="24"/>
                <w:lang w:val="en-US" w:eastAsia="zh-CN" w:bidi="ar-SA"/>
              </w:rPr>
              <w:t>吨</w:t>
            </w:r>
            <w:r>
              <w:rPr>
                <w:rFonts w:hint="default"/>
                <w:color w:val="auto"/>
                <w:sz w:val="24"/>
                <w:szCs w:val="24"/>
                <w:lang w:bidi="ar-SA"/>
              </w:rPr>
              <w:t>袋</w:t>
            </w:r>
            <w:r>
              <w:rPr>
                <w:rFonts w:hint="eastAsia"/>
                <w:color w:val="auto"/>
                <w:sz w:val="24"/>
                <w:szCs w:val="24"/>
                <w:lang w:bidi="ar-SA"/>
              </w:rPr>
              <w:t>存放（1个占地面积约为</w:t>
            </w:r>
            <w:r>
              <w:rPr>
                <w:rFonts w:hint="eastAsia" w:ascii="Times New Roman" w:eastAsia="宋体"/>
                <w:color w:val="auto"/>
                <w:sz w:val="24"/>
                <w:szCs w:val="24"/>
                <w:lang w:val="en-US" w:eastAsia="zh-CN" w:bidi="ar-SA"/>
              </w:rPr>
              <w:t>1</w:t>
            </w:r>
            <w:r>
              <w:rPr>
                <w:rFonts w:hint="eastAsia"/>
                <w:color w:val="auto"/>
                <w:sz w:val="24"/>
                <w:szCs w:val="24"/>
                <w:lang w:bidi="ar-SA"/>
              </w:rPr>
              <w:t>m</w:t>
            </w:r>
            <w:r>
              <w:rPr>
                <w:rFonts w:hint="eastAsia"/>
                <w:color w:val="auto"/>
                <w:sz w:val="24"/>
                <w:szCs w:val="24"/>
                <w:vertAlign w:val="superscript"/>
                <w:lang w:bidi="ar-SA"/>
              </w:rPr>
              <w:t>2</w:t>
            </w:r>
            <w:r>
              <w:rPr>
                <w:rFonts w:hint="eastAsia"/>
                <w:color w:val="auto"/>
                <w:sz w:val="24"/>
                <w:szCs w:val="24"/>
                <w:lang w:bidi="ar-SA"/>
              </w:rPr>
              <w:t>）</w:t>
            </w:r>
            <w:r>
              <w:rPr>
                <w:rFonts w:hint="default"/>
                <w:color w:val="auto"/>
                <w:sz w:val="24"/>
                <w:szCs w:val="24"/>
                <w:lang w:bidi="ar-SA"/>
              </w:rPr>
              <w:t>，</w:t>
            </w:r>
            <w:r>
              <w:rPr>
                <w:rFonts w:hint="eastAsia"/>
                <w:color w:val="auto"/>
                <w:sz w:val="24"/>
                <w:szCs w:val="24"/>
                <w:lang w:bidi="ar-SA"/>
              </w:rPr>
              <w:t>则</w:t>
            </w:r>
            <w:r>
              <w:rPr>
                <w:rFonts w:hint="default"/>
                <w:color w:val="auto"/>
                <w:sz w:val="24"/>
                <w:szCs w:val="24"/>
                <w:lang w:bidi="ar-SA"/>
              </w:rPr>
              <w:t>所需暂存面积约为</w:t>
            </w:r>
            <w:r>
              <w:rPr>
                <w:rFonts w:hint="eastAsia"/>
                <w:color w:val="auto"/>
                <w:sz w:val="24"/>
                <w:szCs w:val="24"/>
                <w:lang w:val="en-US" w:eastAsia="zh-CN" w:bidi="ar-SA"/>
              </w:rPr>
              <w:t>6</w:t>
            </w:r>
            <w:r>
              <w:rPr>
                <w:rFonts w:hint="default"/>
                <w:color w:val="auto"/>
                <w:sz w:val="24"/>
                <w:szCs w:val="24"/>
                <w:lang w:bidi="ar-SA"/>
              </w:rPr>
              <w:t>m</w:t>
            </w:r>
            <w:r>
              <w:rPr>
                <w:rFonts w:hint="default"/>
                <w:color w:val="auto"/>
                <w:sz w:val="24"/>
                <w:szCs w:val="24"/>
                <w:vertAlign w:val="superscript"/>
                <w:lang w:bidi="ar-SA"/>
              </w:rPr>
              <w:t>2</w:t>
            </w:r>
            <w:r>
              <w:rPr>
                <w:rFonts w:hint="default"/>
                <w:color w:val="auto"/>
                <w:sz w:val="24"/>
                <w:szCs w:val="24"/>
                <w:lang w:bidi="ar-SA"/>
              </w:rPr>
              <w:t>；</w:t>
            </w:r>
          </w:p>
          <w:p w14:paraId="18564B89">
            <w:pPr>
              <w:keepNext/>
              <w:widowControl/>
              <w:spacing w:line="360" w:lineRule="auto"/>
              <w:ind w:firstLine="480" w:firstLineChars="200"/>
              <w:rPr>
                <w:rFonts w:hint="default"/>
                <w:color w:val="auto"/>
                <w:sz w:val="24"/>
                <w:szCs w:val="24"/>
                <w:lang w:bidi="ar-SA"/>
              </w:rPr>
            </w:pPr>
            <w:r>
              <w:rPr>
                <w:rFonts w:hint="default"/>
                <w:color w:val="auto"/>
                <w:sz w:val="24"/>
                <w:szCs w:val="24"/>
                <w:lang w:bidi="ar-SA"/>
              </w:rPr>
              <w:t>B、废布袋每</w:t>
            </w:r>
            <w:r>
              <w:rPr>
                <w:rFonts w:hint="eastAsia"/>
                <w:color w:val="auto"/>
                <w:sz w:val="24"/>
                <w:szCs w:val="24"/>
                <w:lang w:val="en-US" w:eastAsia="zh-CN" w:bidi="ar-SA"/>
              </w:rPr>
              <w:t>年</w:t>
            </w:r>
            <w:r>
              <w:rPr>
                <w:rFonts w:hint="default"/>
                <w:color w:val="auto"/>
                <w:sz w:val="24"/>
                <w:szCs w:val="24"/>
                <w:lang w:bidi="ar-SA"/>
              </w:rPr>
              <w:t>转运一次，</w:t>
            </w:r>
            <w:r>
              <w:rPr>
                <w:rFonts w:hint="eastAsia"/>
                <w:color w:val="auto"/>
                <w:sz w:val="24"/>
                <w:szCs w:val="24"/>
                <w:lang w:bidi="ar-SA"/>
              </w:rPr>
              <w:t>最大</w:t>
            </w:r>
            <w:r>
              <w:rPr>
                <w:rFonts w:hint="default"/>
                <w:color w:val="auto"/>
                <w:sz w:val="24"/>
                <w:szCs w:val="24"/>
                <w:lang w:bidi="ar-SA"/>
              </w:rPr>
              <w:t>暂存量</w:t>
            </w:r>
            <w:r>
              <w:rPr>
                <w:rFonts w:hint="eastAsia"/>
                <w:color w:val="auto"/>
                <w:sz w:val="24"/>
                <w:szCs w:val="24"/>
                <w:lang w:bidi="ar-SA"/>
              </w:rPr>
              <w:t>约</w:t>
            </w:r>
            <w:r>
              <w:rPr>
                <w:rFonts w:hint="eastAsia"/>
                <w:color w:val="auto"/>
                <w:sz w:val="24"/>
                <w:szCs w:val="24"/>
                <w:lang w:val="en-US" w:eastAsia="zh-CN" w:bidi="ar-SA"/>
              </w:rPr>
              <w:t>0.05</w:t>
            </w:r>
            <w:r>
              <w:rPr>
                <w:rFonts w:hint="default"/>
                <w:color w:val="auto"/>
                <w:sz w:val="24"/>
                <w:szCs w:val="24"/>
                <w:lang w:bidi="ar-SA"/>
              </w:rPr>
              <w:t>t，采用容重为50kg的包装袋</w:t>
            </w:r>
            <w:r>
              <w:rPr>
                <w:rFonts w:hint="eastAsia"/>
                <w:color w:val="auto"/>
                <w:sz w:val="24"/>
                <w:szCs w:val="24"/>
                <w:lang w:bidi="ar-SA"/>
              </w:rPr>
              <w:t>存放（1个占地面积约为</w:t>
            </w:r>
            <w:r>
              <w:rPr>
                <w:rFonts w:hint="eastAsia"/>
                <w:color w:val="auto"/>
                <w:sz w:val="24"/>
                <w:szCs w:val="24"/>
                <w:lang w:val="en-US" w:eastAsia="zh-CN" w:bidi="ar-SA"/>
              </w:rPr>
              <w:t>0.05</w:t>
            </w:r>
            <w:r>
              <w:rPr>
                <w:rFonts w:hint="eastAsia"/>
                <w:color w:val="auto"/>
                <w:sz w:val="24"/>
                <w:szCs w:val="24"/>
                <w:lang w:bidi="ar-SA"/>
              </w:rPr>
              <w:t>m</w:t>
            </w:r>
            <w:r>
              <w:rPr>
                <w:rFonts w:hint="eastAsia"/>
                <w:color w:val="auto"/>
                <w:sz w:val="24"/>
                <w:szCs w:val="24"/>
                <w:vertAlign w:val="superscript"/>
                <w:lang w:bidi="ar-SA"/>
              </w:rPr>
              <w:t>2</w:t>
            </w:r>
            <w:r>
              <w:rPr>
                <w:rFonts w:hint="eastAsia"/>
                <w:color w:val="auto"/>
                <w:sz w:val="24"/>
                <w:szCs w:val="24"/>
                <w:lang w:bidi="ar-SA"/>
              </w:rPr>
              <w:t>）</w:t>
            </w:r>
            <w:r>
              <w:rPr>
                <w:rFonts w:hint="default"/>
                <w:color w:val="auto"/>
                <w:sz w:val="24"/>
                <w:szCs w:val="24"/>
                <w:lang w:bidi="ar-SA"/>
              </w:rPr>
              <w:t>，</w:t>
            </w:r>
            <w:r>
              <w:rPr>
                <w:rFonts w:hint="eastAsia"/>
                <w:color w:val="auto"/>
                <w:sz w:val="24"/>
                <w:szCs w:val="24"/>
                <w:lang w:bidi="ar-SA"/>
              </w:rPr>
              <w:t>则</w:t>
            </w:r>
            <w:r>
              <w:rPr>
                <w:rFonts w:hint="default"/>
                <w:color w:val="auto"/>
                <w:sz w:val="24"/>
                <w:szCs w:val="24"/>
                <w:lang w:bidi="ar-SA"/>
              </w:rPr>
              <w:t>所需暂存面积约为</w:t>
            </w:r>
            <w:r>
              <w:rPr>
                <w:rFonts w:hint="eastAsia"/>
                <w:color w:val="auto"/>
                <w:sz w:val="24"/>
                <w:szCs w:val="24"/>
                <w:lang w:val="en-US" w:eastAsia="zh-CN" w:bidi="ar-SA"/>
              </w:rPr>
              <w:t>0.05</w:t>
            </w:r>
            <w:r>
              <w:rPr>
                <w:rFonts w:hint="default"/>
                <w:color w:val="auto"/>
                <w:sz w:val="24"/>
                <w:szCs w:val="24"/>
                <w:lang w:bidi="ar-SA"/>
              </w:rPr>
              <w:t>m</w:t>
            </w:r>
            <w:r>
              <w:rPr>
                <w:rFonts w:hint="default"/>
                <w:color w:val="auto"/>
                <w:sz w:val="24"/>
                <w:szCs w:val="24"/>
                <w:vertAlign w:val="superscript"/>
                <w:lang w:bidi="ar-SA"/>
              </w:rPr>
              <w:t>2</w:t>
            </w:r>
            <w:r>
              <w:rPr>
                <w:rFonts w:hint="default"/>
                <w:color w:val="auto"/>
                <w:sz w:val="24"/>
                <w:szCs w:val="24"/>
                <w:lang w:bidi="ar-SA"/>
              </w:rPr>
              <w:t>；</w:t>
            </w:r>
          </w:p>
          <w:p w14:paraId="533CA30A">
            <w:pPr>
              <w:keepNext/>
              <w:widowControl/>
              <w:spacing w:line="360" w:lineRule="auto"/>
              <w:ind w:firstLine="480" w:firstLineChars="200"/>
              <w:rPr>
                <w:rFonts w:hint="default"/>
                <w:color w:val="auto"/>
                <w:sz w:val="24"/>
                <w:szCs w:val="24"/>
                <w:lang w:bidi="ar-SA"/>
              </w:rPr>
            </w:pPr>
            <w:r>
              <w:rPr>
                <w:rFonts w:hint="default"/>
                <w:color w:val="auto"/>
                <w:sz w:val="24"/>
                <w:szCs w:val="24"/>
                <w:lang w:bidi="ar-SA"/>
              </w:rPr>
              <w:t>C、收集尘每</w:t>
            </w:r>
            <w:r>
              <w:rPr>
                <w:rFonts w:hint="eastAsia"/>
                <w:color w:val="auto"/>
                <w:sz w:val="24"/>
                <w:szCs w:val="24"/>
                <w:lang w:val="en-US" w:eastAsia="zh-CN" w:bidi="ar-SA"/>
              </w:rPr>
              <w:t>半年</w:t>
            </w:r>
            <w:r>
              <w:rPr>
                <w:rFonts w:hint="default"/>
                <w:color w:val="auto"/>
                <w:sz w:val="24"/>
                <w:szCs w:val="24"/>
                <w:lang w:bidi="ar-SA"/>
              </w:rPr>
              <w:t>转运一次，</w:t>
            </w:r>
            <w:r>
              <w:rPr>
                <w:rFonts w:hint="eastAsia"/>
                <w:color w:val="auto"/>
                <w:sz w:val="24"/>
                <w:szCs w:val="24"/>
                <w:lang w:bidi="ar-SA"/>
              </w:rPr>
              <w:t>最大</w:t>
            </w:r>
            <w:r>
              <w:rPr>
                <w:rFonts w:hint="default"/>
                <w:color w:val="auto"/>
                <w:sz w:val="24"/>
                <w:szCs w:val="24"/>
                <w:lang w:bidi="ar-SA"/>
              </w:rPr>
              <w:t>暂存量</w:t>
            </w:r>
            <w:r>
              <w:rPr>
                <w:rFonts w:hint="eastAsia"/>
                <w:color w:val="auto"/>
                <w:sz w:val="24"/>
                <w:szCs w:val="24"/>
                <w:lang w:bidi="ar-SA"/>
              </w:rPr>
              <w:t>约</w:t>
            </w:r>
            <w:r>
              <w:rPr>
                <w:rFonts w:hint="eastAsia"/>
                <w:color w:val="auto"/>
                <w:sz w:val="24"/>
                <w:szCs w:val="24"/>
                <w:lang w:val="en-US" w:eastAsia="zh-CN" w:bidi="ar-SA"/>
              </w:rPr>
              <w:t>0.08</w:t>
            </w:r>
            <w:r>
              <w:rPr>
                <w:rFonts w:hint="default"/>
                <w:color w:val="auto"/>
                <w:sz w:val="24"/>
                <w:szCs w:val="24"/>
                <w:lang w:bidi="ar-SA"/>
              </w:rPr>
              <w:t>t，采取</w:t>
            </w:r>
            <w:r>
              <w:rPr>
                <w:rFonts w:hint="eastAsia"/>
                <w:color w:val="auto"/>
                <w:sz w:val="24"/>
                <w:szCs w:val="24"/>
                <w:lang w:bidi="ar-SA"/>
              </w:rPr>
              <w:t>容量为</w:t>
            </w:r>
            <w:r>
              <w:rPr>
                <w:rFonts w:hint="eastAsia"/>
                <w:color w:val="auto"/>
                <w:sz w:val="24"/>
                <w:szCs w:val="24"/>
                <w:lang w:val="en-US" w:eastAsia="zh-CN" w:bidi="ar-SA"/>
              </w:rPr>
              <w:t>100kg</w:t>
            </w:r>
            <w:r>
              <w:rPr>
                <w:rFonts w:hint="eastAsia"/>
                <w:color w:val="auto"/>
                <w:sz w:val="24"/>
                <w:szCs w:val="24"/>
                <w:lang w:bidi="ar-SA"/>
              </w:rPr>
              <w:t>的</w:t>
            </w:r>
            <w:r>
              <w:rPr>
                <w:rFonts w:hint="eastAsia"/>
                <w:color w:val="auto"/>
                <w:sz w:val="24"/>
                <w:szCs w:val="24"/>
                <w:lang w:val="en-US" w:eastAsia="zh-CN" w:bidi="ar-SA"/>
              </w:rPr>
              <w:t>包装</w:t>
            </w:r>
            <w:r>
              <w:rPr>
                <w:rFonts w:hint="eastAsia"/>
                <w:color w:val="auto"/>
                <w:sz w:val="24"/>
                <w:szCs w:val="24"/>
                <w:lang w:bidi="ar-SA"/>
              </w:rPr>
              <w:t>袋存放（1个占地面积约为</w:t>
            </w:r>
            <w:r>
              <w:rPr>
                <w:rFonts w:hint="eastAsia"/>
                <w:color w:val="auto"/>
                <w:sz w:val="24"/>
                <w:szCs w:val="24"/>
                <w:lang w:val="en-US" w:eastAsia="zh-CN" w:bidi="ar-SA"/>
              </w:rPr>
              <w:t>0.1</w:t>
            </w:r>
            <w:r>
              <w:rPr>
                <w:rFonts w:hint="eastAsia"/>
                <w:color w:val="auto"/>
                <w:sz w:val="24"/>
                <w:szCs w:val="24"/>
                <w:lang w:bidi="ar-SA"/>
              </w:rPr>
              <w:t>m</w:t>
            </w:r>
            <w:r>
              <w:rPr>
                <w:rFonts w:hint="eastAsia"/>
                <w:color w:val="auto"/>
                <w:sz w:val="24"/>
                <w:szCs w:val="24"/>
                <w:vertAlign w:val="superscript"/>
                <w:lang w:bidi="ar-SA"/>
              </w:rPr>
              <w:t>2</w:t>
            </w:r>
            <w:r>
              <w:rPr>
                <w:rFonts w:hint="eastAsia"/>
                <w:color w:val="auto"/>
                <w:sz w:val="24"/>
                <w:szCs w:val="24"/>
                <w:lang w:bidi="ar-SA"/>
              </w:rPr>
              <w:t>）</w:t>
            </w:r>
            <w:r>
              <w:rPr>
                <w:rFonts w:hint="default"/>
                <w:color w:val="auto"/>
                <w:sz w:val="24"/>
                <w:szCs w:val="24"/>
                <w:lang w:bidi="ar-SA"/>
              </w:rPr>
              <w:t>，</w:t>
            </w:r>
            <w:r>
              <w:rPr>
                <w:rFonts w:hint="eastAsia"/>
                <w:color w:val="auto"/>
                <w:sz w:val="24"/>
                <w:szCs w:val="24"/>
                <w:lang w:bidi="ar-SA"/>
              </w:rPr>
              <w:t>则</w:t>
            </w:r>
            <w:r>
              <w:rPr>
                <w:rFonts w:hint="default"/>
                <w:color w:val="auto"/>
                <w:sz w:val="24"/>
                <w:szCs w:val="24"/>
                <w:lang w:bidi="ar-SA"/>
              </w:rPr>
              <w:t>所需暂存面积约为</w:t>
            </w:r>
            <w:r>
              <w:rPr>
                <w:rFonts w:hint="eastAsia"/>
                <w:color w:val="auto"/>
                <w:sz w:val="24"/>
                <w:szCs w:val="24"/>
                <w:lang w:val="en-US" w:eastAsia="zh-CN" w:bidi="ar-SA"/>
              </w:rPr>
              <w:t>0.1</w:t>
            </w:r>
            <w:r>
              <w:rPr>
                <w:rFonts w:hint="default"/>
                <w:color w:val="auto"/>
                <w:sz w:val="24"/>
                <w:szCs w:val="24"/>
                <w:lang w:bidi="ar-SA"/>
              </w:rPr>
              <w:t>m</w:t>
            </w:r>
            <w:r>
              <w:rPr>
                <w:rFonts w:hint="default"/>
                <w:color w:val="auto"/>
                <w:sz w:val="24"/>
                <w:szCs w:val="24"/>
                <w:vertAlign w:val="superscript"/>
                <w:lang w:bidi="ar-SA"/>
              </w:rPr>
              <w:t>2</w:t>
            </w:r>
            <w:r>
              <w:rPr>
                <w:rFonts w:hint="eastAsia" w:eastAsia="宋体"/>
                <w:color w:val="auto"/>
                <w:kern w:val="0"/>
                <w:sz w:val="24"/>
                <w:szCs w:val="24"/>
                <w:lang w:eastAsia="zh-CN" w:bidi="ar-SA"/>
              </w:rPr>
              <w:t>；</w:t>
            </w:r>
          </w:p>
          <w:p w14:paraId="75151B6D">
            <w:pPr>
              <w:keepNext/>
              <w:widowControl/>
              <w:spacing w:line="360" w:lineRule="auto"/>
              <w:ind w:firstLine="480" w:firstLineChars="200"/>
              <w:rPr>
                <w:rFonts w:hint="eastAsia"/>
                <w:color w:val="auto"/>
                <w:sz w:val="24"/>
                <w:szCs w:val="24"/>
                <w:lang w:bidi="ar-SA"/>
              </w:rPr>
            </w:pPr>
            <w:r>
              <w:rPr>
                <w:rFonts w:hint="eastAsia" w:ascii="Times New Roman" w:eastAsia="宋体"/>
                <w:color w:val="auto"/>
                <w:sz w:val="24"/>
                <w:szCs w:val="24"/>
                <w:lang w:val="en-US" w:eastAsia="zh-CN" w:bidi="ar-SA"/>
              </w:rPr>
              <w:t>D</w:t>
            </w:r>
            <w:r>
              <w:rPr>
                <w:rFonts w:hint="default"/>
                <w:color w:val="auto"/>
                <w:sz w:val="24"/>
                <w:szCs w:val="24"/>
                <w:lang w:bidi="ar-SA"/>
              </w:rPr>
              <w:t>、废包装材料每</w:t>
            </w:r>
            <w:r>
              <w:rPr>
                <w:rFonts w:hint="eastAsia"/>
                <w:color w:val="auto"/>
                <w:sz w:val="24"/>
                <w:szCs w:val="24"/>
                <w:lang w:val="en-US" w:eastAsia="zh-CN" w:bidi="ar-SA"/>
              </w:rPr>
              <w:t>半年</w:t>
            </w:r>
            <w:r>
              <w:rPr>
                <w:rFonts w:hint="default"/>
                <w:color w:val="auto"/>
                <w:sz w:val="24"/>
                <w:szCs w:val="24"/>
                <w:lang w:bidi="ar-SA"/>
              </w:rPr>
              <w:t>转运一次，</w:t>
            </w:r>
            <w:r>
              <w:rPr>
                <w:rFonts w:hint="eastAsia"/>
                <w:color w:val="auto"/>
                <w:sz w:val="24"/>
                <w:szCs w:val="24"/>
                <w:lang w:bidi="ar-SA"/>
              </w:rPr>
              <w:t>最大</w:t>
            </w:r>
            <w:r>
              <w:rPr>
                <w:rFonts w:hint="default"/>
                <w:color w:val="auto"/>
                <w:sz w:val="24"/>
                <w:szCs w:val="24"/>
                <w:lang w:bidi="ar-SA"/>
              </w:rPr>
              <w:t>暂存量</w:t>
            </w:r>
            <w:r>
              <w:rPr>
                <w:rFonts w:hint="eastAsia"/>
                <w:color w:val="auto"/>
                <w:sz w:val="24"/>
                <w:szCs w:val="24"/>
                <w:lang w:bidi="ar-SA"/>
              </w:rPr>
              <w:t>约</w:t>
            </w:r>
            <w:r>
              <w:rPr>
                <w:rFonts w:hint="eastAsia"/>
                <w:color w:val="auto"/>
                <w:sz w:val="24"/>
                <w:szCs w:val="24"/>
                <w:lang w:val="en-US" w:eastAsia="zh-CN" w:bidi="ar-SA"/>
              </w:rPr>
              <w:t>0.3</w:t>
            </w:r>
            <w:r>
              <w:rPr>
                <w:rFonts w:hint="default"/>
                <w:color w:val="auto"/>
                <w:sz w:val="24"/>
                <w:szCs w:val="24"/>
                <w:lang w:bidi="ar-SA"/>
              </w:rPr>
              <w:t>t，采取</w:t>
            </w:r>
            <w:r>
              <w:rPr>
                <w:rFonts w:hint="eastAsia"/>
                <w:color w:val="auto"/>
                <w:sz w:val="24"/>
                <w:szCs w:val="24"/>
                <w:lang w:bidi="ar-SA"/>
              </w:rPr>
              <w:t>容量为</w:t>
            </w:r>
            <w:r>
              <w:rPr>
                <w:rFonts w:hint="eastAsia"/>
                <w:color w:val="auto"/>
                <w:sz w:val="24"/>
                <w:szCs w:val="24"/>
                <w:lang w:val="en-US" w:eastAsia="zh-CN" w:bidi="ar-SA"/>
              </w:rPr>
              <w:t>500kg</w:t>
            </w:r>
            <w:r>
              <w:rPr>
                <w:rFonts w:hint="eastAsia"/>
                <w:color w:val="auto"/>
                <w:sz w:val="24"/>
                <w:szCs w:val="24"/>
                <w:lang w:bidi="ar-SA"/>
              </w:rPr>
              <w:t>的</w:t>
            </w:r>
            <w:r>
              <w:rPr>
                <w:rFonts w:hint="eastAsia"/>
                <w:color w:val="auto"/>
                <w:sz w:val="24"/>
                <w:szCs w:val="24"/>
                <w:lang w:val="en-US" w:eastAsia="zh-CN" w:bidi="ar-SA"/>
              </w:rPr>
              <w:t>包装</w:t>
            </w:r>
            <w:r>
              <w:rPr>
                <w:rFonts w:hint="eastAsia"/>
                <w:color w:val="auto"/>
                <w:sz w:val="24"/>
                <w:szCs w:val="24"/>
                <w:lang w:bidi="ar-SA"/>
              </w:rPr>
              <w:t>袋存放（1个占地面积约为</w:t>
            </w:r>
            <w:r>
              <w:rPr>
                <w:rFonts w:hint="eastAsia"/>
                <w:color w:val="auto"/>
                <w:sz w:val="24"/>
                <w:szCs w:val="24"/>
                <w:lang w:val="en-US" w:eastAsia="zh-CN" w:bidi="ar-SA"/>
              </w:rPr>
              <w:t>0.5</w:t>
            </w:r>
            <w:r>
              <w:rPr>
                <w:rFonts w:hint="eastAsia"/>
                <w:color w:val="auto"/>
                <w:sz w:val="24"/>
                <w:szCs w:val="24"/>
                <w:lang w:bidi="ar-SA"/>
              </w:rPr>
              <w:t>m</w:t>
            </w:r>
            <w:r>
              <w:rPr>
                <w:rFonts w:hint="eastAsia"/>
                <w:color w:val="auto"/>
                <w:sz w:val="24"/>
                <w:szCs w:val="24"/>
                <w:vertAlign w:val="superscript"/>
                <w:lang w:bidi="ar-SA"/>
              </w:rPr>
              <w:t>2</w:t>
            </w:r>
            <w:r>
              <w:rPr>
                <w:rFonts w:hint="eastAsia"/>
                <w:color w:val="auto"/>
                <w:sz w:val="24"/>
                <w:szCs w:val="24"/>
                <w:lang w:bidi="ar-SA"/>
              </w:rPr>
              <w:t>）</w:t>
            </w:r>
            <w:r>
              <w:rPr>
                <w:rFonts w:hint="default"/>
                <w:color w:val="auto"/>
                <w:sz w:val="24"/>
                <w:szCs w:val="24"/>
                <w:lang w:bidi="ar-SA"/>
              </w:rPr>
              <w:t>，</w:t>
            </w:r>
            <w:r>
              <w:rPr>
                <w:rFonts w:hint="eastAsia"/>
                <w:color w:val="auto"/>
                <w:sz w:val="24"/>
                <w:szCs w:val="24"/>
                <w:lang w:bidi="ar-SA"/>
              </w:rPr>
              <w:t>则</w:t>
            </w:r>
            <w:r>
              <w:rPr>
                <w:rFonts w:hint="default"/>
                <w:color w:val="auto"/>
                <w:sz w:val="24"/>
                <w:szCs w:val="24"/>
                <w:lang w:bidi="ar-SA"/>
              </w:rPr>
              <w:t>所需暂存面积约为</w:t>
            </w:r>
            <w:r>
              <w:rPr>
                <w:rFonts w:hint="eastAsia"/>
                <w:color w:val="auto"/>
                <w:sz w:val="24"/>
                <w:szCs w:val="24"/>
                <w:lang w:val="en-US" w:eastAsia="zh-CN" w:bidi="ar-SA"/>
              </w:rPr>
              <w:t>0.5</w:t>
            </w:r>
            <w:r>
              <w:rPr>
                <w:rFonts w:hint="default"/>
                <w:color w:val="auto"/>
                <w:sz w:val="24"/>
                <w:szCs w:val="24"/>
                <w:lang w:bidi="ar-SA"/>
              </w:rPr>
              <w:t>m</w:t>
            </w:r>
            <w:r>
              <w:rPr>
                <w:rFonts w:hint="default"/>
                <w:color w:val="auto"/>
                <w:sz w:val="24"/>
                <w:szCs w:val="24"/>
                <w:vertAlign w:val="superscript"/>
                <w:lang w:bidi="ar-SA"/>
              </w:rPr>
              <w:t>2</w:t>
            </w:r>
            <w:r>
              <w:rPr>
                <w:rFonts w:hint="eastAsia" w:eastAsia="宋体"/>
                <w:color w:val="auto"/>
                <w:kern w:val="0"/>
                <w:sz w:val="24"/>
                <w:szCs w:val="24"/>
                <w:lang w:eastAsia="zh-CN" w:bidi="ar-SA"/>
              </w:rPr>
              <w:t>；</w:t>
            </w:r>
          </w:p>
          <w:p w14:paraId="3FD4E4DA">
            <w:pPr>
              <w:keepNext/>
              <w:widowControl/>
              <w:spacing w:line="360" w:lineRule="auto"/>
              <w:ind w:firstLine="480" w:firstLineChars="200"/>
              <w:rPr>
                <w:rFonts w:hint="eastAsia"/>
                <w:color w:val="auto"/>
                <w:sz w:val="24"/>
                <w:szCs w:val="24"/>
                <w:lang w:val="en-US" w:eastAsia="zh-CN" w:bidi="ar-SA"/>
              </w:rPr>
            </w:pPr>
            <w:r>
              <w:rPr>
                <w:rFonts w:hint="eastAsia"/>
                <w:color w:val="auto"/>
                <w:sz w:val="24"/>
                <w:szCs w:val="24"/>
                <w:lang w:val="en-US" w:eastAsia="zh-CN" w:bidi="ar-SA"/>
              </w:rPr>
              <w:t>E、废耐火材料</w:t>
            </w:r>
            <w:r>
              <w:rPr>
                <w:rFonts w:hint="default"/>
                <w:color w:val="auto"/>
                <w:sz w:val="24"/>
                <w:szCs w:val="24"/>
                <w:lang w:bidi="ar-SA"/>
              </w:rPr>
              <w:t>每</w:t>
            </w:r>
            <w:r>
              <w:rPr>
                <w:rFonts w:hint="eastAsia"/>
                <w:color w:val="auto"/>
                <w:sz w:val="24"/>
                <w:szCs w:val="24"/>
                <w:lang w:val="en-US" w:eastAsia="zh-CN" w:bidi="ar-SA"/>
              </w:rPr>
              <w:t>年</w:t>
            </w:r>
            <w:r>
              <w:rPr>
                <w:rFonts w:hint="default"/>
                <w:color w:val="auto"/>
                <w:sz w:val="24"/>
                <w:szCs w:val="24"/>
                <w:lang w:bidi="ar-SA"/>
              </w:rPr>
              <w:t>转运一次，</w:t>
            </w:r>
            <w:r>
              <w:rPr>
                <w:rFonts w:hint="eastAsia"/>
                <w:color w:val="auto"/>
                <w:sz w:val="24"/>
                <w:szCs w:val="24"/>
                <w:lang w:bidi="ar-SA"/>
              </w:rPr>
              <w:t>最大</w:t>
            </w:r>
            <w:r>
              <w:rPr>
                <w:rFonts w:hint="default"/>
                <w:color w:val="auto"/>
                <w:sz w:val="24"/>
                <w:szCs w:val="24"/>
                <w:lang w:bidi="ar-SA"/>
              </w:rPr>
              <w:t>暂存量</w:t>
            </w:r>
            <w:r>
              <w:rPr>
                <w:rFonts w:hint="eastAsia"/>
                <w:color w:val="auto"/>
                <w:sz w:val="24"/>
                <w:szCs w:val="24"/>
                <w:lang w:bidi="ar-SA"/>
              </w:rPr>
              <w:t>约0.6</w:t>
            </w:r>
            <w:r>
              <w:rPr>
                <w:rFonts w:hint="default"/>
                <w:color w:val="auto"/>
                <w:sz w:val="24"/>
                <w:szCs w:val="24"/>
                <w:lang w:bidi="ar-SA"/>
              </w:rPr>
              <w:t>t，采取</w:t>
            </w:r>
            <w:r>
              <w:rPr>
                <w:rFonts w:hint="eastAsia"/>
                <w:color w:val="auto"/>
                <w:sz w:val="24"/>
                <w:szCs w:val="24"/>
                <w:lang w:bidi="ar-SA"/>
              </w:rPr>
              <w:t>容量为</w:t>
            </w:r>
            <w:r>
              <w:rPr>
                <w:rFonts w:hint="eastAsia" w:ascii="Times New Roman" w:eastAsia="宋体"/>
                <w:color w:val="auto"/>
                <w:sz w:val="24"/>
                <w:szCs w:val="24"/>
                <w:lang w:val="en-US" w:eastAsia="zh-CN" w:bidi="ar-SA"/>
              </w:rPr>
              <w:t>1吨</w:t>
            </w:r>
            <w:r>
              <w:rPr>
                <w:rFonts w:hint="default"/>
                <w:color w:val="auto"/>
                <w:sz w:val="24"/>
                <w:szCs w:val="24"/>
                <w:lang w:bidi="ar-SA"/>
              </w:rPr>
              <w:t>的</w:t>
            </w:r>
            <w:r>
              <w:rPr>
                <w:rFonts w:hint="eastAsia" w:ascii="Times New Roman" w:eastAsia="宋体"/>
                <w:color w:val="auto"/>
                <w:sz w:val="24"/>
                <w:szCs w:val="24"/>
                <w:lang w:val="en-US" w:eastAsia="zh-CN" w:bidi="ar-SA"/>
              </w:rPr>
              <w:t>吨</w:t>
            </w:r>
            <w:r>
              <w:rPr>
                <w:rFonts w:hint="default"/>
                <w:color w:val="auto"/>
                <w:sz w:val="24"/>
                <w:szCs w:val="24"/>
                <w:lang w:bidi="ar-SA"/>
              </w:rPr>
              <w:t>袋</w:t>
            </w:r>
            <w:r>
              <w:rPr>
                <w:rFonts w:hint="eastAsia"/>
                <w:color w:val="auto"/>
                <w:sz w:val="24"/>
                <w:szCs w:val="24"/>
                <w:lang w:bidi="ar-SA"/>
              </w:rPr>
              <w:t>存放（1个占地面积约为</w:t>
            </w:r>
            <w:r>
              <w:rPr>
                <w:rFonts w:hint="eastAsia" w:ascii="Times New Roman" w:eastAsia="宋体"/>
                <w:color w:val="auto"/>
                <w:sz w:val="24"/>
                <w:szCs w:val="24"/>
                <w:lang w:val="en-US" w:eastAsia="zh-CN" w:bidi="ar-SA"/>
              </w:rPr>
              <w:t>1</w:t>
            </w:r>
            <w:r>
              <w:rPr>
                <w:rFonts w:hint="eastAsia"/>
                <w:color w:val="auto"/>
                <w:sz w:val="24"/>
                <w:szCs w:val="24"/>
                <w:lang w:bidi="ar-SA"/>
              </w:rPr>
              <w:t>m</w:t>
            </w:r>
            <w:r>
              <w:rPr>
                <w:rFonts w:hint="eastAsia"/>
                <w:color w:val="auto"/>
                <w:sz w:val="24"/>
                <w:szCs w:val="24"/>
                <w:vertAlign w:val="superscript"/>
                <w:lang w:bidi="ar-SA"/>
              </w:rPr>
              <w:t>2</w:t>
            </w:r>
            <w:r>
              <w:rPr>
                <w:rFonts w:hint="eastAsia"/>
                <w:color w:val="auto"/>
                <w:sz w:val="24"/>
                <w:szCs w:val="24"/>
                <w:lang w:bidi="ar-SA"/>
              </w:rPr>
              <w:t>）</w:t>
            </w:r>
            <w:r>
              <w:rPr>
                <w:rFonts w:hint="default"/>
                <w:color w:val="auto"/>
                <w:sz w:val="24"/>
                <w:szCs w:val="24"/>
                <w:lang w:bidi="ar-SA"/>
              </w:rPr>
              <w:t>，</w:t>
            </w:r>
            <w:r>
              <w:rPr>
                <w:rFonts w:hint="eastAsia"/>
                <w:color w:val="auto"/>
                <w:sz w:val="24"/>
                <w:szCs w:val="24"/>
                <w:lang w:bidi="ar-SA"/>
              </w:rPr>
              <w:t>则</w:t>
            </w:r>
            <w:r>
              <w:rPr>
                <w:rFonts w:hint="default"/>
                <w:color w:val="auto"/>
                <w:sz w:val="24"/>
                <w:szCs w:val="24"/>
                <w:lang w:bidi="ar-SA"/>
              </w:rPr>
              <w:t>所需暂存面积约为</w:t>
            </w:r>
            <w:r>
              <w:rPr>
                <w:rFonts w:hint="eastAsia"/>
                <w:color w:val="auto"/>
                <w:sz w:val="24"/>
                <w:szCs w:val="24"/>
                <w:lang w:val="en-US" w:eastAsia="zh-CN" w:bidi="ar-SA"/>
              </w:rPr>
              <w:t>1</w:t>
            </w:r>
            <w:r>
              <w:rPr>
                <w:rFonts w:hint="default"/>
                <w:color w:val="auto"/>
                <w:sz w:val="24"/>
                <w:szCs w:val="24"/>
                <w:lang w:bidi="ar-SA"/>
              </w:rPr>
              <w:t>m</w:t>
            </w:r>
            <w:r>
              <w:rPr>
                <w:rFonts w:hint="default"/>
                <w:color w:val="auto"/>
                <w:sz w:val="24"/>
                <w:szCs w:val="24"/>
                <w:vertAlign w:val="superscript"/>
                <w:lang w:bidi="ar-SA"/>
              </w:rPr>
              <w:t>2</w:t>
            </w:r>
            <w:r>
              <w:rPr>
                <w:rFonts w:hint="eastAsia" w:eastAsia="宋体"/>
                <w:color w:val="auto"/>
                <w:kern w:val="0"/>
                <w:sz w:val="24"/>
                <w:szCs w:val="24"/>
                <w:lang w:eastAsia="zh-CN" w:bidi="ar-SA"/>
              </w:rPr>
              <w:t>；</w:t>
            </w:r>
          </w:p>
          <w:p w14:paraId="3C8653D3">
            <w:pPr>
              <w:keepNext/>
              <w:widowControl/>
              <w:spacing w:line="360" w:lineRule="auto"/>
              <w:ind w:firstLine="480" w:firstLineChars="200"/>
              <w:rPr>
                <w:rFonts w:hint="default"/>
                <w:color w:val="auto"/>
                <w:sz w:val="24"/>
                <w:szCs w:val="24"/>
                <w:lang w:bidi="ar-SA"/>
              </w:rPr>
            </w:pPr>
            <w:r>
              <w:rPr>
                <w:rFonts w:hint="eastAsia"/>
                <w:color w:val="auto"/>
                <w:sz w:val="24"/>
                <w:szCs w:val="24"/>
                <w:lang w:val="en-US" w:eastAsia="zh-CN" w:bidi="ar-SA"/>
              </w:rPr>
              <w:t>扩建后全厂</w:t>
            </w:r>
            <w:r>
              <w:rPr>
                <w:rFonts w:hint="default"/>
                <w:color w:val="auto"/>
                <w:sz w:val="24"/>
                <w:szCs w:val="24"/>
                <w:lang w:bidi="ar-SA"/>
              </w:rPr>
              <w:t>产生的一般固废暂存共需</w:t>
            </w:r>
            <w:r>
              <w:rPr>
                <w:rFonts w:hint="eastAsia"/>
                <w:color w:val="auto"/>
                <w:sz w:val="24"/>
                <w:szCs w:val="24"/>
                <w:lang w:val="en-US" w:eastAsia="zh-CN" w:bidi="ar-SA"/>
              </w:rPr>
              <w:t>7.65</w:t>
            </w:r>
            <w:r>
              <w:rPr>
                <w:rFonts w:hint="default"/>
                <w:color w:val="auto"/>
                <w:sz w:val="24"/>
                <w:szCs w:val="24"/>
                <w:lang w:bidi="ar-SA"/>
              </w:rPr>
              <w:t>m</w:t>
            </w:r>
            <w:r>
              <w:rPr>
                <w:rFonts w:hint="default"/>
                <w:color w:val="auto"/>
                <w:sz w:val="24"/>
                <w:szCs w:val="24"/>
                <w:vertAlign w:val="superscript"/>
                <w:lang w:bidi="ar-SA"/>
              </w:rPr>
              <w:t>2</w:t>
            </w:r>
            <w:r>
              <w:rPr>
                <w:rFonts w:hint="default"/>
                <w:color w:val="auto"/>
                <w:sz w:val="24"/>
                <w:szCs w:val="24"/>
                <w:lang w:bidi="ar-SA"/>
              </w:rPr>
              <w:t>区域暂存，</w:t>
            </w:r>
            <w:r>
              <w:rPr>
                <w:rFonts w:hint="eastAsia"/>
                <w:color w:val="auto"/>
                <w:sz w:val="24"/>
                <w:szCs w:val="24"/>
                <w:lang w:bidi="ar-SA"/>
              </w:rPr>
              <w:t>考虑到分区暂存和运输通道，</w:t>
            </w:r>
            <w:r>
              <w:rPr>
                <w:rFonts w:hint="eastAsia"/>
                <w:color w:val="auto"/>
                <w:sz w:val="24"/>
                <w:szCs w:val="24"/>
                <w:lang w:val="en-US" w:eastAsia="zh-CN" w:bidi="ar-SA"/>
              </w:rPr>
              <w:t>依托现有10</w:t>
            </w:r>
            <w:r>
              <w:rPr>
                <w:rFonts w:hint="default"/>
                <w:color w:val="auto"/>
                <w:sz w:val="24"/>
                <w:szCs w:val="24"/>
                <w:lang w:bidi="ar-SA"/>
              </w:rPr>
              <w:t>m</w:t>
            </w:r>
            <w:r>
              <w:rPr>
                <w:rFonts w:hint="default"/>
                <w:color w:val="auto"/>
                <w:sz w:val="24"/>
                <w:szCs w:val="24"/>
                <w:vertAlign w:val="superscript"/>
                <w:lang w:bidi="ar-SA"/>
              </w:rPr>
              <w:t>2</w:t>
            </w:r>
            <w:r>
              <w:rPr>
                <w:rFonts w:hint="default"/>
                <w:color w:val="auto"/>
                <w:sz w:val="24"/>
                <w:szCs w:val="24"/>
                <w:lang w:bidi="ar-SA"/>
              </w:rPr>
              <w:t>一般固废</w:t>
            </w:r>
            <w:r>
              <w:rPr>
                <w:rFonts w:hint="eastAsia"/>
                <w:color w:val="auto"/>
                <w:sz w:val="24"/>
                <w:szCs w:val="24"/>
                <w:lang w:bidi="ar-SA"/>
              </w:rPr>
              <w:t>暂存场</w:t>
            </w:r>
            <w:r>
              <w:rPr>
                <w:rFonts w:hint="default"/>
                <w:color w:val="auto"/>
                <w:sz w:val="24"/>
                <w:szCs w:val="24"/>
                <w:lang w:bidi="ar-SA"/>
              </w:rPr>
              <w:t>可以满足一般固废暂存要求</w:t>
            </w:r>
            <w:r>
              <w:rPr>
                <w:rFonts w:hint="eastAsia"/>
                <w:color w:val="auto"/>
                <w:kern w:val="0"/>
                <w:sz w:val="24"/>
                <w:szCs w:val="24"/>
                <w:lang w:bidi="ar-SA"/>
              </w:rPr>
              <w:t>。</w:t>
            </w:r>
          </w:p>
          <w:p w14:paraId="5E8FA667">
            <w:pPr>
              <w:adjustRightInd w:val="0"/>
              <w:snapToGrid w:val="0"/>
              <w:spacing w:line="360" w:lineRule="auto"/>
              <w:ind w:firstLine="482" w:firstLineChars="200"/>
              <w:rPr>
                <w:rFonts w:hint="default"/>
                <w:bCs/>
                <w:color w:val="auto"/>
                <w:spacing w:val="-10"/>
                <w:sz w:val="24"/>
                <w:szCs w:val="24"/>
                <w:lang w:bidi="ar-SA"/>
              </w:rPr>
            </w:pPr>
            <w:r>
              <w:rPr>
                <w:rFonts w:hint="default"/>
                <w:b/>
                <w:color w:val="auto"/>
                <w:sz w:val="24"/>
                <w:szCs w:val="24"/>
                <w:lang w:bidi="ar-SA"/>
              </w:rPr>
              <w:t>4.4危险废物环境管理要求</w:t>
            </w:r>
          </w:p>
          <w:p w14:paraId="4D8718C5">
            <w:pPr>
              <w:keepNext w:val="0"/>
              <w:keepLines w:val="0"/>
              <w:widowControl w:val="0"/>
              <w:suppressLineNumbers w:val="0"/>
              <w:adjustRightInd w:val="0"/>
              <w:snapToGrid w:val="0"/>
              <w:spacing w:before="0" w:beforeAutospacing="0" w:after="0" w:afterAutospacing="0" w:line="360" w:lineRule="auto"/>
              <w:ind w:left="0" w:right="0" w:firstLine="480" w:firstLineChars="200"/>
              <w:jc w:val="both"/>
              <w:rPr>
                <w:rFonts w:hint="default" w:ascii="Times New Roman" w:hAnsi="Times New Roman" w:eastAsia="宋体" w:cs="Times New Roman"/>
                <w:color w:val="auto"/>
                <w:kern w:val="0"/>
                <w:sz w:val="24"/>
                <w:szCs w:val="24"/>
                <w:highlight w:val="none"/>
                <w:lang w:val="en-US" w:eastAsia="zh-CN" w:bidi="ar-SA"/>
              </w:rPr>
            </w:pPr>
            <w:r>
              <w:rPr>
                <w:rFonts w:hint="default" w:ascii="Times New Roman" w:hAnsi="Times New Roman" w:eastAsia="宋体" w:cs="Times New Roman"/>
                <w:color w:val="auto"/>
                <w:kern w:val="0"/>
                <w:sz w:val="24"/>
                <w:szCs w:val="24"/>
                <w:highlight w:val="none"/>
                <w:lang w:val="en-US" w:eastAsia="zh-CN" w:bidi="ar-SA"/>
              </w:rPr>
              <w:t>根据《危险废物管理计划和管理台账制定技术导则》（HJ1259-2022），本项目为危险废物简化管理单位，不属于HJ1259规定的纳入危险废物登记管理单位，不满足贮存点设置要求，因此需要设置危险废物贮存设施。</w:t>
            </w:r>
          </w:p>
          <w:p w14:paraId="1FC76193">
            <w:pPr>
              <w:keepNext w:val="0"/>
              <w:keepLines w:val="0"/>
              <w:widowControl w:val="0"/>
              <w:suppressLineNumbers w:val="0"/>
              <w:adjustRightInd w:val="0"/>
              <w:snapToGrid w:val="0"/>
              <w:spacing w:before="0" w:beforeAutospacing="0" w:after="0" w:afterAutospacing="0" w:line="360" w:lineRule="auto"/>
              <w:ind w:left="0" w:right="0" w:firstLine="480" w:firstLineChars="200"/>
              <w:jc w:val="both"/>
              <w:rPr>
                <w:rFonts w:hint="default" w:ascii="Times New Roman" w:hAnsi="Times New Roman" w:eastAsia="宋体" w:cs="Times New Roman"/>
                <w:color w:val="auto"/>
                <w:kern w:val="0"/>
                <w:sz w:val="24"/>
                <w:szCs w:val="24"/>
                <w:highlight w:val="none"/>
                <w:lang w:val="en-US" w:eastAsia="zh-CN" w:bidi="ar-SA"/>
              </w:rPr>
            </w:pPr>
            <w:r>
              <w:rPr>
                <w:rFonts w:hint="default" w:ascii="Times New Roman" w:hAnsi="Times New Roman" w:eastAsia="宋体" w:cs="Times New Roman"/>
                <w:color w:val="auto"/>
                <w:kern w:val="0"/>
                <w:sz w:val="24"/>
                <w:szCs w:val="24"/>
                <w:highlight w:val="none"/>
                <w:lang w:val="en-US" w:eastAsia="zh-CN" w:bidi="ar-SA"/>
              </w:rPr>
              <w:t>危险废物暂存及转移应按照《危险废物贮存污染控制标准》（GB18597-2023）、《危险废物转移管理办法》（部令第23号）、《关于开展全省固废危废环境隐患排查整治专项行动的通知》（苏环办〔2019〕104号）、《关于印发江苏省危险废物贮存规范化管理专项整治行动方案的通知》（苏环办〔2019〕149号）、《省生态环境厅关于印发</w:t>
            </w:r>
            <w:r>
              <w:rPr>
                <w:rFonts w:hint="eastAsia" w:cs="Times New Roman"/>
                <w:color w:val="auto"/>
                <w:kern w:val="0"/>
                <w:sz w:val="24"/>
                <w:szCs w:val="24"/>
                <w:highlight w:val="none"/>
                <w:lang w:val="en-US" w:eastAsia="zh-CN" w:bidi="ar-SA"/>
              </w:rPr>
              <w:t>&lt;</w:t>
            </w:r>
            <w:r>
              <w:rPr>
                <w:rFonts w:hint="default" w:ascii="Times New Roman" w:hAnsi="Times New Roman" w:eastAsia="宋体" w:cs="Times New Roman"/>
                <w:color w:val="auto"/>
                <w:kern w:val="0"/>
                <w:sz w:val="24"/>
                <w:szCs w:val="24"/>
                <w:highlight w:val="none"/>
                <w:lang w:val="en-US" w:eastAsia="zh-CN" w:bidi="ar-SA"/>
              </w:rPr>
              <w:t>江苏省固体废物全过程环境监管工作意见</w:t>
            </w:r>
            <w:r>
              <w:rPr>
                <w:rFonts w:hint="eastAsia" w:cs="Times New Roman"/>
                <w:color w:val="auto"/>
                <w:kern w:val="0"/>
                <w:sz w:val="24"/>
                <w:szCs w:val="24"/>
                <w:highlight w:val="none"/>
                <w:lang w:val="en-US" w:eastAsia="zh-CN" w:bidi="ar-SA"/>
              </w:rPr>
              <w:t>&gt;</w:t>
            </w:r>
            <w:r>
              <w:rPr>
                <w:rFonts w:hint="default" w:ascii="Times New Roman" w:hAnsi="Times New Roman" w:eastAsia="宋体" w:cs="Times New Roman"/>
                <w:color w:val="auto"/>
                <w:kern w:val="0"/>
                <w:sz w:val="24"/>
                <w:szCs w:val="24"/>
                <w:highlight w:val="none"/>
                <w:lang w:val="en-US" w:eastAsia="zh-CN" w:bidi="ar-SA"/>
              </w:rPr>
              <w:t>的通知》（苏环办〔2024〕16号）、《关于进一步加强危险废物环境管理工作的通知》（苏环办〔2021〕207号）、《省生态环境厅关于印发</w:t>
            </w:r>
            <w:r>
              <w:rPr>
                <w:rFonts w:hint="eastAsia" w:cs="Times New Roman"/>
                <w:color w:val="auto"/>
                <w:kern w:val="0"/>
                <w:sz w:val="24"/>
                <w:szCs w:val="24"/>
                <w:highlight w:val="none"/>
                <w:lang w:val="en-US" w:eastAsia="zh-CN" w:bidi="ar-SA"/>
              </w:rPr>
              <w:t>&lt;</w:t>
            </w:r>
            <w:r>
              <w:rPr>
                <w:rFonts w:hint="default" w:ascii="Times New Roman" w:hAnsi="Times New Roman" w:eastAsia="宋体" w:cs="Times New Roman"/>
                <w:color w:val="auto"/>
                <w:kern w:val="0"/>
                <w:sz w:val="24"/>
                <w:szCs w:val="24"/>
                <w:highlight w:val="none"/>
                <w:lang w:val="en-US" w:eastAsia="zh-CN" w:bidi="ar-SA"/>
              </w:rPr>
              <w:t>江苏省危险废物集中收集体系建设工作方案（试行）</w:t>
            </w:r>
            <w:r>
              <w:rPr>
                <w:rFonts w:hint="eastAsia" w:cs="Times New Roman"/>
                <w:color w:val="auto"/>
                <w:kern w:val="0"/>
                <w:sz w:val="24"/>
                <w:szCs w:val="24"/>
                <w:highlight w:val="none"/>
                <w:lang w:val="en-US" w:eastAsia="zh-CN" w:bidi="ar-SA"/>
              </w:rPr>
              <w:t>&gt;</w:t>
            </w:r>
            <w:r>
              <w:rPr>
                <w:rFonts w:hint="default" w:ascii="Times New Roman" w:hAnsi="Times New Roman" w:eastAsia="宋体" w:cs="Times New Roman"/>
                <w:color w:val="auto"/>
                <w:kern w:val="0"/>
                <w:sz w:val="24"/>
                <w:szCs w:val="24"/>
                <w:highlight w:val="none"/>
                <w:lang w:val="en-US" w:eastAsia="zh-CN" w:bidi="ar-SA"/>
              </w:rPr>
              <w:t>的通知》（苏环办〔2021〕290号）中要求进行。</w:t>
            </w:r>
          </w:p>
          <w:p w14:paraId="069E5CF0">
            <w:pPr>
              <w:keepNext w:val="0"/>
              <w:keepLines w:val="0"/>
              <w:suppressLineNumbers w:val="0"/>
              <w:spacing w:before="0" w:beforeLines="0" w:beforeAutospacing="0" w:after="0" w:afterLines="0" w:afterAutospacing="0" w:line="360" w:lineRule="auto"/>
              <w:ind w:left="0" w:right="0" w:firstLine="480"/>
              <w:rPr>
                <w:rFonts w:hint="default" w:ascii="Times New Roman" w:hAnsi="Times New Roman" w:eastAsia="宋体" w:cs="Times New Roman"/>
                <w:color w:val="auto"/>
                <w:sz w:val="24"/>
                <w:szCs w:val="24"/>
                <w:lang w:bidi="ar-SA"/>
              </w:rPr>
            </w:pPr>
            <w:r>
              <w:rPr>
                <w:rFonts w:hint="default" w:ascii="Times New Roman" w:hAnsi="Times New Roman" w:eastAsia="宋体" w:cs="Times New Roman"/>
                <w:color w:val="auto"/>
                <w:kern w:val="0"/>
                <w:sz w:val="24"/>
                <w:szCs w:val="24"/>
                <w:highlight w:val="none"/>
                <w:lang w:val="en-US" w:eastAsia="zh-CN" w:bidi="ar-SA"/>
              </w:rPr>
              <w:t>（1）</w:t>
            </w:r>
            <w:r>
              <w:rPr>
                <w:rFonts w:hint="default" w:ascii="Times New Roman" w:hAnsi="Times New Roman" w:eastAsia="宋体" w:cs="Times New Roman"/>
                <w:color w:val="auto"/>
                <w:sz w:val="24"/>
                <w:szCs w:val="24"/>
                <w:lang w:bidi="ar-SA"/>
              </w:rPr>
              <w:t>与《省生态环境厅关于印发</w:t>
            </w:r>
            <w:r>
              <w:rPr>
                <w:rFonts w:hint="eastAsia" w:cs="Times New Roman"/>
                <w:color w:val="auto"/>
                <w:sz w:val="24"/>
                <w:szCs w:val="24"/>
                <w:lang w:val="en-US" w:eastAsia="zh-CN" w:bidi="ar-SA"/>
              </w:rPr>
              <w:t>&lt;</w:t>
            </w:r>
            <w:r>
              <w:rPr>
                <w:rFonts w:hint="default" w:ascii="Times New Roman" w:hAnsi="Times New Roman" w:eastAsia="宋体" w:cs="Times New Roman"/>
                <w:color w:val="auto"/>
                <w:sz w:val="24"/>
                <w:szCs w:val="24"/>
                <w:lang w:bidi="ar-SA"/>
              </w:rPr>
              <w:t>江苏省固体废物全过程环境监管工作意见》的通知</w:t>
            </w:r>
            <w:r>
              <w:rPr>
                <w:rFonts w:hint="eastAsia" w:cs="Times New Roman"/>
                <w:color w:val="auto"/>
                <w:sz w:val="24"/>
                <w:szCs w:val="24"/>
                <w:lang w:val="en-US" w:eastAsia="zh-CN" w:bidi="ar-SA"/>
              </w:rPr>
              <w:t>&gt;</w:t>
            </w:r>
            <w:r>
              <w:rPr>
                <w:rFonts w:hint="default" w:ascii="Times New Roman" w:hAnsi="Times New Roman" w:eastAsia="宋体" w:cs="Times New Roman"/>
                <w:color w:val="auto"/>
                <w:sz w:val="24"/>
                <w:szCs w:val="24"/>
                <w:lang w:bidi="ar-SA"/>
              </w:rPr>
              <w:t>（苏环办〔2024〕16号）相符性分析</w:t>
            </w:r>
          </w:p>
          <w:p w14:paraId="53890C12">
            <w:pPr>
              <w:keepNext w:val="0"/>
              <w:keepLines w:val="0"/>
              <w:numPr>
                <w:ilvl w:val="0"/>
                <w:numId w:val="0"/>
              </w:numPr>
              <w:suppressLineNumbers w:val="0"/>
              <w:spacing w:before="0" w:beforeLines="0" w:beforeAutospacing="0" w:after="0" w:afterLines="0" w:afterAutospacing="0"/>
              <w:ind w:left="0" w:leftChars="0" w:right="0"/>
              <w:jc w:val="center"/>
              <w:rPr>
                <w:rFonts w:hint="default" w:ascii="Times New Roman" w:hAnsi="Times New Roman" w:eastAsia="宋体" w:cs="Times New Roman"/>
                <w:color w:val="auto"/>
                <w:sz w:val="24"/>
                <w:szCs w:val="24"/>
                <w:lang w:bidi="ar-SA"/>
              </w:rPr>
            </w:pPr>
            <w:r>
              <w:rPr>
                <w:rFonts w:hint="default" w:ascii="Times New Roman" w:hAnsi="Times New Roman" w:eastAsia="宋体" w:cs="Times New Roman"/>
                <w:b/>
                <w:color w:val="auto"/>
                <w:sz w:val="24"/>
                <w:szCs w:val="24"/>
                <w:lang w:val="en-US" w:eastAsia="zh-CN" w:bidi="ar-SA"/>
              </w:rPr>
              <w:t>表4-</w:t>
            </w:r>
            <w:r>
              <w:rPr>
                <w:rFonts w:hint="eastAsia" w:cs="Times New Roman"/>
                <w:b/>
                <w:color w:val="auto"/>
                <w:sz w:val="24"/>
                <w:szCs w:val="24"/>
                <w:lang w:val="en-US" w:eastAsia="zh-CN" w:bidi="ar-SA"/>
              </w:rPr>
              <w:t>25</w:t>
            </w:r>
            <w:r>
              <w:rPr>
                <w:rFonts w:hint="default" w:ascii="Times New Roman" w:hAnsi="Times New Roman" w:eastAsia="宋体" w:cs="Times New Roman"/>
                <w:b/>
                <w:color w:val="auto"/>
                <w:sz w:val="24"/>
                <w:szCs w:val="24"/>
                <w:lang w:val="en-US" w:eastAsia="zh-CN" w:bidi="ar-SA"/>
              </w:rPr>
              <w:t xml:space="preserve"> </w:t>
            </w:r>
            <w:r>
              <w:rPr>
                <w:rFonts w:hint="default" w:ascii="Times New Roman" w:hAnsi="Times New Roman" w:eastAsia="宋体" w:cs="Times New Roman"/>
                <w:b/>
                <w:color w:val="auto"/>
                <w:sz w:val="24"/>
                <w:szCs w:val="24"/>
                <w:lang w:bidi="ar-SA"/>
              </w:rPr>
              <w:t>本项目与苏环办〔2024〕16号文相符性分析一览表</w:t>
            </w:r>
          </w:p>
          <w:tbl>
            <w:tblPr>
              <w:tblStyle w:val="26"/>
              <w:tblW w:w="4998" w:type="pct"/>
              <w:jc w:val="center"/>
              <w:tblBorders>
                <w:top w:val="single" w:color="auto" w:sz="12" w:space="0"/>
                <w:left w:val="none" w:color="auto" w:sz="6" w:space="0"/>
                <w:bottom w:val="single" w:color="auto" w:sz="12" w:space="0"/>
                <w:right w:val="none" w:color="auto" w:sz="6" w:space="0"/>
                <w:insideH w:val="single" w:color="auto" w:sz="4" w:space="0"/>
                <w:insideV w:val="single" w:color="auto" w:sz="4" w:space="0"/>
              </w:tblBorders>
              <w:tblLayout w:type="fixed"/>
              <w:tblCellMar>
                <w:top w:w="0" w:type="dxa"/>
                <w:left w:w="108" w:type="dxa"/>
                <w:bottom w:w="0" w:type="dxa"/>
                <w:right w:w="108" w:type="dxa"/>
              </w:tblCellMar>
            </w:tblPr>
            <w:tblGrid>
              <w:gridCol w:w="624"/>
              <w:gridCol w:w="3850"/>
              <w:gridCol w:w="3057"/>
              <w:gridCol w:w="627"/>
            </w:tblGrid>
            <w:tr w14:paraId="33B18B9C">
              <w:tblPrEx>
                <w:tblBorders>
                  <w:top w:val="single" w:color="auto" w:sz="12" w:space="0"/>
                  <w:left w:val="none" w:color="auto" w:sz="6" w:space="0"/>
                  <w:bottom w:val="single" w:color="auto" w:sz="12" w:space="0"/>
                  <w:right w:val="none" w:color="auto" w:sz="6" w:space="0"/>
                  <w:insideH w:val="single" w:color="auto" w:sz="4" w:space="0"/>
                  <w:insideV w:val="single" w:color="auto" w:sz="4" w:space="0"/>
                </w:tblBorders>
                <w:tblCellMar>
                  <w:top w:w="0" w:type="dxa"/>
                  <w:left w:w="108" w:type="dxa"/>
                  <w:bottom w:w="0" w:type="dxa"/>
                  <w:right w:w="108" w:type="dxa"/>
                </w:tblCellMar>
              </w:tblPrEx>
              <w:trPr>
                <w:trHeight w:val="16" w:hRule="atLeast"/>
                <w:jc w:val="center"/>
              </w:trPr>
              <w:tc>
                <w:tcPr>
                  <w:tcW w:w="624" w:type="dxa"/>
                  <w:tcBorders>
                    <w:top w:val="single" w:color="auto" w:sz="12" w:space="0"/>
                    <w:left w:val="nil"/>
                    <w:bottom w:val="single" w:color="auto" w:sz="4" w:space="0"/>
                    <w:right w:val="single" w:color="auto" w:sz="4" w:space="0"/>
                  </w:tcBorders>
                  <w:noWrap w:val="0"/>
                  <w:vAlign w:val="center"/>
                </w:tcPr>
                <w:p w14:paraId="30D29EC8">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bCs/>
                      <w:color w:val="auto"/>
                      <w:kern w:val="0"/>
                      <w:sz w:val="21"/>
                      <w:szCs w:val="21"/>
                      <w:lang w:bidi="ar-SA"/>
                    </w:rPr>
                  </w:pPr>
                  <w:r>
                    <w:rPr>
                      <w:rFonts w:hint="default" w:ascii="Times New Roman" w:hAnsi="Times New Roman" w:eastAsia="宋体" w:cs="Times New Roman"/>
                      <w:b/>
                      <w:bCs/>
                      <w:color w:val="auto"/>
                      <w:kern w:val="0"/>
                      <w:sz w:val="21"/>
                      <w:szCs w:val="21"/>
                      <w:lang w:bidi="ar-SA"/>
                    </w:rPr>
                    <w:t>序号</w:t>
                  </w:r>
                </w:p>
              </w:tc>
              <w:tc>
                <w:tcPr>
                  <w:tcW w:w="3850" w:type="dxa"/>
                  <w:tcBorders>
                    <w:top w:val="single" w:color="auto" w:sz="12" w:space="0"/>
                    <w:left w:val="single" w:color="auto" w:sz="4" w:space="0"/>
                    <w:bottom w:val="single" w:color="auto" w:sz="4" w:space="0"/>
                    <w:right w:val="single" w:color="auto" w:sz="4" w:space="0"/>
                  </w:tcBorders>
                  <w:noWrap w:val="0"/>
                  <w:vAlign w:val="center"/>
                </w:tcPr>
                <w:p w14:paraId="3C0B4FB3">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bCs/>
                      <w:color w:val="auto"/>
                      <w:kern w:val="0"/>
                      <w:sz w:val="21"/>
                      <w:szCs w:val="21"/>
                      <w:lang w:bidi="ar-SA"/>
                    </w:rPr>
                  </w:pPr>
                  <w:r>
                    <w:rPr>
                      <w:rFonts w:hint="default" w:ascii="Times New Roman" w:hAnsi="Times New Roman" w:eastAsia="宋体" w:cs="Times New Roman"/>
                      <w:b/>
                      <w:bCs/>
                      <w:color w:val="auto"/>
                      <w:kern w:val="0"/>
                      <w:sz w:val="21"/>
                      <w:szCs w:val="21"/>
                      <w:lang w:bidi="ar-SA"/>
                    </w:rPr>
                    <w:t>文件相关内容</w:t>
                  </w:r>
                </w:p>
              </w:tc>
              <w:tc>
                <w:tcPr>
                  <w:tcW w:w="3057" w:type="dxa"/>
                  <w:tcBorders>
                    <w:top w:val="single" w:color="auto" w:sz="12" w:space="0"/>
                    <w:left w:val="single" w:color="auto" w:sz="4" w:space="0"/>
                    <w:bottom w:val="single" w:color="auto" w:sz="4" w:space="0"/>
                    <w:right w:val="single" w:color="auto" w:sz="4" w:space="0"/>
                  </w:tcBorders>
                  <w:noWrap w:val="0"/>
                  <w:vAlign w:val="center"/>
                </w:tcPr>
                <w:p w14:paraId="2AAAA04A">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bCs/>
                      <w:color w:val="auto"/>
                      <w:kern w:val="0"/>
                      <w:sz w:val="21"/>
                      <w:szCs w:val="21"/>
                      <w:lang w:bidi="ar-SA"/>
                    </w:rPr>
                  </w:pPr>
                  <w:r>
                    <w:rPr>
                      <w:rFonts w:hint="default" w:ascii="Times New Roman" w:hAnsi="Times New Roman" w:eastAsia="宋体" w:cs="Times New Roman"/>
                      <w:b/>
                      <w:bCs/>
                      <w:color w:val="auto"/>
                      <w:kern w:val="0"/>
                      <w:sz w:val="21"/>
                      <w:szCs w:val="21"/>
                      <w:lang w:bidi="ar-SA"/>
                    </w:rPr>
                    <w:t>拟实施情况</w:t>
                  </w:r>
                </w:p>
              </w:tc>
              <w:tc>
                <w:tcPr>
                  <w:tcW w:w="627" w:type="dxa"/>
                  <w:tcBorders>
                    <w:top w:val="single" w:color="auto" w:sz="12" w:space="0"/>
                    <w:left w:val="single" w:color="auto" w:sz="4" w:space="0"/>
                    <w:bottom w:val="single" w:color="auto" w:sz="4" w:space="0"/>
                    <w:right w:val="nil"/>
                  </w:tcBorders>
                  <w:noWrap w:val="0"/>
                  <w:vAlign w:val="center"/>
                </w:tcPr>
                <w:p w14:paraId="363C65B7">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bCs/>
                      <w:color w:val="auto"/>
                      <w:kern w:val="0"/>
                      <w:sz w:val="21"/>
                      <w:szCs w:val="21"/>
                      <w:lang w:bidi="ar-SA"/>
                    </w:rPr>
                  </w:pPr>
                  <w:r>
                    <w:rPr>
                      <w:rFonts w:hint="default" w:ascii="Times New Roman" w:hAnsi="Times New Roman" w:eastAsia="宋体" w:cs="Times New Roman"/>
                      <w:b/>
                      <w:bCs/>
                      <w:color w:val="auto"/>
                      <w:kern w:val="0"/>
                      <w:sz w:val="21"/>
                      <w:szCs w:val="21"/>
                      <w:lang w:bidi="ar-SA"/>
                    </w:rPr>
                    <w:t>备注</w:t>
                  </w:r>
                </w:p>
              </w:tc>
            </w:tr>
            <w:tr w14:paraId="6D924645">
              <w:tblPrEx>
                <w:tblBorders>
                  <w:top w:val="single" w:color="auto" w:sz="12" w:space="0"/>
                  <w:left w:val="none" w:color="auto" w:sz="6" w:space="0"/>
                  <w:bottom w:val="single" w:color="auto" w:sz="12" w:space="0"/>
                  <w:right w:val="none" w:color="auto" w:sz="6" w:space="0"/>
                  <w:insideH w:val="single" w:color="auto" w:sz="4" w:space="0"/>
                  <w:insideV w:val="single" w:color="auto" w:sz="4" w:space="0"/>
                </w:tblBorders>
                <w:tblCellMar>
                  <w:top w:w="0" w:type="dxa"/>
                  <w:left w:w="108" w:type="dxa"/>
                  <w:bottom w:w="0" w:type="dxa"/>
                  <w:right w:w="108" w:type="dxa"/>
                </w:tblCellMar>
              </w:tblPrEx>
              <w:trPr>
                <w:trHeight w:val="16" w:hRule="atLeast"/>
                <w:jc w:val="center"/>
              </w:trPr>
              <w:tc>
                <w:tcPr>
                  <w:tcW w:w="624" w:type="dxa"/>
                  <w:tcBorders>
                    <w:top w:val="single" w:color="auto" w:sz="4" w:space="0"/>
                    <w:left w:val="nil"/>
                    <w:bottom w:val="single" w:color="auto" w:sz="4" w:space="0"/>
                    <w:right w:val="single" w:color="auto" w:sz="4" w:space="0"/>
                  </w:tcBorders>
                  <w:noWrap w:val="0"/>
                  <w:vAlign w:val="center"/>
                </w:tcPr>
                <w:p w14:paraId="268628AA">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sz w:val="21"/>
                      <w:szCs w:val="21"/>
                      <w:lang w:bidi="ar-SA"/>
                    </w:rPr>
                  </w:pPr>
                  <w:r>
                    <w:rPr>
                      <w:rFonts w:hint="default" w:ascii="Times New Roman" w:hAnsi="Times New Roman" w:eastAsia="宋体" w:cs="Times New Roman"/>
                      <w:color w:val="auto"/>
                      <w:kern w:val="0"/>
                      <w:sz w:val="21"/>
                      <w:szCs w:val="21"/>
                      <w:lang w:bidi="ar-SA"/>
                    </w:rPr>
                    <w:t>1</w:t>
                  </w:r>
                </w:p>
              </w:tc>
              <w:tc>
                <w:tcPr>
                  <w:tcW w:w="3850" w:type="dxa"/>
                  <w:tcBorders>
                    <w:top w:val="single" w:color="auto" w:sz="4" w:space="0"/>
                    <w:left w:val="single" w:color="auto" w:sz="4" w:space="0"/>
                    <w:bottom w:val="single" w:color="auto" w:sz="4" w:space="0"/>
                    <w:right w:val="single" w:color="auto" w:sz="4" w:space="0"/>
                  </w:tcBorders>
                  <w:noWrap w:val="0"/>
                  <w:vAlign w:val="center"/>
                </w:tcPr>
                <w:p w14:paraId="3BD889CD">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sz w:val="21"/>
                      <w:szCs w:val="21"/>
                      <w:lang w:bidi="ar-SA"/>
                    </w:rPr>
                  </w:pPr>
                  <w:r>
                    <w:rPr>
                      <w:rFonts w:hint="default" w:ascii="Times New Roman" w:hAnsi="Times New Roman" w:eastAsia="宋体" w:cs="Times New Roman"/>
                      <w:color w:val="auto"/>
                      <w:kern w:val="0"/>
                      <w:sz w:val="21"/>
                      <w:szCs w:val="21"/>
                      <w:lang w:bidi="ar-SA"/>
                    </w:rPr>
                    <w:t>建设项目环评要评价产生的固体废物种类、数量、来源和属性，论述贮存、转移和利用处置方式合规性、合理性，提出切实可行的污染防治对策措施。所有产物要按照以下五类属性给予明确并规范表述：目标产物(产品、副产品)鉴别属于产品(符合国家、地方或行业标准)、可定向用于特定用途按产品管理(如符合团体标准)、一般固体废物和危险废物不得将不符合GB34330、HJ1091等标准的产物认定为“再生产品”，不得出现“中间产物”“再生产物”等不规范表述，严禁以“副产品”名义逃避监管。不能排除危险特性的固体废物，须在环评文件中明确具体鉴别方案，鉴别前按危险废物管理，鉴别后根据结论按一般固废或危险废物管理。</w:t>
                  </w:r>
                </w:p>
              </w:tc>
              <w:tc>
                <w:tcPr>
                  <w:tcW w:w="3057" w:type="dxa"/>
                  <w:tcBorders>
                    <w:top w:val="single" w:color="auto" w:sz="4" w:space="0"/>
                    <w:left w:val="single" w:color="auto" w:sz="4" w:space="0"/>
                    <w:bottom w:val="single" w:color="auto" w:sz="4" w:space="0"/>
                    <w:right w:val="single" w:color="auto" w:sz="4" w:space="0"/>
                  </w:tcBorders>
                  <w:noWrap w:val="0"/>
                  <w:vAlign w:val="center"/>
                </w:tcPr>
                <w:p w14:paraId="22EB867E">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sz w:val="21"/>
                      <w:szCs w:val="21"/>
                      <w:lang w:bidi="ar-SA"/>
                    </w:rPr>
                  </w:pPr>
                  <w:r>
                    <w:rPr>
                      <w:rFonts w:hint="default" w:ascii="Times New Roman" w:hAnsi="Times New Roman" w:eastAsia="宋体" w:cs="Times New Roman"/>
                      <w:color w:val="auto"/>
                      <w:sz w:val="21"/>
                      <w:szCs w:val="21"/>
                      <w:lang w:bidi="ar-SA"/>
                    </w:rPr>
                    <w:t>本项目产生的一般固废主</w:t>
                  </w:r>
                  <w:r>
                    <w:rPr>
                      <w:rFonts w:hint="eastAsia" w:ascii="Times New Roman" w:hAnsi="Times New Roman" w:eastAsia="宋体" w:cs="Times New Roman"/>
                      <w:color w:val="auto"/>
                      <w:sz w:val="21"/>
                      <w:szCs w:val="21"/>
                      <w:lang w:eastAsia="zh-CN" w:bidi="ar-SA"/>
                    </w:rPr>
                    <w:t>要是生活垃圾、边角料</w:t>
                  </w:r>
                  <w:r>
                    <w:rPr>
                      <w:rFonts w:hint="eastAsia" w:cs="Times New Roman"/>
                      <w:color w:val="auto"/>
                      <w:sz w:val="21"/>
                      <w:szCs w:val="21"/>
                      <w:lang w:eastAsia="zh-CN" w:bidi="ar-SA"/>
                    </w:rPr>
                    <w:t>、</w:t>
                  </w:r>
                  <w:r>
                    <w:rPr>
                      <w:rFonts w:hint="eastAsia" w:ascii="Times New Roman" w:hAnsi="Times New Roman" w:eastAsia="宋体" w:cs="Times New Roman"/>
                      <w:color w:val="auto"/>
                      <w:sz w:val="21"/>
                      <w:szCs w:val="21"/>
                      <w:lang w:eastAsia="zh-CN" w:bidi="ar-SA"/>
                    </w:rPr>
                    <w:t>废布袋</w:t>
                  </w:r>
                  <w:r>
                    <w:rPr>
                      <w:rFonts w:hint="eastAsia" w:cs="Times New Roman"/>
                      <w:color w:val="auto"/>
                      <w:sz w:val="21"/>
                      <w:szCs w:val="21"/>
                      <w:lang w:eastAsia="zh-CN" w:bidi="ar-SA"/>
                    </w:rPr>
                    <w:t>、</w:t>
                  </w:r>
                  <w:r>
                    <w:rPr>
                      <w:rFonts w:hint="eastAsia" w:ascii="Times New Roman" w:hAnsi="Times New Roman" w:eastAsia="宋体" w:cs="Times New Roman"/>
                      <w:color w:val="auto"/>
                      <w:sz w:val="21"/>
                      <w:szCs w:val="21"/>
                      <w:lang w:eastAsia="zh-CN" w:bidi="ar-SA"/>
                    </w:rPr>
                    <w:t>收集尘</w:t>
                  </w:r>
                  <w:r>
                    <w:rPr>
                      <w:rFonts w:hint="eastAsia" w:cs="Times New Roman"/>
                      <w:color w:val="auto"/>
                      <w:sz w:val="21"/>
                      <w:szCs w:val="21"/>
                      <w:lang w:eastAsia="zh-CN" w:bidi="ar-SA"/>
                    </w:rPr>
                    <w:t>、</w:t>
                  </w:r>
                  <w:r>
                    <w:rPr>
                      <w:rFonts w:hint="eastAsia" w:ascii="Times New Roman" w:hAnsi="Times New Roman" w:eastAsia="宋体" w:cs="Times New Roman"/>
                      <w:color w:val="auto"/>
                      <w:sz w:val="21"/>
                      <w:szCs w:val="21"/>
                      <w:lang w:eastAsia="zh-CN" w:bidi="ar-SA"/>
                    </w:rPr>
                    <w:t>废包装材料</w:t>
                  </w:r>
                  <w:r>
                    <w:rPr>
                      <w:rFonts w:hint="eastAsia" w:cs="Times New Roman"/>
                      <w:color w:val="auto"/>
                      <w:sz w:val="21"/>
                      <w:szCs w:val="21"/>
                      <w:lang w:eastAsia="zh-CN" w:bidi="ar-SA"/>
                    </w:rPr>
                    <w:t>、废耐火材料</w:t>
                  </w:r>
                  <w:r>
                    <w:rPr>
                      <w:rFonts w:hint="default" w:ascii="Times New Roman" w:hAnsi="Times New Roman" w:eastAsia="宋体" w:cs="Times New Roman"/>
                      <w:color w:val="auto"/>
                      <w:sz w:val="21"/>
                      <w:szCs w:val="21"/>
                      <w:lang w:bidi="ar-SA"/>
                    </w:rPr>
                    <w:t>，其中生活垃圾由环卫清运，其余集中收集后外售综合利用；项目产生的危险废物为废深孔钻油</w:t>
                  </w:r>
                  <w:r>
                    <w:rPr>
                      <w:rFonts w:hint="eastAsia" w:cs="Times New Roman"/>
                      <w:color w:val="auto"/>
                      <w:sz w:val="21"/>
                      <w:szCs w:val="21"/>
                      <w:lang w:eastAsia="zh-CN" w:bidi="ar-SA"/>
                    </w:rPr>
                    <w:t>、</w:t>
                  </w:r>
                  <w:r>
                    <w:rPr>
                      <w:rFonts w:hint="default" w:ascii="Times New Roman" w:hAnsi="Times New Roman" w:eastAsia="宋体" w:cs="Times New Roman"/>
                      <w:color w:val="auto"/>
                      <w:sz w:val="21"/>
                      <w:szCs w:val="21"/>
                      <w:lang w:bidi="ar-SA"/>
                    </w:rPr>
                    <w:t>废切削液</w:t>
                  </w:r>
                  <w:r>
                    <w:rPr>
                      <w:rFonts w:hint="eastAsia" w:cs="Times New Roman"/>
                      <w:color w:val="auto"/>
                      <w:sz w:val="21"/>
                      <w:szCs w:val="21"/>
                      <w:lang w:eastAsia="zh-CN" w:bidi="ar-SA"/>
                    </w:rPr>
                    <w:t>、</w:t>
                  </w:r>
                  <w:r>
                    <w:rPr>
                      <w:rFonts w:hint="default" w:ascii="Times New Roman" w:hAnsi="Times New Roman" w:eastAsia="宋体" w:cs="Times New Roman"/>
                      <w:color w:val="auto"/>
                      <w:sz w:val="21"/>
                      <w:szCs w:val="21"/>
                      <w:lang w:bidi="ar-SA"/>
                    </w:rPr>
                    <w:t>废刷子</w:t>
                  </w:r>
                  <w:r>
                    <w:rPr>
                      <w:rFonts w:hint="eastAsia" w:cs="Times New Roman"/>
                      <w:color w:val="auto"/>
                      <w:sz w:val="21"/>
                      <w:szCs w:val="21"/>
                      <w:lang w:eastAsia="zh-CN" w:bidi="ar-SA"/>
                    </w:rPr>
                    <w:t>、</w:t>
                  </w:r>
                  <w:r>
                    <w:rPr>
                      <w:rFonts w:hint="default" w:ascii="Times New Roman" w:hAnsi="Times New Roman" w:eastAsia="宋体" w:cs="Times New Roman"/>
                      <w:color w:val="auto"/>
                      <w:sz w:val="21"/>
                      <w:szCs w:val="21"/>
                      <w:lang w:bidi="ar-SA"/>
                    </w:rPr>
                    <w:t>废抹布及手套</w:t>
                  </w:r>
                  <w:r>
                    <w:rPr>
                      <w:rFonts w:hint="eastAsia" w:cs="Times New Roman"/>
                      <w:color w:val="auto"/>
                      <w:sz w:val="21"/>
                      <w:szCs w:val="21"/>
                      <w:lang w:eastAsia="zh-CN" w:bidi="ar-SA"/>
                    </w:rPr>
                    <w:t>、</w:t>
                  </w:r>
                  <w:r>
                    <w:rPr>
                      <w:rFonts w:hint="default" w:ascii="Times New Roman" w:hAnsi="Times New Roman" w:eastAsia="宋体" w:cs="Times New Roman"/>
                      <w:color w:val="auto"/>
                      <w:sz w:val="21"/>
                      <w:szCs w:val="21"/>
                      <w:lang w:bidi="ar-SA"/>
                    </w:rPr>
                    <w:t>废包装桶</w:t>
                  </w:r>
                  <w:r>
                    <w:rPr>
                      <w:rFonts w:hint="eastAsia" w:cs="Times New Roman"/>
                      <w:color w:val="auto"/>
                      <w:sz w:val="21"/>
                      <w:szCs w:val="21"/>
                      <w:lang w:eastAsia="zh-CN" w:bidi="ar-SA"/>
                    </w:rPr>
                    <w:t>、</w:t>
                  </w:r>
                  <w:r>
                    <w:rPr>
                      <w:rFonts w:hint="default" w:ascii="Times New Roman" w:hAnsi="Times New Roman" w:eastAsia="宋体" w:cs="Times New Roman"/>
                      <w:color w:val="auto"/>
                      <w:sz w:val="21"/>
                      <w:szCs w:val="21"/>
                      <w:lang w:bidi="ar-SA"/>
                    </w:rPr>
                    <w:t>废油桶</w:t>
                  </w:r>
                  <w:r>
                    <w:rPr>
                      <w:rFonts w:hint="eastAsia" w:cs="Times New Roman"/>
                      <w:color w:val="auto"/>
                      <w:sz w:val="21"/>
                      <w:szCs w:val="21"/>
                      <w:lang w:eastAsia="zh-CN" w:bidi="ar-SA"/>
                    </w:rPr>
                    <w:t>、</w:t>
                  </w:r>
                  <w:r>
                    <w:rPr>
                      <w:rFonts w:hint="default" w:ascii="Times New Roman" w:hAnsi="Times New Roman" w:eastAsia="宋体" w:cs="Times New Roman"/>
                      <w:color w:val="auto"/>
                      <w:sz w:val="21"/>
                      <w:szCs w:val="21"/>
                      <w:lang w:bidi="ar-SA"/>
                    </w:rPr>
                    <w:t>废润滑油</w:t>
                  </w:r>
                  <w:r>
                    <w:rPr>
                      <w:rFonts w:hint="eastAsia" w:cs="Times New Roman"/>
                      <w:color w:val="auto"/>
                      <w:sz w:val="21"/>
                      <w:szCs w:val="21"/>
                      <w:lang w:eastAsia="zh-CN" w:bidi="ar-SA"/>
                    </w:rPr>
                    <w:t>、</w:t>
                  </w:r>
                  <w:r>
                    <w:rPr>
                      <w:rFonts w:hint="default" w:ascii="Times New Roman" w:hAnsi="Times New Roman" w:eastAsia="宋体" w:cs="Times New Roman"/>
                      <w:color w:val="auto"/>
                      <w:sz w:val="21"/>
                      <w:szCs w:val="21"/>
                      <w:lang w:bidi="ar-SA"/>
                    </w:rPr>
                    <w:t>废液压油</w:t>
                  </w:r>
                  <w:r>
                    <w:rPr>
                      <w:rFonts w:hint="eastAsia" w:cs="Times New Roman"/>
                      <w:color w:val="auto"/>
                      <w:sz w:val="21"/>
                      <w:szCs w:val="21"/>
                      <w:lang w:eastAsia="zh-CN" w:bidi="ar-SA"/>
                    </w:rPr>
                    <w:t>、</w:t>
                  </w:r>
                  <w:r>
                    <w:rPr>
                      <w:rFonts w:hint="default" w:ascii="Times New Roman" w:hAnsi="Times New Roman" w:eastAsia="宋体" w:cs="Times New Roman"/>
                      <w:color w:val="auto"/>
                      <w:sz w:val="21"/>
                      <w:szCs w:val="21"/>
                      <w:lang w:bidi="ar-SA"/>
                    </w:rPr>
                    <w:t>浓液</w:t>
                  </w:r>
                  <w:r>
                    <w:rPr>
                      <w:rFonts w:hint="eastAsia" w:cs="Times New Roman"/>
                      <w:color w:val="auto"/>
                      <w:sz w:val="21"/>
                      <w:szCs w:val="21"/>
                      <w:lang w:eastAsia="zh-CN" w:bidi="ar-SA"/>
                    </w:rPr>
                    <w:t>、</w:t>
                  </w:r>
                  <w:r>
                    <w:rPr>
                      <w:rFonts w:hint="default" w:ascii="Times New Roman" w:hAnsi="Times New Roman" w:eastAsia="宋体" w:cs="Times New Roman"/>
                      <w:color w:val="auto"/>
                      <w:sz w:val="21"/>
                      <w:szCs w:val="21"/>
                      <w:lang w:bidi="ar-SA"/>
                    </w:rPr>
                    <w:t>过滤材料</w:t>
                  </w:r>
                  <w:r>
                    <w:rPr>
                      <w:rFonts w:hint="eastAsia" w:cs="Times New Roman"/>
                      <w:color w:val="auto"/>
                      <w:sz w:val="21"/>
                      <w:szCs w:val="21"/>
                      <w:lang w:eastAsia="zh-CN" w:bidi="ar-SA"/>
                    </w:rPr>
                    <w:t>、空压机含油废水、</w:t>
                  </w:r>
                  <w:r>
                    <w:rPr>
                      <w:rFonts w:hint="eastAsia" w:ascii="Times New Roman" w:hAnsi="Times New Roman" w:eastAsia="宋体" w:cs="Times New Roman"/>
                      <w:color w:val="auto"/>
                      <w:sz w:val="21"/>
                      <w:szCs w:val="21"/>
                      <w:lang w:eastAsia="zh-CN" w:bidi="ar-SA"/>
                    </w:rPr>
                    <w:t>抛光废料</w:t>
                  </w:r>
                  <w:r>
                    <w:rPr>
                      <w:rFonts w:hint="eastAsia" w:cs="Times New Roman"/>
                      <w:color w:val="auto"/>
                      <w:sz w:val="21"/>
                      <w:szCs w:val="21"/>
                      <w:lang w:eastAsia="zh-CN" w:bidi="ar-SA"/>
                    </w:rPr>
                    <w:t>、废电池、废油、金属屑</w:t>
                  </w:r>
                  <w:r>
                    <w:rPr>
                      <w:rFonts w:hint="default" w:ascii="Times New Roman" w:hAnsi="Times New Roman" w:eastAsia="宋体" w:cs="Times New Roman"/>
                      <w:color w:val="auto"/>
                      <w:sz w:val="21"/>
                      <w:szCs w:val="21"/>
                      <w:lang w:bidi="ar-SA"/>
                    </w:rPr>
                    <w:t>，</w:t>
                  </w:r>
                  <w:r>
                    <w:rPr>
                      <w:rFonts w:hint="default" w:ascii="Times New Roman" w:hAnsi="Times New Roman" w:eastAsia="宋体" w:cs="Times New Roman"/>
                      <w:color w:val="auto"/>
                      <w:kern w:val="0"/>
                      <w:sz w:val="21"/>
                      <w:szCs w:val="21"/>
                      <w:lang w:bidi="ar-SA"/>
                    </w:rPr>
                    <w:t>分类密封存储于危废暂存仓库内，及时委托有资质的单位处理。本项目产生的固体废物均已对照《固体废物鉴别标准</w:t>
                  </w:r>
                  <w:r>
                    <w:rPr>
                      <w:rFonts w:hint="eastAsia" w:cs="Times New Roman"/>
                      <w:color w:val="auto"/>
                      <w:kern w:val="0"/>
                      <w:sz w:val="21"/>
                      <w:szCs w:val="21"/>
                      <w:lang w:val="en-US" w:eastAsia="zh-CN" w:bidi="ar-SA"/>
                    </w:rPr>
                    <w:t xml:space="preserve"> </w:t>
                  </w:r>
                  <w:r>
                    <w:rPr>
                      <w:rFonts w:hint="default" w:ascii="Times New Roman" w:hAnsi="Times New Roman" w:eastAsia="宋体" w:cs="Times New Roman"/>
                      <w:color w:val="auto"/>
                      <w:kern w:val="0"/>
                      <w:sz w:val="21"/>
                      <w:szCs w:val="21"/>
                      <w:lang w:bidi="ar-SA"/>
                    </w:rPr>
                    <w:t>通则》（GB34330-2025）进行分析，均为固体废物，无副产品产生。</w:t>
                  </w:r>
                </w:p>
              </w:tc>
              <w:tc>
                <w:tcPr>
                  <w:tcW w:w="627" w:type="dxa"/>
                  <w:tcBorders>
                    <w:top w:val="single" w:color="auto" w:sz="4" w:space="0"/>
                    <w:left w:val="single" w:color="auto" w:sz="4" w:space="0"/>
                    <w:bottom w:val="single" w:color="auto" w:sz="4" w:space="0"/>
                    <w:right w:val="nil"/>
                  </w:tcBorders>
                  <w:noWrap w:val="0"/>
                  <w:vAlign w:val="center"/>
                </w:tcPr>
                <w:p w14:paraId="6B64BD91">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sz w:val="21"/>
                      <w:szCs w:val="21"/>
                      <w:lang w:bidi="ar-SA"/>
                    </w:rPr>
                  </w:pPr>
                  <w:r>
                    <w:rPr>
                      <w:rFonts w:hint="default" w:ascii="Times New Roman" w:hAnsi="Times New Roman" w:eastAsia="宋体" w:cs="Times New Roman"/>
                      <w:color w:val="auto"/>
                      <w:kern w:val="0"/>
                      <w:sz w:val="21"/>
                      <w:szCs w:val="21"/>
                      <w:lang w:bidi="ar-SA"/>
                    </w:rPr>
                    <w:t>相符</w:t>
                  </w:r>
                </w:p>
              </w:tc>
            </w:tr>
            <w:tr w14:paraId="2B8E6F2E">
              <w:tblPrEx>
                <w:tblBorders>
                  <w:top w:val="single" w:color="auto" w:sz="12" w:space="0"/>
                  <w:left w:val="none" w:color="auto" w:sz="6" w:space="0"/>
                  <w:bottom w:val="single" w:color="auto" w:sz="12" w:space="0"/>
                  <w:right w:val="none" w:color="auto" w:sz="6" w:space="0"/>
                  <w:insideH w:val="single" w:color="auto" w:sz="4" w:space="0"/>
                  <w:insideV w:val="single" w:color="auto" w:sz="4" w:space="0"/>
                </w:tblBorders>
                <w:tblCellMar>
                  <w:top w:w="0" w:type="dxa"/>
                  <w:left w:w="108" w:type="dxa"/>
                  <w:bottom w:w="0" w:type="dxa"/>
                  <w:right w:w="108" w:type="dxa"/>
                </w:tblCellMar>
              </w:tblPrEx>
              <w:trPr>
                <w:trHeight w:val="16" w:hRule="atLeast"/>
                <w:jc w:val="center"/>
              </w:trPr>
              <w:tc>
                <w:tcPr>
                  <w:tcW w:w="624" w:type="dxa"/>
                  <w:tcBorders>
                    <w:top w:val="single" w:color="auto" w:sz="4" w:space="0"/>
                    <w:left w:val="nil"/>
                    <w:bottom w:val="single" w:color="auto" w:sz="4" w:space="0"/>
                    <w:right w:val="single" w:color="auto" w:sz="4" w:space="0"/>
                  </w:tcBorders>
                  <w:noWrap w:val="0"/>
                  <w:vAlign w:val="center"/>
                </w:tcPr>
                <w:p w14:paraId="1DF762FC">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sz w:val="21"/>
                      <w:szCs w:val="21"/>
                      <w:lang w:bidi="ar-SA"/>
                    </w:rPr>
                  </w:pPr>
                  <w:r>
                    <w:rPr>
                      <w:rFonts w:hint="default" w:ascii="Times New Roman" w:hAnsi="Times New Roman" w:eastAsia="宋体" w:cs="Times New Roman"/>
                      <w:color w:val="auto"/>
                      <w:kern w:val="0"/>
                      <w:sz w:val="21"/>
                      <w:szCs w:val="21"/>
                      <w:lang w:bidi="ar-SA"/>
                    </w:rPr>
                    <w:t>2</w:t>
                  </w:r>
                </w:p>
              </w:tc>
              <w:tc>
                <w:tcPr>
                  <w:tcW w:w="3850" w:type="dxa"/>
                  <w:tcBorders>
                    <w:top w:val="single" w:color="auto" w:sz="4" w:space="0"/>
                    <w:left w:val="single" w:color="auto" w:sz="4" w:space="0"/>
                    <w:bottom w:val="single" w:color="auto" w:sz="4" w:space="0"/>
                    <w:right w:val="single" w:color="auto" w:sz="4" w:space="0"/>
                  </w:tcBorders>
                  <w:noWrap w:val="0"/>
                  <w:vAlign w:val="center"/>
                </w:tcPr>
                <w:p w14:paraId="3EF7FDE0">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sz w:val="21"/>
                      <w:szCs w:val="21"/>
                      <w:lang w:bidi="ar-SA"/>
                    </w:rPr>
                  </w:pPr>
                  <w:r>
                    <w:rPr>
                      <w:rFonts w:hint="default" w:ascii="Times New Roman" w:hAnsi="Times New Roman" w:eastAsia="宋体" w:cs="Times New Roman"/>
                      <w:color w:val="auto"/>
                      <w:kern w:val="0"/>
                      <w:sz w:val="21"/>
                      <w:szCs w:val="21"/>
                      <w:lang w:bidi="ar-SA"/>
                    </w:rPr>
                    <w:t>企业要在排污许可管理系统中全面准确申报工业固体废物产生种类，以及贮存设施和利用处置等相关情况，并对其真实性负责。实际产生、转移、贮存和利用处置情况对照项目环评发生变动的，要根据变动情况及时采取重新报批环评、纳入环境保护竣工验收等手续，并及时变更排污许可。</w:t>
                  </w:r>
                </w:p>
              </w:tc>
              <w:tc>
                <w:tcPr>
                  <w:tcW w:w="3057" w:type="dxa"/>
                  <w:tcBorders>
                    <w:top w:val="single" w:color="auto" w:sz="4" w:space="0"/>
                    <w:left w:val="single" w:color="auto" w:sz="4" w:space="0"/>
                    <w:bottom w:val="single" w:color="auto" w:sz="4" w:space="0"/>
                    <w:right w:val="single" w:color="auto" w:sz="4" w:space="0"/>
                  </w:tcBorders>
                  <w:noWrap w:val="0"/>
                  <w:vAlign w:val="center"/>
                </w:tcPr>
                <w:p w14:paraId="23208470">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sz w:val="21"/>
                      <w:szCs w:val="21"/>
                      <w:lang w:bidi="ar-SA"/>
                    </w:rPr>
                  </w:pPr>
                  <w:r>
                    <w:rPr>
                      <w:rFonts w:hint="default" w:ascii="Times New Roman" w:hAnsi="Times New Roman" w:eastAsia="宋体" w:cs="Times New Roman"/>
                      <w:color w:val="auto"/>
                      <w:kern w:val="0"/>
                      <w:sz w:val="21"/>
                      <w:szCs w:val="21"/>
                      <w:lang w:bidi="ar-SA"/>
                    </w:rPr>
                    <w:t>企业应在项目建成后在排污许可管理系统中准确申报工业固体废物产生种类，以及贮存设施和利用处置等相关情况。</w:t>
                  </w:r>
                </w:p>
              </w:tc>
              <w:tc>
                <w:tcPr>
                  <w:tcW w:w="627" w:type="dxa"/>
                  <w:tcBorders>
                    <w:top w:val="single" w:color="auto" w:sz="4" w:space="0"/>
                    <w:left w:val="single" w:color="auto" w:sz="4" w:space="0"/>
                    <w:bottom w:val="single" w:color="auto" w:sz="4" w:space="0"/>
                    <w:right w:val="nil"/>
                  </w:tcBorders>
                  <w:noWrap w:val="0"/>
                  <w:vAlign w:val="center"/>
                </w:tcPr>
                <w:p w14:paraId="4C0F7AF4">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sz w:val="21"/>
                      <w:szCs w:val="21"/>
                      <w:lang w:bidi="ar-SA"/>
                    </w:rPr>
                  </w:pPr>
                  <w:r>
                    <w:rPr>
                      <w:rFonts w:hint="default" w:ascii="Times New Roman" w:hAnsi="Times New Roman" w:eastAsia="宋体" w:cs="Times New Roman"/>
                      <w:color w:val="auto"/>
                      <w:kern w:val="0"/>
                      <w:sz w:val="21"/>
                      <w:szCs w:val="21"/>
                      <w:lang w:bidi="ar-SA"/>
                    </w:rPr>
                    <w:t>相符</w:t>
                  </w:r>
                </w:p>
              </w:tc>
            </w:tr>
            <w:tr w14:paraId="06C0976F">
              <w:tblPrEx>
                <w:tblBorders>
                  <w:top w:val="single" w:color="auto" w:sz="12" w:space="0"/>
                  <w:left w:val="none" w:color="auto" w:sz="6" w:space="0"/>
                  <w:bottom w:val="single" w:color="auto" w:sz="12" w:space="0"/>
                  <w:right w:val="none" w:color="auto" w:sz="6" w:space="0"/>
                  <w:insideH w:val="single" w:color="auto" w:sz="4" w:space="0"/>
                  <w:insideV w:val="single" w:color="auto" w:sz="4" w:space="0"/>
                </w:tblBorders>
                <w:tblCellMar>
                  <w:top w:w="0" w:type="dxa"/>
                  <w:left w:w="108" w:type="dxa"/>
                  <w:bottom w:w="0" w:type="dxa"/>
                  <w:right w:w="108" w:type="dxa"/>
                </w:tblCellMar>
              </w:tblPrEx>
              <w:trPr>
                <w:trHeight w:val="16" w:hRule="atLeast"/>
                <w:jc w:val="center"/>
              </w:trPr>
              <w:tc>
                <w:tcPr>
                  <w:tcW w:w="624" w:type="dxa"/>
                  <w:tcBorders>
                    <w:top w:val="single" w:color="auto" w:sz="4" w:space="0"/>
                    <w:left w:val="nil"/>
                    <w:bottom w:val="single" w:color="auto" w:sz="4" w:space="0"/>
                    <w:right w:val="single" w:color="auto" w:sz="4" w:space="0"/>
                  </w:tcBorders>
                  <w:noWrap w:val="0"/>
                  <w:vAlign w:val="center"/>
                </w:tcPr>
                <w:p w14:paraId="15A345ED">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sz w:val="21"/>
                      <w:szCs w:val="21"/>
                      <w:lang w:bidi="ar-SA"/>
                    </w:rPr>
                  </w:pPr>
                  <w:r>
                    <w:rPr>
                      <w:rFonts w:hint="default" w:ascii="Times New Roman" w:hAnsi="Times New Roman" w:eastAsia="宋体" w:cs="Times New Roman"/>
                      <w:color w:val="auto"/>
                      <w:kern w:val="0"/>
                      <w:sz w:val="21"/>
                      <w:szCs w:val="21"/>
                      <w:lang w:bidi="ar-SA"/>
                    </w:rPr>
                    <w:t>3</w:t>
                  </w:r>
                </w:p>
              </w:tc>
              <w:tc>
                <w:tcPr>
                  <w:tcW w:w="3850" w:type="dxa"/>
                  <w:tcBorders>
                    <w:top w:val="single" w:color="auto" w:sz="4" w:space="0"/>
                    <w:left w:val="single" w:color="auto" w:sz="4" w:space="0"/>
                    <w:bottom w:val="single" w:color="auto" w:sz="4" w:space="0"/>
                    <w:right w:val="single" w:color="auto" w:sz="4" w:space="0"/>
                  </w:tcBorders>
                  <w:noWrap w:val="0"/>
                  <w:vAlign w:val="center"/>
                </w:tcPr>
                <w:p w14:paraId="4B653180">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sz w:val="21"/>
                      <w:szCs w:val="21"/>
                      <w:lang w:bidi="ar-SA"/>
                    </w:rPr>
                  </w:pPr>
                  <w:r>
                    <w:rPr>
                      <w:rFonts w:hint="default" w:ascii="Times New Roman" w:hAnsi="Times New Roman" w:eastAsia="宋体" w:cs="Times New Roman"/>
                      <w:color w:val="auto"/>
                      <w:kern w:val="0"/>
                      <w:sz w:val="21"/>
                      <w:szCs w:val="21"/>
                      <w:lang w:bidi="ar-SA"/>
                    </w:rPr>
                    <w:t>根据《危险废物贮存污染控制标准》(GB18597-2023)，企业可根据实际情况选择采用危险废物贮存设施或贮存点两类方式进行贮存，符合相应的污染控制标准；不具备建设贮存设施条件、选用贮存点方式的，除符合国家关于贮存点控制要求外，还要执行《江苏省危险废物集中收集体系建设工作方案(试行)》(苏环办</w:t>
                  </w:r>
                  <w:r>
                    <w:rPr>
                      <w:rFonts w:hint="default" w:ascii="Times New Roman" w:hAnsi="Times New Roman" w:eastAsia="宋体" w:cs="Times New Roman"/>
                      <w:color w:val="auto"/>
                      <w:sz w:val="21"/>
                      <w:szCs w:val="21"/>
                      <w:lang w:bidi="ar-SA"/>
                    </w:rPr>
                    <w:t>〔2021〕</w:t>
                  </w:r>
                  <w:r>
                    <w:rPr>
                      <w:rFonts w:hint="default" w:ascii="Times New Roman" w:hAnsi="Times New Roman" w:eastAsia="宋体" w:cs="Times New Roman"/>
                      <w:color w:val="auto"/>
                      <w:kern w:val="0"/>
                      <w:sz w:val="21"/>
                      <w:szCs w:val="21"/>
                      <w:lang w:bidi="ar-SA"/>
                    </w:rPr>
                    <w:t>290号)中关于贮存周期和贮存量的要求，I级、Ⅱ级、Ⅲ级危险废物贮存时间分别不得超过30天、60天、90天，最大贮存量不得超过1吨。</w:t>
                  </w:r>
                </w:p>
              </w:tc>
              <w:tc>
                <w:tcPr>
                  <w:tcW w:w="3057" w:type="dxa"/>
                  <w:tcBorders>
                    <w:top w:val="single" w:color="auto" w:sz="4" w:space="0"/>
                    <w:left w:val="single" w:color="auto" w:sz="4" w:space="0"/>
                    <w:bottom w:val="single" w:color="auto" w:sz="4" w:space="0"/>
                    <w:right w:val="single" w:color="auto" w:sz="4" w:space="0"/>
                  </w:tcBorders>
                  <w:noWrap w:val="0"/>
                  <w:vAlign w:val="center"/>
                </w:tcPr>
                <w:p w14:paraId="58D95754">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sz w:val="21"/>
                      <w:szCs w:val="21"/>
                      <w:lang w:bidi="ar-SA"/>
                    </w:rPr>
                  </w:pPr>
                  <w:r>
                    <w:rPr>
                      <w:rFonts w:hint="default" w:ascii="Times New Roman" w:hAnsi="Times New Roman" w:eastAsia="宋体" w:cs="Times New Roman"/>
                      <w:color w:val="auto"/>
                      <w:sz w:val="21"/>
                      <w:szCs w:val="21"/>
                      <w:lang w:bidi="ar-SA"/>
                    </w:rPr>
                    <w:t>项目产生的危险废物为废深孔钻油</w:t>
                  </w:r>
                  <w:r>
                    <w:rPr>
                      <w:rFonts w:hint="eastAsia" w:cs="Times New Roman"/>
                      <w:color w:val="auto"/>
                      <w:sz w:val="21"/>
                      <w:szCs w:val="21"/>
                      <w:lang w:eastAsia="zh-CN" w:bidi="ar-SA"/>
                    </w:rPr>
                    <w:t>、</w:t>
                  </w:r>
                  <w:r>
                    <w:rPr>
                      <w:rFonts w:hint="default" w:ascii="Times New Roman" w:hAnsi="Times New Roman" w:eastAsia="宋体" w:cs="Times New Roman"/>
                      <w:color w:val="auto"/>
                      <w:sz w:val="21"/>
                      <w:szCs w:val="21"/>
                      <w:lang w:bidi="ar-SA"/>
                    </w:rPr>
                    <w:t>废切削液</w:t>
                  </w:r>
                  <w:r>
                    <w:rPr>
                      <w:rFonts w:hint="eastAsia" w:cs="Times New Roman"/>
                      <w:color w:val="auto"/>
                      <w:sz w:val="21"/>
                      <w:szCs w:val="21"/>
                      <w:lang w:eastAsia="zh-CN" w:bidi="ar-SA"/>
                    </w:rPr>
                    <w:t>、</w:t>
                  </w:r>
                  <w:r>
                    <w:rPr>
                      <w:rFonts w:hint="default" w:ascii="Times New Roman" w:hAnsi="Times New Roman" w:eastAsia="宋体" w:cs="Times New Roman"/>
                      <w:color w:val="auto"/>
                      <w:sz w:val="21"/>
                      <w:szCs w:val="21"/>
                      <w:lang w:bidi="ar-SA"/>
                    </w:rPr>
                    <w:t>废刷子</w:t>
                  </w:r>
                  <w:r>
                    <w:rPr>
                      <w:rFonts w:hint="eastAsia" w:cs="Times New Roman"/>
                      <w:color w:val="auto"/>
                      <w:sz w:val="21"/>
                      <w:szCs w:val="21"/>
                      <w:lang w:eastAsia="zh-CN" w:bidi="ar-SA"/>
                    </w:rPr>
                    <w:t>、</w:t>
                  </w:r>
                  <w:r>
                    <w:rPr>
                      <w:rFonts w:hint="default" w:ascii="Times New Roman" w:hAnsi="Times New Roman" w:eastAsia="宋体" w:cs="Times New Roman"/>
                      <w:color w:val="auto"/>
                      <w:sz w:val="21"/>
                      <w:szCs w:val="21"/>
                      <w:lang w:bidi="ar-SA"/>
                    </w:rPr>
                    <w:t>废抹布及手套</w:t>
                  </w:r>
                  <w:r>
                    <w:rPr>
                      <w:rFonts w:hint="eastAsia" w:cs="Times New Roman"/>
                      <w:color w:val="auto"/>
                      <w:sz w:val="21"/>
                      <w:szCs w:val="21"/>
                      <w:lang w:eastAsia="zh-CN" w:bidi="ar-SA"/>
                    </w:rPr>
                    <w:t>、</w:t>
                  </w:r>
                  <w:r>
                    <w:rPr>
                      <w:rFonts w:hint="default" w:ascii="Times New Roman" w:hAnsi="Times New Roman" w:eastAsia="宋体" w:cs="Times New Roman"/>
                      <w:color w:val="auto"/>
                      <w:sz w:val="21"/>
                      <w:szCs w:val="21"/>
                      <w:lang w:bidi="ar-SA"/>
                    </w:rPr>
                    <w:t>废包装桶</w:t>
                  </w:r>
                  <w:r>
                    <w:rPr>
                      <w:rFonts w:hint="eastAsia" w:cs="Times New Roman"/>
                      <w:color w:val="auto"/>
                      <w:sz w:val="21"/>
                      <w:szCs w:val="21"/>
                      <w:lang w:eastAsia="zh-CN" w:bidi="ar-SA"/>
                    </w:rPr>
                    <w:t>、</w:t>
                  </w:r>
                  <w:r>
                    <w:rPr>
                      <w:rFonts w:hint="default" w:ascii="Times New Roman" w:hAnsi="Times New Roman" w:eastAsia="宋体" w:cs="Times New Roman"/>
                      <w:color w:val="auto"/>
                      <w:sz w:val="21"/>
                      <w:szCs w:val="21"/>
                      <w:lang w:bidi="ar-SA"/>
                    </w:rPr>
                    <w:t>废油桶</w:t>
                  </w:r>
                  <w:r>
                    <w:rPr>
                      <w:rFonts w:hint="eastAsia" w:cs="Times New Roman"/>
                      <w:color w:val="auto"/>
                      <w:sz w:val="21"/>
                      <w:szCs w:val="21"/>
                      <w:lang w:eastAsia="zh-CN" w:bidi="ar-SA"/>
                    </w:rPr>
                    <w:t>、</w:t>
                  </w:r>
                  <w:r>
                    <w:rPr>
                      <w:rFonts w:hint="default" w:ascii="Times New Roman" w:hAnsi="Times New Roman" w:eastAsia="宋体" w:cs="Times New Roman"/>
                      <w:color w:val="auto"/>
                      <w:sz w:val="21"/>
                      <w:szCs w:val="21"/>
                      <w:lang w:bidi="ar-SA"/>
                    </w:rPr>
                    <w:t>废润滑油</w:t>
                  </w:r>
                  <w:r>
                    <w:rPr>
                      <w:rFonts w:hint="eastAsia" w:cs="Times New Roman"/>
                      <w:color w:val="auto"/>
                      <w:sz w:val="21"/>
                      <w:szCs w:val="21"/>
                      <w:lang w:eastAsia="zh-CN" w:bidi="ar-SA"/>
                    </w:rPr>
                    <w:t>、</w:t>
                  </w:r>
                  <w:r>
                    <w:rPr>
                      <w:rFonts w:hint="default" w:ascii="Times New Roman" w:hAnsi="Times New Roman" w:eastAsia="宋体" w:cs="Times New Roman"/>
                      <w:color w:val="auto"/>
                      <w:sz w:val="21"/>
                      <w:szCs w:val="21"/>
                      <w:lang w:bidi="ar-SA"/>
                    </w:rPr>
                    <w:t>废液压油</w:t>
                  </w:r>
                  <w:r>
                    <w:rPr>
                      <w:rFonts w:hint="eastAsia" w:cs="Times New Roman"/>
                      <w:color w:val="auto"/>
                      <w:sz w:val="21"/>
                      <w:szCs w:val="21"/>
                      <w:lang w:eastAsia="zh-CN" w:bidi="ar-SA"/>
                    </w:rPr>
                    <w:t>、</w:t>
                  </w:r>
                  <w:r>
                    <w:rPr>
                      <w:rFonts w:hint="default" w:ascii="Times New Roman" w:hAnsi="Times New Roman" w:eastAsia="宋体" w:cs="Times New Roman"/>
                      <w:color w:val="auto"/>
                      <w:sz w:val="21"/>
                      <w:szCs w:val="21"/>
                      <w:lang w:bidi="ar-SA"/>
                    </w:rPr>
                    <w:t>浓液</w:t>
                  </w:r>
                  <w:r>
                    <w:rPr>
                      <w:rFonts w:hint="eastAsia" w:cs="Times New Roman"/>
                      <w:color w:val="auto"/>
                      <w:sz w:val="21"/>
                      <w:szCs w:val="21"/>
                      <w:lang w:eastAsia="zh-CN" w:bidi="ar-SA"/>
                    </w:rPr>
                    <w:t>、</w:t>
                  </w:r>
                  <w:r>
                    <w:rPr>
                      <w:rFonts w:hint="default" w:ascii="Times New Roman" w:hAnsi="Times New Roman" w:eastAsia="宋体" w:cs="Times New Roman"/>
                      <w:color w:val="auto"/>
                      <w:sz w:val="21"/>
                      <w:szCs w:val="21"/>
                      <w:lang w:bidi="ar-SA"/>
                    </w:rPr>
                    <w:t>过滤材料</w:t>
                  </w:r>
                  <w:r>
                    <w:rPr>
                      <w:rFonts w:hint="eastAsia" w:cs="Times New Roman"/>
                      <w:color w:val="auto"/>
                      <w:sz w:val="21"/>
                      <w:szCs w:val="21"/>
                      <w:lang w:eastAsia="zh-CN" w:bidi="ar-SA"/>
                    </w:rPr>
                    <w:t>、空压机含油废水、</w:t>
                  </w:r>
                  <w:r>
                    <w:rPr>
                      <w:rFonts w:hint="eastAsia" w:ascii="Times New Roman" w:hAnsi="Times New Roman" w:eastAsia="宋体" w:cs="Times New Roman"/>
                      <w:color w:val="auto"/>
                      <w:sz w:val="21"/>
                      <w:szCs w:val="21"/>
                      <w:lang w:eastAsia="zh-CN" w:bidi="ar-SA"/>
                    </w:rPr>
                    <w:t>抛光废料</w:t>
                  </w:r>
                  <w:r>
                    <w:rPr>
                      <w:rFonts w:hint="eastAsia" w:cs="Times New Roman"/>
                      <w:color w:val="auto"/>
                      <w:sz w:val="21"/>
                      <w:szCs w:val="21"/>
                      <w:lang w:eastAsia="zh-CN" w:bidi="ar-SA"/>
                    </w:rPr>
                    <w:t>、废电池、废油、金属屑</w:t>
                  </w:r>
                  <w:r>
                    <w:rPr>
                      <w:rFonts w:hint="default" w:ascii="Times New Roman" w:hAnsi="Times New Roman" w:eastAsia="宋体" w:cs="Times New Roman"/>
                      <w:color w:val="auto"/>
                      <w:kern w:val="0"/>
                      <w:sz w:val="21"/>
                      <w:szCs w:val="21"/>
                      <w:lang w:bidi="ar-SA"/>
                    </w:rPr>
                    <w:t>，上述危废均分类密封存储于危废仓库内，并及时委托有资质的单位处理，符合《危险废物贮存污染控制标准》(GB18597-2023)及《江苏省危险废物集中收集体系建设工作方案(试行)》(苏环办</w:t>
                  </w:r>
                  <w:r>
                    <w:rPr>
                      <w:rFonts w:hint="default" w:ascii="Times New Roman" w:hAnsi="Times New Roman" w:eastAsia="宋体" w:cs="Times New Roman"/>
                      <w:color w:val="auto"/>
                      <w:sz w:val="21"/>
                      <w:szCs w:val="21"/>
                      <w:lang w:bidi="ar-SA"/>
                    </w:rPr>
                    <w:t>〔2021〕</w:t>
                  </w:r>
                  <w:r>
                    <w:rPr>
                      <w:rFonts w:hint="default" w:ascii="Times New Roman" w:hAnsi="Times New Roman" w:eastAsia="宋体" w:cs="Times New Roman"/>
                      <w:color w:val="auto"/>
                      <w:kern w:val="0"/>
                      <w:sz w:val="21"/>
                      <w:szCs w:val="21"/>
                      <w:lang w:bidi="ar-SA"/>
                    </w:rPr>
                    <w:t>290号)中相关要求。</w:t>
                  </w:r>
                </w:p>
              </w:tc>
              <w:tc>
                <w:tcPr>
                  <w:tcW w:w="627" w:type="dxa"/>
                  <w:tcBorders>
                    <w:top w:val="single" w:color="auto" w:sz="4" w:space="0"/>
                    <w:left w:val="single" w:color="auto" w:sz="4" w:space="0"/>
                    <w:bottom w:val="single" w:color="auto" w:sz="4" w:space="0"/>
                    <w:right w:val="nil"/>
                  </w:tcBorders>
                  <w:noWrap w:val="0"/>
                  <w:vAlign w:val="center"/>
                </w:tcPr>
                <w:p w14:paraId="37E0DF1B">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sz w:val="21"/>
                      <w:szCs w:val="21"/>
                      <w:lang w:bidi="ar-SA"/>
                    </w:rPr>
                  </w:pPr>
                  <w:r>
                    <w:rPr>
                      <w:rFonts w:hint="default" w:ascii="Times New Roman" w:hAnsi="Times New Roman" w:eastAsia="宋体" w:cs="Times New Roman"/>
                      <w:color w:val="auto"/>
                      <w:kern w:val="0"/>
                      <w:sz w:val="21"/>
                      <w:szCs w:val="21"/>
                      <w:lang w:bidi="ar-SA"/>
                    </w:rPr>
                    <w:t>相符</w:t>
                  </w:r>
                </w:p>
              </w:tc>
            </w:tr>
            <w:tr w14:paraId="7F2CB7D2">
              <w:tblPrEx>
                <w:tblBorders>
                  <w:top w:val="single" w:color="auto" w:sz="12" w:space="0"/>
                  <w:left w:val="none" w:color="auto" w:sz="6" w:space="0"/>
                  <w:bottom w:val="single" w:color="auto" w:sz="12" w:space="0"/>
                  <w:right w:val="none" w:color="auto" w:sz="6" w:space="0"/>
                  <w:insideH w:val="single" w:color="auto" w:sz="4" w:space="0"/>
                  <w:insideV w:val="single" w:color="auto" w:sz="4" w:space="0"/>
                </w:tblBorders>
                <w:tblCellMar>
                  <w:top w:w="0" w:type="dxa"/>
                  <w:left w:w="108" w:type="dxa"/>
                  <w:bottom w:w="0" w:type="dxa"/>
                  <w:right w:w="108" w:type="dxa"/>
                </w:tblCellMar>
              </w:tblPrEx>
              <w:trPr>
                <w:trHeight w:val="16" w:hRule="atLeast"/>
                <w:jc w:val="center"/>
              </w:trPr>
              <w:tc>
                <w:tcPr>
                  <w:tcW w:w="624" w:type="dxa"/>
                  <w:tcBorders>
                    <w:top w:val="single" w:color="auto" w:sz="4" w:space="0"/>
                    <w:left w:val="nil"/>
                    <w:bottom w:val="single" w:color="auto" w:sz="4" w:space="0"/>
                    <w:right w:val="single" w:color="auto" w:sz="4" w:space="0"/>
                  </w:tcBorders>
                  <w:noWrap w:val="0"/>
                  <w:vAlign w:val="center"/>
                </w:tcPr>
                <w:p w14:paraId="47904897">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sz w:val="21"/>
                      <w:szCs w:val="21"/>
                      <w:lang w:bidi="ar-SA"/>
                    </w:rPr>
                  </w:pPr>
                  <w:r>
                    <w:rPr>
                      <w:rFonts w:hint="default" w:ascii="Times New Roman" w:hAnsi="Times New Roman" w:eastAsia="宋体" w:cs="Times New Roman"/>
                      <w:color w:val="auto"/>
                      <w:kern w:val="0"/>
                      <w:sz w:val="21"/>
                      <w:szCs w:val="21"/>
                      <w:lang w:bidi="ar-SA"/>
                    </w:rPr>
                    <w:t>4</w:t>
                  </w:r>
                </w:p>
              </w:tc>
              <w:tc>
                <w:tcPr>
                  <w:tcW w:w="3850" w:type="dxa"/>
                  <w:tcBorders>
                    <w:top w:val="single" w:color="auto" w:sz="4" w:space="0"/>
                    <w:left w:val="single" w:color="auto" w:sz="4" w:space="0"/>
                    <w:bottom w:val="single" w:color="auto" w:sz="4" w:space="0"/>
                    <w:right w:val="single" w:color="auto" w:sz="4" w:space="0"/>
                  </w:tcBorders>
                  <w:noWrap w:val="0"/>
                  <w:vAlign w:val="center"/>
                </w:tcPr>
                <w:p w14:paraId="3DE950C7">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sz w:val="21"/>
                      <w:szCs w:val="21"/>
                      <w:lang w:bidi="ar-SA"/>
                    </w:rPr>
                  </w:pPr>
                  <w:r>
                    <w:rPr>
                      <w:rFonts w:hint="default" w:ascii="Times New Roman" w:hAnsi="Times New Roman" w:eastAsia="宋体" w:cs="Times New Roman"/>
                      <w:color w:val="auto"/>
                      <w:kern w:val="0"/>
                      <w:sz w:val="21"/>
                      <w:szCs w:val="21"/>
                      <w:lang w:bidi="ar-SA"/>
                    </w:rPr>
                    <w:t>全面落实危险废物转移电子联单制度，实行省内全域扫描“二维码”转移。加强与危险货物道路运输电子运单数据共享，实现运输轨迹可溯可查。危险废物产生单位须依法核实经营单位主体资格和技术能力，直接签订委托合同，并向</w:t>
                  </w:r>
                  <w:r>
                    <w:rPr>
                      <w:rFonts w:hint="default" w:ascii="Times New Roman" w:hAnsi="Times New Roman" w:eastAsia="宋体" w:cs="Times New Roman"/>
                      <w:color w:val="auto"/>
                      <w:kern w:val="0"/>
                      <w:sz w:val="21"/>
                      <w:szCs w:val="21"/>
                      <w:lang w:eastAsia="zh-CN" w:bidi="ar-SA"/>
                    </w:rPr>
                    <w:t>经营单位</w:t>
                  </w:r>
                  <w:r>
                    <w:rPr>
                      <w:rFonts w:hint="default" w:ascii="Times New Roman" w:hAnsi="Times New Roman" w:eastAsia="宋体" w:cs="Times New Roman"/>
                      <w:color w:val="auto"/>
                      <w:kern w:val="0"/>
                      <w:sz w:val="21"/>
                      <w:szCs w:val="21"/>
                      <w:lang w:bidi="ar-SA"/>
                    </w:rPr>
                    <w:t>提供相关危险废物产生工艺、具体成分，以及是否易燃易爆等信息，违法委托的，应当与造成环境污染和生态破坏的受托方承担连带责任；经营单位须按合同及包装物扫码签收危险废物，签收人、车辆信息等须拍照上传至系统，严禁“空转”二维码。积极推行一般工业固体废物转移电子联单制度，优先选择环境风险较大的污泥、矿渣等固体废物试行。</w:t>
                  </w:r>
                </w:p>
              </w:tc>
              <w:tc>
                <w:tcPr>
                  <w:tcW w:w="3057" w:type="dxa"/>
                  <w:tcBorders>
                    <w:top w:val="single" w:color="auto" w:sz="4" w:space="0"/>
                    <w:left w:val="single" w:color="auto" w:sz="4" w:space="0"/>
                    <w:bottom w:val="single" w:color="auto" w:sz="4" w:space="0"/>
                    <w:right w:val="single" w:color="auto" w:sz="4" w:space="0"/>
                  </w:tcBorders>
                  <w:noWrap w:val="0"/>
                  <w:vAlign w:val="center"/>
                </w:tcPr>
                <w:p w14:paraId="10E0DDEE">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sz w:val="21"/>
                      <w:szCs w:val="21"/>
                      <w:lang w:bidi="ar-SA"/>
                    </w:rPr>
                  </w:pPr>
                  <w:r>
                    <w:rPr>
                      <w:rFonts w:hint="default" w:ascii="Times New Roman" w:hAnsi="Times New Roman" w:eastAsia="宋体" w:cs="Times New Roman"/>
                      <w:color w:val="auto"/>
                      <w:kern w:val="0"/>
                      <w:sz w:val="21"/>
                      <w:szCs w:val="21"/>
                      <w:lang w:bidi="ar-SA"/>
                    </w:rPr>
                    <w:t>项目拟落实危险废物转移电子联单制度，实行省内全域扫描“二维码”转移，实现运输轨迹可溯可查，并依法</w:t>
                  </w:r>
                  <w:r>
                    <w:rPr>
                      <w:rFonts w:hint="eastAsia" w:cs="Times New Roman"/>
                      <w:color w:val="auto"/>
                      <w:kern w:val="0"/>
                      <w:sz w:val="21"/>
                      <w:szCs w:val="21"/>
                      <w:lang w:val="en-US" w:eastAsia="zh-CN" w:bidi="ar-SA"/>
                    </w:rPr>
                    <w:t>核实</w:t>
                  </w:r>
                  <w:r>
                    <w:rPr>
                      <w:rFonts w:hint="default" w:ascii="Times New Roman" w:hAnsi="Times New Roman" w:eastAsia="宋体" w:cs="Times New Roman"/>
                      <w:color w:val="auto"/>
                      <w:kern w:val="0"/>
                      <w:sz w:val="21"/>
                      <w:szCs w:val="21"/>
                      <w:lang w:bidi="ar-SA"/>
                    </w:rPr>
                    <w:t>经营单位主体资格和技术能力，直接签订委托合同，并向</w:t>
                  </w:r>
                  <w:r>
                    <w:rPr>
                      <w:rFonts w:hint="default" w:ascii="Times New Roman" w:hAnsi="Times New Roman" w:eastAsia="宋体" w:cs="Times New Roman"/>
                      <w:color w:val="auto"/>
                      <w:kern w:val="0"/>
                      <w:sz w:val="21"/>
                      <w:szCs w:val="21"/>
                      <w:lang w:eastAsia="zh-CN" w:bidi="ar-SA"/>
                    </w:rPr>
                    <w:t>经营单位</w:t>
                  </w:r>
                  <w:r>
                    <w:rPr>
                      <w:rFonts w:hint="default" w:ascii="Times New Roman" w:hAnsi="Times New Roman" w:eastAsia="宋体" w:cs="Times New Roman"/>
                      <w:color w:val="auto"/>
                      <w:kern w:val="0"/>
                      <w:sz w:val="21"/>
                      <w:szCs w:val="21"/>
                      <w:lang w:bidi="ar-SA"/>
                    </w:rPr>
                    <w:t>提供相关危险废物产生工艺、具体成分，以及是否易燃易爆等信息。</w:t>
                  </w:r>
                </w:p>
              </w:tc>
              <w:tc>
                <w:tcPr>
                  <w:tcW w:w="627" w:type="dxa"/>
                  <w:tcBorders>
                    <w:top w:val="single" w:color="auto" w:sz="4" w:space="0"/>
                    <w:left w:val="single" w:color="auto" w:sz="4" w:space="0"/>
                    <w:bottom w:val="single" w:color="auto" w:sz="4" w:space="0"/>
                    <w:right w:val="nil"/>
                  </w:tcBorders>
                  <w:noWrap w:val="0"/>
                  <w:vAlign w:val="center"/>
                </w:tcPr>
                <w:p w14:paraId="6AEBE572">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sz w:val="21"/>
                      <w:szCs w:val="21"/>
                      <w:lang w:bidi="ar-SA"/>
                    </w:rPr>
                  </w:pPr>
                  <w:r>
                    <w:rPr>
                      <w:rFonts w:hint="default" w:ascii="Times New Roman" w:hAnsi="Times New Roman" w:eastAsia="宋体" w:cs="Times New Roman"/>
                      <w:color w:val="auto"/>
                      <w:kern w:val="0"/>
                      <w:sz w:val="21"/>
                      <w:szCs w:val="21"/>
                      <w:lang w:bidi="ar-SA"/>
                    </w:rPr>
                    <w:t>相符</w:t>
                  </w:r>
                </w:p>
              </w:tc>
            </w:tr>
            <w:tr w14:paraId="453EFB1E">
              <w:tblPrEx>
                <w:tblBorders>
                  <w:top w:val="single" w:color="auto" w:sz="12" w:space="0"/>
                  <w:left w:val="none" w:color="auto" w:sz="6" w:space="0"/>
                  <w:bottom w:val="single" w:color="auto" w:sz="12" w:space="0"/>
                  <w:right w:val="none" w:color="auto" w:sz="6" w:space="0"/>
                  <w:insideH w:val="single" w:color="auto" w:sz="4" w:space="0"/>
                  <w:insideV w:val="single" w:color="auto" w:sz="4" w:space="0"/>
                </w:tblBorders>
                <w:tblCellMar>
                  <w:top w:w="0" w:type="dxa"/>
                  <w:left w:w="108" w:type="dxa"/>
                  <w:bottom w:w="0" w:type="dxa"/>
                  <w:right w:w="108" w:type="dxa"/>
                </w:tblCellMar>
              </w:tblPrEx>
              <w:trPr>
                <w:trHeight w:val="16" w:hRule="atLeast"/>
                <w:jc w:val="center"/>
              </w:trPr>
              <w:tc>
                <w:tcPr>
                  <w:tcW w:w="624" w:type="dxa"/>
                  <w:tcBorders>
                    <w:top w:val="single" w:color="auto" w:sz="4" w:space="0"/>
                    <w:left w:val="nil"/>
                    <w:bottom w:val="single" w:color="auto" w:sz="4" w:space="0"/>
                    <w:right w:val="single" w:color="auto" w:sz="4" w:space="0"/>
                  </w:tcBorders>
                  <w:noWrap w:val="0"/>
                  <w:vAlign w:val="center"/>
                </w:tcPr>
                <w:p w14:paraId="4CB7A8A2">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sz w:val="21"/>
                      <w:szCs w:val="21"/>
                      <w:lang w:bidi="ar-SA"/>
                    </w:rPr>
                  </w:pPr>
                  <w:r>
                    <w:rPr>
                      <w:rFonts w:hint="default" w:ascii="Times New Roman" w:hAnsi="Times New Roman" w:eastAsia="宋体" w:cs="Times New Roman"/>
                      <w:color w:val="auto"/>
                      <w:kern w:val="0"/>
                      <w:sz w:val="21"/>
                      <w:szCs w:val="21"/>
                      <w:lang w:bidi="ar-SA"/>
                    </w:rPr>
                    <w:t>5</w:t>
                  </w:r>
                </w:p>
              </w:tc>
              <w:tc>
                <w:tcPr>
                  <w:tcW w:w="3850" w:type="dxa"/>
                  <w:tcBorders>
                    <w:top w:val="single" w:color="auto" w:sz="4" w:space="0"/>
                    <w:left w:val="single" w:color="auto" w:sz="4" w:space="0"/>
                    <w:bottom w:val="single" w:color="auto" w:sz="4" w:space="0"/>
                    <w:right w:val="single" w:color="auto" w:sz="4" w:space="0"/>
                  </w:tcBorders>
                  <w:noWrap w:val="0"/>
                  <w:vAlign w:val="center"/>
                </w:tcPr>
                <w:p w14:paraId="438347DF">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sz w:val="21"/>
                      <w:szCs w:val="21"/>
                      <w:lang w:bidi="ar-SA"/>
                    </w:rPr>
                  </w:pPr>
                  <w:r>
                    <w:rPr>
                      <w:rFonts w:hint="default" w:ascii="Times New Roman" w:hAnsi="Times New Roman" w:eastAsia="宋体" w:cs="Times New Roman"/>
                      <w:color w:val="auto"/>
                      <w:kern w:val="0"/>
                      <w:sz w:val="21"/>
                      <w:szCs w:val="21"/>
                      <w:lang w:bidi="ar-SA"/>
                    </w:rPr>
                    <w:t>危险废物环境重点监管单位要在出入口、设施内部、危险废物运输车辆通道等关键位置设置视频监控并与中控室联网，通过设立公开栏、标志牌等方式，主动公开危险废物产生和利用处置等有关信息。</w:t>
                  </w:r>
                </w:p>
              </w:tc>
              <w:tc>
                <w:tcPr>
                  <w:tcW w:w="3057" w:type="dxa"/>
                  <w:tcBorders>
                    <w:top w:val="single" w:color="auto" w:sz="4" w:space="0"/>
                    <w:left w:val="single" w:color="auto" w:sz="4" w:space="0"/>
                    <w:bottom w:val="single" w:color="auto" w:sz="4" w:space="0"/>
                    <w:right w:val="single" w:color="auto" w:sz="4" w:space="0"/>
                  </w:tcBorders>
                  <w:noWrap w:val="0"/>
                  <w:vAlign w:val="center"/>
                </w:tcPr>
                <w:p w14:paraId="4F7C24D9">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sz w:val="21"/>
                      <w:szCs w:val="21"/>
                      <w:lang w:eastAsia="zh-CN" w:bidi="ar-SA"/>
                    </w:rPr>
                  </w:pPr>
                  <w:r>
                    <w:rPr>
                      <w:rFonts w:hint="default" w:ascii="Times New Roman" w:hAnsi="Times New Roman" w:eastAsia="宋体" w:cs="Times New Roman"/>
                      <w:color w:val="auto"/>
                      <w:kern w:val="0"/>
                      <w:sz w:val="21"/>
                      <w:szCs w:val="21"/>
                      <w:lang w:bidi="ar-SA"/>
                    </w:rPr>
                    <w:t>本</w:t>
                  </w:r>
                  <w:r>
                    <w:rPr>
                      <w:rFonts w:hint="default" w:ascii="Times New Roman" w:hAnsi="Times New Roman" w:eastAsia="宋体" w:cs="Times New Roman"/>
                      <w:color w:val="auto"/>
                      <w:kern w:val="0"/>
                      <w:sz w:val="21"/>
                      <w:szCs w:val="21"/>
                      <w:lang w:val="en-US" w:eastAsia="zh-CN" w:bidi="ar-SA"/>
                    </w:rPr>
                    <w:t>项目不属于</w:t>
                  </w:r>
                  <w:r>
                    <w:rPr>
                      <w:rFonts w:hint="default" w:ascii="Times New Roman" w:hAnsi="Times New Roman" w:eastAsia="宋体" w:cs="Times New Roman"/>
                      <w:color w:val="auto"/>
                      <w:kern w:val="0"/>
                      <w:sz w:val="21"/>
                      <w:szCs w:val="21"/>
                      <w:lang w:bidi="ar-SA"/>
                    </w:rPr>
                    <w:t>危险废物环境重点监管单位</w:t>
                  </w:r>
                  <w:r>
                    <w:rPr>
                      <w:rFonts w:hint="default" w:ascii="Times New Roman" w:hAnsi="Times New Roman" w:eastAsia="宋体" w:cs="Times New Roman"/>
                      <w:color w:val="auto"/>
                      <w:kern w:val="0"/>
                      <w:sz w:val="21"/>
                      <w:szCs w:val="21"/>
                      <w:lang w:eastAsia="zh-CN" w:bidi="ar-SA"/>
                    </w:rPr>
                    <w:t>。</w:t>
                  </w:r>
                </w:p>
              </w:tc>
              <w:tc>
                <w:tcPr>
                  <w:tcW w:w="627" w:type="dxa"/>
                  <w:tcBorders>
                    <w:top w:val="single" w:color="auto" w:sz="4" w:space="0"/>
                    <w:left w:val="single" w:color="auto" w:sz="4" w:space="0"/>
                    <w:bottom w:val="single" w:color="auto" w:sz="4" w:space="0"/>
                    <w:right w:val="nil"/>
                  </w:tcBorders>
                  <w:noWrap w:val="0"/>
                  <w:vAlign w:val="center"/>
                </w:tcPr>
                <w:p w14:paraId="2EBCEBF3">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sz w:val="21"/>
                      <w:szCs w:val="21"/>
                      <w:lang w:bidi="ar-SA"/>
                    </w:rPr>
                  </w:pPr>
                  <w:r>
                    <w:rPr>
                      <w:rFonts w:hint="default" w:ascii="Times New Roman" w:hAnsi="Times New Roman" w:eastAsia="宋体" w:cs="Times New Roman"/>
                      <w:color w:val="auto"/>
                      <w:kern w:val="0"/>
                      <w:sz w:val="21"/>
                      <w:szCs w:val="21"/>
                      <w:lang w:bidi="ar-SA"/>
                    </w:rPr>
                    <w:t>相符</w:t>
                  </w:r>
                </w:p>
              </w:tc>
            </w:tr>
            <w:tr w14:paraId="438EC4B4">
              <w:tblPrEx>
                <w:tblBorders>
                  <w:top w:val="single" w:color="auto" w:sz="12" w:space="0"/>
                  <w:left w:val="none" w:color="auto" w:sz="6" w:space="0"/>
                  <w:bottom w:val="single" w:color="auto" w:sz="12" w:space="0"/>
                  <w:right w:val="none" w:color="auto" w:sz="6" w:space="0"/>
                  <w:insideH w:val="single" w:color="auto" w:sz="4" w:space="0"/>
                  <w:insideV w:val="single" w:color="auto" w:sz="4" w:space="0"/>
                </w:tblBorders>
                <w:tblCellMar>
                  <w:top w:w="0" w:type="dxa"/>
                  <w:left w:w="108" w:type="dxa"/>
                  <w:bottom w:w="0" w:type="dxa"/>
                  <w:right w:w="108" w:type="dxa"/>
                </w:tblCellMar>
              </w:tblPrEx>
              <w:trPr>
                <w:trHeight w:val="16" w:hRule="atLeast"/>
                <w:jc w:val="center"/>
              </w:trPr>
              <w:tc>
                <w:tcPr>
                  <w:tcW w:w="624" w:type="dxa"/>
                  <w:tcBorders>
                    <w:top w:val="single" w:color="auto" w:sz="4" w:space="0"/>
                    <w:left w:val="nil"/>
                    <w:bottom w:val="single" w:color="auto" w:sz="12" w:space="0"/>
                    <w:right w:val="single" w:color="auto" w:sz="4" w:space="0"/>
                  </w:tcBorders>
                  <w:noWrap w:val="0"/>
                  <w:vAlign w:val="center"/>
                </w:tcPr>
                <w:p w14:paraId="65BAA30C">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sz w:val="21"/>
                      <w:szCs w:val="21"/>
                      <w:lang w:bidi="ar-SA"/>
                    </w:rPr>
                  </w:pPr>
                  <w:r>
                    <w:rPr>
                      <w:rFonts w:hint="default" w:ascii="Times New Roman" w:hAnsi="Times New Roman" w:eastAsia="宋体" w:cs="Times New Roman"/>
                      <w:color w:val="auto"/>
                      <w:kern w:val="0"/>
                      <w:sz w:val="21"/>
                      <w:szCs w:val="21"/>
                      <w:lang w:bidi="ar-SA"/>
                    </w:rPr>
                    <w:t>6</w:t>
                  </w:r>
                </w:p>
              </w:tc>
              <w:tc>
                <w:tcPr>
                  <w:tcW w:w="3850" w:type="dxa"/>
                  <w:tcBorders>
                    <w:top w:val="single" w:color="auto" w:sz="4" w:space="0"/>
                    <w:left w:val="single" w:color="auto" w:sz="4" w:space="0"/>
                    <w:bottom w:val="single" w:color="auto" w:sz="12" w:space="0"/>
                    <w:right w:val="single" w:color="auto" w:sz="4" w:space="0"/>
                  </w:tcBorders>
                  <w:noWrap w:val="0"/>
                  <w:vAlign w:val="center"/>
                </w:tcPr>
                <w:p w14:paraId="54E84043">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sz w:val="21"/>
                      <w:szCs w:val="21"/>
                      <w:lang w:bidi="ar-SA"/>
                    </w:rPr>
                  </w:pPr>
                  <w:r>
                    <w:rPr>
                      <w:rFonts w:hint="default" w:ascii="Times New Roman" w:hAnsi="Times New Roman" w:eastAsia="宋体" w:cs="Times New Roman"/>
                      <w:color w:val="auto"/>
                      <w:kern w:val="0"/>
                      <w:sz w:val="21"/>
                      <w:szCs w:val="21"/>
                      <w:lang w:bidi="ar-SA"/>
                    </w:rPr>
                    <w:t>企业需按照《一般工业固体废物管理台账制定指南(试行)》(生态环境部2021年第82号公告)要求，建立一般工业固废台账，污泥、矿渣等同时还需在固废管理信息系统申报，电子台账已有内容，不再另外制作纸质台账。</w:t>
                  </w:r>
                </w:p>
              </w:tc>
              <w:tc>
                <w:tcPr>
                  <w:tcW w:w="3057" w:type="dxa"/>
                  <w:tcBorders>
                    <w:top w:val="single" w:color="auto" w:sz="4" w:space="0"/>
                    <w:left w:val="single" w:color="auto" w:sz="4" w:space="0"/>
                    <w:bottom w:val="single" w:color="auto" w:sz="12" w:space="0"/>
                    <w:right w:val="single" w:color="auto" w:sz="4" w:space="0"/>
                  </w:tcBorders>
                  <w:noWrap w:val="0"/>
                  <w:vAlign w:val="center"/>
                </w:tcPr>
                <w:p w14:paraId="596FE610">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sz w:val="21"/>
                      <w:szCs w:val="21"/>
                      <w:lang w:bidi="ar-SA"/>
                    </w:rPr>
                  </w:pPr>
                  <w:r>
                    <w:rPr>
                      <w:rFonts w:hint="default" w:ascii="Times New Roman" w:hAnsi="Times New Roman" w:eastAsia="宋体" w:cs="Times New Roman"/>
                      <w:color w:val="auto"/>
                      <w:kern w:val="0"/>
                      <w:sz w:val="21"/>
                      <w:szCs w:val="21"/>
                      <w:lang w:bidi="ar-SA"/>
                    </w:rPr>
                    <w:t>本项目拟按照《一般工业固体废物管理台账制定指南(试行)》(生态环境部2021年第82号公告)要求，建立一般工业固废台账。</w:t>
                  </w:r>
                </w:p>
              </w:tc>
              <w:tc>
                <w:tcPr>
                  <w:tcW w:w="627" w:type="dxa"/>
                  <w:tcBorders>
                    <w:top w:val="single" w:color="auto" w:sz="4" w:space="0"/>
                    <w:left w:val="single" w:color="auto" w:sz="4" w:space="0"/>
                    <w:bottom w:val="single" w:color="auto" w:sz="12" w:space="0"/>
                    <w:right w:val="nil"/>
                  </w:tcBorders>
                  <w:noWrap w:val="0"/>
                  <w:vAlign w:val="center"/>
                </w:tcPr>
                <w:p w14:paraId="1F7AC953">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sz w:val="21"/>
                      <w:szCs w:val="21"/>
                      <w:lang w:bidi="ar-SA"/>
                    </w:rPr>
                  </w:pPr>
                  <w:r>
                    <w:rPr>
                      <w:rFonts w:hint="default" w:ascii="Times New Roman" w:hAnsi="Times New Roman" w:eastAsia="宋体" w:cs="Times New Roman"/>
                      <w:color w:val="auto"/>
                      <w:kern w:val="0"/>
                      <w:sz w:val="21"/>
                      <w:szCs w:val="21"/>
                      <w:lang w:bidi="ar-SA"/>
                    </w:rPr>
                    <w:t>相符</w:t>
                  </w:r>
                </w:p>
              </w:tc>
            </w:tr>
          </w:tbl>
          <w:p w14:paraId="4D695C0E">
            <w:pPr>
              <w:keepNext w:val="0"/>
              <w:keepLines w:val="0"/>
              <w:suppressLineNumbers w:val="0"/>
              <w:spacing w:before="0" w:beforeLines="0" w:beforeAutospacing="0" w:after="0" w:afterLines="0" w:afterAutospacing="0" w:line="360" w:lineRule="auto"/>
              <w:ind w:left="0" w:right="0" w:firstLine="480"/>
              <w:rPr>
                <w:rFonts w:hint="default" w:ascii="Times New Roman" w:hAnsi="Times New Roman" w:eastAsia="宋体" w:cs="Times New Roman"/>
                <w:color w:val="auto"/>
                <w:kern w:val="0"/>
                <w:sz w:val="24"/>
                <w:szCs w:val="24"/>
                <w:highlight w:val="none"/>
                <w:lang w:val="en-US" w:eastAsia="zh-CN" w:bidi="ar-SA"/>
              </w:rPr>
            </w:pPr>
            <w:r>
              <w:rPr>
                <w:rFonts w:hint="default" w:ascii="Times New Roman" w:hAnsi="Times New Roman" w:eastAsia="宋体" w:cs="Times New Roman"/>
                <w:color w:val="auto"/>
                <w:sz w:val="24"/>
                <w:szCs w:val="24"/>
                <w:lang w:bidi="ar-SA"/>
              </w:rPr>
              <w:t>由上表可知，本项目建设符合《省生态环境厅关于印发</w:t>
            </w:r>
            <w:r>
              <w:rPr>
                <w:rFonts w:hint="eastAsia" w:cs="Times New Roman"/>
                <w:color w:val="auto"/>
                <w:sz w:val="24"/>
                <w:szCs w:val="24"/>
                <w:lang w:val="en-US" w:eastAsia="zh-CN" w:bidi="ar-SA"/>
              </w:rPr>
              <w:t>&lt;</w:t>
            </w:r>
            <w:r>
              <w:rPr>
                <w:rFonts w:hint="default" w:ascii="Times New Roman" w:hAnsi="Times New Roman" w:eastAsia="宋体" w:cs="Times New Roman"/>
                <w:color w:val="auto"/>
                <w:sz w:val="24"/>
                <w:szCs w:val="24"/>
                <w:lang w:bidi="ar-SA"/>
              </w:rPr>
              <w:t>江苏省固体废物全过程环境监管工作意见</w:t>
            </w:r>
            <w:r>
              <w:rPr>
                <w:rFonts w:hint="eastAsia" w:cs="Times New Roman"/>
                <w:color w:val="auto"/>
                <w:sz w:val="24"/>
                <w:szCs w:val="24"/>
                <w:lang w:val="en-US" w:eastAsia="zh-CN" w:bidi="ar-SA"/>
              </w:rPr>
              <w:t>&gt;</w:t>
            </w:r>
            <w:r>
              <w:rPr>
                <w:rFonts w:hint="default" w:ascii="Times New Roman" w:hAnsi="Times New Roman" w:eastAsia="宋体" w:cs="Times New Roman"/>
                <w:color w:val="auto"/>
                <w:sz w:val="24"/>
                <w:szCs w:val="24"/>
                <w:lang w:bidi="ar-SA"/>
              </w:rPr>
              <w:t>的通知》（苏环办〔2024〕16号）相关要求。</w:t>
            </w:r>
          </w:p>
          <w:p w14:paraId="53A18CAA">
            <w:pPr>
              <w:keepNext w:val="0"/>
              <w:keepLines w:val="0"/>
              <w:widowControl w:val="0"/>
              <w:suppressLineNumbers w:val="0"/>
              <w:adjustRightInd w:val="0"/>
              <w:snapToGrid w:val="0"/>
              <w:spacing w:before="0" w:beforeAutospacing="0" w:after="0" w:afterAutospacing="0" w:line="360" w:lineRule="auto"/>
              <w:ind w:left="0" w:right="0" w:firstLine="480" w:firstLineChars="200"/>
              <w:jc w:val="both"/>
              <w:rPr>
                <w:rFonts w:hint="default" w:ascii="Times New Roman" w:hAnsi="Times New Roman" w:eastAsia="宋体" w:cs="Times New Roman"/>
                <w:b/>
                <w:bCs/>
                <w:color w:val="auto"/>
                <w:kern w:val="44"/>
                <w:sz w:val="24"/>
                <w:szCs w:val="24"/>
                <w:lang w:val="en-US" w:eastAsia="zh-CN" w:bidi="ar-SA"/>
              </w:rPr>
            </w:pPr>
            <w:r>
              <w:rPr>
                <w:rFonts w:hint="default" w:ascii="Times New Roman" w:hAnsi="Times New Roman" w:eastAsia="宋体" w:cs="Times New Roman"/>
                <w:color w:val="auto"/>
                <w:kern w:val="0"/>
                <w:sz w:val="24"/>
                <w:szCs w:val="24"/>
                <w:highlight w:val="none"/>
                <w:lang w:val="en-US" w:eastAsia="zh-CN" w:bidi="ar-SA"/>
              </w:rPr>
              <w:t>（2）与《关于进一步加强危险废物环境管理工作的通知》（苏环办</w:t>
            </w:r>
            <w:r>
              <w:rPr>
                <w:rFonts w:hint="eastAsia" w:ascii="Times New Roman" w:hAnsi="Times New Roman" w:eastAsia="宋体" w:cs="Times New Roman"/>
                <w:color w:val="auto"/>
                <w:kern w:val="0"/>
                <w:sz w:val="24"/>
                <w:szCs w:val="24"/>
                <w:highlight w:val="none"/>
                <w:lang w:val="en-US" w:eastAsia="zh-CN" w:bidi="ar-SA"/>
              </w:rPr>
              <w:t>〔2021〕207号</w:t>
            </w:r>
            <w:r>
              <w:rPr>
                <w:rFonts w:hint="default" w:ascii="Times New Roman" w:hAnsi="Times New Roman" w:eastAsia="宋体" w:cs="Times New Roman"/>
                <w:color w:val="auto"/>
                <w:kern w:val="0"/>
                <w:sz w:val="24"/>
                <w:szCs w:val="24"/>
                <w:highlight w:val="none"/>
                <w:lang w:val="en-US" w:eastAsia="zh-CN" w:bidi="ar-SA"/>
              </w:rPr>
              <w:t>）相符性分析</w:t>
            </w:r>
          </w:p>
          <w:p w14:paraId="5486A577">
            <w:pPr>
              <w:keepNext w:val="0"/>
              <w:keepLines w:val="0"/>
              <w:numPr>
                <w:ilvl w:val="0"/>
                <w:numId w:val="0"/>
              </w:numPr>
              <w:suppressLineNumbers w:val="0"/>
              <w:spacing w:before="0" w:beforeAutospacing="0" w:after="0" w:afterAutospacing="0"/>
              <w:ind w:left="0" w:leftChars="0" w:right="0"/>
              <w:jc w:val="center"/>
              <w:rPr>
                <w:rFonts w:hint="default" w:ascii="Times New Roman" w:hAnsi="Times New Roman" w:eastAsia="宋体" w:cs="Times New Roman"/>
                <w:b/>
                <w:bCs/>
                <w:color w:val="auto"/>
                <w:kern w:val="44"/>
                <w:sz w:val="24"/>
                <w:szCs w:val="24"/>
                <w:lang w:val="en-US" w:eastAsia="zh-CN" w:bidi="ar-SA"/>
              </w:rPr>
            </w:pPr>
            <w:r>
              <w:rPr>
                <w:rFonts w:hint="default" w:ascii="Times New Roman" w:hAnsi="Times New Roman" w:eastAsia="宋体" w:cs="Times New Roman"/>
                <w:b/>
                <w:bCs/>
                <w:color w:val="auto"/>
                <w:kern w:val="44"/>
                <w:sz w:val="24"/>
                <w:szCs w:val="24"/>
                <w:lang w:val="en-US" w:eastAsia="zh-CN" w:bidi="ar-SA"/>
              </w:rPr>
              <w:t>表4-</w:t>
            </w:r>
            <w:r>
              <w:rPr>
                <w:rFonts w:hint="eastAsia" w:cs="Times New Roman"/>
                <w:b/>
                <w:bCs/>
                <w:color w:val="auto"/>
                <w:kern w:val="44"/>
                <w:sz w:val="24"/>
                <w:szCs w:val="24"/>
                <w:lang w:val="en-US" w:eastAsia="zh-CN" w:bidi="ar-SA"/>
              </w:rPr>
              <w:t>26</w:t>
            </w:r>
            <w:r>
              <w:rPr>
                <w:rFonts w:hint="default" w:ascii="Times New Roman" w:hAnsi="Times New Roman" w:eastAsia="宋体" w:cs="Times New Roman"/>
                <w:b/>
                <w:bCs/>
                <w:color w:val="auto"/>
                <w:kern w:val="44"/>
                <w:sz w:val="24"/>
                <w:szCs w:val="24"/>
                <w:lang w:val="en-US" w:eastAsia="zh-CN" w:bidi="ar-SA"/>
              </w:rPr>
              <w:t xml:space="preserve"> 本项目与苏环办</w:t>
            </w:r>
            <w:r>
              <w:rPr>
                <w:rFonts w:hint="eastAsia" w:ascii="Times New Roman" w:hAnsi="Times New Roman" w:eastAsia="宋体" w:cs="Times New Roman"/>
                <w:b/>
                <w:bCs/>
                <w:color w:val="auto"/>
                <w:kern w:val="44"/>
                <w:sz w:val="24"/>
                <w:szCs w:val="24"/>
                <w:lang w:val="en-US" w:eastAsia="zh-CN" w:bidi="ar-SA"/>
              </w:rPr>
              <w:t>〔2021〕207号</w:t>
            </w:r>
            <w:r>
              <w:rPr>
                <w:rFonts w:hint="default" w:ascii="Times New Roman" w:hAnsi="Times New Roman" w:eastAsia="宋体" w:cs="Times New Roman"/>
                <w:b/>
                <w:bCs/>
                <w:color w:val="auto"/>
                <w:kern w:val="44"/>
                <w:sz w:val="24"/>
                <w:szCs w:val="24"/>
                <w:lang w:val="en-US" w:eastAsia="zh-CN" w:bidi="ar-SA"/>
              </w:rPr>
              <w:t>文相符性分析一览表</w:t>
            </w:r>
          </w:p>
          <w:tbl>
            <w:tblPr>
              <w:tblStyle w:val="26"/>
              <w:tblW w:w="4996"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11"/>
              <w:gridCol w:w="4454"/>
              <w:gridCol w:w="2127"/>
              <w:gridCol w:w="962"/>
            </w:tblGrid>
            <w:tr w14:paraId="5EFC440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75" w:type="pct"/>
                  <w:tcBorders>
                    <w:tl2br w:val="nil"/>
                    <w:tr2bl w:val="nil"/>
                  </w:tcBorders>
                  <w:noWrap w:val="0"/>
                  <w:vAlign w:val="center"/>
                </w:tcPr>
                <w:p w14:paraId="31DDF4FD">
                  <w:pPr>
                    <w:keepNext w:val="0"/>
                    <w:keepLines w:val="0"/>
                    <w:widowControl w:val="0"/>
                    <w:suppressLineNumbers w:val="0"/>
                    <w:spacing w:before="0" w:beforeAutospacing="0" w:after="0" w:afterAutospacing="0" w:line="240" w:lineRule="atLeast"/>
                    <w:ind w:left="0" w:right="0"/>
                    <w:jc w:val="center"/>
                    <w:rPr>
                      <w:rFonts w:hint="default" w:ascii="Times New Roman" w:hAnsi="Times New Roman" w:eastAsia="宋体" w:cs="Times New Roman"/>
                      <w:b/>
                      <w:bCs w:val="0"/>
                      <w:color w:val="auto"/>
                      <w:kern w:val="2"/>
                      <w:sz w:val="21"/>
                      <w:szCs w:val="21"/>
                      <w:lang w:val="en-US" w:eastAsia="zh-CN" w:bidi="ar-SA"/>
                    </w:rPr>
                  </w:pPr>
                  <w:r>
                    <w:rPr>
                      <w:rFonts w:hint="default" w:ascii="Times New Roman" w:hAnsi="Times New Roman" w:eastAsia="宋体" w:cs="Times New Roman"/>
                      <w:b/>
                      <w:bCs w:val="0"/>
                      <w:color w:val="auto"/>
                      <w:kern w:val="2"/>
                      <w:sz w:val="21"/>
                      <w:szCs w:val="21"/>
                      <w:lang w:val="en-US" w:eastAsia="zh-CN" w:bidi="ar-SA"/>
                    </w:rPr>
                    <w:t>序号</w:t>
                  </w:r>
                </w:p>
              </w:tc>
              <w:tc>
                <w:tcPr>
                  <w:tcW w:w="2729" w:type="pct"/>
                  <w:tcBorders>
                    <w:tl2br w:val="nil"/>
                    <w:tr2bl w:val="nil"/>
                  </w:tcBorders>
                  <w:noWrap w:val="0"/>
                  <w:vAlign w:val="center"/>
                </w:tcPr>
                <w:p w14:paraId="0F3FC47E">
                  <w:pPr>
                    <w:keepNext w:val="0"/>
                    <w:keepLines w:val="0"/>
                    <w:widowControl w:val="0"/>
                    <w:suppressLineNumbers w:val="0"/>
                    <w:spacing w:before="0" w:beforeAutospacing="0" w:after="0" w:afterAutospacing="0" w:line="240" w:lineRule="atLeast"/>
                    <w:ind w:left="0" w:right="0"/>
                    <w:jc w:val="center"/>
                    <w:rPr>
                      <w:rFonts w:hint="default" w:ascii="Times New Roman" w:hAnsi="Times New Roman" w:eastAsia="宋体" w:cs="Times New Roman"/>
                      <w:b/>
                      <w:bCs w:val="0"/>
                      <w:color w:val="auto"/>
                      <w:kern w:val="2"/>
                      <w:sz w:val="21"/>
                      <w:szCs w:val="21"/>
                      <w:lang w:val="en-US" w:eastAsia="zh-CN" w:bidi="ar-SA"/>
                    </w:rPr>
                  </w:pPr>
                  <w:r>
                    <w:rPr>
                      <w:rFonts w:hint="default" w:ascii="Times New Roman" w:hAnsi="Times New Roman" w:eastAsia="宋体" w:cs="Times New Roman"/>
                      <w:b/>
                      <w:bCs w:val="0"/>
                      <w:color w:val="auto"/>
                      <w:kern w:val="2"/>
                      <w:sz w:val="21"/>
                      <w:szCs w:val="21"/>
                      <w:lang w:val="en-US" w:eastAsia="zh-CN" w:bidi="ar-SA"/>
                    </w:rPr>
                    <w:t>文件规定要求</w:t>
                  </w:r>
                </w:p>
              </w:tc>
              <w:tc>
                <w:tcPr>
                  <w:tcW w:w="1303" w:type="pct"/>
                  <w:tcBorders>
                    <w:tl2br w:val="nil"/>
                    <w:tr2bl w:val="nil"/>
                  </w:tcBorders>
                  <w:noWrap w:val="0"/>
                  <w:vAlign w:val="center"/>
                </w:tcPr>
                <w:p w14:paraId="6C9690FA">
                  <w:pPr>
                    <w:keepNext w:val="0"/>
                    <w:keepLines w:val="0"/>
                    <w:widowControl w:val="0"/>
                    <w:suppressLineNumbers w:val="0"/>
                    <w:spacing w:before="0" w:beforeAutospacing="0" w:after="0" w:afterAutospacing="0" w:line="240" w:lineRule="atLeast"/>
                    <w:ind w:left="0" w:right="0"/>
                    <w:jc w:val="center"/>
                    <w:rPr>
                      <w:rFonts w:hint="default" w:ascii="Times New Roman" w:hAnsi="Times New Roman" w:eastAsia="宋体" w:cs="Times New Roman"/>
                      <w:b/>
                      <w:bCs w:val="0"/>
                      <w:color w:val="auto"/>
                      <w:kern w:val="2"/>
                      <w:sz w:val="21"/>
                      <w:szCs w:val="21"/>
                      <w:lang w:val="en-US" w:eastAsia="zh-CN" w:bidi="ar-SA"/>
                    </w:rPr>
                  </w:pPr>
                  <w:r>
                    <w:rPr>
                      <w:rFonts w:hint="default" w:ascii="Times New Roman" w:hAnsi="Times New Roman" w:eastAsia="宋体" w:cs="Times New Roman"/>
                      <w:b/>
                      <w:bCs w:val="0"/>
                      <w:color w:val="auto"/>
                      <w:kern w:val="2"/>
                      <w:sz w:val="21"/>
                      <w:szCs w:val="21"/>
                      <w:lang w:val="en-US" w:eastAsia="zh-CN" w:bidi="ar-SA"/>
                    </w:rPr>
                    <w:t>相符性分析</w:t>
                  </w:r>
                </w:p>
              </w:tc>
              <w:tc>
                <w:tcPr>
                  <w:tcW w:w="590" w:type="pct"/>
                  <w:tcBorders>
                    <w:tl2br w:val="nil"/>
                    <w:tr2bl w:val="nil"/>
                  </w:tcBorders>
                  <w:noWrap w:val="0"/>
                  <w:vAlign w:val="center"/>
                </w:tcPr>
                <w:p w14:paraId="60347A9D">
                  <w:pPr>
                    <w:keepNext w:val="0"/>
                    <w:keepLines w:val="0"/>
                    <w:widowControl w:val="0"/>
                    <w:suppressLineNumbers w:val="0"/>
                    <w:spacing w:before="0" w:beforeAutospacing="0" w:after="0" w:afterAutospacing="0" w:line="240" w:lineRule="atLeast"/>
                    <w:ind w:left="0" w:right="0"/>
                    <w:jc w:val="center"/>
                    <w:rPr>
                      <w:rFonts w:hint="default" w:ascii="Times New Roman" w:hAnsi="Times New Roman" w:eastAsia="宋体" w:cs="Times New Roman"/>
                      <w:b/>
                      <w:bCs w:val="0"/>
                      <w:color w:val="auto"/>
                      <w:kern w:val="2"/>
                      <w:sz w:val="21"/>
                      <w:szCs w:val="21"/>
                      <w:lang w:val="en-US" w:eastAsia="zh-CN" w:bidi="ar-SA"/>
                    </w:rPr>
                  </w:pPr>
                  <w:r>
                    <w:rPr>
                      <w:rFonts w:hint="default" w:ascii="Times New Roman" w:hAnsi="Times New Roman" w:eastAsia="宋体" w:cs="Times New Roman"/>
                      <w:b/>
                      <w:bCs w:val="0"/>
                      <w:color w:val="auto"/>
                      <w:kern w:val="2"/>
                      <w:sz w:val="21"/>
                      <w:szCs w:val="21"/>
                      <w:lang w:val="en-US" w:eastAsia="zh-CN" w:bidi="ar-SA"/>
                    </w:rPr>
                    <w:t>结论</w:t>
                  </w:r>
                </w:p>
              </w:tc>
            </w:tr>
            <w:tr w14:paraId="327F728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75" w:type="pct"/>
                  <w:tcBorders>
                    <w:tl2br w:val="nil"/>
                    <w:tr2bl w:val="nil"/>
                  </w:tcBorders>
                  <w:noWrap w:val="0"/>
                  <w:vAlign w:val="center"/>
                </w:tcPr>
                <w:p w14:paraId="402FC8D9">
                  <w:pPr>
                    <w:keepNext w:val="0"/>
                    <w:keepLines w:val="0"/>
                    <w:widowControl w:val="0"/>
                    <w:suppressLineNumbers w:val="0"/>
                    <w:spacing w:before="0" w:beforeAutospacing="0" w:after="0" w:afterAutospacing="0" w:line="240" w:lineRule="atLeast"/>
                    <w:ind w:left="0" w:right="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bCs/>
                      <w:color w:val="auto"/>
                      <w:kern w:val="2"/>
                      <w:sz w:val="21"/>
                      <w:szCs w:val="21"/>
                      <w:lang w:val="en-US" w:eastAsia="zh-CN" w:bidi="ar-SA"/>
                    </w:rPr>
                    <w:t>1</w:t>
                  </w:r>
                </w:p>
              </w:tc>
              <w:tc>
                <w:tcPr>
                  <w:tcW w:w="2729" w:type="pct"/>
                  <w:tcBorders>
                    <w:tl2br w:val="nil"/>
                    <w:tr2bl w:val="nil"/>
                  </w:tcBorders>
                  <w:noWrap w:val="0"/>
                  <w:vAlign w:val="center"/>
                </w:tcPr>
                <w:p w14:paraId="192C1F1E">
                  <w:pPr>
                    <w:keepNext w:val="0"/>
                    <w:keepLines w:val="0"/>
                    <w:widowControl w:val="0"/>
                    <w:suppressLineNumbers w:val="0"/>
                    <w:spacing w:before="0" w:beforeAutospacing="0" w:after="0" w:afterAutospacing="0" w:line="240" w:lineRule="atLeast"/>
                    <w:ind w:left="0" w:right="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bCs/>
                      <w:color w:val="auto"/>
                      <w:kern w:val="2"/>
                      <w:sz w:val="21"/>
                      <w:szCs w:val="21"/>
                      <w:lang w:val="en-US" w:eastAsia="zh-CN" w:bidi="ar-SA"/>
                    </w:rPr>
                    <w:t>严格落实产废单位危险废物污染环境防治主体责任。产废单位必须将危险废物提供或者委托给有资质单位从事收集、贮存、利用处置活动，并有危险废物利用处置合同、资金往来、废物交接等相关证明材料。严禁产废单位委托第三方中介机构运输和利用处置危险废物；严禁将危险废物提供或者委托给无资质单位进行收集、贮存和利用处置。违反上述要求的，各地生态环境部门按照《固体废物污染环境防治法》“第一百一十二条”、“第一百一十四条”规定，追究产废单位和第三方中介机构法律责任。</w:t>
                  </w:r>
                </w:p>
              </w:tc>
              <w:tc>
                <w:tcPr>
                  <w:tcW w:w="1303" w:type="pct"/>
                  <w:tcBorders>
                    <w:tl2br w:val="nil"/>
                    <w:tr2bl w:val="nil"/>
                  </w:tcBorders>
                  <w:noWrap w:val="0"/>
                  <w:vAlign w:val="center"/>
                </w:tcPr>
                <w:p w14:paraId="1BD3D193">
                  <w:pPr>
                    <w:keepNext w:val="0"/>
                    <w:keepLines w:val="0"/>
                    <w:widowControl w:val="0"/>
                    <w:suppressLineNumbers w:val="0"/>
                    <w:spacing w:before="0" w:beforeAutospacing="0" w:after="0" w:afterAutospacing="0" w:line="240" w:lineRule="atLeast"/>
                    <w:ind w:left="0" w:right="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bCs/>
                      <w:color w:val="auto"/>
                      <w:kern w:val="2"/>
                      <w:sz w:val="21"/>
                      <w:szCs w:val="21"/>
                      <w:lang w:val="en-US" w:eastAsia="zh-CN" w:bidi="ar-SA"/>
                    </w:rPr>
                    <w:t>本项目产生的危险废物将委托有资质单位进行收集、运输和利用处置。</w:t>
                  </w:r>
                </w:p>
              </w:tc>
              <w:tc>
                <w:tcPr>
                  <w:tcW w:w="590" w:type="pct"/>
                  <w:tcBorders>
                    <w:tl2br w:val="nil"/>
                    <w:tr2bl w:val="nil"/>
                  </w:tcBorders>
                  <w:noWrap w:val="0"/>
                  <w:vAlign w:val="center"/>
                </w:tcPr>
                <w:p w14:paraId="47E8C050">
                  <w:pPr>
                    <w:keepNext w:val="0"/>
                    <w:keepLines w:val="0"/>
                    <w:widowControl w:val="0"/>
                    <w:suppressLineNumbers w:val="0"/>
                    <w:spacing w:before="0" w:beforeAutospacing="0" w:after="0" w:afterAutospacing="0" w:line="240" w:lineRule="atLeast"/>
                    <w:ind w:left="0" w:right="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bCs/>
                      <w:color w:val="auto"/>
                      <w:kern w:val="2"/>
                      <w:sz w:val="21"/>
                      <w:szCs w:val="21"/>
                      <w:lang w:val="en-US" w:eastAsia="zh-CN" w:bidi="ar-SA"/>
                    </w:rPr>
                    <w:t>相符</w:t>
                  </w:r>
                </w:p>
              </w:tc>
            </w:tr>
            <w:tr w14:paraId="6FBB6DA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75" w:type="pct"/>
                  <w:tcBorders>
                    <w:tl2br w:val="nil"/>
                    <w:tr2bl w:val="nil"/>
                  </w:tcBorders>
                  <w:noWrap w:val="0"/>
                  <w:vAlign w:val="center"/>
                </w:tcPr>
                <w:p w14:paraId="2F710347">
                  <w:pPr>
                    <w:keepNext w:val="0"/>
                    <w:keepLines w:val="0"/>
                    <w:widowControl w:val="0"/>
                    <w:suppressLineNumbers w:val="0"/>
                    <w:spacing w:before="0" w:beforeAutospacing="0" w:after="0" w:afterAutospacing="0" w:line="240" w:lineRule="atLeast"/>
                    <w:ind w:left="0" w:right="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bCs/>
                      <w:color w:val="auto"/>
                      <w:kern w:val="2"/>
                      <w:sz w:val="21"/>
                      <w:szCs w:val="21"/>
                      <w:lang w:val="en-US" w:eastAsia="zh-CN" w:bidi="ar-SA"/>
                    </w:rPr>
                    <w:t>2</w:t>
                  </w:r>
                </w:p>
              </w:tc>
              <w:tc>
                <w:tcPr>
                  <w:tcW w:w="2729" w:type="pct"/>
                  <w:tcBorders>
                    <w:tl2br w:val="nil"/>
                    <w:tr2bl w:val="nil"/>
                  </w:tcBorders>
                  <w:noWrap w:val="0"/>
                  <w:vAlign w:val="center"/>
                </w:tcPr>
                <w:p w14:paraId="0E695CC3">
                  <w:pPr>
                    <w:keepNext w:val="0"/>
                    <w:keepLines w:val="0"/>
                    <w:widowControl w:val="0"/>
                    <w:suppressLineNumbers w:val="0"/>
                    <w:spacing w:before="0" w:beforeAutospacing="0" w:after="0" w:afterAutospacing="0" w:line="240" w:lineRule="atLeast"/>
                    <w:ind w:left="0" w:right="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bCs/>
                      <w:color w:val="auto"/>
                      <w:kern w:val="2"/>
                      <w:sz w:val="21"/>
                      <w:szCs w:val="21"/>
                      <w:lang w:val="en-US" w:eastAsia="zh-CN" w:bidi="ar-SA"/>
                    </w:rPr>
                    <w:t>严格危险废物产生贮存环境监管。通过“江苏环保脸谱”，全面推行产生和贮存现场实时申报，自动生成二维码包装标识，实现危险废物从产生到贮存信息化监管。严禁任何企业、供应商、经销商等以生态环境部门名义向产废单位、收集单位、利用处置单位推销购买任何与全生命周期监控系统相关的智能设备；严禁任何第三方在全生命周期监控系统推广使用、宣传、培训过程中以夸大、捆绑、谎称、垄断等方式借机推销相关设备和软件系统。</w:t>
                  </w:r>
                </w:p>
              </w:tc>
              <w:tc>
                <w:tcPr>
                  <w:tcW w:w="1303" w:type="pct"/>
                  <w:tcBorders>
                    <w:tl2br w:val="nil"/>
                    <w:tr2bl w:val="nil"/>
                  </w:tcBorders>
                  <w:noWrap w:val="0"/>
                  <w:vAlign w:val="center"/>
                </w:tcPr>
                <w:p w14:paraId="30445EE7">
                  <w:pPr>
                    <w:keepNext w:val="0"/>
                    <w:keepLines w:val="0"/>
                    <w:widowControl w:val="0"/>
                    <w:suppressLineNumbers w:val="0"/>
                    <w:spacing w:before="0" w:beforeAutospacing="0" w:after="0" w:afterAutospacing="0" w:line="240" w:lineRule="atLeast"/>
                    <w:ind w:left="0" w:right="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bCs/>
                      <w:color w:val="auto"/>
                      <w:kern w:val="2"/>
                      <w:sz w:val="21"/>
                      <w:szCs w:val="21"/>
                      <w:lang w:val="en-US" w:eastAsia="zh-CN" w:bidi="ar-SA"/>
                    </w:rPr>
                    <w:t>本项目在日常的运营管理过程中，通过“江苏环保脸谱”实现危险废物从产生到贮存信息化监管。不接受其他单位推销的任何与全生命周期监控系统相关的智能设备。</w:t>
                  </w:r>
                </w:p>
              </w:tc>
              <w:tc>
                <w:tcPr>
                  <w:tcW w:w="590" w:type="pct"/>
                  <w:tcBorders>
                    <w:tl2br w:val="nil"/>
                    <w:tr2bl w:val="nil"/>
                  </w:tcBorders>
                  <w:noWrap w:val="0"/>
                  <w:vAlign w:val="center"/>
                </w:tcPr>
                <w:p w14:paraId="673230A6">
                  <w:pPr>
                    <w:keepNext w:val="0"/>
                    <w:keepLines w:val="0"/>
                    <w:widowControl w:val="0"/>
                    <w:suppressLineNumbers w:val="0"/>
                    <w:spacing w:before="0" w:beforeAutospacing="0" w:after="0" w:afterAutospacing="0" w:line="240" w:lineRule="atLeast"/>
                    <w:ind w:left="0" w:right="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bCs/>
                      <w:color w:val="auto"/>
                      <w:kern w:val="2"/>
                      <w:sz w:val="21"/>
                      <w:szCs w:val="21"/>
                      <w:lang w:val="en-US" w:eastAsia="zh-CN" w:bidi="ar-SA"/>
                    </w:rPr>
                    <w:t>相符</w:t>
                  </w:r>
                </w:p>
              </w:tc>
            </w:tr>
            <w:tr w14:paraId="022C1DF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75" w:type="pct"/>
                  <w:tcBorders>
                    <w:tl2br w:val="nil"/>
                    <w:tr2bl w:val="nil"/>
                  </w:tcBorders>
                  <w:noWrap w:val="0"/>
                  <w:vAlign w:val="center"/>
                </w:tcPr>
                <w:p w14:paraId="06093249">
                  <w:pPr>
                    <w:keepNext w:val="0"/>
                    <w:keepLines w:val="0"/>
                    <w:widowControl w:val="0"/>
                    <w:suppressLineNumbers w:val="0"/>
                    <w:spacing w:before="0" w:beforeAutospacing="0" w:after="0" w:afterAutospacing="0" w:line="240" w:lineRule="atLeast"/>
                    <w:ind w:left="0" w:right="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bCs/>
                      <w:color w:val="auto"/>
                      <w:kern w:val="2"/>
                      <w:sz w:val="21"/>
                      <w:szCs w:val="21"/>
                      <w:lang w:val="en-US" w:eastAsia="zh-CN" w:bidi="ar-SA"/>
                    </w:rPr>
                    <w:t>3</w:t>
                  </w:r>
                </w:p>
              </w:tc>
              <w:tc>
                <w:tcPr>
                  <w:tcW w:w="2729" w:type="pct"/>
                  <w:tcBorders>
                    <w:tl2br w:val="nil"/>
                    <w:tr2bl w:val="nil"/>
                  </w:tcBorders>
                  <w:noWrap w:val="0"/>
                  <w:vAlign w:val="center"/>
                </w:tcPr>
                <w:p w14:paraId="79C80C15">
                  <w:pPr>
                    <w:keepNext w:val="0"/>
                    <w:keepLines w:val="0"/>
                    <w:widowControl w:val="0"/>
                    <w:suppressLineNumbers w:val="0"/>
                    <w:spacing w:before="0" w:beforeAutospacing="0" w:after="0" w:afterAutospacing="0" w:line="240" w:lineRule="atLeast"/>
                    <w:ind w:left="0" w:right="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bCs/>
                      <w:color w:val="auto"/>
                      <w:kern w:val="2"/>
                      <w:sz w:val="21"/>
                      <w:szCs w:val="21"/>
                      <w:lang w:val="en-US" w:eastAsia="zh-CN" w:bidi="ar-SA"/>
                    </w:rPr>
                    <w:t>严格危险废物转移环境监管。全面推行危险废物转移电子联单，自2021年7月10日起，危险废物通过全生命周期监控系统扫描二维码转移，严禁无二维码转移行为(槽罐车、管道等除外)。各地要加强危险废物流向监控，建立电子档案，严厉打击危险废物转移过程中的环境违法行为。严禁生态环境系统人员直接或间接为产废单位指定或介绍收集、转运、利用处置单位。违反上述要求的，各地生态环境部门可关闭相关企业危险废物转移系统功能，禁止其危险废物转移，并追究相关责任人责任。</w:t>
                  </w:r>
                </w:p>
              </w:tc>
              <w:tc>
                <w:tcPr>
                  <w:tcW w:w="1303" w:type="pct"/>
                  <w:tcBorders>
                    <w:tl2br w:val="nil"/>
                    <w:tr2bl w:val="nil"/>
                  </w:tcBorders>
                  <w:noWrap w:val="0"/>
                  <w:vAlign w:val="center"/>
                </w:tcPr>
                <w:p w14:paraId="44604303">
                  <w:pPr>
                    <w:keepNext w:val="0"/>
                    <w:keepLines w:val="0"/>
                    <w:widowControl w:val="0"/>
                    <w:suppressLineNumbers w:val="0"/>
                    <w:spacing w:before="0" w:beforeAutospacing="0" w:after="0" w:afterAutospacing="0" w:line="240" w:lineRule="atLeast"/>
                    <w:ind w:left="0" w:right="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bCs/>
                      <w:color w:val="auto"/>
                      <w:kern w:val="2"/>
                      <w:sz w:val="21"/>
                      <w:szCs w:val="21"/>
                      <w:lang w:val="en-US" w:eastAsia="zh-CN" w:bidi="ar-SA"/>
                    </w:rPr>
                    <w:t>本项目严格执行危险废物转移电子联单制度，建立电子档案，做好危废相关的手续及存档。</w:t>
                  </w:r>
                </w:p>
              </w:tc>
              <w:tc>
                <w:tcPr>
                  <w:tcW w:w="590" w:type="pct"/>
                  <w:tcBorders>
                    <w:tl2br w:val="nil"/>
                    <w:tr2bl w:val="nil"/>
                  </w:tcBorders>
                  <w:noWrap w:val="0"/>
                  <w:vAlign w:val="center"/>
                </w:tcPr>
                <w:p w14:paraId="41EC82EC">
                  <w:pPr>
                    <w:keepNext w:val="0"/>
                    <w:keepLines w:val="0"/>
                    <w:widowControl w:val="0"/>
                    <w:suppressLineNumbers w:val="0"/>
                    <w:spacing w:before="0" w:beforeAutospacing="0" w:after="0" w:afterAutospacing="0" w:line="240" w:lineRule="atLeast"/>
                    <w:ind w:left="0" w:right="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bCs/>
                      <w:color w:val="auto"/>
                      <w:kern w:val="2"/>
                      <w:sz w:val="21"/>
                      <w:szCs w:val="21"/>
                      <w:lang w:val="en-US" w:eastAsia="zh-CN" w:bidi="ar-SA"/>
                    </w:rPr>
                    <w:t>相符</w:t>
                  </w:r>
                </w:p>
              </w:tc>
            </w:tr>
            <w:tr w14:paraId="02E6923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75" w:type="pct"/>
                  <w:tcBorders>
                    <w:tl2br w:val="nil"/>
                    <w:tr2bl w:val="nil"/>
                  </w:tcBorders>
                  <w:noWrap w:val="0"/>
                  <w:vAlign w:val="center"/>
                </w:tcPr>
                <w:p w14:paraId="2334F7C7">
                  <w:pPr>
                    <w:keepNext w:val="0"/>
                    <w:keepLines w:val="0"/>
                    <w:widowControl w:val="0"/>
                    <w:suppressLineNumbers w:val="0"/>
                    <w:spacing w:before="0" w:beforeAutospacing="0" w:after="0" w:afterAutospacing="0" w:line="240" w:lineRule="atLeast"/>
                    <w:ind w:left="0" w:right="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bCs/>
                      <w:color w:val="auto"/>
                      <w:kern w:val="2"/>
                      <w:sz w:val="21"/>
                      <w:szCs w:val="21"/>
                      <w:lang w:val="en-US" w:eastAsia="zh-CN" w:bidi="ar-SA"/>
                    </w:rPr>
                    <w:t>4</w:t>
                  </w:r>
                </w:p>
              </w:tc>
              <w:tc>
                <w:tcPr>
                  <w:tcW w:w="2729" w:type="pct"/>
                  <w:tcBorders>
                    <w:tl2br w:val="nil"/>
                    <w:tr2bl w:val="nil"/>
                  </w:tcBorders>
                  <w:noWrap w:val="0"/>
                  <w:vAlign w:val="center"/>
                </w:tcPr>
                <w:p w14:paraId="4DA1D108">
                  <w:pPr>
                    <w:keepNext w:val="0"/>
                    <w:keepLines w:val="0"/>
                    <w:widowControl w:val="0"/>
                    <w:suppressLineNumbers w:val="0"/>
                    <w:spacing w:before="0" w:beforeAutospacing="0" w:after="0" w:afterAutospacing="0" w:line="240" w:lineRule="atLeast"/>
                    <w:ind w:left="0" w:right="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bCs/>
                      <w:color w:val="auto"/>
                      <w:kern w:val="2"/>
                      <w:sz w:val="21"/>
                      <w:szCs w:val="21"/>
                      <w:lang w:val="en-US" w:eastAsia="zh-CN" w:bidi="ar-SA"/>
                    </w:rPr>
                    <w:t>严格执行危险废物豁免管理清单。各设区市生态环境部门要对照国家危险废物豁免管理清单，梳理本辖区符合豁免管理条件的利用处置单位(非持证单位)，在设区市生态环境部门官网公开，实施动态管理。各地生态环境部门要加强危险废物豁免管理单位的日常监管，将豁免管理危险废物产生、贮存、运输、利用、处置等情况纳入全生命周期监控系统，严格落实危险废物相关管理制度，加强业务培训，提升危险废物规范化管理水平。</w:t>
                  </w:r>
                </w:p>
              </w:tc>
              <w:tc>
                <w:tcPr>
                  <w:tcW w:w="1303" w:type="pct"/>
                  <w:tcBorders>
                    <w:tl2br w:val="nil"/>
                    <w:tr2bl w:val="nil"/>
                  </w:tcBorders>
                  <w:noWrap w:val="0"/>
                  <w:vAlign w:val="center"/>
                </w:tcPr>
                <w:p w14:paraId="02681F58">
                  <w:pPr>
                    <w:keepNext w:val="0"/>
                    <w:keepLines w:val="0"/>
                    <w:widowControl w:val="0"/>
                    <w:suppressLineNumbers w:val="0"/>
                    <w:spacing w:before="0" w:beforeAutospacing="0" w:after="0" w:afterAutospacing="0" w:line="240" w:lineRule="atLeast"/>
                    <w:ind w:left="0" w:right="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bCs/>
                      <w:color w:val="auto"/>
                      <w:kern w:val="2"/>
                      <w:sz w:val="21"/>
                      <w:szCs w:val="21"/>
                      <w:lang w:val="en-US" w:eastAsia="zh-CN" w:bidi="ar-SA"/>
                    </w:rPr>
                    <w:t>本项目不涉及危险废物豁免管理。</w:t>
                  </w:r>
                </w:p>
              </w:tc>
              <w:tc>
                <w:tcPr>
                  <w:tcW w:w="590" w:type="pct"/>
                  <w:tcBorders>
                    <w:tl2br w:val="nil"/>
                    <w:tr2bl w:val="nil"/>
                  </w:tcBorders>
                  <w:noWrap w:val="0"/>
                  <w:vAlign w:val="center"/>
                </w:tcPr>
                <w:p w14:paraId="7C3414E6">
                  <w:pPr>
                    <w:keepNext w:val="0"/>
                    <w:keepLines w:val="0"/>
                    <w:widowControl w:val="0"/>
                    <w:suppressLineNumbers w:val="0"/>
                    <w:spacing w:before="0" w:beforeAutospacing="0" w:after="0" w:afterAutospacing="0" w:line="240" w:lineRule="atLeast"/>
                    <w:ind w:left="0" w:right="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bCs/>
                      <w:color w:val="auto"/>
                      <w:kern w:val="2"/>
                      <w:sz w:val="21"/>
                      <w:szCs w:val="21"/>
                      <w:lang w:val="en-US" w:eastAsia="zh-CN" w:bidi="ar-SA"/>
                    </w:rPr>
                    <w:t>相符</w:t>
                  </w:r>
                </w:p>
              </w:tc>
            </w:tr>
            <w:tr w14:paraId="19354A8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75" w:type="pct"/>
                  <w:tcBorders>
                    <w:tl2br w:val="nil"/>
                    <w:tr2bl w:val="nil"/>
                  </w:tcBorders>
                  <w:noWrap/>
                  <w:vAlign w:val="center"/>
                </w:tcPr>
                <w:p w14:paraId="5E9001B8">
                  <w:pPr>
                    <w:keepNext w:val="0"/>
                    <w:keepLines w:val="0"/>
                    <w:widowControl w:val="0"/>
                    <w:suppressLineNumbers w:val="0"/>
                    <w:spacing w:before="0" w:beforeAutospacing="0" w:after="0" w:afterAutospacing="0" w:line="240" w:lineRule="atLeast"/>
                    <w:ind w:left="0" w:right="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bCs/>
                      <w:color w:val="auto"/>
                      <w:kern w:val="2"/>
                      <w:sz w:val="21"/>
                      <w:szCs w:val="21"/>
                      <w:lang w:val="en-US" w:eastAsia="zh-CN" w:bidi="ar-SA"/>
                    </w:rPr>
                    <w:t>5</w:t>
                  </w:r>
                </w:p>
              </w:tc>
              <w:tc>
                <w:tcPr>
                  <w:tcW w:w="2729" w:type="pct"/>
                  <w:tcBorders>
                    <w:tl2br w:val="nil"/>
                    <w:tr2bl w:val="nil"/>
                  </w:tcBorders>
                  <w:noWrap w:val="0"/>
                  <w:vAlign w:val="center"/>
                </w:tcPr>
                <w:p w14:paraId="539CDEDE">
                  <w:pPr>
                    <w:keepNext w:val="0"/>
                    <w:keepLines w:val="0"/>
                    <w:widowControl w:val="0"/>
                    <w:suppressLineNumbers w:val="0"/>
                    <w:spacing w:before="0" w:beforeAutospacing="0" w:after="0" w:afterAutospacing="0" w:line="240" w:lineRule="atLeast"/>
                    <w:ind w:left="0" w:right="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bCs/>
                      <w:color w:val="auto"/>
                      <w:kern w:val="2"/>
                      <w:sz w:val="21"/>
                      <w:szCs w:val="21"/>
                      <w:lang w:val="en-US" w:eastAsia="zh-CN" w:bidi="ar-SA"/>
                    </w:rPr>
                    <w:t>严格危险废物应急处置和行政代处置管理。各地要结合实际制定危险废物应急处置和行政代处置管理方案，明确适用范围、各方职责、执行程序和监管措施等内容。按照《固体废物污染环境防治法》《国家危险废物名录》(2021版)等要求，需采取应急处置或行政代处置的相关部门和单位，要科学制定处置方案并按要求向有关生态环境部门和地方政府报备。严禁借应急处置和行政代处置名义逃避监管，违法处置危险废物。</w:t>
                  </w:r>
                </w:p>
              </w:tc>
              <w:tc>
                <w:tcPr>
                  <w:tcW w:w="1303" w:type="pct"/>
                  <w:tcBorders>
                    <w:tl2br w:val="nil"/>
                    <w:tr2bl w:val="nil"/>
                  </w:tcBorders>
                  <w:noWrap w:val="0"/>
                  <w:vAlign w:val="center"/>
                </w:tcPr>
                <w:p w14:paraId="4C40E101">
                  <w:pPr>
                    <w:keepNext w:val="0"/>
                    <w:keepLines w:val="0"/>
                    <w:widowControl w:val="0"/>
                    <w:suppressLineNumbers w:val="0"/>
                    <w:spacing w:before="0" w:beforeAutospacing="0" w:after="0" w:afterAutospacing="0" w:line="240" w:lineRule="atLeast"/>
                    <w:ind w:left="0" w:right="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bCs/>
                      <w:color w:val="auto"/>
                      <w:kern w:val="2"/>
                      <w:sz w:val="21"/>
                      <w:szCs w:val="21"/>
                      <w:lang w:val="en-US" w:eastAsia="zh-CN" w:bidi="ar-SA"/>
                    </w:rPr>
                    <w:t>本项目危废均交由有资质单位处置，不涉及危险废物应急处置和行政代处置管理。</w:t>
                  </w:r>
                </w:p>
              </w:tc>
              <w:tc>
                <w:tcPr>
                  <w:tcW w:w="590" w:type="pct"/>
                  <w:tcBorders>
                    <w:tl2br w:val="nil"/>
                    <w:tr2bl w:val="nil"/>
                  </w:tcBorders>
                  <w:noWrap w:val="0"/>
                  <w:vAlign w:val="center"/>
                </w:tcPr>
                <w:p w14:paraId="181A8CCE">
                  <w:pPr>
                    <w:keepNext w:val="0"/>
                    <w:keepLines w:val="0"/>
                    <w:widowControl w:val="0"/>
                    <w:suppressLineNumbers w:val="0"/>
                    <w:spacing w:before="0" w:beforeAutospacing="0" w:after="0" w:afterAutospacing="0" w:line="240" w:lineRule="atLeast"/>
                    <w:ind w:left="0" w:right="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bCs/>
                      <w:color w:val="auto"/>
                      <w:kern w:val="2"/>
                      <w:sz w:val="21"/>
                      <w:szCs w:val="21"/>
                      <w:lang w:val="en-US" w:eastAsia="zh-CN" w:bidi="ar-SA"/>
                    </w:rPr>
                    <w:t>相符</w:t>
                  </w:r>
                </w:p>
              </w:tc>
            </w:tr>
          </w:tbl>
          <w:p w14:paraId="5792FF5F">
            <w:pPr>
              <w:keepNext w:val="0"/>
              <w:keepLines w:val="0"/>
              <w:widowControl w:val="0"/>
              <w:suppressLineNumbers w:val="0"/>
              <w:adjustRightInd w:val="0"/>
              <w:snapToGrid w:val="0"/>
              <w:spacing w:before="0" w:beforeAutospacing="0" w:after="0" w:afterAutospacing="0" w:line="360" w:lineRule="auto"/>
              <w:ind w:left="0" w:right="0" w:firstLine="480" w:firstLineChars="200"/>
              <w:jc w:val="both"/>
              <w:rPr>
                <w:rFonts w:hint="default" w:ascii="Times New Roman" w:hAnsi="Times New Roman" w:eastAsia="宋体" w:cs="Times New Roman"/>
                <w:color w:val="auto"/>
                <w:kern w:val="0"/>
                <w:sz w:val="24"/>
                <w:szCs w:val="24"/>
                <w:highlight w:val="none"/>
                <w:lang w:val="en-US" w:eastAsia="zh-CN" w:bidi="ar-SA"/>
              </w:rPr>
            </w:pPr>
            <w:r>
              <w:rPr>
                <w:rFonts w:hint="default" w:ascii="Times New Roman" w:hAnsi="Times New Roman" w:eastAsia="宋体" w:cs="Times New Roman"/>
                <w:color w:val="auto"/>
                <w:kern w:val="0"/>
                <w:sz w:val="24"/>
                <w:szCs w:val="24"/>
                <w:highlight w:val="none"/>
                <w:lang w:val="en-US" w:eastAsia="zh-CN" w:bidi="ar-SA"/>
              </w:rPr>
              <w:t>由上表可知，本项目建设符合《关于进一步加强危险废物环境管理工作的通知》（苏环办</w:t>
            </w:r>
            <w:r>
              <w:rPr>
                <w:rFonts w:hint="eastAsia" w:ascii="Times New Roman" w:hAnsi="Times New Roman" w:eastAsia="宋体" w:cs="Times New Roman"/>
                <w:color w:val="auto"/>
                <w:kern w:val="0"/>
                <w:sz w:val="24"/>
                <w:szCs w:val="24"/>
                <w:highlight w:val="none"/>
                <w:lang w:val="en-US" w:eastAsia="zh-CN" w:bidi="ar-SA"/>
              </w:rPr>
              <w:t>〔2021〕207号</w:t>
            </w:r>
            <w:r>
              <w:rPr>
                <w:rFonts w:hint="default" w:ascii="Times New Roman" w:hAnsi="Times New Roman" w:eastAsia="宋体" w:cs="Times New Roman"/>
                <w:color w:val="auto"/>
                <w:kern w:val="0"/>
                <w:sz w:val="24"/>
                <w:szCs w:val="24"/>
                <w:highlight w:val="none"/>
                <w:lang w:val="en-US" w:eastAsia="zh-CN" w:bidi="ar-SA"/>
              </w:rPr>
              <w:t>）相关要求。</w:t>
            </w:r>
          </w:p>
          <w:p w14:paraId="191CF978">
            <w:pPr>
              <w:keepNext w:val="0"/>
              <w:keepLines w:val="0"/>
              <w:widowControl w:val="0"/>
              <w:suppressLineNumbers w:val="0"/>
              <w:adjustRightInd w:val="0"/>
              <w:snapToGrid w:val="0"/>
              <w:spacing w:before="0" w:beforeAutospacing="0" w:after="0" w:afterAutospacing="0" w:line="360" w:lineRule="auto"/>
              <w:ind w:left="0" w:right="0" w:firstLine="480" w:firstLineChars="200"/>
              <w:jc w:val="both"/>
              <w:rPr>
                <w:rFonts w:hint="default" w:ascii="Times New Roman" w:hAnsi="Times New Roman" w:eastAsia="宋体" w:cs="Times New Roman"/>
                <w:color w:val="auto"/>
                <w:kern w:val="0"/>
                <w:sz w:val="24"/>
                <w:szCs w:val="24"/>
                <w:highlight w:val="none"/>
                <w:lang w:val="en-US" w:eastAsia="zh-CN" w:bidi="ar-SA"/>
              </w:rPr>
            </w:pPr>
            <w:r>
              <w:rPr>
                <w:rFonts w:hint="default" w:ascii="Times New Roman" w:hAnsi="Times New Roman" w:eastAsia="宋体" w:cs="Times New Roman"/>
                <w:color w:val="auto"/>
                <w:kern w:val="0"/>
                <w:sz w:val="24"/>
                <w:szCs w:val="24"/>
                <w:highlight w:val="none"/>
                <w:lang w:val="en-US" w:eastAsia="zh-CN" w:bidi="ar-SA"/>
              </w:rPr>
              <w:t>（3）与《危险废物贮存污染控制标准》(GB18597-2023)相符性分析</w:t>
            </w:r>
          </w:p>
          <w:p w14:paraId="45F81387">
            <w:pPr>
              <w:keepNext w:val="0"/>
              <w:keepLines w:val="0"/>
              <w:widowControl w:val="0"/>
              <w:suppressLineNumbers w:val="0"/>
              <w:adjustRightInd w:val="0"/>
              <w:snapToGrid w:val="0"/>
              <w:spacing w:before="0" w:beforeAutospacing="0" w:after="0" w:afterAutospacing="0" w:line="360" w:lineRule="auto"/>
              <w:ind w:left="0" w:right="0" w:firstLine="480" w:firstLineChars="200"/>
              <w:jc w:val="both"/>
              <w:rPr>
                <w:rFonts w:hint="default" w:ascii="Times New Roman" w:hAnsi="Times New Roman" w:eastAsia="宋体" w:cs="Times New Roman"/>
                <w:b/>
                <w:bCs/>
                <w:color w:val="auto"/>
                <w:kern w:val="44"/>
                <w:sz w:val="24"/>
                <w:szCs w:val="24"/>
                <w:lang w:val="en-US" w:eastAsia="zh-CN" w:bidi="ar-SA"/>
              </w:rPr>
            </w:pPr>
            <w:r>
              <w:rPr>
                <w:rFonts w:hint="default" w:ascii="Times New Roman" w:hAnsi="Times New Roman" w:eastAsia="宋体" w:cs="Times New Roman"/>
                <w:color w:val="auto"/>
                <w:kern w:val="0"/>
                <w:sz w:val="24"/>
                <w:szCs w:val="24"/>
                <w:highlight w:val="none"/>
                <w:lang w:val="en-US" w:eastAsia="zh-CN" w:bidi="ar-SA"/>
              </w:rPr>
              <w:t>根据《江苏省危险废物集中收集体系建设工作方案（试行）》（苏环办〔2021〕290号），危险废物重点源单位应严格按照国家和地方相关法律法规、制度标准、技术规范等规定进行管理。全厂Ⅲ级危险废物最大产生量大于10吨，因此，本项目为重点源单位。本项目与《危险废物贮存污染控制标准》(GB18597-2023)相符性分析见下表。</w:t>
            </w:r>
          </w:p>
          <w:p w14:paraId="3C8D1C6D">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sz w:val="24"/>
                <w:szCs w:val="24"/>
                <w:lang w:bidi="ar"/>
              </w:rPr>
            </w:pPr>
            <w:r>
              <w:rPr>
                <w:rFonts w:hint="default" w:ascii="Times New Roman" w:hAnsi="Times New Roman" w:eastAsia="宋体" w:cs="Times New Roman"/>
                <w:b/>
                <w:bCs/>
                <w:color w:val="auto"/>
                <w:kern w:val="44"/>
                <w:sz w:val="24"/>
                <w:szCs w:val="24"/>
                <w:lang w:val="en-US" w:eastAsia="zh-CN" w:bidi="ar-SA"/>
              </w:rPr>
              <w:t>表4-</w:t>
            </w:r>
            <w:r>
              <w:rPr>
                <w:rFonts w:hint="eastAsia" w:cs="Times New Roman"/>
                <w:b/>
                <w:bCs/>
                <w:color w:val="auto"/>
                <w:kern w:val="44"/>
                <w:sz w:val="24"/>
                <w:szCs w:val="24"/>
                <w:lang w:val="en-US" w:eastAsia="zh-CN" w:bidi="ar-SA"/>
              </w:rPr>
              <w:t>27</w:t>
            </w:r>
            <w:r>
              <w:rPr>
                <w:rFonts w:hint="default" w:ascii="Times New Roman" w:hAnsi="Times New Roman" w:eastAsia="宋体" w:cs="Times New Roman"/>
                <w:b/>
                <w:bCs/>
                <w:color w:val="auto"/>
                <w:kern w:val="44"/>
                <w:sz w:val="24"/>
                <w:szCs w:val="24"/>
                <w:lang w:val="en-US" w:eastAsia="zh-CN" w:bidi="ar-SA"/>
              </w:rPr>
              <w:t xml:space="preserve"> </w:t>
            </w:r>
            <w:r>
              <w:rPr>
                <w:rFonts w:hint="default" w:ascii="Times New Roman" w:hAnsi="Times New Roman" w:eastAsia="宋体" w:cs="Times New Roman"/>
                <w:b/>
                <w:bCs/>
                <w:color w:val="auto"/>
                <w:sz w:val="24"/>
                <w:szCs w:val="24"/>
                <w:lang w:bidi="ar"/>
              </w:rPr>
              <w:t>与《危险废物贮存污染控制标准》(GB18597-2023)相符性分析</w:t>
            </w:r>
          </w:p>
          <w:tbl>
            <w:tblPr>
              <w:tblStyle w:val="26"/>
              <w:tblW w:w="4994"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85"/>
              <w:gridCol w:w="4924"/>
              <w:gridCol w:w="2227"/>
              <w:gridCol w:w="515"/>
            </w:tblGrid>
            <w:tr w14:paraId="4824F13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97" w:type="pct"/>
                  <w:noWrap w:val="0"/>
                  <w:vAlign w:val="center"/>
                </w:tcPr>
                <w:p w14:paraId="4781C2E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tLeast"/>
                    <w:ind w:left="-42" w:leftChars="-20" w:right="-42" w:rightChars="-20"/>
                    <w:jc w:val="center"/>
                    <w:textAlignment w:val="auto"/>
                    <w:rPr>
                      <w:rFonts w:hint="default" w:ascii="Times New Roman" w:hAnsi="Times New Roman" w:eastAsia="宋体" w:cs="Times New Roman"/>
                      <w:b/>
                      <w:bCs w:val="0"/>
                      <w:color w:val="auto"/>
                      <w:kern w:val="2"/>
                      <w:sz w:val="21"/>
                      <w:szCs w:val="21"/>
                      <w:lang w:val="en-US" w:eastAsia="zh-CN" w:bidi="ar"/>
                    </w:rPr>
                  </w:pPr>
                  <w:r>
                    <w:rPr>
                      <w:rFonts w:hint="default" w:ascii="Times New Roman" w:hAnsi="Times New Roman" w:eastAsia="宋体" w:cs="Times New Roman"/>
                      <w:b/>
                      <w:bCs w:val="0"/>
                      <w:color w:val="auto"/>
                      <w:kern w:val="2"/>
                      <w:sz w:val="21"/>
                      <w:szCs w:val="21"/>
                      <w:lang w:val="en-US" w:eastAsia="zh-CN" w:bidi="ar"/>
                    </w:rPr>
                    <w:t>序号</w:t>
                  </w:r>
                </w:p>
              </w:tc>
              <w:tc>
                <w:tcPr>
                  <w:tcW w:w="3020" w:type="pct"/>
                  <w:noWrap w:val="0"/>
                  <w:vAlign w:val="center"/>
                </w:tcPr>
                <w:p w14:paraId="0B921C1F">
                  <w:pPr>
                    <w:keepNext w:val="0"/>
                    <w:keepLines w:val="0"/>
                    <w:widowControl w:val="0"/>
                    <w:suppressLineNumbers w:val="0"/>
                    <w:spacing w:before="0" w:beforeAutospacing="0" w:after="0" w:afterAutospacing="0" w:line="240" w:lineRule="atLeast"/>
                    <w:ind w:left="0" w:right="0"/>
                    <w:jc w:val="center"/>
                    <w:rPr>
                      <w:rFonts w:hint="default" w:ascii="Times New Roman" w:hAnsi="Times New Roman" w:eastAsia="宋体" w:cs="Times New Roman"/>
                      <w:b/>
                      <w:bCs w:val="0"/>
                      <w:color w:val="auto"/>
                      <w:kern w:val="2"/>
                      <w:sz w:val="21"/>
                      <w:szCs w:val="21"/>
                      <w:lang w:val="zh-CN" w:eastAsia="zh-CN" w:bidi="ar"/>
                    </w:rPr>
                  </w:pPr>
                  <w:r>
                    <w:rPr>
                      <w:rFonts w:hint="default" w:ascii="Times New Roman" w:hAnsi="Times New Roman" w:eastAsia="宋体" w:cs="Times New Roman"/>
                      <w:b/>
                      <w:bCs w:val="0"/>
                      <w:color w:val="auto"/>
                      <w:kern w:val="2"/>
                      <w:sz w:val="21"/>
                      <w:szCs w:val="21"/>
                      <w:lang w:val="zh-CN" w:eastAsia="zh-CN" w:bidi="ar"/>
                    </w:rPr>
                    <w:t>文件规定要求</w:t>
                  </w:r>
                </w:p>
              </w:tc>
              <w:tc>
                <w:tcPr>
                  <w:tcW w:w="1366" w:type="pct"/>
                  <w:noWrap w:val="0"/>
                  <w:vAlign w:val="center"/>
                </w:tcPr>
                <w:p w14:paraId="60C4BC77">
                  <w:pPr>
                    <w:keepNext w:val="0"/>
                    <w:keepLines w:val="0"/>
                    <w:widowControl w:val="0"/>
                    <w:suppressLineNumbers w:val="0"/>
                    <w:spacing w:before="0" w:beforeAutospacing="0" w:after="0" w:afterAutospacing="0" w:line="240" w:lineRule="atLeast"/>
                    <w:ind w:left="0" w:right="0"/>
                    <w:jc w:val="center"/>
                    <w:rPr>
                      <w:rFonts w:hint="default" w:ascii="Times New Roman" w:hAnsi="Times New Roman" w:eastAsia="宋体" w:cs="Times New Roman"/>
                      <w:b/>
                      <w:bCs w:val="0"/>
                      <w:color w:val="auto"/>
                      <w:kern w:val="2"/>
                      <w:sz w:val="21"/>
                      <w:szCs w:val="21"/>
                      <w:lang w:val="en-US" w:eastAsia="zh-CN" w:bidi="ar"/>
                    </w:rPr>
                  </w:pPr>
                  <w:r>
                    <w:rPr>
                      <w:rFonts w:hint="default" w:ascii="Times New Roman" w:hAnsi="Times New Roman" w:eastAsia="宋体" w:cs="Times New Roman"/>
                      <w:b/>
                      <w:bCs w:val="0"/>
                      <w:color w:val="auto"/>
                      <w:kern w:val="2"/>
                      <w:sz w:val="21"/>
                      <w:szCs w:val="21"/>
                      <w:lang w:val="en-US" w:eastAsia="zh-CN" w:bidi="ar"/>
                    </w:rPr>
                    <w:t>相符性分析</w:t>
                  </w:r>
                </w:p>
              </w:tc>
              <w:tc>
                <w:tcPr>
                  <w:tcW w:w="315" w:type="pct"/>
                  <w:noWrap w:val="0"/>
                  <w:vAlign w:val="center"/>
                </w:tcPr>
                <w:p w14:paraId="33C7F13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tLeast"/>
                    <w:ind w:left="-42" w:leftChars="-20" w:right="-42" w:rightChars="-20"/>
                    <w:jc w:val="center"/>
                    <w:textAlignment w:val="auto"/>
                    <w:rPr>
                      <w:rFonts w:hint="default" w:ascii="Times New Roman" w:hAnsi="Times New Roman" w:eastAsia="宋体" w:cs="Times New Roman"/>
                      <w:b/>
                      <w:bCs w:val="0"/>
                      <w:color w:val="auto"/>
                      <w:kern w:val="2"/>
                      <w:sz w:val="21"/>
                      <w:szCs w:val="21"/>
                      <w:lang w:val="en-US" w:eastAsia="zh-CN" w:bidi="ar"/>
                    </w:rPr>
                  </w:pPr>
                  <w:r>
                    <w:rPr>
                      <w:rFonts w:hint="default" w:ascii="Times New Roman" w:hAnsi="Times New Roman" w:eastAsia="宋体" w:cs="Times New Roman"/>
                      <w:b/>
                      <w:bCs w:val="0"/>
                      <w:color w:val="auto"/>
                      <w:kern w:val="2"/>
                      <w:sz w:val="21"/>
                      <w:szCs w:val="21"/>
                      <w:lang w:val="en-US" w:eastAsia="zh-CN" w:bidi="ar"/>
                    </w:rPr>
                    <w:t>结论</w:t>
                  </w:r>
                </w:p>
              </w:tc>
            </w:tr>
            <w:tr w14:paraId="26AF606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97" w:type="pct"/>
                  <w:noWrap w:val="0"/>
                  <w:vAlign w:val="center"/>
                </w:tcPr>
                <w:p w14:paraId="5120BB91">
                  <w:pPr>
                    <w:keepNext w:val="0"/>
                    <w:keepLines w:val="0"/>
                    <w:widowControl w:val="0"/>
                    <w:suppressLineNumbers w:val="0"/>
                    <w:spacing w:before="0" w:beforeAutospacing="0" w:after="0" w:afterAutospacing="0" w:line="240" w:lineRule="atLeast"/>
                    <w:ind w:left="0" w:right="0"/>
                    <w:jc w:val="center"/>
                    <w:rPr>
                      <w:rFonts w:hint="default" w:ascii="Times New Roman" w:hAnsi="Times New Roman" w:eastAsia="宋体" w:cs="Times New Roman"/>
                      <w:bCs/>
                      <w:color w:val="auto"/>
                      <w:kern w:val="2"/>
                      <w:sz w:val="21"/>
                      <w:szCs w:val="21"/>
                      <w:lang w:val="en-US" w:eastAsia="zh-CN" w:bidi="ar"/>
                    </w:rPr>
                  </w:pPr>
                  <w:r>
                    <w:rPr>
                      <w:rFonts w:hint="default" w:ascii="Times New Roman" w:hAnsi="Times New Roman" w:eastAsia="宋体" w:cs="Times New Roman"/>
                      <w:bCs/>
                      <w:color w:val="auto"/>
                      <w:kern w:val="2"/>
                      <w:sz w:val="21"/>
                      <w:szCs w:val="21"/>
                      <w:lang w:val="en-US" w:eastAsia="zh-CN" w:bidi="ar"/>
                    </w:rPr>
                    <w:t>1</w:t>
                  </w:r>
                </w:p>
              </w:tc>
              <w:tc>
                <w:tcPr>
                  <w:tcW w:w="3020" w:type="pct"/>
                  <w:noWrap w:val="0"/>
                  <w:vAlign w:val="center"/>
                </w:tcPr>
                <w:p w14:paraId="6558B2FF">
                  <w:pPr>
                    <w:keepNext w:val="0"/>
                    <w:keepLines w:val="0"/>
                    <w:widowControl w:val="0"/>
                    <w:suppressLineNumbers w:val="0"/>
                    <w:spacing w:before="0" w:beforeAutospacing="0" w:after="0" w:afterAutospacing="0" w:line="240" w:lineRule="atLeast"/>
                    <w:ind w:left="0" w:right="0"/>
                    <w:jc w:val="center"/>
                    <w:rPr>
                      <w:rFonts w:hint="default" w:ascii="Times New Roman" w:hAnsi="Times New Roman" w:eastAsia="宋体" w:cs="Times New Roman"/>
                      <w:bCs/>
                      <w:color w:val="auto"/>
                      <w:kern w:val="2"/>
                      <w:sz w:val="21"/>
                      <w:szCs w:val="21"/>
                      <w:lang w:val="zh-CN" w:eastAsia="zh-CN" w:bidi="ar"/>
                    </w:rPr>
                  </w:pPr>
                  <w:r>
                    <w:rPr>
                      <w:rFonts w:hint="default" w:ascii="Times New Roman" w:hAnsi="Times New Roman" w:eastAsia="宋体" w:cs="Times New Roman"/>
                      <w:bCs/>
                      <w:color w:val="auto"/>
                      <w:kern w:val="2"/>
                      <w:sz w:val="21"/>
                      <w:szCs w:val="21"/>
                      <w:lang w:val="zh-CN" w:eastAsia="zh-CN" w:bidi="ar"/>
                    </w:rPr>
                    <w:t>4.1 产生、收集、贮存、利用、处置危险废物的单位应建造危险废物贮存设施或设置贮存场所，并根据需要选择贮存设施类型。</w:t>
                  </w:r>
                </w:p>
              </w:tc>
              <w:tc>
                <w:tcPr>
                  <w:tcW w:w="1366" w:type="pct"/>
                  <w:noWrap w:val="0"/>
                  <w:vAlign w:val="center"/>
                </w:tcPr>
                <w:p w14:paraId="2F8C77B9">
                  <w:pPr>
                    <w:keepNext w:val="0"/>
                    <w:keepLines w:val="0"/>
                    <w:widowControl w:val="0"/>
                    <w:suppressLineNumbers w:val="0"/>
                    <w:spacing w:before="0" w:beforeAutospacing="0" w:after="0" w:afterAutospacing="0" w:line="240" w:lineRule="atLeast"/>
                    <w:ind w:left="0" w:right="0"/>
                    <w:jc w:val="center"/>
                    <w:rPr>
                      <w:rFonts w:hint="default" w:ascii="Times New Roman" w:hAnsi="Times New Roman" w:eastAsia="宋体" w:cs="Times New Roman"/>
                      <w:bCs/>
                      <w:color w:val="auto"/>
                      <w:kern w:val="2"/>
                      <w:sz w:val="21"/>
                      <w:szCs w:val="21"/>
                      <w:lang w:val="en-US" w:eastAsia="zh-CN" w:bidi="ar"/>
                    </w:rPr>
                  </w:pPr>
                  <w:r>
                    <w:rPr>
                      <w:rFonts w:hint="default" w:ascii="Times New Roman" w:hAnsi="Times New Roman" w:eastAsia="宋体" w:cs="Times New Roman"/>
                      <w:bCs/>
                      <w:color w:val="auto"/>
                      <w:kern w:val="2"/>
                      <w:sz w:val="21"/>
                      <w:szCs w:val="21"/>
                      <w:lang w:val="en-US" w:eastAsia="zh-CN" w:bidi="ar"/>
                    </w:rPr>
                    <w:t>企业建造危险废物贮存设施，贮存设施类型为贮存库。</w:t>
                  </w:r>
                </w:p>
              </w:tc>
              <w:tc>
                <w:tcPr>
                  <w:tcW w:w="315" w:type="pct"/>
                  <w:noWrap w:val="0"/>
                  <w:vAlign w:val="center"/>
                </w:tcPr>
                <w:p w14:paraId="00BB55F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tLeast"/>
                    <w:ind w:left="-42" w:leftChars="-20" w:right="-42" w:rightChars="-20"/>
                    <w:jc w:val="center"/>
                    <w:textAlignment w:val="auto"/>
                    <w:rPr>
                      <w:rFonts w:hint="default" w:ascii="Times New Roman" w:hAnsi="Times New Roman" w:eastAsia="宋体" w:cs="Times New Roman"/>
                      <w:bCs/>
                      <w:color w:val="auto"/>
                      <w:kern w:val="2"/>
                      <w:sz w:val="21"/>
                      <w:szCs w:val="21"/>
                      <w:lang w:val="zh-CN" w:eastAsia="zh-CN" w:bidi="ar"/>
                    </w:rPr>
                  </w:pPr>
                  <w:r>
                    <w:rPr>
                      <w:rFonts w:hint="default" w:ascii="Times New Roman" w:hAnsi="Times New Roman" w:eastAsia="宋体" w:cs="Times New Roman"/>
                      <w:bCs/>
                      <w:color w:val="auto"/>
                      <w:kern w:val="2"/>
                      <w:sz w:val="21"/>
                      <w:szCs w:val="21"/>
                      <w:lang w:val="zh-CN" w:eastAsia="zh-CN" w:bidi="ar"/>
                    </w:rPr>
                    <w:t>相符</w:t>
                  </w:r>
                </w:p>
              </w:tc>
            </w:tr>
            <w:tr w14:paraId="45E5CAE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97" w:type="pct"/>
                  <w:noWrap w:val="0"/>
                  <w:vAlign w:val="center"/>
                </w:tcPr>
                <w:p w14:paraId="7904B2DF">
                  <w:pPr>
                    <w:keepNext w:val="0"/>
                    <w:keepLines w:val="0"/>
                    <w:widowControl w:val="0"/>
                    <w:suppressLineNumbers w:val="0"/>
                    <w:spacing w:before="0" w:beforeAutospacing="0" w:after="0" w:afterAutospacing="0" w:line="240" w:lineRule="atLeast"/>
                    <w:ind w:left="0" w:right="0"/>
                    <w:jc w:val="center"/>
                    <w:rPr>
                      <w:rFonts w:hint="default" w:ascii="Times New Roman" w:hAnsi="Times New Roman" w:eastAsia="宋体" w:cs="Times New Roman"/>
                      <w:bCs/>
                      <w:color w:val="auto"/>
                      <w:kern w:val="2"/>
                      <w:sz w:val="21"/>
                      <w:szCs w:val="21"/>
                      <w:lang w:val="en-US" w:eastAsia="zh-CN" w:bidi="ar"/>
                    </w:rPr>
                  </w:pPr>
                  <w:r>
                    <w:rPr>
                      <w:rFonts w:hint="default" w:ascii="Times New Roman" w:hAnsi="Times New Roman" w:eastAsia="宋体" w:cs="Times New Roman"/>
                      <w:bCs/>
                      <w:color w:val="auto"/>
                      <w:kern w:val="2"/>
                      <w:sz w:val="21"/>
                      <w:szCs w:val="21"/>
                      <w:lang w:val="en-US" w:eastAsia="zh-CN" w:bidi="ar"/>
                    </w:rPr>
                    <w:t>2</w:t>
                  </w:r>
                </w:p>
              </w:tc>
              <w:tc>
                <w:tcPr>
                  <w:tcW w:w="3020" w:type="pct"/>
                  <w:noWrap w:val="0"/>
                  <w:vAlign w:val="center"/>
                </w:tcPr>
                <w:p w14:paraId="70A590FA">
                  <w:pPr>
                    <w:keepNext w:val="0"/>
                    <w:keepLines w:val="0"/>
                    <w:widowControl w:val="0"/>
                    <w:suppressLineNumbers w:val="0"/>
                    <w:spacing w:before="0" w:beforeAutospacing="0" w:after="0" w:afterAutospacing="0" w:line="240" w:lineRule="atLeast"/>
                    <w:ind w:left="0" w:right="0"/>
                    <w:jc w:val="center"/>
                    <w:rPr>
                      <w:rFonts w:hint="default" w:ascii="Times New Roman" w:hAnsi="Times New Roman" w:eastAsia="宋体" w:cs="Times New Roman"/>
                      <w:bCs/>
                      <w:color w:val="auto"/>
                      <w:kern w:val="2"/>
                      <w:sz w:val="21"/>
                      <w:szCs w:val="21"/>
                      <w:lang w:val="zh-CN" w:eastAsia="zh-CN" w:bidi="ar"/>
                    </w:rPr>
                  </w:pPr>
                  <w:r>
                    <w:rPr>
                      <w:rFonts w:hint="default" w:ascii="Times New Roman" w:hAnsi="Times New Roman" w:eastAsia="宋体" w:cs="Times New Roman"/>
                      <w:bCs/>
                      <w:color w:val="auto"/>
                      <w:kern w:val="2"/>
                      <w:sz w:val="21"/>
                      <w:szCs w:val="21"/>
                      <w:lang w:val="zh-CN" w:eastAsia="zh-CN" w:bidi="ar"/>
                    </w:rPr>
                    <w:t>4.2 贮存危险废物应根据危险废物的类别、数量、形态、物理化学性质和环境风险等因素，确定贮存设施或场所类型和规模。</w:t>
                  </w:r>
                </w:p>
              </w:tc>
              <w:tc>
                <w:tcPr>
                  <w:tcW w:w="1366" w:type="pct"/>
                  <w:noWrap w:val="0"/>
                  <w:vAlign w:val="center"/>
                </w:tcPr>
                <w:p w14:paraId="4430669F">
                  <w:pPr>
                    <w:keepNext w:val="0"/>
                    <w:keepLines w:val="0"/>
                    <w:widowControl w:val="0"/>
                    <w:suppressLineNumbers w:val="0"/>
                    <w:spacing w:before="0" w:beforeAutospacing="0" w:after="0" w:afterAutospacing="0" w:line="240" w:lineRule="atLeast"/>
                    <w:ind w:left="0" w:right="0"/>
                    <w:jc w:val="center"/>
                    <w:rPr>
                      <w:rFonts w:hint="default" w:ascii="Times New Roman" w:hAnsi="Times New Roman" w:eastAsia="宋体" w:cs="Times New Roman"/>
                      <w:bCs/>
                      <w:color w:val="auto"/>
                      <w:kern w:val="2"/>
                      <w:sz w:val="21"/>
                      <w:szCs w:val="21"/>
                      <w:lang w:val="en-US" w:eastAsia="zh-CN" w:bidi="ar"/>
                    </w:rPr>
                  </w:pPr>
                  <w:r>
                    <w:rPr>
                      <w:rFonts w:hint="default" w:ascii="Times New Roman" w:hAnsi="Times New Roman" w:eastAsia="宋体" w:cs="Times New Roman"/>
                      <w:bCs/>
                      <w:color w:val="auto"/>
                      <w:kern w:val="2"/>
                      <w:sz w:val="21"/>
                      <w:szCs w:val="21"/>
                      <w:lang w:val="en-US" w:eastAsia="zh-CN" w:bidi="ar"/>
                    </w:rPr>
                    <w:t>企业根据危废数量等设置贮存设施大小及类型，在厂区内设置一座</w:t>
                  </w:r>
                  <w:r>
                    <w:rPr>
                      <w:rFonts w:hint="eastAsia" w:cs="Times New Roman"/>
                      <w:bCs/>
                      <w:color w:val="auto"/>
                      <w:kern w:val="2"/>
                      <w:sz w:val="21"/>
                      <w:szCs w:val="21"/>
                      <w:lang w:val="en-US" w:eastAsia="zh-CN" w:bidi="ar"/>
                    </w:rPr>
                    <w:t>48</w:t>
                  </w:r>
                  <w:r>
                    <w:rPr>
                      <w:rFonts w:hint="default" w:ascii="Times New Roman" w:hAnsi="Times New Roman" w:eastAsia="宋体" w:cs="Times New Roman"/>
                      <w:bCs/>
                      <w:color w:val="auto"/>
                      <w:kern w:val="2"/>
                      <w:sz w:val="21"/>
                      <w:szCs w:val="21"/>
                      <w:lang w:val="en-US" w:eastAsia="zh-CN" w:bidi="ar"/>
                    </w:rPr>
                    <w:t>m</w:t>
                  </w:r>
                  <w:r>
                    <w:rPr>
                      <w:rFonts w:hint="default" w:ascii="Times New Roman" w:hAnsi="Times New Roman" w:eastAsia="宋体" w:cs="Times New Roman"/>
                      <w:bCs/>
                      <w:color w:val="auto"/>
                      <w:kern w:val="2"/>
                      <w:sz w:val="21"/>
                      <w:szCs w:val="21"/>
                      <w:vertAlign w:val="superscript"/>
                      <w:lang w:val="en-US" w:eastAsia="zh-CN" w:bidi="ar"/>
                    </w:rPr>
                    <w:t>2</w:t>
                  </w:r>
                  <w:r>
                    <w:rPr>
                      <w:rFonts w:hint="default" w:ascii="Times New Roman" w:hAnsi="Times New Roman" w:eastAsia="宋体" w:cs="Times New Roman"/>
                      <w:bCs/>
                      <w:color w:val="auto"/>
                      <w:kern w:val="2"/>
                      <w:sz w:val="21"/>
                      <w:szCs w:val="21"/>
                      <w:lang w:val="en-US" w:eastAsia="zh-CN" w:bidi="ar"/>
                    </w:rPr>
                    <w:t>的独立危险废物贮存场所。</w:t>
                  </w:r>
                </w:p>
              </w:tc>
              <w:tc>
                <w:tcPr>
                  <w:tcW w:w="315" w:type="pct"/>
                  <w:noWrap w:val="0"/>
                  <w:vAlign w:val="center"/>
                </w:tcPr>
                <w:p w14:paraId="2C5E410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tLeast"/>
                    <w:ind w:left="-42" w:leftChars="-20" w:right="-42" w:rightChars="-20"/>
                    <w:jc w:val="center"/>
                    <w:textAlignment w:val="auto"/>
                    <w:rPr>
                      <w:rFonts w:hint="default" w:ascii="Times New Roman" w:hAnsi="Times New Roman" w:eastAsia="宋体" w:cs="Times New Roman"/>
                      <w:bCs/>
                      <w:color w:val="auto"/>
                      <w:kern w:val="2"/>
                      <w:sz w:val="21"/>
                      <w:szCs w:val="21"/>
                      <w:lang w:val="zh-CN" w:eastAsia="zh-CN" w:bidi="ar"/>
                    </w:rPr>
                  </w:pPr>
                  <w:r>
                    <w:rPr>
                      <w:rFonts w:hint="default" w:ascii="Times New Roman" w:hAnsi="Times New Roman" w:eastAsia="宋体" w:cs="Times New Roman"/>
                      <w:bCs/>
                      <w:color w:val="auto"/>
                      <w:kern w:val="2"/>
                      <w:sz w:val="21"/>
                      <w:szCs w:val="21"/>
                      <w:lang w:val="zh-CN" w:eastAsia="zh-CN" w:bidi="ar"/>
                    </w:rPr>
                    <w:t>相符</w:t>
                  </w:r>
                </w:p>
              </w:tc>
            </w:tr>
            <w:tr w14:paraId="0E2D769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97" w:type="pct"/>
                  <w:noWrap w:val="0"/>
                  <w:vAlign w:val="center"/>
                </w:tcPr>
                <w:p w14:paraId="7265D07C">
                  <w:pPr>
                    <w:keepNext w:val="0"/>
                    <w:keepLines w:val="0"/>
                    <w:widowControl w:val="0"/>
                    <w:suppressLineNumbers w:val="0"/>
                    <w:spacing w:before="0" w:beforeAutospacing="0" w:after="0" w:afterAutospacing="0" w:line="240" w:lineRule="atLeast"/>
                    <w:ind w:left="0" w:right="0"/>
                    <w:jc w:val="center"/>
                    <w:rPr>
                      <w:rFonts w:hint="default" w:ascii="Times New Roman" w:hAnsi="Times New Roman" w:eastAsia="宋体" w:cs="Times New Roman"/>
                      <w:bCs/>
                      <w:color w:val="auto"/>
                      <w:kern w:val="2"/>
                      <w:sz w:val="21"/>
                      <w:szCs w:val="21"/>
                      <w:lang w:val="en-US" w:eastAsia="zh-CN" w:bidi="ar"/>
                    </w:rPr>
                  </w:pPr>
                  <w:r>
                    <w:rPr>
                      <w:rFonts w:hint="default" w:ascii="Times New Roman" w:hAnsi="Times New Roman" w:eastAsia="宋体" w:cs="Times New Roman"/>
                      <w:bCs/>
                      <w:color w:val="auto"/>
                      <w:kern w:val="2"/>
                      <w:sz w:val="21"/>
                      <w:szCs w:val="21"/>
                      <w:lang w:val="en-US" w:eastAsia="zh-CN" w:bidi="ar"/>
                    </w:rPr>
                    <w:t>3</w:t>
                  </w:r>
                </w:p>
              </w:tc>
              <w:tc>
                <w:tcPr>
                  <w:tcW w:w="3020" w:type="pct"/>
                  <w:noWrap w:val="0"/>
                  <w:vAlign w:val="center"/>
                </w:tcPr>
                <w:p w14:paraId="7E967EBB">
                  <w:pPr>
                    <w:keepNext w:val="0"/>
                    <w:keepLines w:val="0"/>
                    <w:widowControl w:val="0"/>
                    <w:suppressLineNumbers w:val="0"/>
                    <w:spacing w:before="0" w:beforeAutospacing="0" w:after="0" w:afterAutospacing="0" w:line="240" w:lineRule="atLeast"/>
                    <w:ind w:left="0" w:right="0"/>
                    <w:jc w:val="center"/>
                    <w:rPr>
                      <w:rFonts w:hint="default" w:ascii="Times New Roman" w:hAnsi="Times New Roman" w:eastAsia="宋体" w:cs="Times New Roman"/>
                      <w:bCs/>
                      <w:color w:val="auto"/>
                      <w:kern w:val="2"/>
                      <w:sz w:val="21"/>
                      <w:szCs w:val="21"/>
                      <w:lang w:val="zh-CN" w:eastAsia="zh-CN" w:bidi="ar"/>
                    </w:rPr>
                  </w:pPr>
                  <w:r>
                    <w:rPr>
                      <w:rFonts w:hint="default" w:ascii="Times New Roman" w:hAnsi="Times New Roman" w:eastAsia="宋体" w:cs="Times New Roman"/>
                      <w:bCs/>
                      <w:color w:val="auto"/>
                      <w:kern w:val="2"/>
                      <w:sz w:val="21"/>
                      <w:szCs w:val="21"/>
                      <w:lang w:val="zh-CN" w:eastAsia="zh-CN" w:bidi="ar"/>
                    </w:rPr>
                    <w:t>4.3 贮存危险废物应根据危险废物的类别、形态、物理化学性质和污染防治要求进行分类贮存，且应避免危险废物与不相容的物质或材料接触。</w:t>
                  </w:r>
                </w:p>
              </w:tc>
              <w:tc>
                <w:tcPr>
                  <w:tcW w:w="1366" w:type="pct"/>
                  <w:noWrap w:val="0"/>
                  <w:vAlign w:val="center"/>
                </w:tcPr>
                <w:p w14:paraId="3DDA9C3F">
                  <w:pPr>
                    <w:keepNext w:val="0"/>
                    <w:keepLines w:val="0"/>
                    <w:widowControl w:val="0"/>
                    <w:suppressLineNumbers w:val="0"/>
                    <w:spacing w:before="0" w:beforeAutospacing="0" w:after="0" w:afterAutospacing="0" w:line="240" w:lineRule="atLeast"/>
                    <w:ind w:left="0" w:right="0"/>
                    <w:jc w:val="center"/>
                    <w:rPr>
                      <w:rFonts w:hint="default" w:ascii="Times New Roman" w:hAnsi="Times New Roman" w:eastAsia="宋体" w:cs="Times New Roman"/>
                      <w:bCs/>
                      <w:color w:val="auto"/>
                      <w:kern w:val="2"/>
                      <w:sz w:val="21"/>
                      <w:szCs w:val="21"/>
                      <w:lang w:val="en-US" w:eastAsia="zh-CN" w:bidi="ar"/>
                    </w:rPr>
                  </w:pPr>
                  <w:r>
                    <w:rPr>
                      <w:rFonts w:hint="default" w:ascii="Times New Roman" w:hAnsi="Times New Roman" w:eastAsia="宋体" w:cs="Times New Roman"/>
                      <w:bCs/>
                      <w:color w:val="auto"/>
                      <w:kern w:val="2"/>
                      <w:sz w:val="21"/>
                      <w:szCs w:val="21"/>
                      <w:lang w:val="en-US" w:eastAsia="zh-CN" w:bidi="ar"/>
                    </w:rPr>
                    <w:t>本项目危险废物分区分类贮存。</w:t>
                  </w:r>
                </w:p>
              </w:tc>
              <w:tc>
                <w:tcPr>
                  <w:tcW w:w="315" w:type="pct"/>
                  <w:noWrap w:val="0"/>
                  <w:vAlign w:val="center"/>
                </w:tcPr>
                <w:p w14:paraId="7E76C05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tLeast"/>
                    <w:ind w:left="-42" w:leftChars="-20" w:right="-42" w:rightChars="-20"/>
                    <w:jc w:val="center"/>
                    <w:textAlignment w:val="auto"/>
                    <w:rPr>
                      <w:rFonts w:hint="default" w:ascii="Times New Roman" w:hAnsi="Times New Roman" w:eastAsia="宋体" w:cs="Times New Roman"/>
                      <w:bCs/>
                      <w:color w:val="auto"/>
                      <w:kern w:val="2"/>
                      <w:sz w:val="21"/>
                      <w:szCs w:val="21"/>
                      <w:lang w:val="zh-CN" w:eastAsia="zh-CN" w:bidi="ar"/>
                    </w:rPr>
                  </w:pPr>
                  <w:r>
                    <w:rPr>
                      <w:rFonts w:hint="default" w:ascii="Times New Roman" w:hAnsi="Times New Roman" w:eastAsia="宋体" w:cs="Times New Roman"/>
                      <w:bCs/>
                      <w:color w:val="auto"/>
                      <w:kern w:val="2"/>
                      <w:sz w:val="21"/>
                      <w:szCs w:val="21"/>
                      <w:lang w:val="zh-CN" w:eastAsia="zh-CN" w:bidi="ar"/>
                    </w:rPr>
                    <w:t>相符</w:t>
                  </w:r>
                </w:p>
              </w:tc>
            </w:tr>
            <w:tr w14:paraId="63F4E0D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97" w:type="pct"/>
                  <w:noWrap w:val="0"/>
                  <w:vAlign w:val="center"/>
                </w:tcPr>
                <w:p w14:paraId="031F22CC">
                  <w:pPr>
                    <w:keepNext w:val="0"/>
                    <w:keepLines w:val="0"/>
                    <w:widowControl w:val="0"/>
                    <w:suppressLineNumbers w:val="0"/>
                    <w:spacing w:before="0" w:beforeAutospacing="0" w:after="0" w:afterAutospacing="0" w:line="240" w:lineRule="atLeast"/>
                    <w:ind w:left="0" w:right="0"/>
                    <w:jc w:val="center"/>
                    <w:rPr>
                      <w:rFonts w:hint="default" w:ascii="Times New Roman" w:hAnsi="Times New Roman" w:eastAsia="宋体" w:cs="Times New Roman"/>
                      <w:bCs/>
                      <w:color w:val="auto"/>
                      <w:kern w:val="2"/>
                      <w:sz w:val="21"/>
                      <w:szCs w:val="21"/>
                      <w:lang w:val="en-US" w:eastAsia="zh-CN" w:bidi="ar"/>
                    </w:rPr>
                  </w:pPr>
                  <w:r>
                    <w:rPr>
                      <w:rFonts w:hint="default" w:ascii="Times New Roman" w:hAnsi="Times New Roman" w:eastAsia="宋体" w:cs="Times New Roman"/>
                      <w:bCs/>
                      <w:color w:val="auto"/>
                      <w:kern w:val="2"/>
                      <w:sz w:val="21"/>
                      <w:szCs w:val="21"/>
                      <w:lang w:val="en-US" w:eastAsia="zh-CN" w:bidi="ar"/>
                    </w:rPr>
                    <w:t>4</w:t>
                  </w:r>
                </w:p>
              </w:tc>
              <w:tc>
                <w:tcPr>
                  <w:tcW w:w="3020" w:type="pct"/>
                  <w:noWrap w:val="0"/>
                  <w:vAlign w:val="center"/>
                </w:tcPr>
                <w:p w14:paraId="15616342">
                  <w:pPr>
                    <w:keepNext w:val="0"/>
                    <w:keepLines w:val="0"/>
                    <w:widowControl w:val="0"/>
                    <w:suppressLineNumbers w:val="0"/>
                    <w:spacing w:before="0" w:beforeAutospacing="0" w:after="0" w:afterAutospacing="0" w:line="240" w:lineRule="atLeast"/>
                    <w:ind w:left="0" w:right="0"/>
                    <w:jc w:val="center"/>
                    <w:rPr>
                      <w:rFonts w:hint="default" w:ascii="Times New Roman" w:hAnsi="Times New Roman" w:eastAsia="宋体" w:cs="Times New Roman"/>
                      <w:bCs/>
                      <w:color w:val="auto"/>
                      <w:kern w:val="2"/>
                      <w:sz w:val="21"/>
                      <w:szCs w:val="21"/>
                      <w:lang w:val="en-US" w:eastAsia="zh-CN" w:bidi="ar"/>
                    </w:rPr>
                  </w:pPr>
                  <w:r>
                    <w:rPr>
                      <w:rFonts w:hint="default" w:ascii="Times New Roman" w:hAnsi="Times New Roman" w:eastAsia="宋体" w:cs="Times New Roman"/>
                      <w:bCs/>
                      <w:color w:val="auto"/>
                      <w:kern w:val="2"/>
                      <w:sz w:val="21"/>
                      <w:szCs w:val="21"/>
                      <w:lang w:val="en-US" w:eastAsia="zh-CN" w:bidi="ar"/>
                    </w:rPr>
                    <w:t>4.4 贮存危险废物应根据危险废物的形态、物理化学性质、包装形式和污染物迁移途径，采取措施减少渗滤液及其衍生废物、渗漏的液态废物（简称渗漏液）、粉尘、VOCs、酸雾、有毒有害大气污染物和刺激性气味气体等污染物的产生，防止其污染环境。</w:t>
                  </w:r>
                </w:p>
              </w:tc>
              <w:tc>
                <w:tcPr>
                  <w:tcW w:w="1366" w:type="pct"/>
                  <w:noWrap w:val="0"/>
                  <w:vAlign w:val="center"/>
                </w:tcPr>
                <w:p w14:paraId="538192EB">
                  <w:pPr>
                    <w:keepNext w:val="0"/>
                    <w:keepLines w:val="0"/>
                    <w:widowControl w:val="0"/>
                    <w:suppressLineNumbers w:val="0"/>
                    <w:spacing w:before="0" w:beforeAutospacing="0" w:after="0" w:afterAutospacing="0" w:line="240" w:lineRule="atLeast"/>
                    <w:ind w:left="0" w:right="0"/>
                    <w:jc w:val="center"/>
                    <w:rPr>
                      <w:rFonts w:hint="default" w:ascii="Times New Roman" w:hAnsi="Times New Roman" w:eastAsia="宋体" w:cs="Times New Roman"/>
                      <w:bCs/>
                      <w:color w:val="auto"/>
                      <w:kern w:val="2"/>
                      <w:sz w:val="21"/>
                      <w:szCs w:val="21"/>
                      <w:lang w:val="zh-CN" w:eastAsia="zh-CN" w:bidi="ar"/>
                    </w:rPr>
                  </w:pPr>
                  <w:r>
                    <w:rPr>
                      <w:rFonts w:hint="default" w:ascii="Times New Roman" w:hAnsi="Times New Roman" w:eastAsia="宋体" w:cs="Times New Roman"/>
                      <w:bCs/>
                      <w:color w:val="auto"/>
                      <w:kern w:val="2"/>
                      <w:sz w:val="21"/>
                      <w:szCs w:val="21"/>
                      <w:lang w:val="zh-CN" w:eastAsia="zh-CN" w:bidi="ar"/>
                    </w:rPr>
                    <w:t>企业采取防渗措施，危废仓库密闭，地面防渗处理，</w:t>
                  </w:r>
                  <w:r>
                    <w:rPr>
                      <w:rFonts w:hint="default" w:ascii="Times New Roman" w:hAnsi="Times New Roman" w:eastAsia="宋体" w:cs="Times New Roman"/>
                      <w:bCs/>
                      <w:color w:val="auto"/>
                      <w:kern w:val="2"/>
                      <w:sz w:val="21"/>
                      <w:szCs w:val="21"/>
                      <w:lang w:val="en-US" w:eastAsia="zh-CN" w:bidi="ar"/>
                    </w:rPr>
                    <w:t>门口</w:t>
                  </w:r>
                  <w:r>
                    <w:rPr>
                      <w:rFonts w:hint="default" w:ascii="Times New Roman" w:hAnsi="Times New Roman" w:eastAsia="宋体" w:cs="Times New Roman"/>
                      <w:bCs/>
                      <w:color w:val="auto"/>
                      <w:kern w:val="2"/>
                      <w:sz w:val="21"/>
                      <w:szCs w:val="21"/>
                      <w:lang w:val="zh-CN" w:eastAsia="zh-CN" w:bidi="ar"/>
                    </w:rPr>
                    <w:t>设围堰，仓库内设禁火标志，配置</w:t>
                  </w:r>
                  <w:r>
                    <w:rPr>
                      <w:rFonts w:hint="default" w:ascii="Times New Roman" w:hAnsi="Times New Roman" w:eastAsia="宋体" w:cs="Times New Roman"/>
                      <w:bCs/>
                      <w:color w:val="auto"/>
                      <w:kern w:val="2"/>
                      <w:sz w:val="21"/>
                      <w:szCs w:val="21"/>
                      <w:lang w:val="en-US" w:eastAsia="zh-CN" w:bidi="ar"/>
                    </w:rPr>
                    <w:t>应急物资</w:t>
                  </w:r>
                  <w:r>
                    <w:rPr>
                      <w:rFonts w:hint="default" w:ascii="Times New Roman" w:hAnsi="Times New Roman" w:eastAsia="宋体" w:cs="Times New Roman"/>
                      <w:bCs/>
                      <w:color w:val="auto"/>
                      <w:kern w:val="2"/>
                      <w:sz w:val="21"/>
                      <w:szCs w:val="21"/>
                      <w:lang w:val="zh-CN" w:eastAsia="zh-CN" w:bidi="ar"/>
                    </w:rPr>
                    <w:t>。</w:t>
                  </w:r>
                </w:p>
              </w:tc>
              <w:tc>
                <w:tcPr>
                  <w:tcW w:w="315" w:type="pct"/>
                  <w:noWrap w:val="0"/>
                  <w:vAlign w:val="center"/>
                </w:tcPr>
                <w:p w14:paraId="4D12BAD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tLeast"/>
                    <w:ind w:left="-42" w:leftChars="-20" w:right="-42" w:rightChars="-20"/>
                    <w:jc w:val="center"/>
                    <w:textAlignment w:val="auto"/>
                    <w:rPr>
                      <w:rFonts w:hint="default" w:ascii="Times New Roman" w:hAnsi="Times New Roman" w:eastAsia="宋体" w:cs="Times New Roman"/>
                      <w:bCs/>
                      <w:color w:val="auto"/>
                      <w:kern w:val="2"/>
                      <w:sz w:val="21"/>
                      <w:szCs w:val="21"/>
                      <w:lang w:val="zh-CN" w:eastAsia="zh-CN" w:bidi="ar"/>
                    </w:rPr>
                  </w:pPr>
                  <w:r>
                    <w:rPr>
                      <w:rFonts w:hint="default" w:ascii="Times New Roman" w:hAnsi="Times New Roman" w:eastAsia="宋体" w:cs="Times New Roman"/>
                      <w:bCs/>
                      <w:color w:val="auto"/>
                      <w:kern w:val="2"/>
                      <w:sz w:val="21"/>
                      <w:szCs w:val="21"/>
                      <w:lang w:val="zh-CN" w:eastAsia="zh-CN" w:bidi="ar"/>
                    </w:rPr>
                    <w:t>相符</w:t>
                  </w:r>
                </w:p>
              </w:tc>
            </w:tr>
            <w:tr w14:paraId="10384BC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97" w:type="pct"/>
                  <w:noWrap/>
                  <w:vAlign w:val="center"/>
                </w:tcPr>
                <w:p w14:paraId="6516ACB8">
                  <w:pPr>
                    <w:keepNext w:val="0"/>
                    <w:keepLines w:val="0"/>
                    <w:widowControl w:val="0"/>
                    <w:suppressLineNumbers w:val="0"/>
                    <w:spacing w:before="0" w:beforeAutospacing="0" w:after="0" w:afterAutospacing="0" w:line="240" w:lineRule="atLeast"/>
                    <w:ind w:left="0" w:right="0"/>
                    <w:jc w:val="center"/>
                    <w:rPr>
                      <w:rFonts w:hint="default" w:ascii="Times New Roman" w:hAnsi="Times New Roman" w:eastAsia="宋体" w:cs="Times New Roman"/>
                      <w:bCs/>
                      <w:color w:val="auto"/>
                      <w:kern w:val="2"/>
                      <w:sz w:val="21"/>
                      <w:szCs w:val="21"/>
                      <w:lang w:val="en-US" w:eastAsia="zh-CN" w:bidi="ar"/>
                    </w:rPr>
                  </w:pPr>
                  <w:r>
                    <w:rPr>
                      <w:rFonts w:hint="default" w:ascii="Times New Roman" w:hAnsi="Times New Roman" w:eastAsia="宋体" w:cs="Times New Roman"/>
                      <w:bCs/>
                      <w:color w:val="auto"/>
                      <w:kern w:val="2"/>
                      <w:sz w:val="21"/>
                      <w:szCs w:val="21"/>
                      <w:lang w:val="en-US" w:eastAsia="zh-CN" w:bidi="ar"/>
                    </w:rPr>
                    <w:t>5</w:t>
                  </w:r>
                </w:p>
              </w:tc>
              <w:tc>
                <w:tcPr>
                  <w:tcW w:w="3020" w:type="pct"/>
                  <w:noWrap w:val="0"/>
                  <w:vAlign w:val="center"/>
                </w:tcPr>
                <w:p w14:paraId="5A4E5C7A">
                  <w:pPr>
                    <w:keepNext w:val="0"/>
                    <w:keepLines w:val="0"/>
                    <w:widowControl w:val="0"/>
                    <w:suppressLineNumbers w:val="0"/>
                    <w:spacing w:before="0" w:beforeAutospacing="0" w:after="0" w:afterAutospacing="0" w:line="240" w:lineRule="atLeast"/>
                    <w:ind w:left="0" w:right="0"/>
                    <w:jc w:val="center"/>
                    <w:rPr>
                      <w:rFonts w:hint="default" w:ascii="Times New Roman" w:hAnsi="Times New Roman" w:eastAsia="宋体" w:cs="Times New Roman"/>
                      <w:bCs/>
                      <w:color w:val="auto"/>
                      <w:kern w:val="2"/>
                      <w:sz w:val="21"/>
                      <w:szCs w:val="21"/>
                      <w:lang w:val="zh-CN" w:eastAsia="zh-CN" w:bidi="ar"/>
                    </w:rPr>
                  </w:pPr>
                  <w:r>
                    <w:rPr>
                      <w:rFonts w:hint="default" w:ascii="Times New Roman" w:hAnsi="Times New Roman" w:eastAsia="宋体" w:cs="Times New Roman"/>
                      <w:bCs/>
                      <w:color w:val="auto"/>
                      <w:kern w:val="2"/>
                      <w:sz w:val="21"/>
                      <w:szCs w:val="21"/>
                      <w:lang w:val="zh-CN" w:eastAsia="zh-CN" w:bidi="ar"/>
                    </w:rPr>
                    <w:t>4.5 危险废物贮存过程产生的液态废物和固态废物应分类收集，按其环境管理要求妥善处理。</w:t>
                  </w:r>
                </w:p>
              </w:tc>
              <w:tc>
                <w:tcPr>
                  <w:tcW w:w="1366" w:type="pct"/>
                  <w:noWrap w:val="0"/>
                  <w:vAlign w:val="center"/>
                </w:tcPr>
                <w:p w14:paraId="2C19DEC8">
                  <w:pPr>
                    <w:keepNext w:val="0"/>
                    <w:keepLines w:val="0"/>
                    <w:widowControl w:val="0"/>
                    <w:suppressLineNumbers w:val="0"/>
                    <w:spacing w:before="0" w:beforeAutospacing="0" w:after="0" w:afterAutospacing="0" w:line="240" w:lineRule="atLeast"/>
                    <w:ind w:left="0" w:right="0"/>
                    <w:jc w:val="center"/>
                    <w:rPr>
                      <w:rFonts w:hint="default" w:ascii="Times New Roman" w:hAnsi="Times New Roman" w:eastAsia="宋体" w:cs="Times New Roman"/>
                      <w:bCs/>
                      <w:color w:val="auto"/>
                      <w:kern w:val="2"/>
                      <w:sz w:val="21"/>
                      <w:szCs w:val="21"/>
                      <w:lang w:val="en-US" w:eastAsia="zh-CN" w:bidi="ar"/>
                    </w:rPr>
                  </w:pPr>
                  <w:r>
                    <w:rPr>
                      <w:rFonts w:hint="default" w:ascii="Times New Roman" w:hAnsi="Times New Roman" w:eastAsia="宋体" w:cs="Times New Roman"/>
                      <w:bCs/>
                      <w:color w:val="auto"/>
                      <w:kern w:val="2"/>
                      <w:sz w:val="21"/>
                      <w:szCs w:val="21"/>
                      <w:lang w:val="en-US" w:eastAsia="zh-CN" w:bidi="ar"/>
                    </w:rPr>
                    <w:t>企业各类危废均分类收集贮存，定期委托有资质单位处置。</w:t>
                  </w:r>
                </w:p>
              </w:tc>
              <w:tc>
                <w:tcPr>
                  <w:tcW w:w="315" w:type="pct"/>
                  <w:noWrap w:val="0"/>
                  <w:vAlign w:val="center"/>
                </w:tcPr>
                <w:p w14:paraId="63DE997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tLeast"/>
                    <w:ind w:left="-42" w:leftChars="-20" w:right="-42" w:rightChars="-20"/>
                    <w:jc w:val="center"/>
                    <w:textAlignment w:val="auto"/>
                    <w:rPr>
                      <w:rFonts w:hint="default" w:ascii="Times New Roman" w:hAnsi="Times New Roman" w:eastAsia="宋体" w:cs="Times New Roman"/>
                      <w:bCs/>
                      <w:color w:val="auto"/>
                      <w:kern w:val="2"/>
                      <w:sz w:val="21"/>
                      <w:szCs w:val="21"/>
                      <w:lang w:val="zh-CN" w:eastAsia="zh-CN" w:bidi="ar"/>
                    </w:rPr>
                  </w:pPr>
                  <w:r>
                    <w:rPr>
                      <w:rFonts w:hint="default" w:ascii="Times New Roman" w:hAnsi="Times New Roman" w:eastAsia="宋体" w:cs="Times New Roman"/>
                      <w:bCs/>
                      <w:color w:val="auto"/>
                      <w:kern w:val="2"/>
                      <w:sz w:val="21"/>
                      <w:szCs w:val="21"/>
                      <w:lang w:val="zh-CN" w:eastAsia="zh-CN" w:bidi="ar"/>
                    </w:rPr>
                    <w:t>相符</w:t>
                  </w:r>
                </w:p>
              </w:tc>
            </w:tr>
            <w:tr w14:paraId="672EBD3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97" w:type="pct"/>
                  <w:noWrap/>
                  <w:vAlign w:val="center"/>
                </w:tcPr>
                <w:p w14:paraId="6DDBBAA0">
                  <w:pPr>
                    <w:keepNext w:val="0"/>
                    <w:keepLines w:val="0"/>
                    <w:widowControl w:val="0"/>
                    <w:suppressLineNumbers w:val="0"/>
                    <w:spacing w:before="0" w:beforeAutospacing="0" w:after="0" w:afterAutospacing="0" w:line="240" w:lineRule="atLeast"/>
                    <w:ind w:left="0" w:right="0"/>
                    <w:jc w:val="center"/>
                    <w:rPr>
                      <w:rFonts w:hint="default" w:ascii="Times New Roman" w:hAnsi="Times New Roman" w:eastAsia="宋体" w:cs="Times New Roman"/>
                      <w:bCs/>
                      <w:color w:val="auto"/>
                      <w:kern w:val="2"/>
                      <w:sz w:val="21"/>
                      <w:szCs w:val="21"/>
                      <w:lang w:val="en-US" w:eastAsia="zh-CN" w:bidi="ar"/>
                    </w:rPr>
                  </w:pPr>
                  <w:r>
                    <w:rPr>
                      <w:rFonts w:hint="default" w:ascii="Times New Roman" w:hAnsi="Times New Roman" w:eastAsia="宋体" w:cs="Times New Roman"/>
                      <w:bCs/>
                      <w:color w:val="auto"/>
                      <w:kern w:val="2"/>
                      <w:sz w:val="21"/>
                      <w:szCs w:val="21"/>
                      <w:lang w:val="en-US" w:eastAsia="zh-CN" w:bidi="ar"/>
                    </w:rPr>
                    <w:t>6</w:t>
                  </w:r>
                </w:p>
              </w:tc>
              <w:tc>
                <w:tcPr>
                  <w:tcW w:w="3020" w:type="pct"/>
                  <w:noWrap w:val="0"/>
                  <w:vAlign w:val="center"/>
                </w:tcPr>
                <w:p w14:paraId="5F884ACF">
                  <w:pPr>
                    <w:keepNext w:val="0"/>
                    <w:keepLines w:val="0"/>
                    <w:widowControl w:val="0"/>
                    <w:suppressLineNumbers w:val="0"/>
                    <w:spacing w:before="0" w:beforeAutospacing="0" w:after="0" w:afterAutospacing="0" w:line="240" w:lineRule="atLeast"/>
                    <w:ind w:left="0" w:right="0"/>
                    <w:jc w:val="center"/>
                    <w:rPr>
                      <w:rFonts w:hint="default" w:ascii="Times New Roman" w:hAnsi="Times New Roman" w:eastAsia="宋体" w:cs="Times New Roman"/>
                      <w:bCs/>
                      <w:color w:val="auto"/>
                      <w:kern w:val="2"/>
                      <w:sz w:val="21"/>
                      <w:szCs w:val="21"/>
                      <w:lang w:val="zh-CN" w:eastAsia="zh-CN" w:bidi="ar"/>
                    </w:rPr>
                  </w:pPr>
                  <w:r>
                    <w:rPr>
                      <w:rFonts w:hint="default" w:ascii="Times New Roman" w:hAnsi="Times New Roman" w:eastAsia="宋体" w:cs="Times New Roman"/>
                      <w:bCs/>
                      <w:color w:val="auto"/>
                      <w:kern w:val="2"/>
                      <w:sz w:val="21"/>
                      <w:szCs w:val="21"/>
                      <w:lang w:val="zh-CN" w:eastAsia="zh-CN" w:bidi="ar"/>
                    </w:rPr>
                    <w:t>4.6 贮存设施或场所、容器和包装物应按HJ1276要求设置危险废物贮存设施或场所标志、危险废物贮存分区标志和危险废物标签等危险废物识别标志。</w:t>
                  </w:r>
                </w:p>
              </w:tc>
              <w:tc>
                <w:tcPr>
                  <w:tcW w:w="1366" w:type="pct"/>
                  <w:noWrap w:val="0"/>
                  <w:vAlign w:val="center"/>
                </w:tcPr>
                <w:p w14:paraId="3A919AFA">
                  <w:pPr>
                    <w:keepNext w:val="0"/>
                    <w:keepLines w:val="0"/>
                    <w:widowControl w:val="0"/>
                    <w:suppressLineNumbers w:val="0"/>
                    <w:spacing w:before="0" w:beforeAutospacing="0" w:after="0" w:afterAutospacing="0" w:line="240" w:lineRule="atLeast"/>
                    <w:ind w:left="0" w:right="0"/>
                    <w:jc w:val="center"/>
                    <w:rPr>
                      <w:rFonts w:hint="default" w:ascii="Times New Roman" w:hAnsi="Times New Roman" w:eastAsia="宋体" w:cs="Times New Roman"/>
                      <w:bCs/>
                      <w:color w:val="auto"/>
                      <w:kern w:val="2"/>
                      <w:sz w:val="21"/>
                      <w:szCs w:val="21"/>
                      <w:lang w:val="en-US" w:eastAsia="zh-CN" w:bidi="ar"/>
                    </w:rPr>
                  </w:pPr>
                  <w:r>
                    <w:rPr>
                      <w:rFonts w:hint="default" w:ascii="Times New Roman" w:hAnsi="Times New Roman" w:eastAsia="宋体" w:cs="Times New Roman"/>
                      <w:bCs/>
                      <w:color w:val="auto"/>
                      <w:kern w:val="2"/>
                      <w:sz w:val="21"/>
                      <w:szCs w:val="21"/>
                      <w:lang w:val="en-US" w:eastAsia="zh-CN" w:bidi="ar"/>
                    </w:rPr>
                    <w:t>企业贮存设施或场所、容器和包装物将按HJ1276要求设置危险废物贮存设施或场所标志、危险废物贮存分区标志和危险废物标签等危险废物识别标志。</w:t>
                  </w:r>
                </w:p>
              </w:tc>
              <w:tc>
                <w:tcPr>
                  <w:tcW w:w="315" w:type="pct"/>
                  <w:noWrap w:val="0"/>
                  <w:vAlign w:val="center"/>
                </w:tcPr>
                <w:p w14:paraId="2DA241B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tLeast"/>
                    <w:ind w:left="-42" w:leftChars="-20" w:right="-42" w:rightChars="-20"/>
                    <w:jc w:val="center"/>
                    <w:textAlignment w:val="auto"/>
                    <w:rPr>
                      <w:rFonts w:hint="default" w:ascii="Times New Roman" w:hAnsi="Times New Roman" w:eastAsia="宋体" w:cs="Times New Roman"/>
                      <w:bCs/>
                      <w:color w:val="auto"/>
                      <w:kern w:val="2"/>
                      <w:sz w:val="21"/>
                      <w:szCs w:val="21"/>
                      <w:lang w:val="en-US" w:eastAsia="zh-CN" w:bidi="ar"/>
                    </w:rPr>
                  </w:pPr>
                  <w:r>
                    <w:rPr>
                      <w:rFonts w:hint="default" w:ascii="Times New Roman" w:hAnsi="Times New Roman" w:eastAsia="宋体" w:cs="Times New Roman"/>
                      <w:bCs/>
                      <w:color w:val="auto"/>
                      <w:kern w:val="2"/>
                      <w:sz w:val="21"/>
                      <w:szCs w:val="21"/>
                      <w:lang w:val="en-US" w:eastAsia="zh-CN" w:bidi="ar"/>
                    </w:rPr>
                    <w:t>相符</w:t>
                  </w:r>
                </w:p>
              </w:tc>
            </w:tr>
            <w:tr w14:paraId="7859377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97" w:type="pct"/>
                  <w:noWrap/>
                  <w:vAlign w:val="center"/>
                </w:tcPr>
                <w:p w14:paraId="277B16C9">
                  <w:pPr>
                    <w:keepNext w:val="0"/>
                    <w:keepLines w:val="0"/>
                    <w:widowControl w:val="0"/>
                    <w:suppressLineNumbers w:val="0"/>
                    <w:spacing w:before="0" w:beforeAutospacing="0" w:after="0" w:afterAutospacing="0" w:line="240" w:lineRule="atLeast"/>
                    <w:ind w:left="0" w:right="0"/>
                    <w:jc w:val="center"/>
                    <w:rPr>
                      <w:rFonts w:hint="default" w:ascii="Times New Roman" w:hAnsi="Times New Roman" w:eastAsia="宋体" w:cs="Times New Roman"/>
                      <w:bCs/>
                      <w:color w:val="auto"/>
                      <w:kern w:val="2"/>
                      <w:sz w:val="21"/>
                      <w:szCs w:val="21"/>
                      <w:lang w:val="en-US" w:eastAsia="zh-CN" w:bidi="ar"/>
                    </w:rPr>
                  </w:pPr>
                  <w:r>
                    <w:rPr>
                      <w:rFonts w:hint="default" w:ascii="Times New Roman" w:hAnsi="Times New Roman" w:eastAsia="宋体" w:cs="Times New Roman"/>
                      <w:bCs/>
                      <w:color w:val="auto"/>
                      <w:kern w:val="2"/>
                      <w:sz w:val="21"/>
                      <w:szCs w:val="21"/>
                      <w:lang w:val="en-US" w:eastAsia="zh-CN" w:bidi="ar"/>
                    </w:rPr>
                    <w:t>7</w:t>
                  </w:r>
                </w:p>
              </w:tc>
              <w:tc>
                <w:tcPr>
                  <w:tcW w:w="3020" w:type="pct"/>
                  <w:noWrap w:val="0"/>
                  <w:vAlign w:val="center"/>
                </w:tcPr>
                <w:p w14:paraId="43F7621F">
                  <w:pPr>
                    <w:keepNext w:val="0"/>
                    <w:keepLines w:val="0"/>
                    <w:widowControl w:val="0"/>
                    <w:suppressLineNumbers w:val="0"/>
                    <w:spacing w:before="0" w:beforeAutospacing="0" w:after="0" w:afterAutospacing="0" w:line="240" w:lineRule="atLeast"/>
                    <w:ind w:left="0" w:right="0"/>
                    <w:jc w:val="center"/>
                    <w:rPr>
                      <w:rFonts w:hint="default" w:ascii="Times New Roman" w:hAnsi="Times New Roman" w:eastAsia="宋体" w:cs="Times New Roman"/>
                      <w:bCs/>
                      <w:color w:val="auto"/>
                      <w:kern w:val="2"/>
                      <w:sz w:val="21"/>
                      <w:szCs w:val="21"/>
                      <w:lang w:val="zh-CN" w:eastAsia="zh-CN" w:bidi="ar"/>
                    </w:rPr>
                  </w:pPr>
                  <w:r>
                    <w:rPr>
                      <w:rFonts w:hint="default" w:ascii="Times New Roman" w:hAnsi="Times New Roman" w:eastAsia="宋体" w:cs="Times New Roman"/>
                      <w:bCs/>
                      <w:color w:val="auto"/>
                      <w:kern w:val="2"/>
                      <w:sz w:val="21"/>
                      <w:szCs w:val="21"/>
                      <w:lang w:val="zh-CN" w:eastAsia="zh-CN" w:bidi="ar"/>
                    </w:rPr>
                    <w:t>4.7 HJ1259规定的危险废物环境重点监管单位，应采用电子地磅、电子标签、电子管理台账等技术手段对危险废物贮存过程进行信息化管理，确保数据完整、真实、准确；采用视频监控的应确保监控画面清晰，视频记录保存时间至少为3个月。</w:t>
                  </w:r>
                </w:p>
              </w:tc>
              <w:tc>
                <w:tcPr>
                  <w:tcW w:w="1366" w:type="pct"/>
                  <w:noWrap w:val="0"/>
                  <w:vAlign w:val="center"/>
                </w:tcPr>
                <w:p w14:paraId="34D9E030">
                  <w:pPr>
                    <w:keepNext w:val="0"/>
                    <w:keepLines w:val="0"/>
                    <w:widowControl w:val="0"/>
                    <w:suppressLineNumbers w:val="0"/>
                    <w:spacing w:before="0" w:beforeAutospacing="0" w:after="0" w:afterAutospacing="0" w:line="240" w:lineRule="atLeast"/>
                    <w:ind w:left="0" w:right="0"/>
                    <w:jc w:val="center"/>
                    <w:rPr>
                      <w:rFonts w:hint="default" w:ascii="Times New Roman" w:hAnsi="Times New Roman" w:eastAsia="宋体" w:cs="Times New Roman"/>
                      <w:bCs/>
                      <w:color w:val="auto"/>
                      <w:kern w:val="2"/>
                      <w:sz w:val="21"/>
                      <w:szCs w:val="21"/>
                      <w:lang w:val="en-US" w:eastAsia="zh-CN" w:bidi="ar"/>
                    </w:rPr>
                  </w:pPr>
                  <w:r>
                    <w:rPr>
                      <w:rFonts w:hint="default" w:ascii="Times New Roman" w:hAnsi="Times New Roman" w:eastAsia="宋体" w:cs="Times New Roman"/>
                      <w:bCs/>
                      <w:color w:val="auto"/>
                      <w:kern w:val="2"/>
                      <w:sz w:val="21"/>
                      <w:szCs w:val="21"/>
                      <w:lang w:val="en-US" w:eastAsia="zh-CN" w:bidi="ar"/>
                    </w:rPr>
                    <w:t>本项目不属于危险废物环境重点监管单位。</w:t>
                  </w:r>
                </w:p>
              </w:tc>
              <w:tc>
                <w:tcPr>
                  <w:tcW w:w="315" w:type="pct"/>
                  <w:noWrap w:val="0"/>
                  <w:vAlign w:val="center"/>
                </w:tcPr>
                <w:p w14:paraId="307F724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tLeast"/>
                    <w:ind w:left="-42" w:leftChars="-20" w:right="-42" w:rightChars="-20"/>
                    <w:jc w:val="center"/>
                    <w:textAlignment w:val="auto"/>
                    <w:rPr>
                      <w:rFonts w:hint="default" w:ascii="Times New Roman" w:hAnsi="Times New Roman" w:eastAsia="宋体" w:cs="Times New Roman"/>
                      <w:bCs/>
                      <w:color w:val="auto"/>
                      <w:kern w:val="2"/>
                      <w:sz w:val="21"/>
                      <w:szCs w:val="21"/>
                      <w:lang w:val="en-US" w:eastAsia="zh-CN" w:bidi="ar"/>
                    </w:rPr>
                  </w:pPr>
                  <w:r>
                    <w:rPr>
                      <w:rFonts w:hint="default" w:ascii="Times New Roman" w:hAnsi="Times New Roman" w:eastAsia="宋体" w:cs="Times New Roman"/>
                      <w:bCs/>
                      <w:color w:val="auto"/>
                      <w:kern w:val="2"/>
                      <w:sz w:val="21"/>
                      <w:szCs w:val="21"/>
                      <w:lang w:val="en-US" w:eastAsia="zh-CN" w:bidi="ar"/>
                    </w:rPr>
                    <w:t>相符</w:t>
                  </w:r>
                </w:p>
              </w:tc>
            </w:tr>
            <w:tr w14:paraId="1995018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97" w:type="pct"/>
                  <w:noWrap/>
                  <w:vAlign w:val="center"/>
                </w:tcPr>
                <w:p w14:paraId="07048CB2">
                  <w:pPr>
                    <w:keepNext w:val="0"/>
                    <w:keepLines w:val="0"/>
                    <w:widowControl w:val="0"/>
                    <w:suppressLineNumbers w:val="0"/>
                    <w:spacing w:before="0" w:beforeAutospacing="0" w:after="0" w:afterAutospacing="0" w:line="240" w:lineRule="atLeast"/>
                    <w:ind w:left="0" w:right="0"/>
                    <w:jc w:val="center"/>
                    <w:rPr>
                      <w:rFonts w:hint="default" w:ascii="Times New Roman" w:hAnsi="Times New Roman" w:eastAsia="宋体" w:cs="Times New Roman"/>
                      <w:bCs/>
                      <w:color w:val="auto"/>
                      <w:kern w:val="2"/>
                      <w:sz w:val="21"/>
                      <w:szCs w:val="21"/>
                      <w:lang w:val="en-US" w:eastAsia="zh-CN" w:bidi="ar"/>
                    </w:rPr>
                  </w:pPr>
                  <w:r>
                    <w:rPr>
                      <w:rFonts w:hint="default" w:ascii="Times New Roman" w:hAnsi="Times New Roman" w:eastAsia="宋体" w:cs="Times New Roman"/>
                      <w:bCs/>
                      <w:color w:val="auto"/>
                      <w:kern w:val="2"/>
                      <w:sz w:val="21"/>
                      <w:szCs w:val="21"/>
                      <w:lang w:val="en-US" w:eastAsia="zh-CN" w:bidi="ar"/>
                    </w:rPr>
                    <w:t>8</w:t>
                  </w:r>
                </w:p>
              </w:tc>
              <w:tc>
                <w:tcPr>
                  <w:tcW w:w="3020" w:type="pct"/>
                  <w:noWrap w:val="0"/>
                  <w:vAlign w:val="center"/>
                </w:tcPr>
                <w:p w14:paraId="673CCE86">
                  <w:pPr>
                    <w:keepNext w:val="0"/>
                    <w:keepLines w:val="0"/>
                    <w:widowControl w:val="0"/>
                    <w:suppressLineNumbers w:val="0"/>
                    <w:spacing w:before="0" w:beforeAutospacing="0" w:after="0" w:afterAutospacing="0" w:line="240" w:lineRule="atLeast"/>
                    <w:ind w:left="0" w:right="0"/>
                    <w:jc w:val="center"/>
                    <w:rPr>
                      <w:rFonts w:hint="default" w:ascii="Times New Roman" w:hAnsi="Times New Roman" w:eastAsia="宋体" w:cs="Times New Roman"/>
                      <w:bCs/>
                      <w:color w:val="auto"/>
                      <w:kern w:val="2"/>
                      <w:sz w:val="21"/>
                      <w:szCs w:val="21"/>
                      <w:lang w:val="zh-CN" w:eastAsia="zh-CN" w:bidi="ar"/>
                    </w:rPr>
                  </w:pPr>
                  <w:r>
                    <w:rPr>
                      <w:rFonts w:hint="default" w:ascii="Times New Roman" w:hAnsi="Times New Roman" w:eastAsia="宋体" w:cs="Times New Roman"/>
                      <w:bCs/>
                      <w:color w:val="auto"/>
                      <w:kern w:val="2"/>
                      <w:sz w:val="21"/>
                      <w:szCs w:val="21"/>
                      <w:lang w:val="zh-CN" w:eastAsia="zh-CN" w:bidi="ar"/>
                    </w:rPr>
                    <w:t>4.8 贮存设施退役时，所有者或运营者应依法履行环境保护责任，退役前应妥善处理处置贮存设施内剩余的危险废物，并对贮存设施进行清理，消除污染；还应依据土壤污染防治相关法律法规履行场地环境风险防控责任。</w:t>
                  </w:r>
                </w:p>
              </w:tc>
              <w:tc>
                <w:tcPr>
                  <w:tcW w:w="1366" w:type="pct"/>
                  <w:noWrap w:val="0"/>
                  <w:vAlign w:val="center"/>
                </w:tcPr>
                <w:p w14:paraId="624330C2">
                  <w:pPr>
                    <w:keepNext w:val="0"/>
                    <w:keepLines w:val="0"/>
                    <w:widowControl w:val="0"/>
                    <w:suppressLineNumbers w:val="0"/>
                    <w:spacing w:before="0" w:beforeAutospacing="0" w:after="0" w:afterAutospacing="0" w:line="240" w:lineRule="atLeast"/>
                    <w:ind w:left="0" w:right="0"/>
                    <w:jc w:val="center"/>
                    <w:rPr>
                      <w:rFonts w:hint="default" w:ascii="Times New Roman" w:hAnsi="Times New Roman" w:eastAsia="宋体" w:cs="Times New Roman"/>
                      <w:bCs/>
                      <w:color w:val="auto"/>
                      <w:kern w:val="2"/>
                      <w:sz w:val="21"/>
                      <w:szCs w:val="21"/>
                      <w:lang w:val="en-US" w:eastAsia="zh-CN" w:bidi="ar"/>
                    </w:rPr>
                  </w:pPr>
                  <w:r>
                    <w:rPr>
                      <w:rFonts w:hint="default" w:ascii="Times New Roman" w:hAnsi="Times New Roman" w:eastAsia="宋体" w:cs="Times New Roman"/>
                      <w:bCs/>
                      <w:color w:val="auto"/>
                      <w:kern w:val="2"/>
                      <w:sz w:val="21"/>
                      <w:szCs w:val="21"/>
                      <w:lang w:val="en-US" w:eastAsia="zh-CN" w:bidi="ar"/>
                    </w:rPr>
                    <w:t>企业贮存设施退役时将按照要求进行清理。</w:t>
                  </w:r>
                </w:p>
              </w:tc>
              <w:tc>
                <w:tcPr>
                  <w:tcW w:w="315" w:type="pct"/>
                  <w:noWrap w:val="0"/>
                  <w:vAlign w:val="center"/>
                </w:tcPr>
                <w:p w14:paraId="133FBAA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tLeast"/>
                    <w:ind w:left="-42" w:leftChars="-20" w:right="-42" w:rightChars="-20"/>
                    <w:jc w:val="center"/>
                    <w:textAlignment w:val="auto"/>
                    <w:rPr>
                      <w:rFonts w:hint="default" w:ascii="Times New Roman" w:hAnsi="Times New Roman" w:eastAsia="宋体" w:cs="Times New Roman"/>
                      <w:bCs/>
                      <w:color w:val="auto"/>
                      <w:kern w:val="2"/>
                      <w:sz w:val="21"/>
                      <w:szCs w:val="21"/>
                      <w:lang w:val="en-US" w:eastAsia="zh-CN" w:bidi="ar"/>
                    </w:rPr>
                  </w:pPr>
                  <w:r>
                    <w:rPr>
                      <w:rFonts w:hint="default" w:ascii="Times New Roman" w:hAnsi="Times New Roman" w:eastAsia="宋体" w:cs="Times New Roman"/>
                      <w:bCs/>
                      <w:color w:val="auto"/>
                      <w:kern w:val="2"/>
                      <w:sz w:val="21"/>
                      <w:szCs w:val="21"/>
                      <w:lang w:val="en-US" w:eastAsia="zh-CN" w:bidi="ar"/>
                    </w:rPr>
                    <w:t>相符</w:t>
                  </w:r>
                </w:p>
              </w:tc>
            </w:tr>
            <w:tr w14:paraId="13AF32F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297" w:type="pct"/>
                  <w:noWrap/>
                  <w:vAlign w:val="center"/>
                </w:tcPr>
                <w:p w14:paraId="5B09C1AF">
                  <w:pPr>
                    <w:keepNext w:val="0"/>
                    <w:keepLines w:val="0"/>
                    <w:widowControl w:val="0"/>
                    <w:suppressLineNumbers w:val="0"/>
                    <w:spacing w:before="0" w:beforeAutospacing="0" w:after="0" w:afterAutospacing="0" w:line="240" w:lineRule="atLeast"/>
                    <w:ind w:left="0" w:right="0"/>
                    <w:jc w:val="center"/>
                    <w:rPr>
                      <w:rFonts w:hint="default" w:ascii="Times New Roman" w:hAnsi="Times New Roman" w:eastAsia="宋体" w:cs="Times New Roman"/>
                      <w:bCs/>
                      <w:color w:val="auto"/>
                      <w:kern w:val="2"/>
                      <w:sz w:val="21"/>
                      <w:szCs w:val="21"/>
                      <w:lang w:val="en-US" w:eastAsia="zh-CN" w:bidi="ar"/>
                    </w:rPr>
                  </w:pPr>
                  <w:r>
                    <w:rPr>
                      <w:rFonts w:hint="default" w:ascii="Times New Roman" w:hAnsi="Times New Roman" w:eastAsia="宋体" w:cs="Times New Roman"/>
                      <w:bCs/>
                      <w:color w:val="auto"/>
                      <w:kern w:val="2"/>
                      <w:sz w:val="21"/>
                      <w:szCs w:val="21"/>
                      <w:lang w:val="en-US" w:eastAsia="zh-CN" w:bidi="ar"/>
                    </w:rPr>
                    <w:t>9</w:t>
                  </w:r>
                </w:p>
              </w:tc>
              <w:tc>
                <w:tcPr>
                  <w:tcW w:w="3020" w:type="pct"/>
                  <w:noWrap w:val="0"/>
                  <w:vAlign w:val="center"/>
                </w:tcPr>
                <w:p w14:paraId="2BB1F7EC">
                  <w:pPr>
                    <w:keepNext w:val="0"/>
                    <w:keepLines w:val="0"/>
                    <w:widowControl w:val="0"/>
                    <w:suppressLineNumbers w:val="0"/>
                    <w:spacing w:before="0" w:beforeAutospacing="0" w:after="0" w:afterAutospacing="0" w:line="240" w:lineRule="atLeast"/>
                    <w:ind w:left="0" w:right="0"/>
                    <w:jc w:val="center"/>
                    <w:rPr>
                      <w:rFonts w:hint="default" w:ascii="Times New Roman" w:hAnsi="Times New Roman" w:eastAsia="宋体" w:cs="Times New Roman"/>
                      <w:bCs/>
                      <w:color w:val="auto"/>
                      <w:kern w:val="2"/>
                      <w:sz w:val="21"/>
                      <w:szCs w:val="21"/>
                      <w:lang w:val="zh-CN" w:eastAsia="zh-CN" w:bidi="ar"/>
                    </w:rPr>
                  </w:pPr>
                  <w:r>
                    <w:rPr>
                      <w:rFonts w:hint="default" w:ascii="Times New Roman" w:hAnsi="Times New Roman" w:eastAsia="宋体" w:cs="Times New Roman"/>
                      <w:bCs/>
                      <w:color w:val="auto"/>
                      <w:kern w:val="2"/>
                      <w:sz w:val="21"/>
                      <w:szCs w:val="21"/>
                      <w:lang w:val="zh-CN" w:eastAsia="zh-CN" w:bidi="ar"/>
                    </w:rPr>
                    <w:t>4.9 在常温常压下易爆、易燃及排出有毒气体的危险废物应进行预处理，使之稳定后贮存，否则应按易爆、易燃危险品贮存。</w:t>
                  </w:r>
                </w:p>
              </w:tc>
              <w:tc>
                <w:tcPr>
                  <w:tcW w:w="1366" w:type="pct"/>
                  <w:noWrap w:val="0"/>
                  <w:vAlign w:val="center"/>
                </w:tcPr>
                <w:p w14:paraId="2A1BAC2F">
                  <w:pPr>
                    <w:keepNext w:val="0"/>
                    <w:keepLines w:val="0"/>
                    <w:widowControl w:val="0"/>
                    <w:suppressLineNumbers w:val="0"/>
                    <w:spacing w:before="0" w:beforeAutospacing="0" w:after="0" w:afterAutospacing="0" w:line="240" w:lineRule="atLeast"/>
                    <w:ind w:left="0" w:right="0"/>
                    <w:jc w:val="center"/>
                    <w:rPr>
                      <w:rFonts w:hint="default" w:ascii="Times New Roman" w:hAnsi="Times New Roman" w:eastAsia="宋体" w:cs="Times New Roman"/>
                      <w:bCs/>
                      <w:color w:val="auto"/>
                      <w:kern w:val="2"/>
                      <w:sz w:val="21"/>
                      <w:szCs w:val="21"/>
                      <w:lang w:val="en-US" w:eastAsia="zh-CN" w:bidi="ar"/>
                    </w:rPr>
                  </w:pPr>
                  <w:r>
                    <w:rPr>
                      <w:rFonts w:hint="default" w:ascii="Times New Roman" w:hAnsi="Times New Roman" w:eastAsia="宋体" w:cs="Times New Roman"/>
                      <w:bCs/>
                      <w:color w:val="auto"/>
                      <w:kern w:val="2"/>
                      <w:sz w:val="21"/>
                      <w:szCs w:val="21"/>
                      <w:lang w:val="en-US" w:eastAsia="zh-CN" w:bidi="ar"/>
                    </w:rPr>
                    <w:t>建设项目危废贮存过程不存在常温常压下易燃易爆及有毒的气体。</w:t>
                  </w:r>
                </w:p>
              </w:tc>
              <w:tc>
                <w:tcPr>
                  <w:tcW w:w="315" w:type="pct"/>
                  <w:noWrap w:val="0"/>
                  <w:vAlign w:val="center"/>
                </w:tcPr>
                <w:p w14:paraId="13962BD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tLeast"/>
                    <w:ind w:left="-42" w:leftChars="-20" w:right="-42" w:rightChars="-20"/>
                    <w:jc w:val="center"/>
                    <w:textAlignment w:val="auto"/>
                    <w:rPr>
                      <w:rFonts w:hint="default" w:ascii="Times New Roman" w:hAnsi="Times New Roman" w:eastAsia="宋体" w:cs="Times New Roman"/>
                      <w:bCs/>
                      <w:color w:val="auto"/>
                      <w:kern w:val="2"/>
                      <w:sz w:val="21"/>
                      <w:szCs w:val="21"/>
                      <w:lang w:val="en-US" w:eastAsia="zh-CN" w:bidi="ar"/>
                    </w:rPr>
                  </w:pPr>
                  <w:r>
                    <w:rPr>
                      <w:rFonts w:hint="default" w:ascii="Times New Roman" w:hAnsi="Times New Roman" w:eastAsia="宋体" w:cs="Times New Roman"/>
                      <w:bCs/>
                      <w:color w:val="auto"/>
                      <w:kern w:val="2"/>
                      <w:sz w:val="21"/>
                      <w:szCs w:val="21"/>
                      <w:lang w:val="en-US" w:eastAsia="zh-CN" w:bidi="ar"/>
                    </w:rPr>
                    <w:t>相符</w:t>
                  </w:r>
                </w:p>
              </w:tc>
            </w:tr>
            <w:tr w14:paraId="1EC62B3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97" w:type="pct"/>
                  <w:noWrap/>
                  <w:vAlign w:val="center"/>
                </w:tcPr>
                <w:p w14:paraId="791F33AB">
                  <w:pPr>
                    <w:keepNext w:val="0"/>
                    <w:keepLines w:val="0"/>
                    <w:widowControl w:val="0"/>
                    <w:suppressLineNumbers w:val="0"/>
                    <w:spacing w:before="0" w:beforeAutospacing="0" w:after="0" w:afterAutospacing="0" w:line="240" w:lineRule="atLeast"/>
                    <w:ind w:left="0" w:right="0"/>
                    <w:jc w:val="center"/>
                    <w:rPr>
                      <w:rFonts w:hint="default" w:ascii="Times New Roman" w:hAnsi="Times New Roman" w:eastAsia="宋体" w:cs="Times New Roman"/>
                      <w:bCs/>
                      <w:color w:val="auto"/>
                      <w:kern w:val="2"/>
                      <w:sz w:val="21"/>
                      <w:szCs w:val="21"/>
                      <w:lang w:val="en-US" w:eastAsia="zh-CN" w:bidi="ar"/>
                    </w:rPr>
                  </w:pPr>
                  <w:r>
                    <w:rPr>
                      <w:rFonts w:hint="default" w:ascii="Times New Roman" w:hAnsi="Times New Roman" w:eastAsia="宋体" w:cs="Times New Roman"/>
                      <w:bCs/>
                      <w:color w:val="auto"/>
                      <w:kern w:val="2"/>
                      <w:sz w:val="21"/>
                      <w:szCs w:val="21"/>
                      <w:lang w:val="en-US" w:eastAsia="zh-CN" w:bidi="ar"/>
                    </w:rPr>
                    <w:t>10</w:t>
                  </w:r>
                </w:p>
              </w:tc>
              <w:tc>
                <w:tcPr>
                  <w:tcW w:w="3020" w:type="pct"/>
                  <w:noWrap w:val="0"/>
                  <w:vAlign w:val="center"/>
                </w:tcPr>
                <w:p w14:paraId="3F377536">
                  <w:pPr>
                    <w:keepNext w:val="0"/>
                    <w:keepLines w:val="0"/>
                    <w:widowControl w:val="0"/>
                    <w:suppressLineNumbers w:val="0"/>
                    <w:spacing w:before="0" w:beforeAutospacing="0" w:after="0" w:afterAutospacing="0" w:line="240" w:lineRule="atLeast"/>
                    <w:ind w:left="0" w:right="0"/>
                    <w:jc w:val="center"/>
                    <w:rPr>
                      <w:rFonts w:hint="default" w:ascii="Times New Roman" w:hAnsi="Times New Roman" w:eastAsia="宋体" w:cs="Times New Roman"/>
                      <w:bCs/>
                      <w:color w:val="auto"/>
                      <w:kern w:val="2"/>
                      <w:sz w:val="21"/>
                      <w:szCs w:val="21"/>
                      <w:lang w:val="zh-CN" w:eastAsia="zh-CN" w:bidi="ar"/>
                    </w:rPr>
                  </w:pPr>
                  <w:r>
                    <w:rPr>
                      <w:rFonts w:hint="default" w:ascii="Times New Roman" w:hAnsi="Times New Roman" w:eastAsia="宋体" w:cs="Times New Roman"/>
                      <w:bCs/>
                      <w:color w:val="auto"/>
                      <w:kern w:val="2"/>
                      <w:sz w:val="21"/>
                      <w:szCs w:val="21"/>
                      <w:lang w:val="zh-CN" w:eastAsia="zh-CN" w:bidi="ar"/>
                    </w:rPr>
                    <w:t>4.10 危险废物贮存除应满足环境保护相关要求外，还应执行国家安全生产、职业健康、交通运输、消防等法律法规和标准的相关要求。</w:t>
                  </w:r>
                </w:p>
              </w:tc>
              <w:tc>
                <w:tcPr>
                  <w:tcW w:w="1366" w:type="pct"/>
                  <w:noWrap w:val="0"/>
                  <w:vAlign w:val="center"/>
                </w:tcPr>
                <w:p w14:paraId="7C1E1C02">
                  <w:pPr>
                    <w:keepNext w:val="0"/>
                    <w:keepLines w:val="0"/>
                    <w:widowControl w:val="0"/>
                    <w:suppressLineNumbers w:val="0"/>
                    <w:spacing w:before="0" w:beforeAutospacing="0" w:after="0" w:afterAutospacing="0" w:line="240" w:lineRule="atLeast"/>
                    <w:ind w:left="0" w:right="0"/>
                    <w:jc w:val="center"/>
                    <w:rPr>
                      <w:rFonts w:hint="default" w:ascii="Times New Roman" w:hAnsi="Times New Roman" w:eastAsia="宋体" w:cs="Times New Roman"/>
                      <w:bCs/>
                      <w:color w:val="auto"/>
                      <w:kern w:val="2"/>
                      <w:sz w:val="21"/>
                      <w:szCs w:val="21"/>
                      <w:lang w:val="en-US" w:eastAsia="zh-CN" w:bidi="ar"/>
                    </w:rPr>
                  </w:pPr>
                  <w:r>
                    <w:rPr>
                      <w:rFonts w:hint="default" w:ascii="Times New Roman" w:hAnsi="Times New Roman" w:eastAsia="宋体" w:cs="Times New Roman"/>
                      <w:bCs/>
                      <w:color w:val="auto"/>
                      <w:kern w:val="2"/>
                      <w:sz w:val="21"/>
                      <w:szCs w:val="21"/>
                      <w:lang w:val="en-US" w:eastAsia="zh-CN" w:bidi="ar"/>
                    </w:rPr>
                    <w:t>企业危废库执行国家安全生产、职业健康、交通运输、消防等法律法规和标准的相关要求。</w:t>
                  </w:r>
                </w:p>
              </w:tc>
              <w:tc>
                <w:tcPr>
                  <w:tcW w:w="315" w:type="pct"/>
                  <w:noWrap w:val="0"/>
                  <w:vAlign w:val="center"/>
                </w:tcPr>
                <w:p w14:paraId="41753F9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tLeast"/>
                    <w:ind w:left="-42" w:leftChars="-20" w:right="-42" w:rightChars="-20"/>
                    <w:jc w:val="center"/>
                    <w:textAlignment w:val="auto"/>
                    <w:rPr>
                      <w:rFonts w:hint="default" w:ascii="Times New Roman" w:hAnsi="Times New Roman" w:eastAsia="宋体" w:cs="Times New Roman"/>
                      <w:bCs/>
                      <w:color w:val="auto"/>
                      <w:kern w:val="2"/>
                      <w:sz w:val="21"/>
                      <w:szCs w:val="21"/>
                      <w:lang w:val="en-US" w:eastAsia="zh-CN" w:bidi="ar"/>
                    </w:rPr>
                  </w:pPr>
                  <w:r>
                    <w:rPr>
                      <w:rFonts w:hint="default" w:ascii="Times New Roman" w:hAnsi="Times New Roman" w:eastAsia="宋体" w:cs="Times New Roman"/>
                      <w:bCs/>
                      <w:color w:val="auto"/>
                      <w:kern w:val="2"/>
                      <w:sz w:val="21"/>
                      <w:szCs w:val="21"/>
                      <w:lang w:val="en-US" w:eastAsia="zh-CN" w:bidi="ar"/>
                    </w:rPr>
                    <w:t>相符</w:t>
                  </w:r>
                </w:p>
              </w:tc>
            </w:tr>
            <w:tr w14:paraId="7759688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97" w:type="pct"/>
                  <w:noWrap/>
                  <w:vAlign w:val="center"/>
                </w:tcPr>
                <w:p w14:paraId="6D9CBCCD">
                  <w:pPr>
                    <w:keepNext w:val="0"/>
                    <w:keepLines w:val="0"/>
                    <w:widowControl w:val="0"/>
                    <w:suppressLineNumbers w:val="0"/>
                    <w:spacing w:before="0" w:beforeAutospacing="0" w:after="0" w:afterAutospacing="0" w:line="240" w:lineRule="atLeast"/>
                    <w:ind w:left="0" w:right="0"/>
                    <w:jc w:val="center"/>
                    <w:rPr>
                      <w:rFonts w:hint="default" w:ascii="Times New Roman" w:hAnsi="Times New Roman" w:eastAsia="宋体" w:cs="Times New Roman"/>
                      <w:bCs/>
                      <w:color w:val="auto"/>
                      <w:kern w:val="2"/>
                      <w:sz w:val="21"/>
                      <w:szCs w:val="21"/>
                      <w:lang w:val="en-US" w:eastAsia="zh-CN" w:bidi="ar"/>
                    </w:rPr>
                  </w:pPr>
                  <w:r>
                    <w:rPr>
                      <w:rFonts w:hint="default" w:ascii="Times New Roman" w:hAnsi="Times New Roman" w:eastAsia="宋体" w:cs="Times New Roman"/>
                      <w:bCs/>
                      <w:color w:val="auto"/>
                      <w:kern w:val="2"/>
                      <w:sz w:val="21"/>
                      <w:szCs w:val="21"/>
                      <w:lang w:val="en-US" w:eastAsia="zh-CN" w:bidi="ar"/>
                    </w:rPr>
                    <w:t>11</w:t>
                  </w:r>
                </w:p>
              </w:tc>
              <w:tc>
                <w:tcPr>
                  <w:tcW w:w="3020" w:type="pct"/>
                  <w:noWrap w:val="0"/>
                  <w:vAlign w:val="center"/>
                </w:tcPr>
                <w:p w14:paraId="44465232">
                  <w:pPr>
                    <w:keepNext w:val="0"/>
                    <w:keepLines w:val="0"/>
                    <w:widowControl w:val="0"/>
                    <w:suppressLineNumbers w:val="0"/>
                    <w:spacing w:before="0" w:beforeAutospacing="0" w:after="0" w:afterAutospacing="0" w:line="240" w:lineRule="atLeast"/>
                    <w:ind w:left="0" w:right="0"/>
                    <w:jc w:val="both"/>
                    <w:rPr>
                      <w:rFonts w:hint="default" w:ascii="Times New Roman" w:hAnsi="Times New Roman" w:eastAsia="宋体" w:cs="Times New Roman"/>
                      <w:bCs/>
                      <w:color w:val="auto"/>
                      <w:kern w:val="2"/>
                      <w:sz w:val="21"/>
                      <w:szCs w:val="21"/>
                      <w:lang w:val="zh-CN" w:eastAsia="zh-CN" w:bidi="ar"/>
                    </w:rPr>
                  </w:pPr>
                  <w:r>
                    <w:rPr>
                      <w:rFonts w:hint="default" w:ascii="Times New Roman" w:hAnsi="Times New Roman" w:eastAsia="宋体" w:cs="Times New Roman"/>
                      <w:bCs/>
                      <w:color w:val="auto"/>
                      <w:kern w:val="2"/>
                      <w:sz w:val="21"/>
                      <w:szCs w:val="21"/>
                      <w:lang w:val="zh-CN" w:eastAsia="zh-CN" w:bidi="ar"/>
                    </w:rPr>
                    <w:t>6.1.1 贮存设施应根据危险废物的形态、物理化学性质、包装形式和污染物迁移途径，采取必要的防风、防晒、防雨、防漏、防渗、防腐以及其他环境污染防治措施，不应露天堆放危险废物。</w:t>
                  </w:r>
                </w:p>
                <w:p w14:paraId="7ACB193B">
                  <w:pPr>
                    <w:keepNext w:val="0"/>
                    <w:keepLines w:val="0"/>
                    <w:widowControl w:val="0"/>
                    <w:suppressLineNumbers w:val="0"/>
                    <w:spacing w:before="0" w:beforeAutospacing="0" w:after="0" w:afterAutospacing="0" w:line="240" w:lineRule="atLeast"/>
                    <w:ind w:left="0" w:right="0"/>
                    <w:jc w:val="both"/>
                    <w:rPr>
                      <w:rFonts w:hint="default" w:ascii="Times New Roman" w:hAnsi="Times New Roman" w:eastAsia="宋体" w:cs="Times New Roman"/>
                      <w:bCs/>
                      <w:color w:val="auto"/>
                      <w:kern w:val="2"/>
                      <w:sz w:val="21"/>
                      <w:szCs w:val="21"/>
                      <w:lang w:val="zh-CN" w:eastAsia="zh-CN" w:bidi="ar"/>
                    </w:rPr>
                  </w:pPr>
                  <w:r>
                    <w:rPr>
                      <w:rFonts w:hint="default" w:ascii="Times New Roman" w:hAnsi="Times New Roman" w:eastAsia="宋体" w:cs="Times New Roman"/>
                      <w:bCs/>
                      <w:color w:val="auto"/>
                      <w:kern w:val="2"/>
                      <w:sz w:val="21"/>
                      <w:szCs w:val="21"/>
                      <w:lang w:val="zh-CN" w:eastAsia="zh-CN" w:bidi="ar"/>
                    </w:rPr>
                    <w:t>6.1.2 贮存设施应根据危险废物的类别、数量、形态、物理化学性质和污染防治等要求设置必要的贮存分区，避免不相容的危险废物接触、混合。</w:t>
                  </w:r>
                </w:p>
                <w:p w14:paraId="3A4DF82A">
                  <w:pPr>
                    <w:keepNext w:val="0"/>
                    <w:keepLines w:val="0"/>
                    <w:widowControl w:val="0"/>
                    <w:suppressLineNumbers w:val="0"/>
                    <w:spacing w:before="0" w:beforeAutospacing="0" w:after="0" w:afterAutospacing="0" w:line="240" w:lineRule="atLeast"/>
                    <w:ind w:left="0" w:right="0"/>
                    <w:jc w:val="both"/>
                    <w:rPr>
                      <w:rFonts w:hint="default" w:ascii="Times New Roman" w:hAnsi="Times New Roman" w:eastAsia="宋体" w:cs="Times New Roman"/>
                      <w:bCs/>
                      <w:color w:val="auto"/>
                      <w:kern w:val="2"/>
                      <w:sz w:val="21"/>
                      <w:szCs w:val="21"/>
                      <w:lang w:val="zh-CN" w:eastAsia="zh-CN" w:bidi="ar"/>
                    </w:rPr>
                  </w:pPr>
                  <w:r>
                    <w:rPr>
                      <w:rFonts w:hint="default" w:ascii="Times New Roman" w:hAnsi="Times New Roman" w:eastAsia="宋体" w:cs="Times New Roman"/>
                      <w:bCs/>
                      <w:color w:val="auto"/>
                      <w:kern w:val="2"/>
                      <w:sz w:val="21"/>
                      <w:szCs w:val="21"/>
                      <w:lang w:val="zh-CN" w:eastAsia="zh-CN" w:bidi="ar"/>
                    </w:rPr>
                    <w:t>6.1.3 贮存设施或贮存分区内地面、墙面裙脚、堵截泄漏的围堰、接触危险废物的隔板和墙体等应采用坚固的材料建造，表面无裂缝。</w:t>
                  </w:r>
                </w:p>
                <w:p w14:paraId="37648CB8">
                  <w:pPr>
                    <w:keepNext w:val="0"/>
                    <w:keepLines w:val="0"/>
                    <w:widowControl w:val="0"/>
                    <w:suppressLineNumbers w:val="0"/>
                    <w:spacing w:before="0" w:beforeAutospacing="0" w:after="0" w:afterAutospacing="0" w:line="240" w:lineRule="atLeast"/>
                    <w:ind w:left="0" w:right="0"/>
                    <w:jc w:val="both"/>
                    <w:rPr>
                      <w:rFonts w:hint="default" w:ascii="Times New Roman" w:hAnsi="Times New Roman" w:eastAsia="宋体" w:cs="Times New Roman"/>
                      <w:bCs/>
                      <w:color w:val="auto"/>
                      <w:kern w:val="2"/>
                      <w:sz w:val="21"/>
                      <w:szCs w:val="21"/>
                      <w:lang w:val="zh-CN" w:eastAsia="zh-CN" w:bidi="ar"/>
                    </w:rPr>
                  </w:pPr>
                  <w:r>
                    <w:rPr>
                      <w:rFonts w:hint="default" w:ascii="Times New Roman" w:hAnsi="Times New Roman" w:eastAsia="宋体" w:cs="Times New Roman"/>
                      <w:bCs/>
                      <w:color w:val="auto"/>
                      <w:kern w:val="2"/>
                      <w:sz w:val="21"/>
                      <w:szCs w:val="21"/>
                      <w:lang w:val="zh-CN" w:eastAsia="zh-CN" w:bidi="ar"/>
                    </w:rPr>
                    <w:t>6.1.4 贮存设施地面与裙脚应采取表面防渗措施；表面防渗材料应与所接触的物料或污染物相容，可采用抗渗混凝土、高密度聚乙烯膜、钠基膨润土防水毯或其他防渗性能等效的材料。贮存的危险废物直接接触地面的，还应进行基础防渗，防渗层为至少1m厚黏土层（渗透系数不大于10</w:t>
                  </w:r>
                  <w:r>
                    <w:rPr>
                      <w:rFonts w:hint="default" w:ascii="Times New Roman" w:hAnsi="Times New Roman" w:eastAsia="宋体" w:cs="Times New Roman"/>
                      <w:bCs/>
                      <w:color w:val="auto"/>
                      <w:kern w:val="2"/>
                      <w:sz w:val="21"/>
                      <w:szCs w:val="21"/>
                      <w:vertAlign w:val="superscript"/>
                      <w:lang w:val="zh-CN" w:eastAsia="zh-CN" w:bidi="ar"/>
                    </w:rPr>
                    <w:t>-7</w:t>
                  </w:r>
                  <w:r>
                    <w:rPr>
                      <w:rFonts w:hint="default" w:ascii="Times New Roman" w:hAnsi="Times New Roman" w:eastAsia="宋体" w:cs="Times New Roman"/>
                      <w:bCs/>
                      <w:color w:val="auto"/>
                      <w:kern w:val="2"/>
                      <w:sz w:val="21"/>
                      <w:szCs w:val="21"/>
                      <w:lang w:val="zh-CN" w:eastAsia="zh-CN" w:bidi="ar"/>
                    </w:rPr>
                    <w:t>cm/s），或至少2mm厚高密度聚乙烯膜等人工防渗材料（渗透系数不大于10</w:t>
                  </w:r>
                  <w:r>
                    <w:rPr>
                      <w:rFonts w:hint="default" w:ascii="Times New Roman" w:hAnsi="Times New Roman" w:eastAsia="宋体" w:cs="Times New Roman"/>
                      <w:bCs/>
                      <w:color w:val="auto"/>
                      <w:kern w:val="2"/>
                      <w:sz w:val="21"/>
                      <w:szCs w:val="21"/>
                      <w:vertAlign w:val="superscript"/>
                      <w:lang w:val="zh-CN" w:eastAsia="zh-CN" w:bidi="ar"/>
                    </w:rPr>
                    <w:t>-10</w:t>
                  </w:r>
                  <w:r>
                    <w:rPr>
                      <w:rFonts w:hint="default" w:ascii="Times New Roman" w:hAnsi="Times New Roman" w:eastAsia="宋体" w:cs="Times New Roman"/>
                      <w:bCs/>
                      <w:color w:val="auto"/>
                      <w:kern w:val="2"/>
                      <w:sz w:val="21"/>
                      <w:szCs w:val="21"/>
                      <w:lang w:val="zh-CN" w:eastAsia="zh-CN" w:bidi="ar"/>
                    </w:rPr>
                    <w:t>cm/s），或其他防渗性能等效的材料。</w:t>
                  </w:r>
                </w:p>
                <w:p w14:paraId="5A181BC2">
                  <w:pPr>
                    <w:keepNext w:val="0"/>
                    <w:keepLines w:val="0"/>
                    <w:widowControl w:val="0"/>
                    <w:suppressLineNumbers w:val="0"/>
                    <w:spacing w:before="0" w:beforeAutospacing="0" w:after="0" w:afterAutospacing="0" w:line="240" w:lineRule="atLeast"/>
                    <w:ind w:left="0" w:right="0"/>
                    <w:jc w:val="both"/>
                    <w:rPr>
                      <w:rFonts w:hint="default" w:ascii="Times New Roman" w:hAnsi="Times New Roman" w:eastAsia="宋体" w:cs="Times New Roman"/>
                      <w:bCs/>
                      <w:color w:val="auto"/>
                      <w:kern w:val="2"/>
                      <w:sz w:val="21"/>
                      <w:szCs w:val="21"/>
                      <w:lang w:val="zh-CN" w:eastAsia="zh-CN" w:bidi="ar"/>
                    </w:rPr>
                  </w:pPr>
                  <w:r>
                    <w:rPr>
                      <w:rFonts w:hint="default" w:ascii="Times New Roman" w:hAnsi="Times New Roman" w:eastAsia="宋体" w:cs="Times New Roman"/>
                      <w:bCs/>
                      <w:color w:val="auto"/>
                      <w:kern w:val="2"/>
                      <w:sz w:val="21"/>
                      <w:szCs w:val="21"/>
                      <w:lang w:val="zh-CN" w:eastAsia="zh-CN" w:bidi="ar"/>
                    </w:rPr>
                    <w:t>6.1.5 同一贮存设施宜采用相同的防渗、防腐工艺（包括防渗、防腐结构或材料），防渗、防腐材料应覆盖所有可能与废物及其渗滤液、渗漏液等接触的构筑物表面；采用不同防渗、防腐工艺应分别建设贮存分区。</w:t>
                  </w:r>
                </w:p>
                <w:p w14:paraId="3C6C43AD">
                  <w:pPr>
                    <w:keepNext w:val="0"/>
                    <w:keepLines w:val="0"/>
                    <w:widowControl w:val="0"/>
                    <w:suppressLineNumbers w:val="0"/>
                    <w:spacing w:before="0" w:beforeAutospacing="0" w:after="0" w:afterAutospacing="0" w:line="240" w:lineRule="atLeast"/>
                    <w:ind w:left="0" w:right="0"/>
                    <w:jc w:val="both"/>
                    <w:rPr>
                      <w:rFonts w:hint="default" w:ascii="Times New Roman" w:hAnsi="Times New Roman" w:eastAsia="宋体" w:cs="Times New Roman"/>
                      <w:bCs/>
                      <w:color w:val="auto"/>
                      <w:kern w:val="2"/>
                      <w:sz w:val="21"/>
                      <w:szCs w:val="21"/>
                      <w:lang w:val="zh-CN" w:eastAsia="zh-CN" w:bidi="ar"/>
                    </w:rPr>
                  </w:pPr>
                  <w:r>
                    <w:rPr>
                      <w:rFonts w:hint="default" w:ascii="Times New Roman" w:hAnsi="Times New Roman" w:eastAsia="宋体" w:cs="Times New Roman"/>
                      <w:bCs/>
                      <w:color w:val="auto"/>
                      <w:kern w:val="2"/>
                      <w:sz w:val="21"/>
                      <w:szCs w:val="21"/>
                      <w:lang w:val="zh-CN" w:eastAsia="zh-CN" w:bidi="ar"/>
                    </w:rPr>
                    <w:t>6.1.6 贮存设施应采取技术和管理措施防止无关人员进入。</w:t>
                  </w:r>
                </w:p>
              </w:tc>
              <w:tc>
                <w:tcPr>
                  <w:tcW w:w="1366" w:type="pct"/>
                  <w:noWrap w:val="0"/>
                  <w:vAlign w:val="center"/>
                </w:tcPr>
                <w:p w14:paraId="58FF36E1">
                  <w:pPr>
                    <w:keepNext w:val="0"/>
                    <w:keepLines w:val="0"/>
                    <w:widowControl w:val="0"/>
                    <w:suppressLineNumbers w:val="0"/>
                    <w:spacing w:before="0" w:beforeAutospacing="0" w:after="0" w:afterAutospacing="0" w:line="240" w:lineRule="atLeast"/>
                    <w:ind w:left="0" w:right="0"/>
                    <w:jc w:val="both"/>
                    <w:rPr>
                      <w:rFonts w:hint="default" w:ascii="Times New Roman" w:hAnsi="Times New Roman" w:eastAsia="宋体" w:cs="Times New Roman"/>
                      <w:bCs/>
                      <w:color w:val="auto"/>
                      <w:kern w:val="2"/>
                      <w:sz w:val="21"/>
                      <w:szCs w:val="21"/>
                      <w:lang w:val="en-US" w:eastAsia="zh-CN" w:bidi="ar"/>
                    </w:rPr>
                  </w:pPr>
                  <w:r>
                    <w:rPr>
                      <w:rFonts w:hint="default" w:ascii="Times New Roman" w:hAnsi="Times New Roman" w:eastAsia="宋体" w:cs="Times New Roman"/>
                      <w:bCs/>
                      <w:color w:val="auto"/>
                      <w:kern w:val="2"/>
                      <w:sz w:val="21"/>
                      <w:szCs w:val="21"/>
                      <w:lang w:val="en-US" w:eastAsia="zh-CN" w:bidi="ar"/>
                    </w:rPr>
                    <w:t>1)企业危废库采取防风、防晒、防雨、防漏、防渗、防腐等措施，不露天堆放危险废物；</w:t>
                  </w:r>
                </w:p>
                <w:p w14:paraId="2868FF56">
                  <w:pPr>
                    <w:keepNext w:val="0"/>
                    <w:keepLines w:val="0"/>
                    <w:widowControl w:val="0"/>
                    <w:suppressLineNumbers w:val="0"/>
                    <w:spacing w:before="0" w:beforeAutospacing="0" w:after="0" w:afterAutospacing="0" w:line="240" w:lineRule="atLeast"/>
                    <w:ind w:left="0" w:right="0"/>
                    <w:jc w:val="both"/>
                    <w:rPr>
                      <w:rFonts w:hint="default" w:ascii="Times New Roman" w:hAnsi="Times New Roman" w:eastAsia="宋体" w:cs="Times New Roman"/>
                      <w:bCs/>
                      <w:color w:val="auto"/>
                      <w:kern w:val="2"/>
                      <w:sz w:val="21"/>
                      <w:szCs w:val="21"/>
                      <w:lang w:val="en-US" w:eastAsia="zh-CN" w:bidi="ar"/>
                    </w:rPr>
                  </w:pPr>
                  <w:r>
                    <w:rPr>
                      <w:rFonts w:hint="default" w:ascii="Times New Roman" w:hAnsi="Times New Roman" w:eastAsia="宋体" w:cs="Times New Roman"/>
                      <w:bCs/>
                      <w:color w:val="auto"/>
                      <w:kern w:val="2"/>
                      <w:sz w:val="21"/>
                      <w:szCs w:val="21"/>
                      <w:lang w:val="en-US" w:eastAsia="zh-CN" w:bidi="ar"/>
                    </w:rPr>
                    <w:t>2)本项目危险废物分区分类贮存；</w:t>
                  </w:r>
                </w:p>
                <w:p w14:paraId="203DF853">
                  <w:pPr>
                    <w:keepNext w:val="0"/>
                    <w:keepLines w:val="0"/>
                    <w:widowControl w:val="0"/>
                    <w:suppressLineNumbers w:val="0"/>
                    <w:spacing w:before="0" w:beforeAutospacing="0" w:after="0" w:afterAutospacing="0" w:line="240" w:lineRule="atLeast"/>
                    <w:ind w:left="0" w:right="0"/>
                    <w:jc w:val="both"/>
                    <w:rPr>
                      <w:rFonts w:hint="default" w:ascii="Times New Roman" w:hAnsi="Times New Roman" w:eastAsia="宋体" w:cs="Times New Roman"/>
                      <w:bCs/>
                      <w:color w:val="auto"/>
                      <w:kern w:val="2"/>
                      <w:sz w:val="21"/>
                      <w:szCs w:val="21"/>
                      <w:lang w:val="en-US" w:eastAsia="zh-CN" w:bidi="ar"/>
                    </w:rPr>
                  </w:pPr>
                  <w:r>
                    <w:rPr>
                      <w:rFonts w:hint="default" w:ascii="Times New Roman" w:hAnsi="Times New Roman" w:eastAsia="宋体" w:cs="Times New Roman"/>
                      <w:bCs/>
                      <w:color w:val="auto"/>
                      <w:kern w:val="2"/>
                      <w:sz w:val="21"/>
                      <w:szCs w:val="21"/>
                      <w:lang w:val="en-US" w:eastAsia="zh-CN" w:bidi="ar"/>
                    </w:rPr>
                    <w:t>3)贮存设施或贮存分区内地面、墙面裙脚、堵截泄漏的围堰、接触危险废物的隔板和墙体等应采用坚固的材料建造，表面无裂缝；</w:t>
                  </w:r>
                </w:p>
                <w:p w14:paraId="055BA856">
                  <w:pPr>
                    <w:keepNext w:val="0"/>
                    <w:keepLines w:val="0"/>
                    <w:widowControl w:val="0"/>
                    <w:suppressLineNumbers w:val="0"/>
                    <w:spacing w:before="0" w:beforeAutospacing="0" w:after="0" w:afterAutospacing="0" w:line="240" w:lineRule="atLeast"/>
                    <w:ind w:left="0" w:right="0"/>
                    <w:jc w:val="both"/>
                    <w:rPr>
                      <w:rFonts w:hint="default" w:ascii="Times New Roman" w:hAnsi="Times New Roman" w:eastAsia="宋体" w:cs="Times New Roman"/>
                      <w:bCs/>
                      <w:color w:val="auto"/>
                      <w:kern w:val="2"/>
                      <w:sz w:val="21"/>
                      <w:szCs w:val="21"/>
                      <w:lang w:val="en-US" w:eastAsia="zh-CN" w:bidi="ar"/>
                    </w:rPr>
                  </w:pPr>
                  <w:r>
                    <w:rPr>
                      <w:rFonts w:hint="default" w:ascii="Times New Roman" w:hAnsi="Times New Roman" w:eastAsia="宋体" w:cs="Times New Roman"/>
                      <w:bCs/>
                      <w:color w:val="auto"/>
                      <w:kern w:val="2"/>
                      <w:sz w:val="21"/>
                      <w:szCs w:val="21"/>
                      <w:lang w:val="en-US" w:eastAsia="zh-CN" w:bidi="ar"/>
                    </w:rPr>
                    <w:t>4)本项目危废库按规范要求进行防渗；</w:t>
                  </w:r>
                </w:p>
                <w:p w14:paraId="5748B5F3">
                  <w:pPr>
                    <w:keepNext w:val="0"/>
                    <w:keepLines w:val="0"/>
                    <w:widowControl w:val="0"/>
                    <w:suppressLineNumbers w:val="0"/>
                    <w:spacing w:before="0" w:beforeAutospacing="0" w:after="0" w:afterAutospacing="0" w:line="240" w:lineRule="atLeast"/>
                    <w:ind w:left="0" w:right="0"/>
                    <w:jc w:val="both"/>
                    <w:rPr>
                      <w:rFonts w:hint="default" w:ascii="Times New Roman" w:hAnsi="Times New Roman" w:eastAsia="宋体" w:cs="Times New Roman"/>
                      <w:bCs/>
                      <w:color w:val="auto"/>
                      <w:kern w:val="2"/>
                      <w:sz w:val="21"/>
                      <w:szCs w:val="21"/>
                      <w:lang w:val="en-US" w:eastAsia="zh-CN" w:bidi="ar"/>
                    </w:rPr>
                  </w:pPr>
                  <w:r>
                    <w:rPr>
                      <w:rFonts w:hint="default" w:ascii="Times New Roman" w:hAnsi="Times New Roman" w:eastAsia="宋体" w:cs="Times New Roman"/>
                      <w:bCs/>
                      <w:color w:val="auto"/>
                      <w:kern w:val="2"/>
                      <w:sz w:val="21"/>
                      <w:szCs w:val="21"/>
                      <w:lang w:val="en-US" w:eastAsia="zh-CN" w:bidi="ar"/>
                    </w:rPr>
                    <w:t>5)本项目仅设置1个危废库，按要求进行防渗、防腐处理；</w:t>
                  </w:r>
                </w:p>
                <w:p w14:paraId="30583351">
                  <w:pPr>
                    <w:keepNext w:val="0"/>
                    <w:keepLines w:val="0"/>
                    <w:widowControl w:val="0"/>
                    <w:suppressLineNumbers w:val="0"/>
                    <w:spacing w:before="0" w:beforeAutospacing="0" w:after="0" w:afterAutospacing="0" w:line="240" w:lineRule="atLeast"/>
                    <w:ind w:left="0" w:right="0"/>
                    <w:jc w:val="both"/>
                    <w:rPr>
                      <w:rFonts w:hint="default" w:ascii="Times New Roman" w:hAnsi="Times New Roman" w:eastAsia="宋体" w:cs="Times New Roman"/>
                      <w:bCs/>
                      <w:color w:val="auto"/>
                      <w:kern w:val="2"/>
                      <w:sz w:val="21"/>
                      <w:szCs w:val="21"/>
                      <w:lang w:val="en-US" w:eastAsia="zh-CN" w:bidi="ar"/>
                    </w:rPr>
                  </w:pPr>
                  <w:r>
                    <w:rPr>
                      <w:rFonts w:hint="default" w:ascii="Times New Roman" w:hAnsi="Times New Roman" w:eastAsia="宋体" w:cs="Times New Roman"/>
                      <w:bCs/>
                      <w:color w:val="auto"/>
                      <w:kern w:val="2"/>
                      <w:sz w:val="21"/>
                      <w:szCs w:val="21"/>
                      <w:lang w:val="en-US" w:eastAsia="zh-CN" w:bidi="ar"/>
                    </w:rPr>
                    <w:t>6)本项目危废库禁止无关人员进入。</w:t>
                  </w:r>
                </w:p>
              </w:tc>
              <w:tc>
                <w:tcPr>
                  <w:tcW w:w="315" w:type="pct"/>
                  <w:noWrap w:val="0"/>
                  <w:vAlign w:val="center"/>
                </w:tcPr>
                <w:p w14:paraId="3135CDF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tLeast"/>
                    <w:ind w:left="-42" w:leftChars="-20" w:right="-42" w:rightChars="-20"/>
                    <w:jc w:val="center"/>
                    <w:textAlignment w:val="auto"/>
                    <w:rPr>
                      <w:rFonts w:hint="default" w:ascii="Times New Roman" w:hAnsi="Times New Roman" w:eastAsia="宋体" w:cs="Times New Roman"/>
                      <w:bCs/>
                      <w:color w:val="auto"/>
                      <w:kern w:val="2"/>
                      <w:sz w:val="21"/>
                      <w:szCs w:val="21"/>
                      <w:lang w:val="en-US" w:eastAsia="zh-CN" w:bidi="ar"/>
                    </w:rPr>
                  </w:pPr>
                  <w:r>
                    <w:rPr>
                      <w:rFonts w:hint="default" w:ascii="Times New Roman" w:hAnsi="Times New Roman" w:eastAsia="宋体" w:cs="Times New Roman"/>
                      <w:bCs/>
                      <w:color w:val="auto"/>
                      <w:kern w:val="2"/>
                      <w:sz w:val="21"/>
                      <w:szCs w:val="21"/>
                      <w:lang w:val="en-US" w:eastAsia="zh-CN" w:bidi="ar"/>
                    </w:rPr>
                    <w:t>相符</w:t>
                  </w:r>
                </w:p>
              </w:tc>
            </w:tr>
            <w:tr w14:paraId="5FF56CE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97" w:type="pct"/>
                  <w:noWrap/>
                  <w:vAlign w:val="center"/>
                </w:tcPr>
                <w:p w14:paraId="6AF452B3">
                  <w:pPr>
                    <w:keepNext w:val="0"/>
                    <w:keepLines w:val="0"/>
                    <w:widowControl w:val="0"/>
                    <w:suppressLineNumbers w:val="0"/>
                    <w:spacing w:before="0" w:beforeAutospacing="0" w:after="0" w:afterAutospacing="0" w:line="240" w:lineRule="atLeast"/>
                    <w:ind w:left="0" w:right="0"/>
                    <w:jc w:val="center"/>
                    <w:rPr>
                      <w:rFonts w:hint="default" w:ascii="Times New Roman" w:hAnsi="Times New Roman" w:eastAsia="宋体" w:cs="Times New Roman"/>
                      <w:bCs/>
                      <w:color w:val="auto"/>
                      <w:kern w:val="2"/>
                      <w:sz w:val="21"/>
                      <w:szCs w:val="21"/>
                      <w:lang w:val="en-US" w:eastAsia="zh-CN" w:bidi="ar"/>
                    </w:rPr>
                  </w:pPr>
                  <w:r>
                    <w:rPr>
                      <w:rFonts w:hint="default" w:ascii="Times New Roman" w:hAnsi="Times New Roman" w:eastAsia="宋体" w:cs="Times New Roman"/>
                      <w:bCs/>
                      <w:color w:val="auto"/>
                      <w:kern w:val="2"/>
                      <w:sz w:val="21"/>
                      <w:szCs w:val="21"/>
                      <w:lang w:val="en-US" w:eastAsia="zh-CN" w:bidi="ar"/>
                    </w:rPr>
                    <w:t>12</w:t>
                  </w:r>
                </w:p>
              </w:tc>
              <w:tc>
                <w:tcPr>
                  <w:tcW w:w="3020" w:type="pct"/>
                  <w:noWrap w:val="0"/>
                  <w:vAlign w:val="center"/>
                </w:tcPr>
                <w:p w14:paraId="2D1F747E">
                  <w:pPr>
                    <w:keepNext w:val="0"/>
                    <w:keepLines w:val="0"/>
                    <w:widowControl w:val="0"/>
                    <w:suppressLineNumbers w:val="0"/>
                    <w:spacing w:before="0" w:beforeAutospacing="0" w:after="0" w:afterAutospacing="0" w:line="240" w:lineRule="atLeast"/>
                    <w:ind w:left="0" w:right="0"/>
                    <w:jc w:val="both"/>
                    <w:rPr>
                      <w:rFonts w:hint="default" w:ascii="Times New Roman" w:hAnsi="Times New Roman" w:eastAsia="宋体" w:cs="Times New Roman"/>
                      <w:bCs/>
                      <w:color w:val="auto"/>
                      <w:kern w:val="2"/>
                      <w:sz w:val="21"/>
                      <w:szCs w:val="21"/>
                      <w:lang w:val="zh-CN" w:eastAsia="zh-CN" w:bidi="ar"/>
                    </w:rPr>
                  </w:pPr>
                  <w:r>
                    <w:rPr>
                      <w:rFonts w:hint="default" w:ascii="Times New Roman" w:hAnsi="Times New Roman" w:eastAsia="宋体" w:cs="Times New Roman"/>
                      <w:bCs/>
                      <w:color w:val="auto"/>
                      <w:kern w:val="2"/>
                      <w:sz w:val="21"/>
                      <w:szCs w:val="21"/>
                      <w:lang w:val="zh-CN" w:eastAsia="zh-CN" w:bidi="ar"/>
                    </w:rPr>
                    <w:t>6.2.1 贮存库内不同贮存分区之间应采取隔离措施。隔离措施可根据危险废物特性采用过道、隔板或隔墙等方式。</w:t>
                  </w:r>
                </w:p>
                <w:p w14:paraId="53F4E921">
                  <w:pPr>
                    <w:keepNext w:val="0"/>
                    <w:keepLines w:val="0"/>
                    <w:widowControl w:val="0"/>
                    <w:suppressLineNumbers w:val="0"/>
                    <w:spacing w:before="0" w:beforeAutospacing="0" w:after="0" w:afterAutospacing="0" w:line="240" w:lineRule="atLeast"/>
                    <w:ind w:left="0" w:right="0"/>
                    <w:jc w:val="both"/>
                    <w:rPr>
                      <w:rFonts w:hint="default" w:ascii="Times New Roman" w:hAnsi="Times New Roman" w:eastAsia="宋体" w:cs="Times New Roman"/>
                      <w:bCs/>
                      <w:color w:val="auto"/>
                      <w:kern w:val="2"/>
                      <w:sz w:val="21"/>
                      <w:szCs w:val="21"/>
                      <w:lang w:val="zh-CN" w:eastAsia="zh-CN" w:bidi="ar"/>
                    </w:rPr>
                  </w:pPr>
                  <w:r>
                    <w:rPr>
                      <w:rFonts w:hint="default" w:ascii="Times New Roman" w:hAnsi="Times New Roman" w:eastAsia="宋体" w:cs="Times New Roman"/>
                      <w:bCs/>
                      <w:color w:val="auto"/>
                      <w:kern w:val="2"/>
                      <w:sz w:val="21"/>
                      <w:szCs w:val="21"/>
                      <w:lang w:val="zh-CN" w:eastAsia="zh-CN" w:bidi="ar"/>
                    </w:rPr>
                    <w:t>6.2.2 在贮存库内或通过贮存分区方式贮存液态危险废物的，应具有液体泄漏堵截设施，堵截设施最小容积不应低于对应贮存区域最大液态废物容器容积或液态废物总储量 1/10（二者取较大者）；用于贮存可能产生渗滤液的危险废物的贮存库或贮存分区应设计渗滤液收集设施，收集设施容积应满足渗滤液的收集要求。</w:t>
                  </w:r>
                </w:p>
                <w:p w14:paraId="043DA310">
                  <w:pPr>
                    <w:keepNext w:val="0"/>
                    <w:keepLines w:val="0"/>
                    <w:widowControl w:val="0"/>
                    <w:suppressLineNumbers w:val="0"/>
                    <w:spacing w:before="0" w:beforeAutospacing="0" w:after="0" w:afterAutospacing="0" w:line="240" w:lineRule="atLeast"/>
                    <w:ind w:left="0" w:right="0"/>
                    <w:jc w:val="both"/>
                    <w:rPr>
                      <w:rFonts w:hint="default" w:ascii="Times New Roman" w:hAnsi="Times New Roman" w:eastAsia="宋体" w:cs="Times New Roman"/>
                      <w:bCs/>
                      <w:color w:val="auto"/>
                      <w:kern w:val="2"/>
                      <w:sz w:val="21"/>
                      <w:szCs w:val="21"/>
                      <w:lang w:val="zh-CN" w:eastAsia="zh-CN" w:bidi="ar"/>
                    </w:rPr>
                  </w:pPr>
                  <w:r>
                    <w:rPr>
                      <w:rFonts w:hint="default" w:ascii="Times New Roman" w:hAnsi="Times New Roman" w:eastAsia="宋体" w:cs="Times New Roman"/>
                      <w:bCs/>
                      <w:color w:val="auto"/>
                      <w:kern w:val="2"/>
                      <w:sz w:val="21"/>
                      <w:szCs w:val="21"/>
                      <w:lang w:val="zh-CN" w:eastAsia="zh-CN" w:bidi="ar"/>
                    </w:rPr>
                    <w:t>6.2.3 贮存易产生粉尘、VOCs、酸雾、有毒有害大气污染物和刺激性气味气体的危险废物贮存库，应设置气体收集装置和气体净化设施；气体净化设施的排气筒高度应符合GB 16297要求。</w:t>
                  </w:r>
                </w:p>
              </w:tc>
              <w:tc>
                <w:tcPr>
                  <w:tcW w:w="1366" w:type="pct"/>
                  <w:noWrap w:val="0"/>
                  <w:vAlign w:val="center"/>
                </w:tcPr>
                <w:p w14:paraId="638C02C0">
                  <w:pPr>
                    <w:keepNext w:val="0"/>
                    <w:keepLines w:val="0"/>
                    <w:widowControl w:val="0"/>
                    <w:suppressLineNumbers w:val="0"/>
                    <w:spacing w:before="0" w:beforeAutospacing="0" w:after="0" w:afterAutospacing="0" w:line="240" w:lineRule="atLeast"/>
                    <w:ind w:left="0" w:right="0"/>
                    <w:jc w:val="center"/>
                    <w:rPr>
                      <w:rFonts w:hint="default" w:ascii="Times New Roman" w:hAnsi="Times New Roman" w:eastAsia="宋体" w:cs="Times New Roman"/>
                      <w:bCs/>
                      <w:color w:val="auto"/>
                      <w:kern w:val="2"/>
                      <w:sz w:val="21"/>
                      <w:szCs w:val="21"/>
                      <w:lang w:val="en-US" w:eastAsia="zh-CN" w:bidi="ar"/>
                    </w:rPr>
                  </w:pPr>
                  <w:r>
                    <w:rPr>
                      <w:rFonts w:hint="default" w:ascii="Times New Roman" w:hAnsi="Times New Roman" w:eastAsia="宋体" w:cs="Times New Roman"/>
                      <w:bCs/>
                      <w:color w:val="auto"/>
                      <w:kern w:val="2"/>
                      <w:sz w:val="21"/>
                      <w:szCs w:val="21"/>
                      <w:lang w:val="en-US" w:eastAsia="zh-CN" w:bidi="ar"/>
                    </w:rPr>
                    <w:t>1)危险废物分区分类贮存，不同分区之间设置隔离措施；</w:t>
                  </w:r>
                </w:p>
                <w:p w14:paraId="1BED8CEE">
                  <w:pPr>
                    <w:keepNext w:val="0"/>
                    <w:keepLines w:val="0"/>
                    <w:widowControl w:val="0"/>
                    <w:suppressLineNumbers w:val="0"/>
                    <w:spacing w:before="0" w:beforeAutospacing="0" w:after="0" w:afterAutospacing="0" w:line="240" w:lineRule="atLeast"/>
                    <w:ind w:left="0" w:right="0"/>
                    <w:jc w:val="center"/>
                    <w:rPr>
                      <w:rFonts w:hint="default" w:ascii="Times New Roman" w:hAnsi="Times New Roman" w:eastAsia="宋体" w:cs="Times New Roman"/>
                      <w:bCs/>
                      <w:color w:val="auto"/>
                      <w:kern w:val="2"/>
                      <w:sz w:val="21"/>
                      <w:szCs w:val="21"/>
                      <w:lang w:val="en-US" w:eastAsia="zh-CN" w:bidi="ar"/>
                    </w:rPr>
                  </w:pPr>
                  <w:r>
                    <w:rPr>
                      <w:rFonts w:hint="default" w:ascii="Times New Roman" w:hAnsi="Times New Roman" w:eastAsia="宋体" w:cs="Times New Roman"/>
                      <w:bCs/>
                      <w:color w:val="auto"/>
                      <w:kern w:val="2"/>
                      <w:sz w:val="21"/>
                      <w:szCs w:val="21"/>
                      <w:lang w:val="en-US" w:eastAsia="zh-CN" w:bidi="ar"/>
                    </w:rPr>
                    <w:t>2)企业不涉及液态危险废物贮存。</w:t>
                  </w:r>
                </w:p>
                <w:p w14:paraId="3BC023BC">
                  <w:pPr>
                    <w:keepNext w:val="0"/>
                    <w:keepLines w:val="0"/>
                    <w:widowControl w:val="0"/>
                    <w:suppressLineNumbers w:val="0"/>
                    <w:spacing w:before="0" w:beforeAutospacing="0" w:after="0" w:afterAutospacing="0" w:line="240" w:lineRule="atLeast"/>
                    <w:ind w:left="0" w:right="0"/>
                    <w:jc w:val="center"/>
                    <w:rPr>
                      <w:rFonts w:hint="default" w:ascii="Times New Roman" w:hAnsi="Times New Roman" w:eastAsia="宋体" w:cs="Times New Roman"/>
                      <w:bCs/>
                      <w:color w:val="auto"/>
                      <w:kern w:val="2"/>
                      <w:sz w:val="21"/>
                      <w:szCs w:val="21"/>
                      <w:lang w:val="en-US" w:eastAsia="zh-CN" w:bidi="ar"/>
                    </w:rPr>
                  </w:pPr>
                  <w:r>
                    <w:rPr>
                      <w:rFonts w:hint="default" w:ascii="Times New Roman" w:hAnsi="Times New Roman" w:eastAsia="宋体" w:cs="Times New Roman"/>
                      <w:bCs/>
                      <w:color w:val="auto"/>
                      <w:kern w:val="2"/>
                      <w:sz w:val="21"/>
                      <w:szCs w:val="21"/>
                      <w:lang w:val="en-US" w:eastAsia="zh-CN" w:bidi="ar"/>
                    </w:rPr>
                    <w:t>3）本项目危废仓库</w:t>
                  </w:r>
                  <w:r>
                    <w:rPr>
                      <w:rFonts w:hint="eastAsia" w:cs="Times New Roman"/>
                      <w:bCs/>
                      <w:color w:val="auto"/>
                      <w:kern w:val="2"/>
                      <w:sz w:val="21"/>
                      <w:szCs w:val="21"/>
                      <w:lang w:val="en-US" w:eastAsia="zh-CN" w:bidi="ar"/>
                    </w:rPr>
                    <w:t>不涉及易产生粉尘、VOCs、酸雾、有毒有害大气污染物和刺激性气味气体的物质</w:t>
                  </w:r>
                  <w:r>
                    <w:rPr>
                      <w:rFonts w:hint="default" w:ascii="Times New Roman" w:hAnsi="Times New Roman" w:eastAsia="宋体" w:cs="Times New Roman"/>
                      <w:bCs/>
                      <w:color w:val="auto"/>
                      <w:kern w:val="2"/>
                      <w:sz w:val="21"/>
                      <w:szCs w:val="21"/>
                      <w:lang w:val="en-US" w:eastAsia="zh-CN" w:bidi="ar"/>
                    </w:rPr>
                    <w:t>。</w:t>
                  </w:r>
                </w:p>
              </w:tc>
              <w:tc>
                <w:tcPr>
                  <w:tcW w:w="315" w:type="pct"/>
                  <w:noWrap w:val="0"/>
                  <w:vAlign w:val="center"/>
                </w:tcPr>
                <w:p w14:paraId="3B3A448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tLeast"/>
                    <w:ind w:left="-42" w:leftChars="-20" w:right="-42" w:rightChars="-20"/>
                    <w:jc w:val="center"/>
                    <w:textAlignment w:val="auto"/>
                    <w:rPr>
                      <w:rFonts w:hint="default" w:ascii="Times New Roman" w:hAnsi="Times New Roman" w:eastAsia="宋体" w:cs="Times New Roman"/>
                      <w:bCs/>
                      <w:color w:val="auto"/>
                      <w:kern w:val="2"/>
                      <w:sz w:val="21"/>
                      <w:szCs w:val="21"/>
                      <w:lang w:val="en-US" w:eastAsia="zh-CN" w:bidi="ar"/>
                    </w:rPr>
                  </w:pPr>
                  <w:r>
                    <w:rPr>
                      <w:rFonts w:hint="default" w:ascii="Times New Roman" w:hAnsi="Times New Roman" w:eastAsia="宋体" w:cs="Times New Roman"/>
                      <w:bCs/>
                      <w:color w:val="auto"/>
                      <w:kern w:val="2"/>
                      <w:sz w:val="21"/>
                      <w:szCs w:val="21"/>
                      <w:lang w:val="en-US" w:eastAsia="zh-CN" w:bidi="ar"/>
                    </w:rPr>
                    <w:t>相符</w:t>
                  </w:r>
                </w:p>
              </w:tc>
            </w:tr>
          </w:tbl>
          <w:p w14:paraId="1F085308">
            <w:pPr>
              <w:keepNext w:val="0"/>
              <w:keepLines w:val="0"/>
              <w:suppressLineNumbers w:val="0"/>
              <w:spacing w:before="0" w:beforeAutospacing="0" w:after="0" w:afterAutospacing="0" w:line="360" w:lineRule="auto"/>
              <w:ind w:left="0" w:right="0" w:firstLine="480"/>
              <w:rPr>
                <w:rFonts w:hint="default" w:ascii="Times New Roman" w:hAnsi="Times New Roman" w:eastAsia="宋体" w:cs="Times New Roman"/>
                <w:color w:val="auto"/>
                <w:kern w:val="0"/>
                <w:sz w:val="24"/>
                <w:szCs w:val="24"/>
                <w:highlight w:val="none"/>
                <w:lang w:val="en-US" w:eastAsia="zh-CN" w:bidi="ar-SA"/>
              </w:rPr>
            </w:pPr>
            <w:r>
              <w:rPr>
                <w:rFonts w:hint="default" w:ascii="Times New Roman" w:hAnsi="Times New Roman" w:eastAsia="宋体" w:cs="Times New Roman"/>
                <w:color w:val="auto"/>
                <w:sz w:val="24"/>
                <w:szCs w:val="24"/>
                <w:lang w:bidi="ar"/>
              </w:rPr>
              <w:t>由上表可知，本项目</w:t>
            </w:r>
            <w:r>
              <w:rPr>
                <w:rFonts w:hint="default" w:ascii="Times New Roman" w:hAnsi="Times New Roman" w:eastAsia="宋体" w:cs="Times New Roman"/>
                <w:color w:val="auto"/>
                <w:sz w:val="24"/>
                <w:szCs w:val="24"/>
                <w:lang w:val="en-US" w:eastAsia="zh-CN" w:bidi="ar"/>
              </w:rPr>
              <w:t>的</w:t>
            </w:r>
            <w:r>
              <w:rPr>
                <w:rFonts w:hint="default" w:ascii="Times New Roman" w:hAnsi="Times New Roman" w:eastAsia="宋体" w:cs="Times New Roman"/>
                <w:color w:val="auto"/>
                <w:sz w:val="24"/>
                <w:szCs w:val="24"/>
                <w:lang w:bidi="ar"/>
              </w:rPr>
              <w:t>建设符合《危险废物贮存污染控制标准》(GB18597-2023)相关要求。同时企业应当按照《关于做好生态环境和应急管理部门联动工作的意见》（苏环办〔2020〕101号）等文件要求，落实好危险废物产生、收集、贮存、运输、利用、处置等环节各项环保和安全责任、规范贮存、处置危险废物等要求。</w:t>
            </w:r>
          </w:p>
          <w:p w14:paraId="6BAC55D0">
            <w:pPr>
              <w:keepNext w:val="0"/>
              <w:keepLines w:val="0"/>
              <w:widowControl w:val="0"/>
              <w:suppressLineNumbers w:val="0"/>
              <w:adjustRightInd w:val="0"/>
              <w:snapToGrid w:val="0"/>
              <w:spacing w:before="0" w:beforeAutospacing="0" w:after="0" w:afterAutospacing="0" w:line="360" w:lineRule="auto"/>
              <w:ind w:left="0" w:right="0" w:firstLine="480" w:firstLineChars="200"/>
              <w:jc w:val="both"/>
              <w:rPr>
                <w:rFonts w:hint="default" w:ascii="Times New Roman" w:hAnsi="Times New Roman" w:eastAsia="宋体" w:cs="Times New Roman"/>
                <w:color w:val="auto"/>
                <w:kern w:val="0"/>
                <w:sz w:val="24"/>
                <w:szCs w:val="24"/>
                <w:highlight w:val="none"/>
                <w:lang w:val="en-US" w:eastAsia="zh-CN" w:bidi="ar-SA"/>
              </w:rPr>
            </w:pPr>
            <w:r>
              <w:rPr>
                <w:rFonts w:hint="default" w:ascii="Times New Roman" w:hAnsi="Times New Roman" w:eastAsia="宋体" w:cs="Times New Roman"/>
                <w:color w:val="auto"/>
                <w:kern w:val="0"/>
                <w:sz w:val="24"/>
                <w:szCs w:val="24"/>
                <w:highlight w:val="none"/>
                <w:lang w:val="en-US" w:eastAsia="zh-CN" w:bidi="ar-SA"/>
              </w:rPr>
              <w:t>（4）危险废物收集要求及分析</w:t>
            </w:r>
          </w:p>
          <w:p w14:paraId="3700A2A6">
            <w:pPr>
              <w:keepNext w:val="0"/>
              <w:keepLines w:val="0"/>
              <w:widowControl w:val="0"/>
              <w:suppressLineNumbers w:val="0"/>
              <w:adjustRightInd w:val="0"/>
              <w:snapToGrid w:val="0"/>
              <w:spacing w:before="0" w:beforeAutospacing="0" w:after="0" w:afterAutospacing="0" w:line="360" w:lineRule="auto"/>
              <w:ind w:left="0" w:right="0" w:firstLine="480" w:firstLineChars="200"/>
              <w:jc w:val="both"/>
              <w:rPr>
                <w:rFonts w:hint="default" w:ascii="Times New Roman" w:hAnsi="Times New Roman" w:eastAsia="宋体" w:cs="Times New Roman"/>
                <w:color w:val="auto"/>
                <w:kern w:val="0"/>
                <w:sz w:val="24"/>
                <w:szCs w:val="24"/>
                <w:highlight w:val="none"/>
                <w:lang w:val="en-US" w:eastAsia="zh-CN" w:bidi="ar-SA"/>
              </w:rPr>
            </w:pPr>
            <w:r>
              <w:rPr>
                <w:rFonts w:hint="default" w:ascii="Times New Roman" w:hAnsi="Times New Roman" w:eastAsia="宋体" w:cs="Times New Roman"/>
                <w:color w:val="auto"/>
                <w:kern w:val="0"/>
                <w:sz w:val="24"/>
                <w:szCs w:val="24"/>
                <w:highlight w:val="none"/>
                <w:lang w:val="en-US" w:eastAsia="zh-CN" w:bidi="ar-SA"/>
              </w:rPr>
              <w:t>危险废物在收集时，</w:t>
            </w:r>
            <w:r>
              <w:rPr>
                <w:rFonts w:hint="eastAsia" w:cs="Times New Roman"/>
                <w:color w:val="auto"/>
                <w:kern w:val="0"/>
                <w:sz w:val="24"/>
                <w:szCs w:val="24"/>
                <w:highlight w:val="none"/>
                <w:lang w:val="en-US" w:eastAsia="zh-CN" w:bidi="ar-SA"/>
              </w:rPr>
              <w:t>要</w:t>
            </w:r>
            <w:r>
              <w:rPr>
                <w:rFonts w:hint="default" w:ascii="Times New Roman" w:hAnsi="Times New Roman" w:eastAsia="宋体" w:cs="Times New Roman"/>
                <w:color w:val="auto"/>
                <w:kern w:val="0"/>
                <w:sz w:val="24"/>
                <w:szCs w:val="24"/>
                <w:highlight w:val="none"/>
                <w:lang w:val="en-US" w:eastAsia="zh-CN" w:bidi="ar-SA"/>
              </w:rPr>
              <w:t>清楚废物的类别及主要成分，以方便委托有资质单位</w:t>
            </w:r>
            <w:r>
              <w:rPr>
                <w:rFonts w:hint="eastAsia" w:cs="Times New Roman"/>
                <w:color w:val="auto"/>
                <w:kern w:val="0"/>
                <w:sz w:val="24"/>
                <w:szCs w:val="24"/>
                <w:highlight w:val="none"/>
                <w:lang w:val="en-US" w:eastAsia="zh-CN" w:bidi="ar-SA"/>
              </w:rPr>
              <w:t>处置</w:t>
            </w:r>
            <w:r>
              <w:rPr>
                <w:rFonts w:hint="default" w:ascii="Times New Roman" w:hAnsi="Times New Roman" w:eastAsia="宋体" w:cs="Times New Roman"/>
                <w:color w:val="auto"/>
                <w:kern w:val="0"/>
                <w:sz w:val="24"/>
                <w:szCs w:val="24"/>
                <w:highlight w:val="none"/>
                <w:lang w:val="en-US" w:eastAsia="zh-CN" w:bidi="ar-SA"/>
              </w:rPr>
              <w:t>。根据危险废物的性质和形态，可采用不同大小和不同材质的容器进行包装，所有包装容器应足够安全，并经过周密检查，严防在装载、搬移或运输途中出现渗漏、溢出、抛洒或挥发等情况。最后按照江苏省</w:t>
            </w:r>
            <w:r>
              <w:rPr>
                <w:rFonts w:hint="eastAsia" w:ascii="Times New Roman" w:hAnsi="Times New Roman" w:eastAsia="宋体" w:cs="Times New Roman"/>
                <w:color w:val="auto"/>
                <w:kern w:val="0"/>
                <w:sz w:val="24"/>
                <w:szCs w:val="24"/>
                <w:highlight w:val="none"/>
                <w:lang w:val="en-US" w:eastAsia="zh-CN" w:bidi="ar-SA"/>
              </w:rPr>
              <w:t>生态环境</w:t>
            </w:r>
            <w:r>
              <w:rPr>
                <w:rFonts w:hint="default" w:ascii="Times New Roman" w:hAnsi="Times New Roman" w:eastAsia="宋体" w:cs="Times New Roman"/>
                <w:color w:val="auto"/>
                <w:kern w:val="0"/>
                <w:sz w:val="24"/>
                <w:szCs w:val="24"/>
                <w:highlight w:val="none"/>
                <w:lang w:val="en-US" w:eastAsia="zh-CN" w:bidi="ar-SA"/>
              </w:rPr>
              <w:t>厅相关要求，对危险废物进行安全包装，并在包装的明显位置附上危险废物标签。</w:t>
            </w:r>
          </w:p>
          <w:p w14:paraId="49848806">
            <w:pPr>
              <w:keepNext w:val="0"/>
              <w:keepLines w:val="0"/>
              <w:widowControl w:val="0"/>
              <w:suppressLineNumbers w:val="0"/>
              <w:adjustRightInd w:val="0"/>
              <w:snapToGrid w:val="0"/>
              <w:spacing w:before="0" w:beforeAutospacing="0" w:after="0" w:afterAutospacing="0" w:line="360" w:lineRule="auto"/>
              <w:ind w:left="0" w:right="0" w:firstLine="480" w:firstLineChars="200"/>
              <w:jc w:val="both"/>
              <w:rPr>
                <w:rFonts w:hint="default" w:ascii="Times New Roman" w:hAnsi="Times New Roman" w:eastAsia="宋体" w:cs="Times New Roman"/>
                <w:color w:val="auto"/>
                <w:kern w:val="0"/>
                <w:sz w:val="24"/>
                <w:szCs w:val="24"/>
                <w:highlight w:val="none"/>
                <w:lang w:val="en-US" w:eastAsia="zh-CN" w:bidi="ar-SA"/>
              </w:rPr>
            </w:pPr>
            <w:r>
              <w:rPr>
                <w:rFonts w:hint="default" w:ascii="Times New Roman" w:hAnsi="Times New Roman" w:eastAsia="宋体" w:cs="Times New Roman"/>
                <w:color w:val="auto"/>
                <w:kern w:val="0"/>
                <w:sz w:val="24"/>
                <w:szCs w:val="24"/>
                <w:highlight w:val="none"/>
                <w:lang w:val="en-US" w:eastAsia="zh-CN" w:bidi="ar-SA"/>
              </w:rPr>
              <w:t>（5）危险废物暂存及转移要求及分析</w:t>
            </w:r>
          </w:p>
          <w:p w14:paraId="73278E60">
            <w:pPr>
              <w:keepNext w:val="0"/>
              <w:keepLines w:val="0"/>
              <w:widowControl w:val="0"/>
              <w:suppressLineNumbers w:val="0"/>
              <w:adjustRightInd w:val="0"/>
              <w:snapToGrid w:val="0"/>
              <w:spacing w:before="0" w:beforeAutospacing="0" w:after="0" w:afterAutospacing="0" w:line="360" w:lineRule="auto"/>
              <w:ind w:left="0" w:right="0" w:firstLine="480" w:firstLineChars="200"/>
              <w:jc w:val="both"/>
              <w:rPr>
                <w:rFonts w:hint="default" w:ascii="Times New Roman" w:hAnsi="Times New Roman" w:eastAsia="宋体" w:cs="Times New Roman"/>
                <w:color w:val="auto"/>
                <w:kern w:val="0"/>
                <w:sz w:val="24"/>
                <w:szCs w:val="24"/>
                <w:highlight w:val="none"/>
                <w:lang w:val="en-US" w:eastAsia="zh-CN" w:bidi="ar-SA"/>
              </w:rPr>
            </w:pPr>
            <w:r>
              <w:rPr>
                <w:rFonts w:hint="default" w:ascii="Times New Roman" w:hAnsi="Times New Roman" w:eastAsia="宋体" w:cs="Times New Roman"/>
                <w:color w:val="auto"/>
                <w:kern w:val="0"/>
                <w:sz w:val="24"/>
                <w:szCs w:val="24"/>
                <w:highlight w:val="none"/>
                <w:lang w:val="en-US" w:eastAsia="zh-CN" w:bidi="ar-SA"/>
              </w:rPr>
              <w:t>本项目运营后，危险废物应尽快送往委托单位处理，不宜存放过长时间；若由于危废处置单位暂时无法转移固废，需将固废暂时存储在本项目厂区内，则需修建临时贮存场所，且暂存期不得超过三个月。要求做到以下几点：</w:t>
            </w:r>
          </w:p>
          <w:p w14:paraId="2BA7FA80">
            <w:pPr>
              <w:keepNext w:val="0"/>
              <w:keepLines w:val="0"/>
              <w:widowControl w:val="0"/>
              <w:suppressLineNumbers w:val="0"/>
              <w:adjustRightInd w:val="0"/>
              <w:snapToGrid w:val="0"/>
              <w:spacing w:before="0" w:beforeAutospacing="0" w:after="0" w:afterAutospacing="0" w:line="360" w:lineRule="auto"/>
              <w:ind w:left="0" w:right="0" w:firstLine="480" w:firstLineChars="200"/>
              <w:jc w:val="both"/>
              <w:rPr>
                <w:rFonts w:hint="default" w:ascii="Times New Roman" w:hAnsi="Times New Roman" w:eastAsia="宋体" w:cs="Times New Roman"/>
                <w:color w:val="auto"/>
                <w:kern w:val="0"/>
                <w:sz w:val="24"/>
                <w:szCs w:val="24"/>
                <w:highlight w:val="none"/>
                <w:lang w:val="en-US" w:eastAsia="zh-CN" w:bidi="ar-SA"/>
              </w:rPr>
            </w:pPr>
            <w:r>
              <w:rPr>
                <w:rFonts w:hint="default" w:ascii="Times New Roman" w:hAnsi="Times New Roman" w:eastAsia="宋体" w:cs="Times New Roman"/>
                <w:color w:val="auto"/>
                <w:kern w:val="0"/>
                <w:sz w:val="24"/>
                <w:szCs w:val="24"/>
                <w:highlight w:val="none"/>
                <w:lang w:val="en-US" w:eastAsia="zh-CN" w:bidi="ar-SA"/>
              </w:rPr>
              <w:t>①废物贮存设施必须按《环境保护图形标志—固体废物贮存（处置）场》（GB 15562.2-1995）及修改单、《危险废物识别标志设置技术规范》（HJ 1276-2022）和《省生态环境厅关于印发</w:t>
            </w:r>
            <w:r>
              <w:rPr>
                <w:rFonts w:hint="eastAsia" w:cs="Times New Roman"/>
                <w:color w:val="auto"/>
                <w:kern w:val="0"/>
                <w:sz w:val="24"/>
                <w:szCs w:val="24"/>
                <w:highlight w:val="none"/>
                <w:lang w:val="en-US" w:eastAsia="zh-CN" w:bidi="ar-SA"/>
              </w:rPr>
              <w:t>&lt;</w:t>
            </w:r>
            <w:r>
              <w:rPr>
                <w:rFonts w:hint="default" w:ascii="Times New Roman" w:hAnsi="Times New Roman" w:eastAsia="宋体" w:cs="Times New Roman"/>
                <w:color w:val="auto"/>
                <w:kern w:val="0"/>
                <w:sz w:val="24"/>
                <w:szCs w:val="24"/>
                <w:highlight w:val="none"/>
                <w:lang w:val="en-US" w:eastAsia="zh-CN" w:bidi="ar-SA"/>
              </w:rPr>
              <w:t>江苏省固体废物全过程环境监管工作意见</w:t>
            </w:r>
            <w:r>
              <w:rPr>
                <w:rFonts w:hint="eastAsia" w:cs="Times New Roman"/>
                <w:color w:val="auto"/>
                <w:kern w:val="0"/>
                <w:sz w:val="24"/>
                <w:szCs w:val="24"/>
                <w:highlight w:val="none"/>
                <w:lang w:val="en-US" w:eastAsia="zh-CN" w:bidi="ar-SA"/>
              </w:rPr>
              <w:t>&gt;</w:t>
            </w:r>
            <w:r>
              <w:rPr>
                <w:rFonts w:hint="default" w:ascii="Times New Roman" w:hAnsi="Times New Roman" w:eastAsia="宋体" w:cs="Times New Roman"/>
                <w:color w:val="auto"/>
                <w:kern w:val="0"/>
                <w:sz w:val="24"/>
                <w:szCs w:val="24"/>
                <w:highlight w:val="none"/>
                <w:lang w:val="en-US" w:eastAsia="zh-CN" w:bidi="ar-SA"/>
              </w:rPr>
              <w:t>的通知》（苏环办〔2024〕16号）的规定设置警示标志；</w:t>
            </w:r>
          </w:p>
          <w:p w14:paraId="1D99B784">
            <w:pPr>
              <w:keepNext w:val="0"/>
              <w:keepLines w:val="0"/>
              <w:widowControl w:val="0"/>
              <w:suppressLineNumbers w:val="0"/>
              <w:adjustRightInd w:val="0"/>
              <w:snapToGrid w:val="0"/>
              <w:spacing w:before="0" w:beforeAutospacing="0" w:after="0" w:afterAutospacing="0" w:line="360" w:lineRule="auto"/>
              <w:ind w:left="0" w:right="0" w:firstLine="480" w:firstLineChars="200"/>
              <w:jc w:val="both"/>
              <w:rPr>
                <w:rFonts w:hint="default" w:ascii="Times New Roman" w:hAnsi="Times New Roman" w:eastAsia="宋体" w:cs="Times New Roman"/>
                <w:color w:val="auto"/>
                <w:kern w:val="0"/>
                <w:sz w:val="24"/>
                <w:szCs w:val="24"/>
                <w:highlight w:val="none"/>
                <w:lang w:val="en-US" w:eastAsia="zh-CN" w:bidi="ar-SA"/>
              </w:rPr>
            </w:pPr>
            <w:r>
              <w:rPr>
                <w:rFonts w:hint="default" w:ascii="Times New Roman" w:hAnsi="Times New Roman" w:eastAsia="宋体" w:cs="Times New Roman"/>
                <w:color w:val="auto"/>
                <w:kern w:val="0"/>
                <w:sz w:val="24"/>
                <w:szCs w:val="24"/>
                <w:highlight w:val="none"/>
                <w:lang w:val="en-US" w:eastAsia="zh-CN" w:bidi="ar-SA"/>
              </w:rPr>
              <w:t>②废物贮存设施周围应设置围墙或其他防护栅栏，地面采用防渗并设置收集导流沟等；</w:t>
            </w:r>
          </w:p>
          <w:p w14:paraId="4DB55C5E">
            <w:pPr>
              <w:keepNext w:val="0"/>
              <w:keepLines w:val="0"/>
              <w:widowControl w:val="0"/>
              <w:suppressLineNumbers w:val="0"/>
              <w:adjustRightInd w:val="0"/>
              <w:snapToGrid w:val="0"/>
              <w:spacing w:before="0" w:beforeAutospacing="0" w:after="0" w:afterAutospacing="0" w:line="360" w:lineRule="auto"/>
              <w:ind w:left="0" w:right="0" w:firstLine="480" w:firstLineChars="200"/>
              <w:jc w:val="both"/>
              <w:rPr>
                <w:rFonts w:hint="default" w:ascii="Times New Roman" w:hAnsi="Times New Roman" w:eastAsia="宋体" w:cs="Times New Roman"/>
                <w:color w:val="auto"/>
                <w:kern w:val="0"/>
                <w:sz w:val="24"/>
                <w:szCs w:val="24"/>
                <w:highlight w:val="none"/>
                <w:lang w:val="en-US" w:eastAsia="zh-CN" w:bidi="ar-SA"/>
              </w:rPr>
            </w:pPr>
            <w:r>
              <w:rPr>
                <w:rFonts w:hint="default" w:ascii="Times New Roman" w:hAnsi="Times New Roman" w:eastAsia="宋体" w:cs="Times New Roman"/>
                <w:color w:val="auto"/>
                <w:kern w:val="0"/>
                <w:sz w:val="24"/>
                <w:szCs w:val="24"/>
                <w:highlight w:val="none"/>
                <w:lang w:val="en-US" w:eastAsia="zh-CN" w:bidi="ar-SA"/>
              </w:rPr>
              <w:t>③废物贮存设施应配备通讯设备、照明设施、安全防护服装及工具，并设有应急防护设施；</w:t>
            </w:r>
          </w:p>
          <w:p w14:paraId="31C244C8">
            <w:pPr>
              <w:keepNext w:val="0"/>
              <w:keepLines w:val="0"/>
              <w:widowControl w:val="0"/>
              <w:suppressLineNumbers w:val="0"/>
              <w:adjustRightInd w:val="0"/>
              <w:snapToGrid w:val="0"/>
              <w:spacing w:before="0" w:beforeAutospacing="0" w:after="0" w:afterAutospacing="0" w:line="360" w:lineRule="auto"/>
              <w:ind w:left="0" w:right="0" w:firstLine="480" w:firstLineChars="200"/>
              <w:jc w:val="both"/>
              <w:rPr>
                <w:rFonts w:hint="default" w:ascii="Times New Roman" w:hAnsi="Times New Roman" w:eastAsia="宋体" w:cs="Times New Roman"/>
                <w:color w:val="auto"/>
                <w:kern w:val="0"/>
                <w:sz w:val="24"/>
                <w:szCs w:val="24"/>
                <w:highlight w:val="none"/>
                <w:lang w:val="en-US" w:eastAsia="zh-CN" w:bidi="ar-SA"/>
              </w:rPr>
            </w:pPr>
            <w:r>
              <w:rPr>
                <w:rFonts w:hint="default" w:ascii="Times New Roman" w:hAnsi="Times New Roman" w:eastAsia="宋体" w:cs="Times New Roman"/>
                <w:color w:val="auto"/>
                <w:kern w:val="0"/>
                <w:sz w:val="24"/>
                <w:szCs w:val="24"/>
                <w:highlight w:val="none"/>
                <w:lang w:val="en-US" w:eastAsia="zh-CN" w:bidi="ar-SA"/>
              </w:rPr>
              <w:t>④废物贮存设施内清理出来的泄漏物，一律按危险废物处理；</w:t>
            </w:r>
          </w:p>
          <w:p w14:paraId="64E0F9CA">
            <w:pPr>
              <w:keepNext w:val="0"/>
              <w:keepLines w:val="0"/>
              <w:widowControl w:val="0"/>
              <w:suppressLineNumbers w:val="0"/>
              <w:adjustRightInd w:val="0"/>
              <w:snapToGrid w:val="0"/>
              <w:spacing w:before="0" w:beforeAutospacing="0" w:after="0" w:afterAutospacing="0" w:line="360" w:lineRule="auto"/>
              <w:ind w:left="0" w:right="0" w:firstLine="480" w:firstLineChars="200"/>
              <w:jc w:val="both"/>
              <w:rPr>
                <w:rFonts w:hint="default" w:ascii="Times New Roman" w:hAnsi="Times New Roman" w:eastAsia="宋体" w:cs="Times New Roman"/>
                <w:color w:val="auto"/>
                <w:kern w:val="0"/>
                <w:sz w:val="24"/>
                <w:szCs w:val="24"/>
                <w:highlight w:val="none"/>
                <w:lang w:val="en-US" w:eastAsia="zh-CN" w:bidi="ar-SA"/>
              </w:rPr>
            </w:pPr>
            <w:r>
              <w:rPr>
                <w:rFonts w:hint="default" w:ascii="Times New Roman" w:hAnsi="Times New Roman" w:eastAsia="宋体" w:cs="Times New Roman"/>
                <w:color w:val="auto"/>
                <w:kern w:val="0"/>
                <w:sz w:val="24"/>
                <w:szCs w:val="24"/>
                <w:highlight w:val="none"/>
                <w:lang w:val="en-US" w:eastAsia="zh-CN" w:bidi="ar-SA"/>
              </w:rPr>
              <w:t>⑤建设单位收集危险废物后，放置在厂内的固废暂存库同时做好危险废物情况的记录，记录上注明危险废物的名称、数量及接收单位名称；</w:t>
            </w:r>
          </w:p>
          <w:p w14:paraId="7349DD4A">
            <w:pPr>
              <w:keepNext w:val="0"/>
              <w:keepLines w:val="0"/>
              <w:widowControl w:val="0"/>
              <w:suppressLineNumbers w:val="0"/>
              <w:adjustRightInd w:val="0"/>
              <w:snapToGrid w:val="0"/>
              <w:spacing w:before="0" w:beforeAutospacing="0" w:after="0" w:afterAutospacing="0" w:line="360" w:lineRule="auto"/>
              <w:ind w:left="0" w:right="0" w:firstLine="480" w:firstLineChars="200"/>
              <w:jc w:val="both"/>
              <w:rPr>
                <w:rFonts w:hint="default" w:ascii="Times New Roman" w:hAnsi="Times New Roman" w:eastAsia="宋体" w:cs="Times New Roman"/>
                <w:color w:val="auto"/>
                <w:kern w:val="0"/>
                <w:sz w:val="24"/>
                <w:szCs w:val="24"/>
                <w:highlight w:val="none"/>
                <w:lang w:val="en-US" w:eastAsia="zh-CN" w:bidi="ar-SA"/>
              </w:rPr>
            </w:pPr>
            <w:r>
              <w:rPr>
                <w:rFonts w:hint="default" w:ascii="Times New Roman" w:hAnsi="Times New Roman" w:eastAsia="宋体" w:cs="Times New Roman"/>
                <w:color w:val="auto"/>
                <w:kern w:val="0"/>
                <w:sz w:val="24"/>
                <w:szCs w:val="24"/>
                <w:highlight w:val="none"/>
                <w:lang w:val="en-US" w:eastAsia="zh-CN" w:bidi="ar-SA"/>
              </w:rPr>
              <w:t>⑥建设单位应做好危废转移申报、转移联单等相关手续；</w:t>
            </w:r>
          </w:p>
          <w:p w14:paraId="501C3DA8">
            <w:pPr>
              <w:keepNext w:val="0"/>
              <w:keepLines w:val="0"/>
              <w:widowControl w:val="0"/>
              <w:suppressLineNumbers w:val="0"/>
              <w:adjustRightInd w:val="0"/>
              <w:snapToGrid w:val="0"/>
              <w:spacing w:before="0" w:beforeAutospacing="0" w:after="0" w:afterAutospacing="0" w:line="360" w:lineRule="auto"/>
              <w:ind w:left="0" w:right="0" w:firstLine="480" w:firstLineChars="200"/>
              <w:jc w:val="both"/>
              <w:rPr>
                <w:rFonts w:hint="default" w:ascii="Times New Roman" w:hAnsi="Times New Roman" w:eastAsia="宋体" w:cs="Times New Roman"/>
                <w:color w:val="auto"/>
                <w:kern w:val="0"/>
                <w:sz w:val="24"/>
                <w:szCs w:val="24"/>
                <w:highlight w:val="none"/>
                <w:lang w:val="en-US" w:eastAsia="zh-CN" w:bidi="ar-SA"/>
              </w:rPr>
            </w:pPr>
            <w:r>
              <w:rPr>
                <w:rFonts w:hint="default" w:ascii="Times New Roman" w:hAnsi="Times New Roman" w:eastAsia="宋体" w:cs="Times New Roman"/>
                <w:color w:val="auto"/>
                <w:kern w:val="0"/>
                <w:sz w:val="24"/>
                <w:szCs w:val="24"/>
                <w:highlight w:val="none"/>
                <w:lang w:val="en-US" w:eastAsia="zh-CN" w:bidi="ar-SA"/>
              </w:rPr>
              <w:t>⑦建设单位应通过</w:t>
            </w:r>
            <w:r>
              <w:rPr>
                <w:rFonts w:hint="eastAsia"/>
                <w:color w:val="auto"/>
                <w:sz w:val="24"/>
                <w:szCs w:val="24"/>
              </w:rPr>
              <w:t>“江苏省固体废物管理信息系统”（江苏省生态环境厅</w:t>
            </w:r>
            <w:r>
              <w:rPr>
                <w:rFonts w:hint="default" w:ascii="Times New Roman" w:hAnsi="Times New Roman" w:eastAsia="宋体" w:cs="Times New Roman"/>
                <w:color w:val="auto"/>
                <w:kern w:val="0"/>
                <w:sz w:val="24"/>
                <w:szCs w:val="24"/>
                <w:highlight w:val="none"/>
                <w:lang w:val="en-US" w:eastAsia="zh-CN" w:bidi="ar-SA"/>
              </w:rPr>
              <w:t>）进行危险废物申报登记。将危险废物的实际产生、贮存、利用、处置等情况纳入生产记录，建立危险废物管理台账和企业内部产生和收集、贮存、转移等部门危险废物交接制度。</w:t>
            </w:r>
          </w:p>
          <w:p w14:paraId="048F80CA">
            <w:pPr>
              <w:keepNext w:val="0"/>
              <w:keepLines w:val="0"/>
              <w:widowControl w:val="0"/>
              <w:suppressLineNumbers w:val="0"/>
              <w:adjustRightInd w:val="0"/>
              <w:snapToGrid w:val="0"/>
              <w:spacing w:before="0" w:beforeAutospacing="0" w:after="0" w:afterAutospacing="0" w:line="360" w:lineRule="auto"/>
              <w:ind w:left="0" w:right="0" w:firstLine="480" w:firstLineChars="200"/>
              <w:jc w:val="both"/>
              <w:rPr>
                <w:rFonts w:hint="default" w:ascii="Times New Roman" w:hAnsi="Times New Roman" w:eastAsia="宋体" w:cs="Times New Roman"/>
                <w:color w:val="auto"/>
                <w:kern w:val="0"/>
                <w:sz w:val="24"/>
                <w:szCs w:val="24"/>
                <w:highlight w:val="none"/>
                <w:lang w:val="en-US" w:eastAsia="zh-CN" w:bidi="ar-SA"/>
              </w:rPr>
            </w:pPr>
            <w:r>
              <w:rPr>
                <w:rFonts w:hint="default" w:ascii="Times New Roman" w:hAnsi="Times New Roman" w:eastAsia="宋体" w:cs="Times New Roman"/>
                <w:color w:val="auto"/>
                <w:kern w:val="0"/>
                <w:sz w:val="24"/>
                <w:szCs w:val="24"/>
                <w:highlight w:val="none"/>
                <w:lang w:val="en-US" w:eastAsia="zh-CN" w:bidi="ar-SA"/>
              </w:rPr>
              <w:t>⑧</w:t>
            </w:r>
            <w:r>
              <w:rPr>
                <w:color w:val="auto"/>
                <w:sz w:val="24"/>
                <w:szCs w:val="24"/>
              </w:rPr>
              <w:t>在转移危险废物前，须按照国家有关规定报批危险废物转移计划</w:t>
            </w:r>
            <w:r>
              <w:rPr>
                <w:rFonts w:hint="default" w:ascii="Times New Roman" w:hAnsi="Times New Roman" w:eastAsia="宋体" w:cs="Times New Roman"/>
                <w:color w:val="auto"/>
                <w:kern w:val="0"/>
                <w:sz w:val="24"/>
                <w:szCs w:val="24"/>
                <w:highlight w:val="none"/>
                <w:lang w:val="en-US" w:eastAsia="zh-CN" w:bidi="ar-SA"/>
              </w:rPr>
              <w:t>；</w:t>
            </w:r>
          </w:p>
          <w:p w14:paraId="50FD0BF0">
            <w:pPr>
              <w:keepNext w:val="0"/>
              <w:keepLines w:val="0"/>
              <w:widowControl w:val="0"/>
              <w:suppressLineNumbers w:val="0"/>
              <w:adjustRightInd w:val="0"/>
              <w:snapToGrid w:val="0"/>
              <w:spacing w:before="0" w:beforeAutospacing="0" w:after="0" w:afterAutospacing="0" w:line="360" w:lineRule="auto"/>
              <w:ind w:left="0" w:right="0" w:firstLine="480" w:firstLineChars="200"/>
              <w:jc w:val="both"/>
              <w:rPr>
                <w:rFonts w:hint="default" w:ascii="Times New Roman" w:hAnsi="Times New Roman" w:eastAsia="宋体" w:cs="Times New Roman"/>
                <w:color w:val="auto"/>
                <w:kern w:val="0"/>
                <w:sz w:val="24"/>
                <w:szCs w:val="24"/>
                <w:highlight w:val="none"/>
                <w:lang w:val="en-US" w:eastAsia="zh-CN" w:bidi="ar-SA"/>
              </w:rPr>
            </w:pPr>
            <w:r>
              <w:rPr>
                <w:rFonts w:hint="default" w:ascii="Times New Roman" w:hAnsi="Times New Roman" w:eastAsia="宋体" w:cs="Times New Roman"/>
                <w:color w:val="auto"/>
                <w:kern w:val="0"/>
                <w:sz w:val="24"/>
                <w:szCs w:val="24"/>
                <w:highlight w:val="none"/>
                <w:lang w:val="en-US" w:eastAsia="zh-CN" w:bidi="ar-SA"/>
              </w:rPr>
              <w:t>⑨规范危险废物收集贮存，完善危险废物收集体系，规范危险废物贮存设施，企业应根据危险废物的种类和特性进行分区、分类贮存，设置防雨、防火、防雷、防扬散、防渗漏装置及泄漏液体收集装置。</w:t>
            </w:r>
          </w:p>
          <w:p w14:paraId="3DFC9D88">
            <w:pPr>
              <w:keepNext w:val="0"/>
              <w:keepLines w:val="0"/>
              <w:widowControl w:val="0"/>
              <w:suppressLineNumbers w:val="0"/>
              <w:adjustRightInd w:val="0"/>
              <w:snapToGrid w:val="0"/>
              <w:spacing w:before="0" w:beforeAutospacing="0" w:after="0" w:afterAutospacing="0" w:line="360" w:lineRule="auto"/>
              <w:ind w:left="0" w:right="0" w:firstLine="480" w:firstLineChars="200"/>
              <w:jc w:val="both"/>
              <w:rPr>
                <w:rFonts w:hint="default" w:ascii="Times New Roman" w:hAnsi="Times New Roman" w:eastAsia="宋体" w:cs="Times New Roman"/>
                <w:color w:val="auto"/>
                <w:kern w:val="0"/>
                <w:sz w:val="24"/>
                <w:szCs w:val="24"/>
                <w:highlight w:val="none"/>
                <w:lang w:val="en-US" w:eastAsia="zh-CN" w:bidi="ar-SA"/>
              </w:rPr>
            </w:pPr>
            <w:r>
              <w:rPr>
                <w:rFonts w:hint="default" w:ascii="Times New Roman" w:hAnsi="Times New Roman" w:eastAsia="宋体" w:cs="Times New Roman"/>
                <w:color w:val="auto"/>
                <w:kern w:val="0"/>
                <w:sz w:val="24"/>
                <w:szCs w:val="24"/>
                <w:highlight w:val="none"/>
                <w:lang w:val="en-US" w:eastAsia="zh-CN" w:bidi="ar-SA"/>
              </w:rPr>
              <w:t>⑩本项目危废</w:t>
            </w:r>
            <w:r>
              <w:rPr>
                <w:rFonts w:hint="eastAsia" w:cs="Times New Roman"/>
                <w:color w:val="auto"/>
                <w:kern w:val="0"/>
                <w:sz w:val="24"/>
                <w:szCs w:val="24"/>
                <w:highlight w:val="none"/>
                <w:lang w:val="en-US" w:eastAsia="zh-CN" w:bidi="ar-SA"/>
              </w:rPr>
              <w:t>库</w:t>
            </w:r>
            <w:r>
              <w:rPr>
                <w:rFonts w:hint="eastAsia"/>
                <w:color w:val="auto"/>
                <w:sz w:val="24"/>
                <w:szCs w:val="24"/>
              </w:rPr>
              <w:t>根据相关要求做了防渗处理。本项目在出入口、贮存点、危险废物运输车辆通道等关键位置设置视频监控。</w:t>
            </w:r>
          </w:p>
          <w:p w14:paraId="0BB3E1C1">
            <w:pPr>
              <w:keepNext w:val="0"/>
              <w:keepLines w:val="0"/>
              <w:widowControl w:val="0"/>
              <w:suppressLineNumbers w:val="0"/>
              <w:adjustRightInd w:val="0"/>
              <w:snapToGrid w:val="0"/>
              <w:spacing w:before="0" w:beforeAutospacing="0" w:after="0" w:afterAutospacing="0" w:line="360" w:lineRule="auto"/>
              <w:ind w:left="0" w:right="0" w:firstLine="480" w:firstLineChars="200"/>
              <w:jc w:val="both"/>
              <w:rPr>
                <w:rFonts w:hint="default" w:ascii="Times New Roman" w:hAnsi="Times New Roman" w:eastAsia="宋体" w:cs="Times New Roman"/>
                <w:b/>
                <w:bCs/>
                <w:color w:val="auto"/>
                <w:kern w:val="44"/>
                <w:sz w:val="24"/>
                <w:szCs w:val="24"/>
                <w:lang w:val="en-US" w:eastAsia="zh-CN" w:bidi="ar-SA"/>
              </w:rPr>
            </w:pPr>
            <w:r>
              <w:rPr>
                <w:rFonts w:hint="default" w:ascii="Times New Roman" w:hAnsi="Times New Roman" w:eastAsia="宋体" w:cs="Times New Roman"/>
                <w:color w:val="auto"/>
                <w:kern w:val="0"/>
                <w:sz w:val="24"/>
                <w:szCs w:val="24"/>
                <w:highlight w:val="none"/>
                <w:lang w:val="en-US" w:eastAsia="zh-CN" w:bidi="ar-SA"/>
              </w:rPr>
              <w:t>根据《建设项目危险废物环境影响评价指南》要求，危险废物贮存场所（设施）的名称、位置、占地面积、贮存方式、贮存容积、贮存周期等情况详见下表。</w:t>
            </w:r>
          </w:p>
          <w:p w14:paraId="0576BC46">
            <w:pPr>
              <w:keepNext w:val="0"/>
              <w:keepLines w:val="0"/>
              <w:numPr>
                <w:ilvl w:val="0"/>
                <w:numId w:val="0"/>
              </w:numPr>
              <w:suppressLineNumbers w:val="0"/>
              <w:spacing w:before="0" w:beforeAutospacing="0" w:after="0" w:afterAutospacing="0"/>
              <w:ind w:left="0" w:leftChars="0" w:right="0"/>
              <w:jc w:val="center"/>
              <w:rPr>
                <w:rFonts w:hint="default" w:ascii="Times New Roman" w:hAnsi="Times New Roman" w:eastAsia="宋体" w:cs="Times New Roman"/>
                <w:b/>
                <w:bCs/>
                <w:color w:val="auto"/>
                <w:kern w:val="44"/>
                <w:sz w:val="24"/>
                <w:szCs w:val="24"/>
                <w:lang w:val="en-US" w:eastAsia="zh-CN" w:bidi="ar-SA"/>
              </w:rPr>
            </w:pPr>
            <w:r>
              <w:rPr>
                <w:rFonts w:hint="default" w:ascii="Times New Roman" w:hAnsi="Times New Roman" w:eastAsia="宋体" w:cs="Times New Roman"/>
                <w:b/>
                <w:bCs/>
                <w:color w:val="auto"/>
                <w:kern w:val="44"/>
                <w:sz w:val="24"/>
                <w:szCs w:val="24"/>
                <w:lang w:val="en-US" w:eastAsia="zh-CN" w:bidi="ar-SA"/>
              </w:rPr>
              <w:t>表4-</w:t>
            </w:r>
            <w:r>
              <w:rPr>
                <w:rFonts w:hint="eastAsia" w:cs="Times New Roman"/>
                <w:b/>
                <w:bCs/>
                <w:color w:val="auto"/>
                <w:kern w:val="44"/>
                <w:sz w:val="24"/>
                <w:szCs w:val="24"/>
                <w:lang w:val="en-US" w:eastAsia="zh-CN" w:bidi="ar-SA"/>
              </w:rPr>
              <w:t>28</w:t>
            </w:r>
            <w:r>
              <w:rPr>
                <w:rFonts w:hint="default" w:ascii="Times New Roman" w:hAnsi="Times New Roman" w:eastAsia="宋体" w:cs="Times New Roman"/>
                <w:b/>
                <w:bCs/>
                <w:color w:val="auto"/>
                <w:kern w:val="44"/>
                <w:sz w:val="24"/>
                <w:szCs w:val="24"/>
                <w:lang w:val="en-US" w:eastAsia="zh-CN" w:bidi="ar-SA"/>
              </w:rPr>
              <w:t xml:space="preserve"> 建设项目危险废物贮存场所（设施）基本情况表</w:t>
            </w:r>
          </w:p>
          <w:tbl>
            <w:tblPr>
              <w:tblStyle w:val="26"/>
              <w:tblW w:w="4993"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67"/>
              <w:gridCol w:w="647"/>
              <w:gridCol w:w="1150"/>
              <w:gridCol w:w="859"/>
              <w:gridCol w:w="1217"/>
              <w:gridCol w:w="432"/>
              <w:gridCol w:w="710"/>
              <w:gridCol w:w="1088"/>
              <w:gridCol w:w="687"/>
              <w:gridCol w:w="894"/>
            </w:tblGrid>
            <w:tr w14:paraId="2F42DD6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86" w:type="pct"/>
                  <w:noWrap w:val="0"/>
                  <w:vAlign w:val="center"/>
                </w:tcPr>
                <w:p w14:paraId="5E3E0475">
                  <w:pPr>
                    <w:keepNext w:val="0"/>
                    <w:keepLines w:val="0"/>
                    <w:suppressLineNumbers w:val="0"/>
                    <w:topLinePunct/>
                    <w:adjustRightInd w:val="0"/>
                    <w:snapToGrid w:val="0"/>
                    <w:spacing w:before="0" w:beforeAutospacing="0" w:after="0" w:afterAutospacing="0"/>
                    <w:ind w:left="0" w:right="0"/>
                    <w:jc w:val="center"/>
                    <w:rPr>
                      <w:rFonts w:hint="default" w:ascii="Times New Roman" w:hAnsi="Times New Roman" w:eastAsia="宋体" w:cs="Times New Roman"/>
                      <w:b/>
                      <w:color w:val="auto"/>
                      <w:kern w:val="0"/>
                      <w:sz w:val="21"/>
                      <w:szCs w:val="21"/>
                      <w:highlight w:val="none"/>
                      <w:lang w:bidi="ar-SA"/>
                    </w:rPr>
                  </w:pPr>
                  <w:r>
                    <w:rPr>
                      <w:rFonts w:hint="default" w:ascii="Times New Roman" w:hAnsi="Times New Roman" w:eastAsia="宋体" w:cs="Times New Roman"/>
                      <w:b/>
                      <w:color w:val="auto"/>
                      <w:kern w:val="0"/>
                      <w:sz w:val="21"/>
                      <w:szCs w:val="21"/>
                      <w:highlight w:val="none"/>
                      <w:lang w:bidi="ar-SA"/>
                    </w:rPr>
                    <w:t>序号</w:t>
                  </w:r>
                </w:p>
              </w:tc>
              <w:tc>
                <w:tcPr>
                  <w:tcW w:w="396" w:type="pct"/>
                  <w:noWrap w:val="0"/>
                  <w:vAlign w:val="center"/>
                </w:tcPr>
                <w:p w14:paraId="05BEA4BA">
                  <w:pPr>
                    <w:keepNext w:val="0"/>
                    <w:keepLines w:val="0"/>
                    <w:suppressLineNumbers w:val="0"/>
                    <w:topLinePunct/>
                    <w:adjustRightInd w:val="0"/>
                    <w:snapToGrid w:val="0"/>
                    <w:spacing w:before="0" w:beforeAutospacing="0" w:after="0" w:afterAutospacing="0"/>
                    <w:ind w:left="0" w:right="0"/>
                    <w:jc w:val="center"/>
                    <w:rPr>
                      <w:rFonts w:hint="default" w:ascii="Times New Roman" w:hAnsi="Times New Roman" w:eastAsia="宋体" w:cs="Times New Roman"/>
                      <w:b/>
                      <w:color w:val="auto"/>
                      <w:kern w:val="0"/>
                      <w:sz w:val="21"/>
                      <w:szCs w:val="21"/>
                      <w:highlight w:val="none"/>
                      <w:lang w:bidi="ar-SA"/>
                    </w:rPr>
                  </w:pPr>
                  <w:r>
                    <w:rPr>
                      <w:rFonts w:hint="default" w:ascii="Times New Roman" w:hAnsi="Times New Roman" w:eastAsia="宋体" w:cs="Times New Roman"/>
                      <w:b/>
                      <w:color w:val="auto"/>
                      <w:kern w:val="0"/>
                      <w:sz w:val="21"/>
                      <w:szCs w:val="21"/>
                      <w:highlight w:val="none"/>
                      <w:lang w:bidi="ar-SA"/>
                    </w:rPr>
                    <w:t>贮存场所名称</w:t>
                  </w:r>
                </w:p>
              </w:tc>
              <w:tc>
                <w:tcPr>
                  <w:tcW w:w="705" w:type="pct"/>
                  <w:noWrap w:val="0"/>
                  <w:vAlign w:val="center"/>
                </w:tcPr>
                <w:p w14:paraId="509486D9">
                  <w:pPr>
                    <w:keepNext w:val="0"/>
                    <w:keepLines w:val="0"/>
                    <w:suppressLineNumbers w:val="0"/>
                    <w:topLinePunct/>
                    <w:adjustRightInd w:val="0"/>
                    <w:snapToGrid w:val="0"/>
                    <w:spacing w:before="0" w:beforeAutospacing="0" w:after="0" w:afterAutospacing="0"/>
                    <w:ind w:left="0" w:right="0"/>
                    <w:jc w:val="center"/>
                    <w:rPr>
                      <w:rFonts w:hint="default" w:ascii="Times New Roman" w:hAnsi="Times New Roman" w:eastAsia="宋体" w:cs="Times New Roman"/>
                      <w:b/>
                      <w:color w:val="auto"/>
                      <w:kern w:val="0"/>
                      <w:sz w:val="21"/>
                      <w:szCs w:val="21"/>
                      <w:highlight w:val="none"/>
                      <w:lang w:bidi="ar-SA"/>
                    </w:rPr>
                  </w:pPr>
                  <w:r>
                    <w:rPr>
                      <w:rFonts w:hint="default" w:ascii="Times New Roman" w:hAnsi="Times New Roman" w:eastAsia="宋体" w:cs="Times New Roman"/>
                      <w:b/>
                      <w:color w:val="auto"/>
                      <w:kern w:val="0"/>
                      <w:sz w:val="21"/>
                      <w:szCs w:val="21"/>
                      <w:highlight w:val="none"/>
                      <w:lang w:bidi="ar-SA"/>
                    </w:rPr>
                    <w:t>危险废物名称</w:t>
                  </w:r>
                </w:p>
              </w:tc>
              <w:tc>
                <w:tcPr>
                  <w:tcW w:w="526" w:type="pct"/>
                  <w:noWrap w:val="0"/>
                  <w:vAlign w:val="center"/>
                </w:tcPr>
                <w:p w14:paraId="4CDC28CC">
                  <w:pPr>
                    <w:keepNext w:val="0"/>
                    <w:keepLines w:val="0"/>
                    <w:suppressLineNumbers w:val="0"/>
                    <w:topLinePunct/>
                    <w:adjustRightInd w:val="0"/>
                    <w:snapToGrid w:val="0"/>
                    <w:spacing w:before="0" w:beforeAutospacing="0" w:after="0" w:afterAutospacing="0"/>
                    <w:ind w:left="0" w:right="0"/>
                    <w:jc w:val="center"/>
                    <w:rPr>
                      <w:rFonts w:hint="default" w:ascii="Times New Roman" w:hAnsi="Times New Roman" w:eastAsia="宋体" w:cs="Times New Roman"/>
                      <w:b/>
                      <w:color w:val="auto"/>
                      <w:kern w:val="0"/>
                      <w:sz w:val="21"/>
                      <w:szCs w:val="21"/>
                      <w:highlight w:val="none"/>
                      <w:lang w:bidi="ar-SA"/>
                    </w:rPr>
                  </w:pPr>
                  <w:r>
                    <w:rPr>
                      <w:rFonts w:hint="default" w:ascii="Times New Roman" w:hAnsi="Times New Roman" w:eastAsia="宋体" w:cs="Times New Roman"/>
                      <w:b/>
                      <w:color w:val="auto"/>
                      <w:kern w:val="0"/>
                      <w:sz w:val="21"/>
                      <w:szCs w:val="21"/>
                      <w:highlight w:val="none"/>
                      <w:lang w:bidi="ar-SA"/>
                    </w:rPr>
                    <w:t>危险废物类别</w:t>
                  </w:r>
                </w:p>
              </w:tc>
              <w:tc>
                <w:tcPr>
                  <w:tcW w:w="746" w:type="pct"/>
                  <w:noWrap w:val="0"/>
                  <w:vAlign w:val="center"/>
                </w:tcPr>
                <w:p w14:paraId="63F3BD86">
                  <w:pPr>
                    <w:keepNext w:val="0"/>
                    <w:keepLines w:val="0"/>
                    <w:suppressLineNumbers w:val="0"/>
                    <w:topLinePunct/>
                    <w:adjustRightInd w:val="0"/>
                    <w:snapToGrid w:val="0"/>
                    <w:spacing w:before="0" w:beforeAutospacing="0" w:after="0" w:afterAutospacing="0"/>
                    <w:ind w:left="0" w:right="0"/>
                    <w:jc w:val="center"/>
                    <w:rPr>
                      <w:rFonts w:hint="default" w:ascii="Times New Roman" w:hAnsi="Times New Roman" w:eastAsia="宋体" w:cs="Times New Roman"/>
                      <w:b/>
                      <w:color w:val="auto"/>
                      <w:kern w:val="0"/>
                      <w:sz w:val="21"/>
                      <w:szCs w:val="21"/>
                      <w:highlight w:val="none"/>
                      <w:lang w:bidi="ar-SA"/>
                    </w:rPr>
                  </w:pPr>
                  <w:r>
                    <w:rPr>
                      <w:rFonts w:hint="default" w:ascii="Times New Roman" w:hAnsi="Times New Roman" w:eastAsia="宋体" w:cs="Times New Roman"/>
                      <w:b/>
                      <w:color w:val="auto"/>
                      <w:kern w:val="0"/>
                      <w:sz w:val="21"/>
                      <w:szCs w:val="21"/>
                      <w:highlight w:val="none"/>
                      <w:lang w:bidi="ar-SA"/>
                    </w:rPr>
                    <w:t>危险废物代码</w:t>
                  </w:r>
                </w:p>
              </w:tc>
              <w:tc>
                <w:tcPr>
                  <w:tcW w:w="264" w:type="pct"/>
                  <w:noWrap w:val="0"/>
                  <w:vAlign w:val="center"/>
                </w:tcPr>
                <w:p w14:paraId="29C9190D">
                  <w:pPr>
                    <w:keepNext w:val="0"/>
                    <w:keepLines w:val="0"/>
                    <w:suppressLineNumbers w:val="0"/>
                    <w:topLinePunct/>
                    <w:adjustRightInd w:val="0"/>
                    <w:snapToGrid w:val="0"/>
                    <w:spacing w:before="0" w:beforeAutospacing="0" w:after="0" w:afterAutospacing="0"/>
                    <w:ind w:left="0" w:right="0"/>
                    <w:jc w:val="center"/>
                    <w:rPr>
                      <w:rFonts w:hint="default" w:ascii="Times New Roman" w:hAnsi="Times New Roman" w:eastAsia="宋体" w:cs="Times New Roman"/>
                      <w:b/>
                      <w:color w:val="auto"/>
                      <w:kern w:val="0"/>
                      <w:sz w:val="21"/>
                      <w:szCs w:val="21"/>
                      <w:highlight w:val="none"/>
                      <w:lang w:bidi="ar-SA"/>
                    </w:rPr>
                  </w:pPr>
                  <w:r>
                    <w:rPr>
                      <w:rFonts w:hint="default" w:ascii="Times New Roman" w:hAnsi="Times New Roman" w:eastAsia="宋体" w:cs="Times New Roman"/>
                      <w:b/>
                      <w:color w:val="auto"/>
                      <w:kern w:val="0"/>
                      <w:sz w:val="21"/>
                      <w:szCs w:val="21"/>
                      <w:highlight w:val="none"/>
                      <w:lang w:bidi="ar-SA"/>
                    </w:rPr>
                    <w:t>位置</w:t>
                  </w:r>
                </w:p>
              </w:tc>
              <w:tc>
                <w:tcPr>
                  <w:tcW w:w="435" w:type="pct"/>
                  <w:noWrap w:val="0"/>
                  <w:vAlign w:val="center"/>
                </w:tcPr>
                <w:p w14:paraId="6275E607">
                  <w:pPr>
                    <w:keepNext w:val="0"/>
                    <w:keepLines w:val="0"/>
                    <w:suppressLineNumbers w:val="0"/>
                    <w:topLinePunct/>
                    <w:adjustRightInd w:val="0"/>
                    <w:snapToGrid w:val="0"/>
                    <w:spacing w:before="0" w:beforeAutospacing="0" w:after="0" w:afterAutospacing="0"/>
                    <w:ind w:left="0" w:right="0"/>
                    <w:jc w:val="center"/>
                    <w:rPr>
                      <w:rFonts w:hint="default" w:ascii="Times New Roman" w:hAnsi="Times New Roman" w:eastAsia="宋体" w:cs="Times New Roman"/>
                      <w:b/>
                      <w:color w:val="auto"/>
                      <w:kern w:val="0"/>
                      <w:sz w:val="21"/>
                      <w:szCs w:val="21"/>
                      <w:highlight w:val="none"/>
                      <w:lang w:bidi="ar-SA"/>
                    </w:rPr>
                  </w:pPr>
                  <w:r>
                    <w:rPr>
                      <w:rFonts w:hint="default" w:ascii="Times New Roman" w:hAnsi="Times New Roman" w:eastAsia="宋体" w:cs="Times New Roman"/>
                      <w:b/>
                      <w:color w:val="auto"/>
                      <w:kern w:val="0"/>
                      <w:sz w:val="21"/>
                      <w:szCs w:val="21"/>
                      <w:highlight w:val="none"/>
                      <w:lang w:bidi="ar-SA"/>
                    </w:rPr>
                    <w:t>占地面积</w:t>
                  </w:r>
                </w:p>
              </w:tc>
              <w:tc>
                <w:tcPr>
                  <w:tcW w:w="667" w:type="pct"/>
                  <w:noWrap w:val="0"/>
                  <w:vAlign w:val="center"/>
                </w:tcPr>
                <w:p w14:paraId="2EF8050F">
                  <w:pPr>
                    <w:keepNext w:val="0"/>
                    <w:keepLines w:val="0"/>
                    <w:suppressLineNumbers w:val="0"/>
                    <w:topLinePunct/>
                    <w:adjustRightInd w:val="0"/>
                    <w:snapToGrid w:val="0"/>
                    <w:spacing w:before="0" w:beforeAutospacing="0" w:after="0" w:afterAutospacing="0"/>
                    <w:ind w:left="0" w:right="0"/>
                    <w:jc w:val="center"/>
                    <w:rPr>
                      <w:rFonts w:hint="default" w:ascii="Times New Roman" w:hAnsi="Times New Roman" w:eastAsia="宋体" w:cs="Times New Roman"/>
                      <w:b/>
                      <w:color w:val="auto"/>
                      <w:kern w:val="0"/>
                      <w:sz w:val="21"/>
                      <w:szCs w:val="21"/>
                      <w:highlight w:val="none"/>
                      <w:lang w:bidi="ar-SA"/>
                    </w:rPr>
                  </w:pPr>
                  <w:r>
                    <w:rPr>
                      <w:rFonts w:hint="default" w:ascii="Times New Roman" w:hAnsi="Times New Roman" w:eastAsia="宋体" w:cs="Times New Roman"/>
                      <w:b/>
                      <w:color w:val="auto"/>
                      <w:kern w:val="0"/>
                      <w:sz w:val="21"/>
                      <w:szCs w:val="21"/>
                      <w:highlight w:val="none"/>
                      <w:lang w:bidi="ar-SA"/>
                    </w:rPr>
                    <w:t>贮存方式</w:t>
                  </w:r>
                </w:p>
              </w:tc>
              <w:tc>
                <w:tcPr>
                  <w:tcW w:w="421" w:type="pct"/>
                  <w:noWrap w:val="0"/>
                  <w:vAlign w:val="center"/>
                </w:tcPr>
                <w:p w14:paraId="2D685019">
                  <w:pPr>
                    <w:keepNext w:val="0"/>
                    <w:keepLines w:val="0"/>
                    <w:suppressLineNumbers w:val="0"/>
                    <w:topLinePunct/>
                    <w:adjustRightInd w:val="0"/>
                    <w:snapToGrid w:val="0"/>
                    <w:spacing w:before="0" w:beforeAutospacing="0" w:after="0" w:afterAutospacing="0"/>
                    <w:ind w:left="0" w:right="0"/>
                    <w:jc w:val="center"/>
                    <w:rPr>
                      <w:rFonts w:hint="default" w:ascii="Times New Roman" w:hAnsi="Times New Roman" w:eastAsia="宋体" w:cs="Times New Roman"/>
                      <w:b/>
                      <w:color w:val="auto"/>
                      <w:kern w:val="0"/>
                      <w:sz w:val="21"/>
                      <w:szCs w:val="21"/>
                      <w:highlight w:val="none"/>
                      <w:lang w:bidi="ar-SA"/>
                    </w:rPr>
                  </w:pPr>
                  <w:r>
                    <w:rPr>
                      <w:rFonts w:hint="default" w:ascii="Times New Roman" w:hAnsi="Times New Roman" w:eastAsia="宋体" w:cs="Times New Roman"/>
                      <w:b/>
                      <w:color w:val="auto"/>
                      <w:kern w:val="0"/>
                      <w:sz w:val="21"/>
                      <w:szCs w:val="21"/>
                      <w:highlight w:val="none"/>
                      <w:lang w:bidi="ar-SA"/>
                    </w:rPr>
                    <w:t>贮存</w:t>
                  </w:r>
                </w:p>
                <w:p w14:paraId="6636787E">
                  <w:pPr>
                    <w:keepNext w:val="0"/>
                    <w:keepLines w:val="0"/>
                    <w:suppressLineNumbers w:val="0"/>
                    <w:topLinePunct/>
                    <w:adjustRightInd w:val="0"/>
                    <w:snapToGrid w:val="0"/>
                    <w:spacing w:before="0" w:beforeAutospacing="0" w:after="0" w:afterAutospacing="0"/>
                    <w:ind w:left="0" w:right="0"/>
                    <w:jc w:val="center"/>
                    <w:rPr>
                      <w:rFonts w:hint="default" w:ascii="Times New Roman" w:hAnsi="Times New Roman" w:eastAsia="宋体" w:cs="Times New Roman"/>
                      <w:b/>
                      <w:color w:val="auto"/>
                      <w:kern w:val="0"/>
                      <w:sz w:val="21"/>
                      <w:szCs w:val="21"/>
                      <w:highlight w:val="none"/>
                      <w:lang w:bidi="ar-SA"/>
                    </w:rPr>
                  </w:pPr>
                  <w:r>
                    <w:rPr>
                      <w:rFonts w:hint="default" w:ascii="Times New Roman" w:hAnsi="Times New Roman" w:eastAsia="宋体" w:cs="Times New Roman"/>
                      <w:b/>
                      <w:color w:val="auto"/>
                      <w:kern w:val="0"/>
                      <w:sz w:val="21"/>
                      <w:szCs w:val="21"/>
                      <w:highlight w:val="none"/>
                      <w:lang w:bidi="ar-SA"/>
                    </w:rPr>
                    <w:t>能力</w:t>
                  </w:r>
                </w:p>
              </w:tc>
              <w:tc>
                <w:tcPr>
                  <w:tcW w:w="548" w:type="pct"/>
                  <w:noWrap w:val="0"/>
                  <w:vAlign w:val="center"/>
                </w:tcPr>
                <w:p w14:paraId="75B47E2D">
                  <w:pPr>
                    <w:keepNext w:val="0"/>
                    <w:keepLines w:val="0"/>
                    <w:suppressLineNumbers w:val="0"/>
                    <w:topLinePunct/>
                    <w:adjustRightInd w:val="0"/>
                    <w:snapToGrid w:val="0"/>
                    <w:spacing w:before="0" w:beforeAutospacing="0" w:after="0" w:afterAutospacing="0"/>
                    <w:ind w:left="0" w:right="0"/>
                    <w:jc w:val="center"/>
                    <w:rPr>
                      <w:rFonts w:hint="default" w:ascii="Times New Roman" w:hAnsi="Times New Roman" w:eastAsia="宋体" w:cs="Times New Roman"/>
                      <w:b/>
                      <w:color w:val="auto"/>
                      <w:kern w:val="0"/>
                      <w:sz w:val="21"/>
                      <w:szCs w:val="21"/>
                      <w:highlight w:val="none"/>
                      <w:lang w:bidi="ar-SA"/>
                    </w:rPr>
                  </w:pPr>
                  <w:r>
                    <w:rPr>
                      <w:rFonts w:hint="default" w:ascii="Times New Roman" w:hAnsi="Times New Roman" w:eastAsia="宋体" w:cs="Times New Roman"/>
                      <w:b/>
                      <w:color w:val="auto"/>
                      <w:kern w:val="0"/>
                      <w:sz w:val="21"/>
                      <w:szCs w:val="21"/>
                      <w:highlight w:val="none"/>
                      <w:lang w:bidi="ar-SA"/>
                    </w:rPr>
                    <w:t>贮存</w:t>
                  </w:r>
                </w:p>
                <w:p w14:paraId="3DA80822">
                  <w:pPr>
                    <w:keepNext w:val="0"/>
                    <w:keepLines w:val="0"/>
                    <w:suppressLineNumbers w:val="0"/>
                    <w:topLinePunct/>
                    <w:adjustRightInd w:val="0"/>
                    <w:snapToGrid w:val="0"/>
                    <w:spacing w:before="0" w:beforeAutospacing="0" w:after="0" w:afterAutospacing="0"/>
                    <w:ind w:left="0" w:right="0"/>
                    <w:jc w:val="center"/>
                    <w:rPr>
                      <w:rFonts w:hint="default" w:ascii="Times New Roman" w:hAnsi="Times New Roman" w:eastAsia="宋体" w:cs="Times New Roman"/>
                      <w:b/>
                      <w:color w:val="auto"/>
                      <w:kern w:val="0"/>
                      <w:sz w:val="21"/>
                      <w:szCs w:val="21"/>
                      <w:highlight w:val="none"/>
                      <w:lang w:bidi="ar-SA"/>
                    </w:rPr>
                  </w:pPr>
                  <w:r>
                    <w:rPr>
                      <w:rFonts w:hint="default" w:ascii="Times New Roman" w:hAnsi="Times New Roman" w:eastAsia="宋体" w:cs="Times New Roman"/>
                      <w:b/>
                      <w:color w:val="auto"/>
                      <w:kern w:val="0"/>
                      <w:sz w:val="21"/>
                      <w:szCs w:val="21"/>
                      <w:highlight w:val="none"/>
                      <w:lang w:bidi="ar-SA"/>
                    </w:rPr>
                    <w:t>周期</w:t>
                  </w:r>
                </w:p>
              </w:tc>
            </w:tr>
            <w:tr w14:paraId="4DF4E5E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86" w:type="pct"/>
                  <w:noWrap w:val="0"/>
                  <w:vAlign w:val="center"/>
                </w:tcPr>
                <w:p w14:paraId="28267646">
                  <w:pPr>
                    <w:keepNext w:val="0"/>
                    <w:keepLines w:val="0"/>
                    <w:numPr>
                      <w:ilvl w:val="0"/>
                      <w:numId w:val="16"/>
                    </w:numPr>
                    <w:suppressLineNumbers w:val="0"/>
                    <w:topLinePunct/>
                    <w:adjustRightInd w:val="0"/>
                    <w:snapToGrid w:val="0"/>
                    <w:spacing w:before="0" w:beforeAutospacing="0" w:after="0" w:afterAutospacing="0"/>
                    <w:ind w:left="0" w:leftChars="0" w:right="0" w:firstLine="0" w:firstLineChars="0"/>
                    <w:jc w:val="center"/>
                    <w:rPr>
                      <w:rFonts w:hint="default" w:ascii="Times New Roman" w:hAnsi="Times New Roman" w:eastAsia="宋体" w:cs="Times New Roman"/>
                      <w:b w:val="0"/>
                      <w:bCs/>
                      <w:color w:val="auto"/>
                      <w:kern w:val="0"/>
                      <w:sz w:val="21"/>
                      <w:szCs w:val="21"/>
                      <w:highlight w:val="none"/>
                      <w:lang w:bidi="ar-SA"/>
                    </w:rPr>
                  </w:pPr>
                </w:p>
              </w:tc>
              <w:tc>
                <w:tcPr>
                  <w:tcW w:w="396" w:type="pct"/>
                  <w:vMerge w:val="restart"/>
                  <w:noWrap w:val="0"/>
                  <w:vAlign w:val="center"/>
                </w:tcPr>
                <w:p w14:paraId="10C6E3F1">
                  <w:pPr>
                    <w:keepNext w:val="0"/>
                    <w:keepLines w:val="0"/>
                    <w:suppressLineNumbers w:val="0"/>
                    <w:topLinePunct/>
                    <w:adjustRightInd w:val="0"/>
                    <w:snapToGrid w:val="0"/>
                    <w:spacing w:before="0" w:beforeAutospacing="0" w:after="0" w:afterAutospacing="0"/>
                    <w:ind w:left="0" w:right="0"/>
                    <w:jc w:val="center"/>
                    <w:rPr>
                      <w:rFonts w:hint="default" w:ascii="Times New Roman" w:hAnsi="Times New Roman" w:eastAsia="宋体" w:cs="Times New Roman"/>
                      <w:b w:val="0"/>
                      <w:bCs/>
                      <w:color w:val="auto"/>
                      <w:kern w:val="0"/>
                      <w:sz w:val="21"/>
                      <w:szCs w:val="21"/>
                      <w:highlight w:val="none"/>
                      <w:lang w:bidi="ar-SA"/>
                    </w:rPr>
                  </w:pPr>
                  <w:r>
                    <w:rPr>
                      <w:rFonts w:hint="default" w:ascii="Times New Roman" w:hAnsi="Times New Roman" w:eastAsia="宋体" w:cs="Times New Roman"/>
                      <w:b w:val="0"/>
                      <w:bCs/>
                      <w:color w:val="auto"/>
                      <w:kern w:val="0"/>
                      <w:sz w:val="21"/>
                      <w:szCs w:val="21"/>
                      <w:highlight w:val="none"/>
                      <w:lang w:bidi="ar-SA"/>
                    </w:rPr>
                    <w:t>危废仓库</w:t>
                  </w:r>
                </w:p>
              </w:tc>
              <w:tc>
                <w:tcPr>
                  <w:tcW w:w="705" w:type="pct"/>
                  <w:shd w:val="clear" w:color="auto" w:fill="auto"/>
                  <w:noWrap w:val="0"/>
                  <w:vAlign w:val="center"/>
                </w:tcPr>
                <w:p w14:paraId="0B574001">
                  <w:pPr>
                    <w:widowControl/>
                    <w:jc w:val="center"/>
                    <w:rPr>
                      <w:rFonts w:hint="default" w:ascii="Times New Roman" w:hAnsi="Times New Roman" w:eastAsia="宋体" w:cs="Times New Roman"/>
                      <w:bCs/>
                      <w:snapToGrid w:val="0"/>
                      <w:color w:val="auto"/>
                      <w:spacing w:val="6"/>
                      <w:kern w:val="2"/>
                      <w:sz w:val="21"/>
                      <w:szCs w:val="21"/>
                      <w:lang w:val="en-US" w:eastAsia="zh-CN" w:bidi="ar"/>
                    </w:rPr>
                  </w:pPr>
                  <w:r>
                    <w:rPr>
                      <w:rFonts w:hint="default" w:ascii="Times New Roman" w:hAnsi="Times New Roman" w:eastAsia="宋体" w:cs="Times New Roman"/>
                      <w:bCs/>
                      <w:snapToGrid w:val="0"/>
                      <w:color w:val="auto"/>
                      <w:spacing w:val="6"/>
                      <w:sz w:val="21"/>
                      <w:szCs w:val="21"/>
                    </w:rPr>
                    <w:t>废深孔钻油</w:t>
                  </w:r>
                </w:p>
              </w:tc>
              <w:tc>
                <w:tcPr>
                  <w:tcW w:w="526" w:type="pct"/>
                  <w:shd w:val="clear" w:color="auto" w:fill="auto"/>
                  <w:noWrap w:val="0"/>
                  <w:vAlign w:val="center"/>
                </w:tcPr>
                <w:p w14:paraId="40F25A83">
                  <w:pPr>
                    <w:pStyle w:val="2"/>
                    <w:spacing w:before="0" w:after="0" w:line="240" w:lineRule="auto"/>
                    <w:jc w:val="center"/>
                    <w:rPr>
                      <w:rFonts w:hint="default" w:ascii="Times New Roman" w:hAnsi="Times New Roman" w:eastAsia="宋体" w:cs="Times New Roman"/>
                      <w:b w:val="0"/>
                      <w:bCs w:val="0"/>
                      <w:color w:val="auto"/>
                      <w:kern w:val="2"/>
                      <w:sz w:val="21"/>
                      <w:szCs w:val="21"/>
                      <w:lang w:val="en-US" w:eastAsia="zh-CN" w:bidi="ar"/>
                    </w:rPr>
                  </w:pPr>
                  <w:r>
                    <w:rPr>
                      <w:rFonts w:hint="default" w:ascii="Times New Roman" w:hAnsi="Times New Roman" w:eastAsia="宋体" w:cs="Times New Roman"/>
                      <w:b w:val="0"/>
                      <w:bCs w:val="0"/>
                      <w:color w:val="auto"/>
                      <w:kern w:val="2"/>
                      <w:sz w:val="21"/>
                      <w:szCs w:val="21"/>
                      <w:lang w:val="en-US" w:eastAsia="zh-CN" w:bidi="ar"/>
                    </w:rPr>
                    <w:t>HW08</w:t>
                  </w:r>
                </w:p>
              </w:tc>
              <w:tc>
                <w:tcPr>
                  <w:tcW w:w="746" w:type="pct"/>
                  <w:shd w:val="clear" w:color="auto" w:fill="auto"/>
                  <w:noWrap w:val="0"/>
                  <w:vAlign w:val="center"/>
                </w:tcPr>
                <w:p w14:paraId="14EFB3BB">
                  <w:pPr>
                    <w:pStyle w:val="2"/>
                    <w:spacing w:before="0" w:after="0" w:line="240" w:lineRule="auto"/>
                    <w:jc w:val="center"/>
                    <w:rPr>
                      <w:rFonts w:hint="default" w:ascii="Times New Roman" w:hAnsi="Times New Roman" w:eastAsia="宋体" w:cs="Times New Roman"/>
                      <w:b w:val="0"/>
                      <w:bCs w:val="0"/>
                      <w:color w:val="auto"/>
                      <w:kern w:val="2"/>
                      <w:sz w:val="21"/>
                      <w:szCs w:val="21"/>
                      <w:lang w:val="en-US" w:eastAsia="zh-CN" w:bidi="ar"/>
                    </w:rPr>
                  </w:pPr>
                  <w:r>
                    <w:rPr>
                      <w:rFonts w:hint="default" w:ascii="Times New Roman" w:hAnsi="Times New Roman" w:eastAsia="宋体" w:cs="Times New Roman"/>
                      <w:b w:val="0"/>
                      <w:bCs w:val="0"/>
                      <w:color w:val="auto"/>
                      <w:kern w:val="2"/>
                      <w:sz w:val="21"/>
                      <w:szCs w:val="21"/>
                      <w:lang w:val="en-US" w:eastAsia="zh-CN" w:bidi="ar"/>
                    </w:rPr>
                    <w:t>900-249-08</w:t>
                  </w:r>
                </w:p>
              </w:tc>
              <w:tc>
                <w:tcPr>
                  <w:tcW w:w="264" w:type="pct"/>
                  <w:vMerge w:val="restart"/>
                  <w:noWrap w:val="0"/>
                  <w:vAlign w:val="center"/>
                </w:tcPr>
                <w:p w14:paraId="37938FF4">
                  <w:pPr>
                    <w:keepNext w:val="0"/>
                    <w:keepLines w:val="0"/>
                    <w:suppressLineNumbers w:val="0"/>
                    <w:topLinePunct/>
                    <w:adjustRightInd w:val="0"/>
                    <w:snapToGrid w:val="0"/>
                    <w:spacing w:before="0" w:beforeAutospacing="0" w:after="0" w:afterAutospacing="0"/>
                    <w:ind w:left="0" w:right="0"/>
                    <w:jc w:val="center"/>
                    <w:rPr>
                      <w:rFonts w:hint="default" w:ascii="Times New Roman" w:hAnsi="Times New Roman" w:eastAsia="宋体" w:cs="Times New Roman"/>
                      <w:b w:val="0"/>
                      <w:bCs/>
                      <w:color w:val="auto"/>
                      <w:kern w:val="0"/>
                      <w:sz w:val="21"/>
                      <w:szCs w:val="21"/>
                      <w:highlight w:val="none"/>
                      <w:lang w:val="en-US" w:eastAsia="zh-CN" w:bidi="ar-SA"/>
                    </w:rPr>
                  </w:pPr>
                  <w:r>
                    <w:rPr>
                      <w:rFonts w:hint="default" w:ascii="Times New Roman" w:hAnsi="Times New Roman" w:eastAsia="宋体" w:cs="Times New Roman"/>
                      <w:b w:val="0"/>
                      <w:bCs/>
                      <w:color w:val="auto"/>
                      <w:kern w:val="0"/>
                      <w:sz w:val="21"/>
                      <w:szCs w:val="21"/>
                      <w:highlight w:val="none"/>
                      <w:lang w:val="en-US" w:eastAsia="zh-CN" w:bidi="ar-SA"/>
                    </w:rPr>
                    <w:t>生产车间外东北角</w:t>
                  </w:r>
                </w:p>
              </w:tc>
              <w:tc>
                <w:tcPr>
                  <w:tcW w:w="435" w:type="pct"/>
                  <w:vMerge w:val="restart"/>
                  <w:noWrap w:val="0"/>
                  <w:vAlign w:val="center"/>
                </w:tcPr>
                <w:p w14:paraId="7003F3A6">
                  <w:pPr>
                    <w:keepNext w:val="0"/>
                    <w:keepLines w:val="0"/>
                    <w:suppressLineNumbers w:val="0"/>
                    <w:topLinePunct/>
                    <w:adjustRightInd w:val="0"/>
                    <w:snapToGrid w:val="0"/>
                    <w:spacing w:before="0" w:beforeAutospacing="0" w:after="0" w:afterAutospacing="0"/>
                    <w:ind w:left="0" w:right="0"/>
                    <w:jc w:val="center"/>
                    <w:rPr>
                      <w:rFonts w:hint="default" w:ascii="Times New Roman" w:hAnsi="Times New Roman" w:eastAsia="宋体" w:cs="Times New Roman"/>
                      <w:b w:val="0"/>
                      <w:bCs/>
                      <w:color w:val="auto"/>
                      <w:kern w:val="0"/>
                      <w:sz w:val="21"/>
                      <w:szCs w:val="21"/>
                      <w:highlight w:val="none"/>
                      <w:lang w:bidi="ar-SA"/>
                    </w:rPr>
                  </w:pPr>
                  <w:r>
                    <w:rPr>
                      <w:rFonts w:hint="eastAsia" w:cs="Times New Roman"/>
                      <w:b w:val="0"/>
                      <w:bCs/>
                      <w:color w:val="auto"/>
                      <w:kern w:val="0"/>
                      <w:sz w:val="21"/>
                      <w:szCs w:val="21"/>
                      <w:highlight w:val="none"/>
                      <w:lang w:val="en-US" w:eastAsia="zh-CN" w:bidi="ar-SA"/>
                    </w:rPr>
                    <w:t>48</w:t>
                  </w:r>
                  <w:r>
                    <w:rPr>
                      <w:rFonts w:hint="default" w:ascii="Times New Roman" w:hAnsi="Times New Roman" w:eastAsia="宋体" w:cs="Times New Roman"/>
                      <w:b w:val="0"/>
                      <w:bCs/>
                      <w:color w:val="auto"/>
                      <w:kern w:val="0"/>
                      <w:sz w:val="21"/>
                      <w:szCs w:val="21"/>
                      <w:highlight w:val="none"/>
                      <w:lang w:bidi="ar-SA"/>
                    </w:rPr>
                    <w:t>m</w:t>
                  </w:r>
                  <w:r>
                    <w:rPr>
                      <w:rFonts w:hint="default" w:ascii="Times New Roman" w:hAnsi="Times New Roman" w:eastAsia="宋体" w:cs="Times New Roman"/>
                      <w:b w:val="0"/>
                      <w:bCs/>
                      <w:color w:val="auto"/>
                      <w:kern w:val="0"/>
                      <w:sz w:val="21"/>
                      <w:szCs w:val="21"/>
                      <w:highlight w:val="none"/>
                      <w:vertAlign w:val="superscript"/>
                      <w:lang w:bidi="ar-SA"/>
                    </w:rPr>
                    <w:t>2</w:t>
                  </w:r>
                </w:p>
              </w:tc>
              <w:tc>
                <w:tcPr>
                  <w:tcW w:w="667" w:type="pct"/>
                  <w:noWrap w:val="0"/>
                  <w:vAlign w:val="center"/>
                </w:tcPr>
                <w:p w14:paraId="513BB123">
                  <w:pPr>
                    <w:keepNext w:val="0"/>
                    <w:keepLines w:val="0"/>
                    <w:suppressLineNumbers w:val="0"/>
                    <w:topLinePunct/>
                    <w:adjustRightInd w:val="0"/>
                    <w:snapToGrid w:val="0"/>
                    <w:spacing w:before="0" w:beforeAutospacing="0" w:after="0" w:afterAutospacing="0"/>
                    <w:ind w:left="0" w:right="0"/>
                    <w:jc w:val="center"/>
                    <w:rPr>
                      <w:rFonts w:hint="default" w:ascii="Times New Roman" w:hAnsi="Times New Roman" w:eastAsia="宋体" w:cs="Times New Roman"/>
                      <w:b w:val="0"/>
                      <w:bCs/>
                      <w:color w:val="auto"/>
                      <w:kern w:val="0"/>
                      <w:sz w:val="21"/>
                      <w:szCs w:val="21"/>
                      <w:highlight w:val="none"/>
                      <w:lang w:bidi="ar-SA"/>
                    </w:rPr>
                  </w:pPr>
                  <w:r>
                    <w:rPr>
                      <w:rFonts w:hint="eastAsia" w:cs="Times New Roman"/>
                      <w:b w:val="0"/>
                      <w:bCs/>
                      <w:color w:val="auto"/>
                      <w:kern w:val="0"/>
                      <w:sz w:val="21"/>
                      <w:szCs w:val="21"/>
                      <w:highlight w:val="none"/>
                      <w:lang w:val="en-US" w:eastAsia="zh-CN" w:bidi="ar-SA"/>
                    </w:rPr>
                    <w:t>桶装</w:t>
                  </w:r>
                  <w:r>
                    <w:rPr>
                      <w:rFonts w:hint="default" w:ascii="Times New Roman" w:hAnsi="Times New Roman" w:eastAsia="宋体" w:cs="Times New Roman"/>
                      <w:b w:val="0"/>
                      <w:bCs/>
                      <w:color w:val="auto"/>
                      <w:kern w:val="0"/>
                      <w:sz w:val="21"/>
                      <w:szCs w:val="21"/>
                      <w:highlight w:val="none"/>
                      <w:lang w:bidi="ar-SA"/>
                    </w:rPr>
                    <w:t>密闭</w:t>
                  </w:r>
                </w:p>
              </w:tc>
              <w:tc>
                <w:tcPr>
                  <w:tcW w:w="421" w:type="pct"/>
                  <w:vMerge w:val="restart"/>
                  <w:noWrap w:val="0"/>
                  <w:vAlign w:val="center"/>
                </w:tcPr>
                <w:p w14:paraId="52A0491D">
                  <w:pPr>
                    <w:keepNext w:val="0"/>
                    <w:keepLines w:val="0"/>
                    <w:suppressLineNumbers w:val="0"/>
                    <w:topLinePunct/>
                    <w:adjustRightInd w:val="0"/>
                    <w:snapToGrid w:val="0"/>
                    <w:spacing w:before="0" w:beforeAutospacing="0" w:after="0" w:afterAutospacing="0"/>
                    <w:ind w:left="0" w:right="0"/>
                    <w:jc w:val="center"/>
                    <w:rPr>
                      <w:rFonts w:hint="default" w:ascii="Times New Roman" w:hAnsi="Times New Roman" w:eastAsia="宋体" w:cs="Times New Roman"/>
                      <w:b w:val="0"/>
                      <w:bCs/>
                      <w:color w:val="auto"/>
                      <w:kern w:val="0"/>
                      <w:sz w:val="21"/>
                      <w:szCs w:val="21"/>
                      <w:highlight w:val="none"/>
                      <w:lang w:bidi="ar-SA"/>
                    </w:rPr>
                  </w:pPr>
                  <w:r>
                    <w:rPr>
                      <w:rFonts w:hint="eastAsia" w:cs="Times New Roman"/>
                      <w:b w:val="0"/>
                      <w:bCs/>
                      <w:color w:val="auto"/>
                      <w:kern w:val="0"/>
                      <w:sz w:val="21"/>
                      <w:szCs w:val="21"/>
                      <w:highlight w:val="none"/>
                      <w:lang w:val="en-US" w:eastAsia="zh-CN" w:bidi="ar-SA"/>
                    </w:rPr>
                    <w:t>48</w:t>
                  </w:r>
                  <w:r>
                    <w:rPr>
                      <w:rFonts w:hint="default" w:ascii="Times New Roman" w:hAnsi="Times New Roman" w:eastAsia="宋体" w:cs="Times New Roman"/>
                      <w:b w:val="0"/>
                      <w:bCs/>
                      <w:color w:val="auto"/>
                      <w:kern w:val="0"/>
                      <w:sz w:val="21"/>
                      <w:szCs w:val="21"/>
                      <w:highlight w:val="none"/>
                      <w:lang w:bidi="ar-SA"/>
                    </w:rPr>
                    <w:t>t</w:t>
                  </w:r>
                </w:p>
              </w:tc>
              <w:tc>
                <w:tcPr>
                  <w:tcW w:w="548" w:type="pct"/>
                  <w:noWrap w:val="0"/>
                  <w:vAlign w:val="center"/>
                </w:tcPr>
                <w:p w14:paraId="11097C0E">
                  <w:pPr>
                    <w:keepNext w:val="0"/>
                    <w:keepLines w:val="0"/>
                    <w:suppressLineNumbers w:val="0"/>
                    <w:topLinePunct/>
                    <w:adjustRightInd w:val="0"/>
                    <w:snapToGrid w:val="0"/>
                    <w:spacing w:before="0" w:beforeAutospacing="0" w:after="0" w:afterAutospacing="0"/>
                    <w:ind w:left="0" w:right="0"/>
                    <w:jc w:val="center"/>
                    <w:rPr>
                      <w:rFonts w:hint="default" w:ascii="Times New Roman" w:hAnsi="Times New Roman" w:eastAsia="宋体" w:cs="Times New Roman"/>
                      <w:b w:val="0"/>
                      <w:bCs/>
                      <w:color w:val="auto"/>
                      <w:kern w:val="0"/>
                      <w:sz w:val="21"/>
                      <w:szCs w:val="21"/>
                      <w:highlight w:val="none"/>
                      <w:lang w:val="en-US" w:eastAsia="zh-CN" w:bidi="ar-SA"/>
                    </w:rPr>
                  </w:pPr>
                  <w:r>
                    <w:rPr>
                      <w:rFonts w:hint="eastAsia" w:cs="Times New Roman"/>
                      <w:b w:val="0"/>
                      <w:bCs/>
                      <w:color w:val="auto"/>
                      <w:kern w:val="0"/>
                      <w:sz w:val="21"/>
                      <w:szCs w:val="21"/>
                      <w:highlight w:val="none"/>
                      <w:lang w:val="en-US" w:eastAsia="zh-CN" w:bidi="ar-SA"/>
                    </w:rPr>
                    <w:t>2个月</w:t>
                  </w:r>
                </w:p>
              </w:tc>
            </w:tr>
            <w:tr w14:paraId="2F98E3E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86" w:type="pct"/>
                  <w:noWrap w:val="0"/>
                  <w:vAlign w:val="center"/>
                </w:tcPr>
                <w:p w14:paraId="1CC3ED37">
                  <w:pPr>
                    <w:keepNext w:val="0"/>
                    <w:keepLines w:val="0"/>
                    <w:numPr>
                      <w:ilvl w:val="0"/>
                      <w:numId w:val="16"/>
                    </w:numPr>
                    <w:suppressLineNumbers w:val="0"/>
                    <w:topLinePunct/>
                    <w:adjustRightInd w:val="0"/>
                    <w:snapToGrid w:val="0"/>
                    <w:spacing w:before="0" w:beforeAutospacing="0" w:after="0" w:afterAutospacing="0"/>
                    <w:ind w:left="0" w:leftChars="0" w:right="0" w:firstLine="0" w:firstLineChars="0"/>
                    <w:jc w:val="center"/>
                    <w:rPr>
                      <w:rFonts w:hint="default" w:ascii="Times New Roman" w:hAnsi="Times New Roman" w:eastAsia="宋体" w:cs="Times New Roman"/>
                      <w:b w:val="0"/>
                      <w:bCs/>
                      <w:color w:val="auto"/>
                      <w:kern w:val="0"/>
                      <w:sz w:val="21"/>
                      <w:szCs w:val="21"/>
                      <w:highlight w:val="none"/>
                      <w:lang w:val="en-US" w:eastAsia="zh-CN" w:bidi="ar-SA"/>
                    </w:rPr>
                  </w:pPr>
                </w:p>
              </w:tc>
              <w:tc>
                <w:tcPr>
                  <w:tcW w:w="396" w:type="pct"/>
                  <w:vMerge w:val="continue"/>
                  <w:noWrap w:val="0"/>
                  <w:vAlign w:val="center"/>
                </w:tcPr>
                <w:p w14:paraId="0C838898">
                  <w:pPr>
                    <w:keepNext w:val="0"/>
                    <w:keepLines w:val="0"/>
                    <w:suppressLineNumbers w:val="0"/>
                    <w:topLinePunct/>
                    <w:adjustRightInd w:val="0"/>
                    <w:snapToGrid w:val="0"/>
                    <w:spacing w:before="0" w:beforeAutospacing="0" w:after="0" w:afterAutospacing="0"/>
                    <w:ind w:left="0" w:right="0"/>
                    <w:jc w:val="center"/>
                    <w:rPr>
                      <w:rFonts w:hint="default" w:ascii="Times New Roman" w:hAnsi="Times New Roman" w:eastAsia="宋体" w:cs="Times New Roman"/>
                      <w:b w:val="0"/>
                      <w:bCs/>
                      <w:color w:val="auto"/>
                      <w:kern w:val="0"/>
                      <w:sz w:val="21"/>
                      <w:szCs w:val="21"/>
                      <w:highlight w:val="none"/>
                      <w:lang w:bidi="ar-SA"/>
                    </w:rPr>
                  </w:pPr>
                </w:p>
              </w:tc>
              <w:tc>
                <w:tcPr>
                  <w:tcW w:w="705" w:type="pct"/>
                  <w:shd w:val="clear" w:color="auto" w:fill="auto"/>
                  <w:noWrap w:val="0"/>
                  <w:vAlign w:val="center"/>
                </w:tcPr>
                <w:p w14:paraId="403E6623">
                  <w:pPr>
                    <w:widowControl/>
                    <w:jc w:val="center"/>
                    <w:rPr>
                      <w:rFonts w:hint="default" w:ascii="Times New Roman" w:hAnsi="Times New Roman" w:eastAsia="宋体" w:cs="Times New Roman"/>
                      <w:bCs/>
                      <w:snapToGrid w:val="0"/>
                      <w:color w:val="auto"/>
                      <w:spacing w:val="6"/>
                      <w:kern w:val="2"/>
                      <w:sz w:val="21"/>
                      <w:szCs w:val="21"/>
                      <w:lang w:val="en-US" w:eastAsia="zh-CN" w:bidi="ar"/>
                    </w:rPr>
                  </w:pPr>
                  <w:r>
                    <w:rPr>
                      <w:rFonts w:hint="default" w:ascii="Times New Roman" w:hAnsi="Times New Roman" w:eastAsia="宋体" w:cs="Times New Roman"/>
                      <w:bCs/>
                      <w:snapToGrid w:val="0"/>
                      <w:color w:val="auto"/>
                      <w:spacing w:val="6"/>
                      <w:sz w:val="21"/>
                      <w:szCs w:val="21"/>
                    </w:rPr>
                    <w:t>废切削液</w:t>
                  </w:r>
                </w:p>
              </w:tc>
              <w:tc>
                <w:tcPr>
                  <w:tcW w:w="526" w:type="pct"/>
                  <w:shd w:val="clear" w:color="auto" w:fill="auto"/>
                  <w:noWrap w:val="0"/>
                  <w:vAlign w:val="center"/>
                </w:tcPr>
                <w:p w14:paraId="1F44567C">
                  <w:pPr>
                    <w:topLinePunct/>
                    <w:contextualSpacing/>
                    <w:jc w:val="center"/>
                    <w:outlineLvl w:val="8"/>
                    <w:rPr>
                      <w:rFonts w:hint="default" w:ascii="Times New Roman" w:hAnsi="Times New Roman" w:eastAsia="宋体" w:cs="Times New Roman"/>
                      <w:color w:val="auto"/>
                      <w:kern w:val="2"/>
                      <w:sz w:val="21"/>
                      <w:szCs w:val="21"/>
                      <w:lang w:val="en-US" w:eastAsia="zh-CN" w:bidi="ar"/>
                    </w:rPr>
                  </w:pPr>
                  <w:r>
                    <w:rPr>
                      <w:color w:val="auto"/>
                    </w:rPr>
                    <w:t>HW09</w:t>
                  </w:r>
                </w:p>
              </w:tc>
              <w:tc>
                <w:tcPr>
                  <w:tcW w:w="746" w:type="pct"/>
                  <w:shd w:val="clear" w:color="auto" w:fill="auto"/>
                  <w:noWrap w:val="0"/>
                  <w:vAlign w:val="center"/>
                </w:tcPr>
                <w:p w14:paraId="724D62EA">
                  <w:pPr>
                    <w:contextualSpacing/>
                    <w:jc w:val="center"/>
                    <w:outlineLvl w:val="8"/>
                    <w:rPr>
                      <w:rFonts w:hint="default" w:ascii="Times New Roman" w:hAnsi="Times New Roman" w:eastAsia="宋体" w:cs="Times New Roman"/>
                      <w:color w:val="auto"/>
                      <w:kern w:val="2"/>
                      <w:sz w:val="21"/>
                      <w:szCs w:val="21"/>
                      <w:lang w:val="en-US" w:eastAsia="zh-CN" w:bidi="ar"/>
                    </w:rPr>
                  </w:pPr>
                  <w:r>
                    <w:rPr>
                      <w:color w:val="auto"/>
                    </w:rPr>
                    <w:t>900-006-09</w:t>
                  </w:r>
                </w:p>
              </w:tc>
              <w:tc>
                <w:tcPr>
                  <w:tcW w:w="264" w:type="pct"/>
                  <w:vMerge w:val="continue"/>
                  <w:noWrap w:val="0"/>
                  <w:vAlign w:val="center"/>
                </w:tcPr>
                <w:p w14:paraId="7D0021CC">
                  <w:pPr>
                    <w:keepNext w:val="0"/>
                    <w:keepLines w:val="0"/>
                    <w:suppressLineNumbers w:val="0"/>
                    <w:topLinePunct/>
                    <w:adjustRightInd w:val="0"/>
                    <w:snapToGrid w:val="0"/>
                    <w:spacing w:before="0" w:beforeAutospacing="0" w:after="0" w:afterAutospacing="0"/>
                    <w:ind w:left="0" w:right="0"/>
                    <w:jc w:val="center"/>
                    <w:rPr>
                      <w:rFonts w:hint="default" w:ascii="Times New Roman" w:hAnsi="Times New Roman" w:eastAsia="宋体" w:cs="Times New Roman"/>
                      <w:b w:val="0"/>
                      <w:bCs/>
                      <w:color w:val="auto"/>
                      <w:kern w:val="0"/>
                      <w:sz w:val="21"/>
                      <w:szCs w:val="21"/>
                      <w:highlight w:val="none"/>
                      <w:lang w:bidi="ar-SA"/>
                    </w:rPr>
                  </w:pPr>
                </w:p>
              </w:tc>
              <w:tc>
                <w:tcPr>
                  <w:tcW w:w="435" w:type="pct"/>
                  <w:vMerge w:val="continue"/>
                  <w:noWrap w:val="0"/>
                  <w:vAlign w:val="center"/>
                </w:tcPr>
                <w:p w14:paraId="48652A67">
                  <w:pPr>
                    <w:keepNext w:val="0"/>
                    <w:keepLines w:val="0"/>
                    <w:suppressLineNumbers w:val="0"/>
                    <w:topLinePunct/>
                    <w:adjustRightInd w:val="0"/>
                    <w:snapToGrid w:val="0"/>
                    <w:spacing w:before="0" w:beforeAutospacing="0" w:after="0" w:afterAutospacing="0"/>
                    <w:ind w:left="0" w:right="0"/>
                    <w:jc w:val="center"/>
                    <w:rPr>
                      <w:rFonts w:hint="default" w:ascii="Times New Roman" w:hAnsi="Times New Roman" w:eastAsia="宋体" w:cs="Times New Roman"/>
                      <w:b w:val="0"/>
                      <w:bCs/>
                      <w:color w:val="auto"/>
                      <w:kern w:val="0"/>
                      <w:sz w:val="21"/>
                      <w:szCs w:val="21"/>
                      <w:highlight w:val="none"/>
                      <w:lang w:bidi="ar-SA"/>
                    </w:rPr>
                  </w:pPr>
                </w:p>
              </w:tc>
              <w:tc>
                <w:tcPr>
                  <w:tcW w:w="667" w:type="pct"/>
                  <w:noWrap w:val="0"/>
                  <w:vAlign w:val="center"/>
                </w:tcPr>
                <w:p w14:paraId="1C48C043">
                  <w:pPr>
                    <w:keepNext w:val="0"/>
                    <w:keepLines w:val="0"/>
                    <w:suppressLineNumbers w:val="0"/>
                    <w:topLinePunct/>
                    <w:adjustRightInd w:val="0"/>
                    <w:snapToGrid w:val="0"/>
                    <w:spacing w:before="0" w:beforeAutospacing="0" w:after="0" w:afterAutospacing="0"/>
                    <w:ind w:left="0" w:right="0"/>
                    <w:jc w:val="center"/>
                    <w:rPr>
                      <w:rFonts w:hint="default" w:ascii="Times New Roman" w:hAnsi="Times New Roman" w:eastAsia="宋体" w:cs="Times New Roman"/>
                      <w:b w:val="0"/>
                      <w:bCs/>
                      <w:color w:val="auto"/>
                      <w:kern w:val="0"/>
                      <w:sz w:val="21"/>
                      <w:szCs w:val="21"/>
                      <w:highlight w:val="none"/>
                      <w:lang w:bidi="ar-SA"/>
                    </w:rPr>
                  </w:pPr>
                  <w:r>
                    <w:rPr>
                      <w:rFonts w:hint="eastAsia" w:cs="Times New Roman"/>
                      <w:b w:val="0"/>
                      <w:bCs/>
                      <w:color w:val="auto"/>
                      <w:kern w:val="0"/>
                      <w:sz w:val="21"/>
                      <w:szCs w:val="21"/>
                      <w:highlight w:val="none"/>
                      <w:lang w:val="en-US" w:eastAsia="zh-CN" w:bidi="ar-SA"/>
                    </w:rPr>
                    <w:t>桶装</w:t>
                  </w:r>
                  <w:r>
                    <w:rPr>
                      <w:rFonts w:hint="default" w:ascii="Times New Roman" w:hAnsi="Times New Roman" w:eastAsia="宋体" w:cs="Times New Roman"/>
                      <w:b w:val="0"/>
                      <w:bCs/>
                      <w:color w:val="auto"/>
                      <w:kern w:val="0"/>
                      <w:sz w:val="21"/>
                      <w:szCs w:val="21"/>
                      <w:highlight w:val="none"/>
                      <w:lang w:bidi="ar-SA"/>
                    </w:rPr>
                    <w:t>密闭</w:t>
                  </w:r>
                </w:p>
              </w:tc>
              <w:tc>
                <w:tcPr>
                  <w:tcW w:w="421" w:type="pct"/>
                  <w:vMerge w:val="continue"/>
                  <w:noWrap w:val="0"/>
                  <w:vAlign w:val="center"/>
                </w:tcPr>
                <w:p w14:paraId="1D845300">
                  <w:pPr>
                    <w:keepNext w:val="0"/>
                    <w:keepLines w:val="0"/>
                    <w:suppressLineNumbers w:val="0"/>
                    <w:topLinePunct/>
                    <w:adjustRightInd w:val="0"/>
                    <w:snapToGrid w:val="0"/>
                    <w:spacing w:before="0" w:beforeAutospacing="0" w:after="0" w:afterAutospacing="0"/>
                    <w:ind w:left="0" w:right="0"/>
                    <w:jc w:val="center"/>
                    <w:rPr>
                      <w:rFonts w:hint="default" w:ascii="Times New Roman" w:hAnsi="Times New Roman" w:eastAsia="宋体" w:cs="Times New Roman"/>
                      <w:b w:val="0"/>
                      <w:bCs/>
                      <w:color w:val="auto"/>
                      <w:kern w:val="0"/>
                      <w:sz w:val="21"/>
                      <w:szCs w:val="21"/>
                      <w:highlight w:val="none"/>
                      <w:lang w:bidi="ar-SA"/>
                    </w:rPr>
                  </w:pPr>
                </w:p>
              </w:tc>
              <w:tc>
                <w:tcPr>
                  <w:tcW w:w="548" w:type="pct"/>
                  <w:noWrap w:val="0"/>
                  <w:vAlign w:val="center"/>
                </w:tcPr>
                <w:p w14:paraId="46CBA37C">
                  <w:pPr>
                    <w:keepNext w:val="0"/>
                    <w:keepLines w:val="0"/>
                    <w:suppressLineNumbers w:val="0"/>
                    <w:topLinePunct/>
                    <w:adjustRightInd w:val="0"/>
                    <w:snapToGrid w:val="0"/>
                    <w:spacing w:before="0" w:beforeAutospacing="0" w:after="0" w:afterAutospacing="0"/>
                    <w:ind w:left="0" w:right="0"/>
                    <w:jc w:val="center"/>
                    <w:rPr>
                      <w:rFonts w:hint="default" w:ascii="Times New Roman" w:hAnsi="Times New Roman" w:eastAsia="宋体" w:cs="Times New Roman"/>
                      <w:b w:val="0"/>
                      <w:bCs/>
                      <w:color w:val="auto"/>
                      <w:kern w:val="0"/>
                      <w:sz w:val="21"/>
                      <w:szCs w:val="21"/>
                      <w:highlight w:val="none"/>
                      <w:lang w:val="en-US" w:eastAsia="zh-CN" w:bidi="ar-SA"/>
                    </w:rPr>
                  </w:pPr>
                  <w:r>
                    <w:rPr>
                      <w:rFonts w:hint="eastAsia" w:cs="Times New Roman"/>
                      <w:b w:val="0"/>
                      <w:bCs/>
                      <w:color w:val="auto"/>
                      <w:kern w:val="0"/>
                      <w:sz w:val="21"/>
                      <w:szCs w:val="21"/>
                      <w:highlight w:val="none"/>
                      <w:lang w:val="en-US" w:eastAsia="zh-CN" w:bidi="ar-SA"/>
                    </w:rPr>
                    <w:t>2个月</w:t>
                  </w:r>
                </w:p>
              </w:tc>
            </w:tr>
            <w:tr w14:paraId="7CCEE79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86" w:type="pct"/>
                  <w:noWrap w:val="0"/>
                  <w:vAlign w:val="center"/>
                </w:tcPr>
                <w:p w14:paraId="06F44AA6">
                  <w:pPr>
                    <w:keepNext w:val="0"/>
                    <w:keepLines w:val="0"/>
                    <w:numPr>
                      <w:ilvl w:val="0"/>
                      <w:numId w:val="16"/>
                    </w:numPr>
                    <w:suppressLineNumbers w:val="0"/>
                    <w:topLinePunct/>
                    <w:adjustRightInd w:val="0"/>
                    <w:snapToGrid w:val="0"/>
                    <w:spacing w:before="0" w:beforeAutospacing="0" w:after="0" w:afterAutospacing="0"/>
                    <w:ind w:left="0" w:leftChars="0" w:right="0" w:firstLine="0" w:firstLineChars="0"/>
                    <w:jc w:val="center"/>
                    <w:rPr>
                      <w:rFonts w:hint="default" w:ascii="Times New Roman" w:hAnsi="Times New Roman" w:eastAsia="宋体" w:cs="Times New Roman"/>
                      <w:b w:val="0"/>
                      <w:bCs/>
                      <w:color w:val="auto"/>
                      <w:kern w:val="0"/>
                      <w:sz w:val="21"/>
                      <w:szCs w:val="21"/>
                      <w:highlight w:val="none"/>
                      <w:lang w:val="en-US" w:eastAsia="zh-CN" w:bidi="ar-SA"/>
                    </w:rPr>
                  </w:pPr>
                </w:p>
              </w:tc>
              <w:tc>
                <w:tcPr>
                  <w:tcW w:w="396" w:type="pct"/>
                  <w:vMerge w:val="continue"/>
                  <w:noWrap w:val="0"/>
                  <w:vAlign w:val="center"/>
                </w:tcPr>
                <w:p w14:paraId="5ABD97D9">
                  <w:pPr>
                    <w:keepNext w:val="0"/>
                    <w:keepLines w:val="0"/>
                    <w:suppressLineNumbers w:val="0"/>
                    <w:topLinePunct/>
                    <w:adjustRightInd w:val="0"/>
                    <w:snapToGrid w:val="0"/>
                    <w:spacing w:before="0" w:beforeAutospacing="0" w:after="0" w:afterAutospacing="0"/>
                    <w:ind w:left="0" w:right="0"/>
                    <w:jc w:val="center"/>
                    <w:rPr>
                      <w:rFonts w:hint="default" w:ascii="Times New Roman" w:hAnsi="Times New Roman" w:eastAsia="宋体" w:cs="Times New Roman"/>
                      <w:b w:val="0"/>
                      <w:bCs/>
                      <w:color w:val="auto"/>
                      <w:kern w:val="0"/>
                      <w:sz w:val="21"/>
                      <w:szCs w:val="21"/>
                      <w:highlight w:val="none"/>
                      <w:lang w:bidi="ar-SA"/>
                    </w:rPr>
                  </w:pPr>
                </w:p>
              </w:tc>
              <w:tc>
                <w:tcPr>
                  <w:tcW w:w="705" w:type="pct"/>
                  <w:shd w:val="clear" w:color="auto" w:fill="auto"/>
                  <w:noWrap w:val="0"/>
                  <w:vAlign w:val="center"/>
                </w:tcPr>
                <w:p w14:paraId="11A7E5A8">
                  <w:pPr>
                    <w:widowControl/>
                    <w:jc w:val="center"/>
                    <w:rPr>
                      <w:rFonts w:hint="default" w:ascii="Times New Roman" w:hAnsi="Times New Roman" w:eastAsia="宋体" w:cs="Times New Roman"/>
                      <w:bCs/>
                      <w:snapToGrid w:val="0"/>
                      <w:color w:val="auto"/>
                      <w:spacing w:val="6"/>
                      <w:kern w:val="2"/>
                      <w:sz w:val="21"/>
                      <w:szCs w:val="21"/>
                      <w:lang w:val="en-US" w:eastAsia="zh-CN" w:bidi="ar"/>
                    </w:rPr>
                  </w:pPr>
                  <w:r>
                    <w:rPr>
                      <w:rFonts w:hint="default" w:ascii="Times New Roman" w:hAnsi="Times New Roman" w:eastAsia="宋体" w:cs="Times New Roman"/>
                      <w:bCs/>
                      <w:snapToGrid w:val="0"/>
                      <w:color w:val="auto"/>
                      <w:spacing w:val="6"/>
                      <w:sz w:val="21"/>
                      <w:szCs w:val="21"/>
                    </w:rPr>
                    <w:t>废刷子</w:t>
                  </w:r>
                </w:p>
              </w:tc>
              <w:tc>
                <w:tcPr>
                  <w:tcW w:w="526" w:type="pct"/>
                  <w:shd w:val="clear" w:color="auto" w:fill="auto"/>
                  <w:noWrap w:val="0"/>
                  <w:vAlign w:val="center"/>
                </w:tcPr>
                <w:p w14:paraId="10F19543">
                  <w:pPr>
                    <w:pStyle w:val="22"/>
                    <w:widowControl w:val="0"/>
                    <w:snapToGrid w:val="0"/>
                    <w:spacing w:before="0" w:beforeAutospacing="0" w:after="0" w:afterAutospacing="0"/>
                    <w:jc w:val="center"/>
                    <w:rPr>
                      <w:rFonts w:hint="default" w:ascii="宋体" w:hAnsi="宋体" w:eastAsia="宋体" w:cs="Times New Roman"/>
                      <w:color w:val="auto"/>
                      <w:kern w:val="0"/>
                      <w:sz w:val="21"/>
                      <w:szCs w:val="21"/>
                      <w:lang w:val="en-US" w:eastAsia="zh-CN" w:bidi="ar-SA"/>
                    </w:rPr>
                  </w:pPr>
                  <w:r>
                    <w:rPr>
                      <w:rFonts w:ascii="Times New Roman" w:hAnsi="Times New Roman"/>
                      <w:bCs/>
                      <w:color w:val="auto"/>
                      <w:sz w:val="21"/>
                      <w:szCs w:val="21"/>
                    </w:rPr>
                    <w:t>HW49</w:t>
                  </w:r>
                </w:p>
              </w:tc>
              <w:tc>
                <w:tcPr>
                  <w:tcW w:w="746" w:type="pct"/>
                  <w:shd w:val="clear" w:color="auto" w:fill="auto"/>
                  <w:noWrap w:val="0"/>
                  <w:vAlign w:val="center"/>
                </w:tcPr>
                <w:p w14:paraId="549CC5F2">
                  <w:pPr>
                    <w:pStyle w:val="22"/>
                    <w:widowControl w:val="0"/>
                    <w:snapToGrid w:val="0"/>
                    <w:spacing w:before="0" w:beforeAutospacing="0" w:after="0" w:afterAutospacing="0"/>
                    <w:jc w:val="center"/>
                    <w:rPr>
                      <w:rFonts w:hint="default" w:ascii="宋体" w:hAnsi="宋体" w:eastAsia="宋体" w:cs="Times New Roman"/>
                      <w:color w:val="auto"/>
                      <w:kern w:val="0"/>
                      <w:sz w:val="21"/>
                      <w:szCs w:val="21"/>
                      <w:lang w:val="en-US" w:eastAsia="zh-CN" w:bidi="ar-SA"/>
                    </w:rPr>
                  </w:pPr>
                  <w:r>
                    <w:rPr>
                      <w:rFonts w:ascii="Times New Roman" w:hAnsi="Times New Roman"/>
                      <w:bCs/>
                      <w:color w:val="auto"/>
                      <w:sz w:val="21"/>
                      <w:szCs w:val="21"/>
                    </w:rPr>
                    <w:t>900-041-49</w:t>
                  </w:r>
                </w:p>
              </w:tc>
              <w:tc>
                <w:tcPr>
                  <w:tcW w:w="264" w:type="pct"/>
                  <w:vMerge w:val="continue"/>
                  <w:noWrap w:val="0"/>
                  <w:vAlign w:val="center"/>
                </w:tcPr>
                <w:p w14:paraId="36E07EA8">
                  <w:pPr>
                    <w:keepNext w:val="0"/>
                    <w:keepLines w:val="0"/>
                    <w:suppressLineNumbers w:val="0"/>
                    <w:topLinePunct/>
                    <w:adjustRightInd w:val="0"/>
                    <w:snapToGrid w:val="0"/>
                    <w:spacing w:before="0" w:beforeAutospacing="0" w:after="0" w:afterAutospacing="0"/>
                    <w:ind w:left="0" w:right="0"/>
                    <w:jc w:val="center"/>
                    <w:rPr>
                      <w:rFonts w:hint="default" w:ascii="Times New Roman" w:hAnsi="Times New Roman" w:eastAsia="宋体" w:cs="Times New Roman"/>
                      <w:b w:val="0"/>
                      <w:bCs/>
                      <w:color w:val="auto"/>
                      <w:kern w:val="0"/>
                      <w:sz w:val="21"/>
                      <w:szCs w:val="21"/>
                      <w:highlight w:val="none"/>
                      <w:lang w:bidi="ar-SA"/>
                    </w:rPr>
                  </w:pPr>
                </w:p>
              </w:tc>
              <w:tc>
                <w:tcPr>
                  <w:tcW w:w="435" w:type="pct"/>
                  <w:vMerge w:val="continue"/>
                  <w:noWrap w:val="0"/>
                  <w:vAlign w:val="center"/>
                </w:tcPr>
                <w:p w14:paraId="777E7A68">
                  <w:pPr>
                    <w:keepNext w:val="0"/>
                    <w:keepLines w:val="0"/>
                    <w:suppressLineNumbers w:val="0"/>
                    <w:topLinePunct/>
                    <w:adjustRightInd w:val="0"/>
                    <w:snapToGrid w:val="0"/>
                    <w:spacing w:before="0" w:beforeAutospacing="0" w:after="0" w:afterAutospacing="0"/>
                    <w:ind w:left="0" w:right="0"/>
                    <w:jc w:val="center"/>
                    <w:rPr>
                      <w:rFonts w:hint="default" w:ascii="Times New Roman" w:hAnsi="Times New Roman" w:eastAsia="宋体" w:cs="Times New Roman"/>
                      <w:b w:val="0"/>
                      <w:bCs/>
                      <w:color w:val="auto"/>
                      <w:kern w:val="0"/>
                      <w:sz w:val="21"/>
                      <w:szCs w:val="21"/>
                      <w:highlight w:val="none"/>
                      <w:lang w:bidi="ar-SA"/>
                    </w:rPr>
                  </w:pPr>
                </w:p>
              </w:tc>
              <w:tc>
                <w:tcPr>
                  <w:tcW w:w="667" w:type="pct"/>
                  <w:noWrap w:val="0"/>
                  <w:vAlign w:val="center"/>
                </w:tcPr>
                <w:p w14:paraId="58A58CF4">
                  <w:pPr>
                    <w:keepNext w:val="0"/>
                    <w:keepLines w:val="0"/>
                    <w:suppressLineNumbers w:val="0"/>
                    <w:topLinePunct/>
                    <w:adjustRightInd w:val="0"/>
                    <w:snapToGrid w:val="0"/>
                    <w:spacing w:before="0" w:beforeAutospacing="0" w:after="0" w:afterAutospacing="0"/>
                    <w:ind w:left="0" w:right="0"/>
                    <w:jc w:val="center"/>
                    <w:rPr>
                      <w:rFonts w:hint="default" w:ascii="Times New Roman" w:hAnsi="Times New Roman" w:eastAsia="宋体" w:cs="Times New Roman"/>
                      <w:b w:val="0"/>
                      <w:bCs/>
                      <w:color w:val="auto"/>
                      <w:kern w:val="0"/>
                      <w:sz w:val="21"/>
                      <w:szCs w:val="21"/>
                      <w:highlight w:val="none"/>
                      <w:lang w:val="en-US" w:eastAsia="zh-CN" w:bidi="ar-SA"/>
                    </w:rPr>
                  </w:pPr>
                  <w:r>
                    <w:rPr>
                      <w:rFonts w:hint="eastAsia" w:cs="Times New Roman"/>
                      <w:b w:val="0"/>
                      <w:bCs/>
                      <w:color w:val="auto"/>
                      <w:kern w:val="0"/>
                      <w:sz w:val="21"/>
                      <w:szCs w:val="21"/>
                      <w:highlight w:val="none"/>
                      <w:lang w:val="en-US" w:eastAsia="zh-CN" w:bidi="ar-SA"/>
                    </w:rPr>
                    <w:t>袋装密闭</w:t>
                  </w:r>
                </w:p>
              </w:tc>
              <w:tc>
                <w:tcPr>
                  <w:tcW w:w="421" w:type="pct"/>
                  <w:vMerge w:val="continue"/>
                  <w:noWrap w:val="0"/>
                  <w:vAlign w:val="center"/>
                </w:tcPr>
                <w:p w14:paraId="11CD2FC9">
                  <w:pPr>
                    <w:keepNext w:val="0"/>
                    <w:keepLines w:val="0"/>
                    <w:suppressLineNumbers w:val="0"/>
                    <w:topLinePunct/>
                    <w:adjustRightInd w:val="0"/>
                    <w:snapToGrid w:val="0"/>
                    <w:spacing w:before="0" w:beforeAutospacing="0" w:after="0" w:afterAutospacing="0"/>
                    <w:ind w:left="0" w:right="0"/>
                    <w:jc w:val="center"/>
                    <w:rPr>
                      <w:rFonts w:hint="default" w:ascii="Times New Roman" w:hAnsi="Times New Roman" w:eastAsia="宋体" w:cs="Times New Roman"/>
                      <w:b w:val="0"/>
                      <w:bCs/>
                      <w:color w:val="auto"/>
                      <w:kern w:val="0"/>
                      <w:sz w:val="21"/>
                      <w:szCs w:val="21"/>
                      <w:highlight w:val="none"/>
                      <w:lang w:bidi="ar-SA"/>
                    </w:rPr>
                  </w:pPr>
                </w:p>
              </w:tc>
              <w:tc>
                <w:tcPr>
                  <w:tcW w:w="548" w:type="pct"/>
                  <w:noWrap w:val="0"/>
                  <w:vAlign w:val="center"/>
                </w:tcPr>
                <w:p w14:paraId="23EBC3FB">
                  <w:pPr>
                    <w:keepNext w:val="0"/>
                    <w:keepLines w:val="0"/>
                    <w:suppressLineNumbers w:val="0"/>
                    <w:topLinePunct/>
                    <w:adjustRightInd w:val="0"/>
                    <w:snapToGrid w:val="0"/>
                    <w:spacing w:before="0" w:beforeAutospacing="0" w:after="0" w:afterAutospacing="0"/>
                    <w:ind w:left="0" w:right="0"/>
                    <w:jc w:val="center"/>
                    <w:rPr>
                      <w:rFonts w:hint="default" w:ascii="Times New Roman" w:hAnsi="Times New Roman" w:eastAsia="宋体" w:cs="Times New Roman"/>
                      <w:b w:val="0"/>
                      <w:bCs/>
                      <w:color w:val="auto"/>
                      <w:kern w:val="0"/>
                      <w:sz w:val="21"/>
                      <w:szCs w:val="21"/>
                      <w:highlight w:val="none"/>
                      <w:lang w:val="en-US" w:eastAsia="zh-CN" w:bidi="ar-SA"/>
                    </w:rPr>
                  </w:pPr>
                  <w:r>
                    <w:rPr>
                      <w:rFonts w:hint="eastAsia" w:cs="Times New Roman"/>
                      <w:b w:val="0"/>
                      <w:bCs/>
                      <w:color w:val="auto"/>
                      <w:kern w:val="0"/>
                      <w:sz w:val="21"/>
                      <w:szCs w:val="21"/>
                      <w:highlight w:val="none"/>
                      <w:lang w:val="en-US" w:eastAsia="zh-CN" w:bidi="ar-SA"/>
                    </w:rPr>
                    <w:t>3个月</w:t>
                  </w:r>
                </w:p>
              </w:tc>
            </w:tr>
            <w:tr w14:paraId="0D5B26E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86" w:type="pct"/>
                  <w:noWrap w:val="0"/>
                  <w:vAlign w:val="center"/>
                </w:tcPr>
                <w:p w14:paraId="08E3483E">
                  <w:pPr>
                    <w:keepNext w:val="0"/>
                    <w:keepLines w:val="0"/>
                    <w:numPr>
                      <w:ilvl w:val="0"/>
                      <w:numId w:val="16"/>
                    </w:numPr>
                    <w:suppressLineNumbers w:val="0"/>
                    <w:topLinePunct/>
                    <w:adjustRightInd w:val="0"/>
                    <w:snapToGrid w:val="0"/>
                    <w:spacing w:before="0" w:beforeAutospacing="0" w:after="0" w:afterAutospacing="0"/>
                    <w:ind w:left="0" w:leftChars="0" w:right="0" w:firstLine="0" w:firstLineChars="0"/>
                    <w:jc w:val="center"/>
                    <w:rPr>
                      <w:rFonts w:hint="default" w:ascii="Times New Roman" w:hAnsi="Times New Roman" w:eastAsia="宋体" w:cs="Times New Roman"/>
                      <w:b w:val="0"/>
                      <w:bCs/>
                      <w:color w:val="auto"/>
                      <w:kern w:val="0"/>
                      <w:sz w:val="21"/>
                      <w:szCs w:val="21"/>
                      <w:highlight w:val="none"/>
                      <w:lang w:val="en-US" w:eastAsia="zh-CN" w:bidi="ar-SA"/>
                    </w:rPr>
                  </w:pPr>
                </w:p>
              </w:tc>
              <w:tc>
                <w:tcPr>
                  <w:tcW w:w="396" w:type="pct"/>
                  <w:vMerge w:val="continue"/>
                  <w:noWrap w:val="0"/>
                  <w:vAlign w:val="center"/>
                </w:tcPr>
                <w:p w14:paraId="421D78C1">
                  <w:pPr>
                    <w:keepNext w:val="0"/>
                    <w:keepLines w:val="0"/>
                    <w:suppressLineNumbers w:val="0"/>
                    <w:topLinePunct/>
                    <w:adjustRightInd w:val="0"/>
                    <w:snapToGrid w:val="0"/>
                    <w:spacing w:before="0" w:beforeAutospacing="0" w:after="0" w:afterAutospacing="0"/>
                    <w:ind w:left="0" w:right="0"/>
                    <w:jc w:val="center"/>
                    <w:rPr>
                      <w:rFonts w:hint="default" w:ascii="Times New Roman" w:hAnsi="Times New Roman" w:eastAsia="宋体" w:cs="Times New Roman"/>
                      <w:b w:val="0"/>
                      <w:bCs/>
                      <w:color w:val="auto"/>
                      <w:kern w:val="0"/>
                      <w:sz w:val="21"/>
                      <w:szCs w:val="21"/>
                      <w:highlight w:val="none"/>
                      <w:lang w:bidi="ar-SA"/>
                    </w:rPr>
                  </w:pPr>
                </w:p>
              </w:tc>
              <w:tc>
                <w:tcPr>
                  <w:tcW w:w="705" w:type="pct"/>
                  <w:shd w:val="clear" w:color="auto" w:fill="auto"/>
                  <w:noWrap w:val="0"/>
                  <w:vAlign w:val="center"/>
                </w:tcPr>
                <w:p w14:paraId="35A58D07">
                  <w:pPr>
                    <w:widowControl/>
                    <w:jc w:val="center"/>
                    <w:rPr>
                      <w:rFonts w:hint="default" w:ascii="Times New Roman" w:hAnsi="Times New Roman" w:eastAsia="宋体" w:cs="Times New Roman"/>
                      <w:bCs/>
                      <w:snapToGrid w:val="0"/>
                      <w:color w:val="auto"/>
                      <w:spacing w:val="6"/>
                      <w:kern w:val="2"/>
                      <w:sz w:val="21"/>
                      <w:szCs w:val="21"/>
                      <w:lang w:val="en-US" w:eastAsia="zh-CN" w:bidi="ar"/>
                    </w:rPr>
                  </w:pPr>
                  <w:r>
                    <w:rPr>
                      <w:rFonts w:hint="default" w:ascii="Times New Roman" w:hAnsi="Times New Roman" w:eastAsia="宋体" w:cs="Times New Roman"/>
                      <w:bCs/>
                      <w:snapToGrid w:val="0"/>
                      <w:color w:val="auto"/>
                      <w:spacing w:val="6"/>
                      <w:sz w:val="21"/>
                      <w:szCs w:val="21"/>
                    </w:rPr>
                    <w:t>废抹布及手套</w:t>
                  </w:r>
                </w:p>
              </w:tc>
              <w:tc>
                <w:tcPr>
                  <w:tcW w:w="526" w:type="pct"/>
                  <w:shd w:val="clear" w:color="auto" w:fill="auto"/>
                  <w:noWrap w:val="0"/>
                  <w:vAlign w:val="center"/>
                </w:tcPr>
                <w:p w14:paraId="1009BF12">
                  <w:pPr>
                    <w:pStyle w:val="22"/>
                    <w:widowControl w:val="0"/>
                    <w:snapToGrid w:val="0"/>
                    <w:spacing w:before="0" w:beforeAutospacing="0" w:after="0" w:afterAutospacing="0"/>
                    <w:jc w:val="center"/>
                    <w:rPr>
                      <w:rFonts w:hint="default" w:ascii="宋体" w:hAnsi="宋体" w:eastAsia="宋体" w:cs="Times New Roman"/>
                      <w:color w:val="auto"/>
                      <w:kern w:val="0"/>
                      <w:sz w:val="21"/>
                      <w:szCs w:val="21"/>
                      <w:lang w:val="en-US" w:eastAsia="zh-CN" w:bidi="ar-SA"/>
                    </w:rPr>
                  </w:pPr>
                  <w:r>
                    <w:rPr>
                      <w:rFonts w:ascii="Times New Roman" w:hAnsi="Times New Roman"/>
                      <w:bCs/>
                      <w:color w:val="auto"/>
                      <w:sz w:val="21"/>
                      <w:szCs w:val="21"/>
                    </w:rPr>
                    <w:t>HW49</w:t>
                  </w:r>
                </w:p>
              </w:tc>
              <w:tc>
                <w:tcPr>
                  <w:tcW w:w="746" w:type="pct"/>
                  <w:shd w:val="clear" w:color="auto" w:fill="auto"/>
                  <w:noWrap w:val="0"/>
                  <w:vAlign w:val="center"/>
                </w:tcPr>
                <w:p w14:paraId="6AE67E2E">
                  <w:pPr>
                    <w:pStyle w:val="22"/>
                    <w:widowControl w:val="0"/>
                    <w:snapToGrid w:val="0"/>
                    <w:spacing w:before="0" w:beforeAutospacing="0" w:after="0" w:afterAutospacing="0"/>
                    <w:jc w:val="center"/>
                    <w:rPr>
                      <w:rFonts w:hint="default" w:ascii="宋体" w:hAnsi="宋体" w:eastAsia="宋体" w:cs="Times New Roman"/>
                      <w:color w:val="auto"/>
                      <w:kern w:val="0"/>
                      <w:sz w:val="21"/>
                      <w:szCs w:val="21"/>
                      <w:lang w:val="en-US" w:eastAsia="zh-CN" w:bidi="ar-SA"/>
                    </w:rPr>
                  </w:pPr>
                  <w:r>
                    <w:rPr>
                      <w:rFonts w:ascii="Times New Roman" w:hAnsi="Times New Roman"/>
                      <w:bCs/>
                      <w:color w:val="auto"/>
                      <w:sz w:val="21"/>
                      <w:szCs w:val="21"/>
                    </w:rPr>
                    <w:t>900-041-49</w:t>
                  </w:r>
                </w:p>
              </w:tc>
              <w:tc>
                <w:tcPr>
                  <w:tcW w:w="264" w:type="pct"/>
                  <w:vMerge w:val="continue"/>
                  <w:noWrap w:val="0"/>
                  <w:vAlign w:val="center"/>
                </w:tcPr>
                <w:p w14:paraId="60D86C5D">
                  <w:pPr>
                    <w:keepNext w:val="0"/>
                    <w:keepLines w:val="0"/>
                    <w:suppressLineNumbers w:val="0"/>
                    <w:topLinePunct/>
                    <w:adjustRightInd w:val="0"/>
                    <w:snapToGrid w:val="0"/>
                    <w:spacing w:before="0" w:beforeAutospacing="0" w:after="0" w:afterAutospacing="0"/>
                    <w:ind w:left="0" w:right="0"/>
                    <w:jc w:val="center"/>
                    <w:rPr>
                      <w:rFonts w:hint="default" w:ascii="Times New Roman" w:hAnsi="Times New Roman" w:eastAsia="宋体" w:cs="Times New Roman"/>
                      <w:b w:val="0"/>
                      <w:bCs/>
                      <w:color w:val="auto"/>
                      <w:kern w:val="0"/>
                      <w:sz w:val="21"/>
                      <w:szCs w:val="21"/>
                      <w:highlight w:val="none"/>
                      <w:lang w:bidi="ar-SA"/>
                    </w:rPr>
                  </w:pPr>
                </w:p>
              </w:tc>
              <w:tc>
                <w:tcPr>
                  <w:tcW w:w="435" w:type="pct"/>
                  <w:vMerge w:val="continue"/>
                  <w:noWrap w:val="0"/>
                  <w:vAlign w:val="center"/>
                </w:tcPr>
                <w:p w14:paraId="5C374398">
                  <w:pPr>
                    <w:keepNext w:val="0"/>
                    <w:keepLines w:val="0"/>
                    <w:suppressLineNumbers w:val="0"/>
                    <w:topLinePunct/>
                    <w:adjustRightInd w:val="0"/>
                    <w:snapToGrid w:val="0"/>
                    <w:spacing w:before="0" w:beforeAutospacing="0" w:after="0" w:afterAutospacing="0"/>
                    <w:ind w:left="0" w:right="0"/>
                    <w:jc w:val="center"/>
                    <w:rPr>
                      <w:rFonts w:hint="default" w:ascii="Times New Roman" w:hAnsi="Times New Roman" w:eastAsia="宋体" w:cs="Times New Roman"/>
                      <w:b w:val="0"/>
                      <w:bCs/>
                      <w:color w:val="auto"/>
                      <w:kern w:val="0"/>
                      <w:sz w:val="21"/>
                      <w:szCs w:val="21"/>
                      <w:highlight w:val="none"/>
                      <w:lang w:bidi="ar-SA"/>
                    </w:rPr>
                  </w:pPr>
                </w:p>
              </w:tc>
              <w:tc>
                <w:tcPr>
                  <w:tcW w:w="667" w:type="pct"/>
                  <w:noWrap w:val="0"/>
                  <w:vAlign w:val="center"/>
                </w:tcPr>
                <w:p w14:paraId="0A0603B0">
                  <w:pPr>
                    <w:keepNext w:val="0"/>
                    <w:keepLines w:val="0"/>
                    <w:suppressLineNumbers w:val="0"/>
                    <w:topLinePunct/>
                    <w:adjustRightInd w:val="0"/>
                    <w:snapToGrid w:val="0"/>
                    <w:spacing w:before="0" w:beforeAutospacing="0" w:after="0" w:afterAutospacing="0"/>
                    <w:ind w:left="0" w:right="0"/>
                    <w:jc w:val="center"/>
                    <w:rPr>
                      <w:rFonts w:hint="default" w:ascii="Times New Roman" w:hAnsi="Times New Roman" w:eastAsia="宋体" w:cs="Times New Roman"/>
                      <w:b w:val="0"/>
                      <w:bCs/>
                      <w:color w:val="auto"/>
                      <w:kern w:val="0"/>
                      <w:sz w:val="21"/>
                      <w:szCs w:val="21"/>
                      <w:highlight w:val="none"/>
                      <w:lang w:val="en-US" w:eastAsia="zh-CN" w:bidi="ar-SA"/>
                    </w:rPr>
                  </w:pPr>
                  <w:r>
                    <w:rPr>
                      <w:rFonts w:hint="eastAsia" w:cs="Times New Roman"/>
                      <w:b w:val="0"/>
                      <w:bCs/>
                      <w:color w:val="auto"/>
                      <w:kern w:val="0"/>
                      <w:sz w:val="21"/>
                      <w:szCs w:val="21"/>
                      <w:highlight w:val="none"/>
                      <w:lang w:val="en-US" w:eastAsia="zh-CN" w:bidi="ar-SA"/>
                    </w:rPr>
                    <w:t>袋装密闭</w:t>
                  </w:r>
                </w:p>
              </w:tc>
              <w:tc>
                <w:tcPr>
                  <w:tcW w:w="421" w:type="pct"/>
                  <w:vMerge w:val="continue"/>
                  <w:noWrap w:val="0"/>
                  <w:vAlign w:val="center"/>
                </w:tcPr>
                <w:p w14:paraId="07554730">
                  <w:pPr>
                    <w:keepNext w:val="0"/>
                    <w:keepLines w:val="0"/>
                    <w:suppressLineNumbers w:val="0"/>
                    <w:topLinePunct/>
                    <w:adjustRightInd w:val="0"/>
                    <w:snapToGrid w:val="0"/>
                    <w:spacing w:before="0" w:beforeAutospacing="0" w:after="0" w:afterAutospacing="0"/>
                    <w:ind w:left="0" w:right="0"/>
                    <w:jc w:val="center"/>
                    <w:rPr>
                      <w:rFonts w:hint="default" w:ascii="Times New Roman" w:hAnsi="Times New Roman" w:eastAsia="宋体" w:cs="Times New Roman"/>
                      <w:b w:val="0"/>
                      <w:bCs/>
                      <w:color w:val="auto"/>
                      <w:kern w:val="0"/>
                      <w:sz w:val="21"/>
                      <w:szCs w:val="21"/>
                      <w:highlight w:val="none"/>
                      <w:lang w:bidi="ar-SA"/>
                    </w:rPr>
                  </w:pPr>
                </w:p>
              </w:tc>
              <w:tc>
                <w:tcPr>
                  <w:tcW w:w="548" w:type="pct"/>
                  <w:noWrap w:val="0"/>
                  <w:vAlign w:val="center"/>
                </w:tcPr>
                <w:p w14:paraId="2D79C98A">
                  <w:pPr>
                    <w:keepNext w:val="0"/>
                    <w:keepLines w:val="0"/>
                    <w:suppressLineNumbers w:val="0"/>
                    <w:topLinePunct/>
                    <w:adjustRightInd w:val="0"/>
                    <w:snapToGrid w:val="0"/>
                    <w:spacing w:before="0" w:beforeAutospacing="0" w:after="0" w:afterAutospacing="0"/>
                    <w:ind w:left="0" w:right="0"/>
                    <w:jc w:val="center"/>
                    <w:rPr>
                      <w:rFonts w:hint="default" w:ascii="Times New Roman" w:hAnsi="Times New Roman" w:eastAsia="宋体" w:cs="Times New Roman"/>
                      <w:b w:val="0"/>
                      <w:bCs/>
                      <w:color w:val="auto"/>
                      <w:kern w:val="0"/>
                      <w:sz w:val="21"/>
                      <w:szCs w:val="21"/>
                      <w:highlight w:val="none"/>
                      <w:lang w:val="en-US" w:eastAsia="zh-CN" w:bidi="ar-SA"/>
                    </w:rPr>
                  </w:pPr>
                  <w:r>
                    <w:rPr>
                      <w:rFonts w:hint="eastAsia" w:cs="Times New Roman"/>
                      <w:b w:val="0"/>
                      <w:bCs/>
                      <w:color w:val="auto"/>
                      <w:kern w:val="0"/>
                      <w:sz w:val="21"/>
                      <w:szCs w:val="21"/>
                      <w:highlight w:val="none"/>
                      <w:lang w:val="en-US" w:eastAsia="zh-CN" w:bidi="ar-SA"/>
                    </w:rPr>
                    <w:t>3个月</w:t>
                  </w:r>
                </w:p>
              </w:tc>
            </w:tr>
            <w:tr w14:paraId="605175D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86" w:type="pct"/>
                  <w:noWrap w:val="0"/>
                  <w:vAlign w:val="center"/>
                </w:tcPr>
                <w:p w14:paraId="1F58229B">
                  <w:pPr>
                    <w:keepNext w:val="0"/>
                    <w:keepLines w:val="0"/>
                    <w:numPr>
                      <w:ilvl w:val="0"/>
                      <w:numId w:val="16"/>
                    </w:numPr>
                    <w:suppressLineNumbers w:val="0"/>
                    <w:topLinePunct/>
                    <w:adjustRightInd w:val="0"/>
                    <w:snapToGrid w:val="0"/>
                    <w:spacing w:before="0" w:beforeAutospacing="0" w:after="0" w:afterAutospacing="0"/>
                    <w:ind w:left="0" w:leftChars="0" w:right="0" w:firstLine="0" w:firstLineChars="0"/>
                    <w:jc w:val="center"/>
                    <w:rPr>
                      <w:rFonts w:hint="default" w:cs="Times New Roman"/>
                      <w:b w:val="0"/>
                      <w:bCs/>
                      <w:color w:val="auto"/>
                      <w:kern w:val="0"/>
                      <w:sz w:val="21"/>
                      <w:szCs w:val="21"/>
                      <w:highlight w:val="none"/>
                      <w:lang w:val="en-US" w:eastAsia="zh-CN" w:bidi="ar-SA"/>
                    </w:rPr>
                  </w:pPr>
                </w:p>
              </w:tc>
              <w:tc>
                <w:tcPr>
                  <w:tcW w:w="396" w:type="pct"/>
                  <w:vMerge w:val="continue"/>
                  <w:noWrap w:val="0"/>
                  <w:vAlign w:val="center"/>
                </w:tcPr>
                <w:p w14:paraId="722F31CA">
                  <w:pPr>
                    <w:keepNext w:val="0"/>
                    <w:keepLines w:val="0"/>
                    <w:suppressLineNumbers w:val="0"/>
                    <w:topLinePunct/>
                    <w:adjustRightInd w:val="0"/>
                    <w:snapToGrid w:val="0"/>
                    <w:spacing w:before="0" w:beforeAutospacing="0" w:after="0" w:afterAutospacing="0"/>
                    <w:ind w:left="0" w:right="0"/>
                    <w:jc w:val="center"/>
                    <w:rPr>
                      <w:rFonts w:hint="default" w:ascii="Times New Roman" w:hAnsi="Times New Roman" w:eastAsia="宋体" w:cs="Times New Roman"/>
                      <w:b w:val="0"/>
                      <w:bCs/>
                      <w:color w:val="auto"/>
                      <w:kern w:val="0"/>
                      <w:sz w:val="21"/>
                      <w:szCs w:val="21"/>
                      <w:highlight w:val="none"/>
                      <w:lang w:bidi="ar-SA"/>
                    </w:rPr>
                  </w:pPr>
                </w:p>
              </w:tc>
              <w:tc>
                <w:tcPr>
                  <w:tcW w:w="705" w:type="pct"/>
                  <w:shd w:val="clear" w:color="auto" w:fill="auto"/>
                  <w:noWrap w:val="0"/>
                  <w:vAlign w:val="center"/>
                </w:tcPr>
                <w:p w14:paraId="342E0801">
                  <w:pPr>
                    <w:widowControl/>
                    <w:jc w:val="center"/>
                    <w:rPr>
                      <w:rFonts w:hint="default" w:ascii="Times New Roman" w:hAnsi="Times New Roman" w:eastAsia="宋体" w:cs="Times New Roman"/>
                      <w:bCs/>
                      <w:snapToGrid w:val="0"/>
                      <w:color w:val="auto"/>
                      <w:spacing w:val="6"/>
                      <w:kern w:val="2"/>
                      <w:sz w:val="21"/>
                      <w:szCs w:val="21"/>
                      <w:lang w:val="en-US" w:eastAsia="zh-CN" w:bidi="ar"/>
                    </w:rPr>
                  </w:pPr>
                  <w:r>
                    <w:rPr>
                      <w:rFonts w:hint="default" w:ascii="Times New Roman" w:hAnsi="Times New Roman" w:eastAsia="宋体" w:cs="Times New Roman"/>
                      <w:bCs/>
                      <w:snapToGrid w:val="0"/>
                      <w:color w:val="auto"/>
                      <w:spacing w:val="6"/>
                      <w:kern w:val="2"/>
                      <w:sz w:val="21"/>
                      <w:szCs w:val="21"/>
                      <w:lang w:val="en-US" w:eastAsia="zh-CN" w:bidi="ar"/>
                    </w:rPr>
                    <w:t>废包装桶</w:t>
                  </w:r>
                </w:p>
              </w:tc>
              <w:tc>
                <w:tcPr>
                  <w:tcW w:w="526" w:type="pct"/>
                  <w:shd w:val="clear" w:color="auto" w:fill="auto"/>
                  <w:noWrap w:val="0"/>
                  <w:vAlign w:val="center"/>
                </w:tcPr>
                <w:p w14:paraId="398813DB">
                  <w:pPr>
                    <w:pStyle w:val="22"/>
                    <w:widowControl w:val="0"/>
                    <w:snapToGrid w:val="0"/>
                    <w:spacing w:before="0" w:beforeAutospacing="0" w:after="0" w:afterAutospacing="0"/>
                    <w:jc w:val="center"/>
                    <w:rPr>
                      <w:rFonts w:hint="default" w:ascii="宋体" w:hAnsi="宋体" w:eastAsia="宋体" w:cs="Times New Roman"/>
                      <w:color w:val="auto"/>
                      <w:kern w:val="0"/>
                      <w:sz w:val="21"/>
                      <w:szCs w:val="21"/>
                      <w:lang w:val="en-US" w:eastAsia="zh-CN" w:bidi="ar-SA"/>
                    </w:rPr>
                  </w:pPr>
                  <w:r>
                    <w:rPr>
                      <w:rFonts w:ascii="Times New Roman" w:hAnsi="Times New Roman"/>
                      <w:bCs/>
                      <w:color w:val="auto"/>
                      <w:sz w:val="21"/>
                      <w:szCs w:val="21"/>
                    </w:rPr>
                    <w:t>HW49</w:t>
                  </w:r>
                </w:p>
              </w:tc>
              <w:tc>
                <w:tcPr>
                  <w:tcW w:w="746" w:type="pct"/>
                  <w:shd w:val="clear" w:color="auto" w:fill="auto"/>
                  <w:noWrap w:val="0"/>
                  <w:vAlign w:val="center"/>
                </w:tcPr>
                <w:p w14:paraId="5838F9C4">
                  <w:pPr>
                    <w:pStyle w:val="22"/>
                    <w:widowControl w:val="0"/>
                    <w:snapToGrid w:val="0"/>
                    <w:spacing w:before="0" w:beforeAutospacing="0" w:after="0" w:afterAutospacing="0"/>
                    <w:jc w:val="center"/>
                    <w:rPr>
                      <w:rFonts w:hint="default" w:ascii="宋体" w:hAnsi="宋体" w:eastAsia="宋体" w:cs="Times New Roman"/>
                      <w:color w:val="auto"/>
                      <w:kern w:val="0"/>
                      <w:sz w:val="21"/>
                      <w:szCs w:val="21"/>
                      <w:lang w:val="en-US" w:eastAsia="zh-CN" w:bidi="ar-SA"/>
                    </w:rPr>
                  </w:pPr>
                  <w:r>
                    <w:rPr>
                      <w:rFonts w:ascii="Times New Roman" w:hAnsi="Times New Roman"/>
                      <w:bCs/>
                      <w:color w:val="auto"/>
                      <w:sz w:val="21"/>
                      <w:szCs w:val="21"/>
                    </w:rPr>
                    <w:t>900-041-49</w:t>
                  </w:r>
                </w:p>
              </w:tc>
              <w:tc>
                <w:tcPr>
                  <w:tcW w:w="264" w:type="pct"/>
                  <w:vMerge w:val="continue"/>
                  <w:noWrap w:val="0"/>
                  <w:vAlign w:val="center"/>
                </w:tcPr>
                <w:p w14:paraId="2F5F4691">
                  <w:pPr>
                    <w:keepNext w:val="0"/>
                    <w:keepLines w:val="0"/>
                    <w:suppressLineNumbers w:val="0"/>
                    <w:topLinePunct/>
                    <w:adjustRightInd w:val="0"/>
                    <w:snapToGrid w:val="0"/>
                    <w:spacing w:before="0" w:beforeAutospacing="0" w:after="0" w:afterAutospacing="0"/>
                    <w:ind w:left="0" w:right="0"/>
                    <w:jc w:val="center"/>
                    <w:rPr>
                      <w:rFonts w:hint="default" w:ascii="Times New Roman" w:hAnsi="Times New Roman" w:eastAsia="宋体" w:cs="Times New Roman"/>
                      <w:b w:val="0"/>
                      <w:bCs/>
                      <w:color w:val="auto"/>
                      <w:kern w:val="0"/>
                      <w:sz w:val="21"/>
                      <w:szCs w:val="21"/>
                      <w:highlight w:val="none"/>
                      <w:lang w:bidi="ar-SA"/>
                    </w:rPr>
                  </w:pPr>
                </w:p>
              </w:tc>
              <w:tc>
                <w:tcPr>
                  <w:tcW w:w="435" w:type="pct"/>
                  <w:vMerge w:val="continue"/>
                  <w:noWrap w:val="0"/>
                  <w:vAlign w:val="center"/>
                </w:tcPr>
                <w:p w14:paraId="416D6263">
                  <w:pPr>
                    <w:keepNext w:val="0"/>
                    <w:keepLines w:val="0"/>
                    <w:suppressLineNumbers w:val="0"/>
                    <w:topLinePunct/>
                    <w:adjustRightInd w:val="0"/>
                    <w:snapToGrid w:val="0"/>
                    <w:spacing w:before="0" w:beforeAutospacing="0" w:after="0" w:afterAutospacing="0"/>
                    <w:ind w:left="0" w:right="0"/>
                    <w:jc w:val="center"/>
                    <w:rPr>
                      <w:rFonts w:hint="default" w:ascii="Times New Roman" w:hAnsi="Times New Roman" w:eastAsia="宋体" w:cs="Times New Roman"/>
                      <w:b w:val="0"/>
                      <w:bCs/>
                      <w:color w:val="auto"/>
                      <w:kern w:val="0"/>
                      <w:sz w:val="21"/>
                      <w:szCs w:val="21"/>
                      <w:highlight w:val="none"/>
                      <w:lang w:bidi="ar-SA"/>
                    </w:rPr>
                  </w:pPr>
                </w:p>
              </w:tc>
              <w:tc>
                <w:tcPr>
                  <w:tcW w:w="667" w:type="pct"/>
                  <w:noWrap w:val="0"/>
                  <w:vAlign w:val="center"/>
                </w:tcPr>
                <w:p w14:paraId="5DA33A51">
                  <w:pPr>
                    <w:keepNext w:val="0"/>
                    <w:keepLines w:val="0"/>
                    <w:suppressLineNumbers w:val="0"/>
                    <w:topLinePunct/>
                    <w:adjustRightInd w:val="0"/>
                    <w:snapToGrid w:val="0"/>
                    <w:spacing w:before="0" w:beforeAutospacing="0" w:after="0" w:afterAutospacing="0"/>
                    <w:ind w:left="0" w:right="0"/>
                    <w:jc w:val="center"/>
                    <w:rPr>
                      <w:rFonts w:hint="eastAsia" w:cs="Times New Roman"/>
                      <w:b w:val="0"/>
                      <w:bCs/>
                      <w:color w:val="auto"/>
                      <w:kern w:val="0"/>
                      <w:sz w:val="21"/>
                      <w:szCs w:val="21"/>
                      <w:highlight w:val="none"/>
                      <w:lang w:val="en-US" w:eastAsia="zh-CN" w:bidi="ar-SA"/>
                    </w:rPr>
                  </w:pPr>
                  <w:r>
                    <w:rPr>
                      <w:rFonts w:hint="eastAsia" w:cs="Times New Roman"/>
                      <w:b w:val="0"/>
                      <w:bCs/>
                      <w:color w:val="auto"/>
                      <w:kern w:val="0"/>
                      <w:sz w:val="21"/>
                      <w:szCs w:val="21"/>
                      <w:highlight w:val="none"/>
                      <w:lang w:val="en-US" w:eastAsia="zh-CN" w:bidi="ar-SA"/>
                    </w:rPr>
                    <w:t>加盖</w:t>
                  </w:r>
                  <w:r>
                    <w:rPr>
                      <w:rFonts w:hint="default" w:ascii="Times New Roman" w:hAnsi="Times New Roman" w:eastAsia="宋体" w:cs="Times New Roman"/>
                      <w:b w:val="0"/>
                      <w:bCs/>
                      <w:color w:val="auto"/>
                      <w:kern w:val="0"/>
                      <w:sz w:val="21"/>
                      <w:szCs w:val="21"/>
                      <w:highlight w:val="none"/>
                      <w:lang w:bidi="ar-SA"/>
                    </w:rPr>
                    <w:t>密闭</w:t>
                  </w:r>
                </w:p>
              </w:tc>
              <w:tc>
                <w:tcPr>
                  <w:tcW w:w="421" w:type="pct"/>
                  <w:vMerge w:val="continue"/>
                  <w:noWrap w:val="0"/>
                  <w:vAlign w:val="center"/>
                </w:tcPr>
                <w:p w14:paraId="7D677F04">
                  <w:pPr>
                    <w:keepNext w:val="0"/>
                    <w:keepLines w:val="0"/>
                    <w:suppressLineNumbers w:val="0"/>
                    <w:topLinePunct/>
                    <w:adjustRightInd w:val="0"/>
                    <w:snapToGrid w:val="0"/>
                    <w:spacing w:before="0" w:beforeAutospacing="0" w:after="0" w:afterAutospacing="0"/>
                    <w:ind w:left="0" w:right="0"/>
                    <w:jc w:val="center"/>
                    <w:rPr>
                      <w:rFonts w:hint="default" w:ascii="Times New Roman" w:hAnsi="Times New Roman" w:eastAsia="宋体" w:cs="Times New Roman"/>
                      <w:b w:val="0"/>
                      <w:bCs/>
                      <w:color w:val="auto"/>
                      <w:kern w:val="0"/>
                      <w:sz w:val="21"/>
                      <w:szCs w:val="21"/>
                      <w:highlight w:val="none"/>
                      <w:lang w:bidi="ar-SA"/>
                    </w:rPr>
                  </w:pPr>
                </w:p>
              </w:tc>
              <w:tc>
                <w:tcPr>
                  <w:tcW w:w="548" w:type="pct"/>
                  <w:noWrap w:val="0"/>
                  <w:vAlign w:val="center"/>
                </w:tcPr>
                <w:p w14:paraId="27D8A58E">
                  <w:pPr>
                    <w:keepNext w:val="0"/>
                    <w:keepLines w:val="0"/>
                    <w:suppressLineNumbers w:val="0"/>
                    <w:topLinePunct/>
                    <w:adjustRightInd w:val="0"/>
                    <w:snapToGrid w:val="0"/>
                    <w:spacing w:before="0" w:beforeAutospacing="0" w:after="0" w:afterAutospacing="0"/>
                    <w:ind w:left="0" w:right="0"/>
                    <w:jc w:val="center"/>
                    <w:rPr>
                      <w:rFonts w:hint="default" w:ascii="Times New Roman" w:hAnsi="Times New Roman" w:eastAsia="宋体" w:cs="Times New Roman"/>
                      <w:b w:val="0"/>
                      <w:bCs/>
                      <w:color w:val="auto"/>
                      <w:kern w:val="0"/>
                      <w:sz w:val="21"/>
                      <w:szCs w:val="21"/>
                      <w:highlight w:val="none"/>
                      <w:lang w:val="en-US" w:eastAsia="zh-CN" w:bidi="ar-SA"/>
                    </w:rPr>
                  </w:pPr>
                  <w:r>
                    <w:rPr>
                      <w:rFonts w:hint="eastAsia" w:cs="Times New Roman"/>
                      <w:b w:val="0"/>
                      <w:bCs/>
                      <w:color w:val="auto"/>
                      <w:kern w:val="0"/>
                      <w:sz w:val="21"/>
                      <w:szCs w:val="21"/>
                      <w:highlight w:val="none"/>
                      <w:lang w:val="en-US" w:eastAsia="zh-CN" w:bidi="ar-SA"/>
                    </w:rPr>
                    <w:t>3个月</w:t>
                  </w:r>
                </w:p>
              </w:tc>
            </w:tr>
            <w:tr w14:paraId="42E111D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86" w:type="pct"/>
                  <w:noWrap w:val="0"/>
                  <w:vAlign w:val="center"/>
                </w:tcPr>
                <w:p w14:paraId="3855D1C0">
                  <w:pPr>
                    <w:keepNext w:val="0"/>
                    <w:keepLines w:val="0"/>
                    <w:numPr>
                      <w:ilvl w:val="0"/>
                      <w:numId w:val="16"/>
                    </w:numPr>
                    <w:suppressLineNumbers w:val="0"/>
                    <w:topLinePunct/>
                    <w:adjustRightInd w:val="0"/>
                    <w:snapToGrid w:val="0"/>
                    <w:spacing w:before="0" w:beforeAutospacing="0" w:after="0" w:afterAutospacing="0"/>
                    <w:ind w:left="0" w:leftChars="0" w:right="0" w:firstLine="0" w:firstLineChars="0"/>
                    <w:jc w:val="center"/>
                    <w:rPr>
                      <w:rFonts w:hint="default" w:cs="Times New Roman"/>
                      <w:b w:val="0"/>
                      <w:bCs/>
                      <w:color w:val="auto"/>
                      <w:kern w:val="0"/>
                      <w:sz w:val="21"/>
                      <w:szCs w:val="21"/>
                      <w:highlight w:val="none"/>
                      <w:lang w:val="en-US" w:eastAsia="zh-CN" w:bidi="ar-SA"/>
                    </w:rPr>
                  </w:pPr>
                </w:p>
              </w:tc>
              <w:tc>
                <w:tcPr>
                  <w:tcW w:w="396" w:type="pct"/>
                  <w:vMerge w:val="continue"/>
                  <w:noWrap w:val="0"/>
                  <w:vAlign w:val="center"/>
                </w:tcPr>
                <w:p w14:paraId="137FD2E2">
                  <w:pPr>
                    <w:keepNext w:val="0"/>
                    <w:keepLines w:val="0"/>
                    <w:suppressLineNumbers w:val="0"/>
                    <w:topLinePunct/>
                    <w:adjustRightInd w:val="0"/>
                    <w:snapToGrid w:val="0"/>
                    <w:spacing w:before="0" w:beforeAutospacing="0" w:after="0" w:afterAutospacing="0"/>
                    <w:ind w:left="0" w:right="0"/>
                    <w:jc w:val="center"/>
                    <w:rPr>
                      <w:rFonts w:hint="default" w:ascii="Times New Roman" w:hAnsi="Times New Roman" w:eastAsia="宋体" w:cs="Times New Roman"/>
                      <w:b w:val="0"/>
                      <w:bCs/>
                      <w:color w:val="auto"/>
                      <w:kern w:val="0"/>
                      <w:sz w:val="21"/>
                      <w:szCs w:val="21"/>
                      <w:highlight w:val="none"/>
                      <w:lang w:bidi="ar-SA"/>
                    </w:rPr>
                  </w:pPr>
                </w:p>
              </w:tc>
              <w:tc>
                <w:tcPr>
                  <w:tcW w:w="705" w:type="pct"/>
                  <w:shd w:val="clear" w:color="auto" w:fill="auto"/>
                  <w:noWrap w:val="0"/>
                  <w:vAlign w:val="center"/>
                </w:tcPr>
                <w:p w14:paraId="16A5ED0D">
                  <w:pPr>
                    <w:widowControl/>
                    <w:jc w:val="center"/>
                    <w:rPr>
                      <w:rFonts w:hint="default" w:ascii="Times New Roman" w:hAnsi="Times New Roman" w:eastAsia="宋体" w:cs="Times New Roman"/>
                      <w:bCs/>
                      <w:snapToGrid w:val="0"/>
                      <w:color w:val="auto"/>
                      <w:spacing w:val="6"/>
                      <w:kern w:val="2"/>
                      <w:sz w:val="21"/>
                      <w:szCs w:val="21"/>
                      <w:lang w:val="en-US" w:eastAsia="zh-CN" w:bidi="ar"/>
                    </w:rPr>
                  </w:pPr>
                  <w:r>
                    <w:rPr>
                      <w:rFonts w:hint="default" w:ascii="Times New Roman" w:hAnsi="Times New Roman" w:eastAsia="宋体" w:cs="Times New Roman"/>
                      <w:bCs/>
                      <w:snapToGrid w:val="0"/>
                      <w:color w:val="auto"/>
                      <w:spacing w:val="6"/>
                      <w:kern w:val="2"/>
                      <w:sz w:val="21"/>
                      <w:szCs w:val="21"/>
                      <w:lang w:val="en-US" w:eastAsia="zh-CN" w:bidi="ar"/>
                    </w:rPr>
                    <w:t>废油桶</w:t>
                  </w:r>
                </w:p>
              </w:tc>
              <w:tc>
                <w:tcPr>
                  <w:tcW w:w="526" w:type="pct"/>
                  <w:shd w:val="clear" w:color="auto" w:fill="auto"/>
                  <w:noWrap w:val="0"/>
                  <w:vAlign w:val="center"/>
                </w:tcPr>
                <w:p w14:paraId="208F5BA0">
                  <w:pPr>
                    <w:pStyle w:val="22"/>
                    <w:widowControl w:val="0"/>
                    <w:snapToGrid w:val="0"/>
                    <w:spacing w:before="0" w:beforeAutospacing="0" w:after="0" w:afterAutospacing="0"/>
                    <w:jc w:val="center"/>
                    <w:rPr>
                      <w:rFonts w:hint="default" w:ascii="宋体" w:hAnsi="宋体" w:eastAsia="宋体" w:cs="Times New Roman"/>
                      <w:color w:val="auto"/>
                      <w:kern w:val="0"/>
                      <w:sz w:val="21"/>
                      <w:szCs w:val="21"/>
                      <w:lang w:val="en-US" w:eastAsia="zh-CN" w:bidi="ar-SA"/>
                    </w:rPr>
                  </w:pPr>
                  <w:r>
                    <w:rPr>
                      <w:rFonts w:ascii="Times New Roman" w:hAnsi="Times New Roman"/>
                      <w:bCs/>
                      <w:color w:val="auto"/>
                      <w:sz w:val="21"/>
                      <w:szCs w:val="21"/>
                    </w:rPr>
                    <w:t>HW08</w:t>
                  </w:r>
                </w:p>
              </w:tc>
              <w:tc>
                <w:tcPr>
                  <w:tcW w:w="746" w:type="pct"/>
                  <w:shd w:val="clear" w:color="auto" w:fill="auto"/>
                  <w:noWrap w:val="0"/>
                  <w:vAlign w:val="center"/>
                </w:tcPr>
                <w:p w14:paraId="1305434C">
                  <w:pPr>
                    <w:pStyle w:val="22"/>
                    <w:widowControl w:val="0"/>
                    <w:snapToGrid w:val="0"/>
                    <w:spacing w:before="0" w:beforeAutospacing="0" w:after="0" w:afterAutospacing="0"/>
                    <w:jc w:val="center"/>
                    <w:rPr>
                      <w:rFonts w:hint="default" w:ascii="宋体" w:hAnsi="宋体" w:eastAsia="宋体" w:cs="Times New Roman"/>
                      <w:color w:val="auto"/>
                      <w:kern w:val="0"/>
                      <w:sz w:val="21"/>
                      <w:szCs w:val="21"/>
                      <w:lang w:val="en-US" w:eastAsia="zh-CN" w:bidi="ar-SA"/>
                    </w:rPr>
                  </w:pPr>
                  <w:r>
                    <w:rPr>
                      <w:rFonts w:ascii="Times New Roman" w:hAnsi="Times New Roman"/>
                      <w:bCs/>
                      <w:color w:val="auto"/>
                      <w:sz w:val="21"/>
                      <w:szCs w:val="21"/>
                    </w:rPr>
                    <w:t>900-249-08</w:t>
                  </w:r>
                </w:p>
              </w:tc>
              <w:tc>
                <w:tcPr>
                  <w:tcW w:w="264" w:type="pct"/>
                  <w:vMerge w:val="continue"/>
                  <w:noWrap w:val="0"/>
                  <w:vAlign w:val="center"/>
                </w:tcPr>
                <w:p w14:paraId="36474BA8">
                  <w:pPr>
                    <w:keepNext w:val="0"/>
                    <w:keepLines w:val="0"/>
                    <w:suppressLineNumbers w:val="0"/>
                    <w:topLinePunct/>
                    <w:adjustRightInd w:val="0"/>
                    <w:snapToGrid w:val="0"/>
                    <w:spacing w:before="0" w:beforeAutospacing="0" w:after="0" w:afterAutospacing="0"/>
                    <w:ind w:left="0" w:right="0"/>
                    <w:jc w:val="center"/>
                    <w:rPr>
                      <w:rFonts w:hint="default" w:ascii="Times New Roman" w:hAnsi="Times New Roman" w:eastAsia="宋体" w:cs="Times New Roman"/>
                      <w:b w:val="0"/>
                      <w:bCs/>
                      <w:color w:val="auto"/>
                      <w:kern w:val="0"/>
                      <w:sz w:val="21"/>
                      <w:szCs w:val="21"/>
                      <w:highlight w:val="none"/>
                      <w:lang w:bidi="ar-SA"/>
                    </w:rPr>
                  </w:pPr>
                </w:p>
              </w:tc>
              <w:tc>
                <w:tcPr>
                  <w:tcW w:w="435" w:type="pct"/>
                  <w:vMerge w:val="continue"/>
                  <w:noWrap w:val="0"/>
                  <w:vAlign w:val="center"/>
                </w:tcPr>
                <w:p w14:paraId="5304FB4D">
                  <w:pPr>
                    <w:keepNext w:val="0"/>
                    <w:keepLines w:val="0"/>
                    <w:suppressLineNumbers w:val="0"/>
                    <w:topLinePunct/>
                    <w:adjustRightInd w:val="0"/>
                    <w:snapToGrid w:val="0"/>
                    <w:spacing w:before="0" w:beforeAutospacing="0" w:after="0" w:afterAutospacing="0"/>
                    <w:ind w:left="0" w:right="0"/>
                    <w:jc w:val="center"/>
                    <w:rPr>
                      <w:rFonts w:hint="default" w:ascii="Times New Roman" w:hAnsi="Times New Roman" w:eastAsia="宋体" w:cs="Times New Roman"/>
                      <w:b w:val="0"/>
                      <w:bCs/>
                      <w:color w:val="auto"/>
                      <w:kern w:val="0"/>
                      <w:sz w:val="21"/>
                      <w:szCs w:val="21"/>
                      <w:highlight w:val="none"/>
                      <w:lang w:bidi="ar-SA"/>
                    </w:rPr>
                  </w:pPr>
                </w:p>
              </w:tc>
              <w:tc>
                <w:tcPr>
                  <w:tcW w:w="667" w:type="pct"/>
                  <w:noWrap w:val="0"/>
                  <w:vAlign w:val="center"/>
                </w:tcPr>
                <w:p w14:paraId="61874EC4">
                  <w:pPr>
                    <w:keepNext w:val="0"/>
                    <w:keepLines w:val="0"/>
                    <w:suppressLineNumbers w:val="0"/>
                    <w:topLinePunct/>
                    <w:adjustRightInd w:val="0"/>
                    <w:snapToGrid w:val="0"/>
                    <w:spacing w:before="0" w:beforeAutospacing="0" w:after="0" w:afterAutospacing="0"/>
                    <w:ind w:left="0" w:right="0"/>
                    <w:jc w:val="center"/>
                    <w:rPr>
                      <w:rFonts w:hint="default" w:cs="Times New Roman"/>
                      <w:b w:val="0"/>
                      <w:bCs/>
                      <w:color w:val="auto"/>
                      <w:kern w:val="0"/>
                      <w:sz w:val="21"/>
                      <w:szCs w:val="21"/>
                      <w:highlight w:val="none"/>
                      <w:lang w:val="en-US" w:eastAsia="zh-CN" w:bidi="ar-SA"/>
                    </w:rPr>
                  </w:pPr>
                  <w:r>
                    <w:rPr>
                      <w:rFonts w:hint="eastAsia" w:cs="Times New Roman"/>
                      <w:b w:val="0"/>
                      <w:bCs/>
                      <w:color w:val="auto"/>
                      <w:kern w:val="0"/>
                      <w:sz w:val="21"/>
                      <w:szCs w:val="21"/>
                      <w:highlight w:val="none"/>
                      <w:lang w:val="en-US" w:eastAsia="zh-CN" w:bidi="ar-SA"/>
                    </w:rPr>
                    <w:t>加盖</w:t>
                  </w:r>
                  <w:r>
                    <w:rPr>
                      <w:rFonts w:hint="default" w:ascii="Times New Roman" w:hAnsi="Times New Roman" w:eastAsia="宋体" w:cs="Times New Roman"/>
                      <w:b w:val="0"/>
                      <w:bCs/>
                      <w:color w:val="auto"/>
                      <w:kern w:val="0"/>
                      <w:sz w:val="21"/>
                      <w:szCs w:val="21"/>
                      <w:highlight w:val="none"/>
                      <w:lang w:bidi="ar-SA"/>
                    </w:rPr>
                    <w:t>密闭</w:t>
                  </w:r>
                </w:p>
              </w:tc>
              <w:tc>
                <w:tcPr>
                  <w:tcW w:w="421" w:type="pct"/>
                  <w:vMerge w:val="continue"/>
                  <w:noWrap w:val="0"/>
                  <w:vAlign w:val="center"/>
                </w:tcPr>
                <w:p w14:paraId="7F76862E">
                  <w:pPr>
                    <w:keepNext w:val="0"/>
                    <w:keepLines w:val="0"/>
                    <w:suppressLineNumbers w:val="0"/>
                    <w:topLinePunct/>
                    <w:adjustRightInd w:val="0"/>
                    <w:snapToGrid w:val="0"/>
                    <w:spacing w:before="0" w:beforeAutospacing="0" w:after="0" w:afterAutospacing="0"/>
                    <w:ind w:left="0" w:right="0"/>
                    <w:jc w:val="center"/>
                    <w:rPr>
                      <w:rFonts w:hint="default" w:ascii="Times New Roman" w:hAnsi="Times New Roman" w:eastAsia="宋体" w:cs="Times New Roman"/>
                      <w:b w:val="0"/>
                      <w:bCs/>
                      <w:color w:val="auto"/>
                      <w:kern w:val="0"/>
                      <w:sz w:val="21"/>
                      <w:szCs w:val="21"/>
                      <w:highlight w:val="none"/>
                      <w:lang w:bidi="ar-SA"/>
                    </w:rPr>
                  </w:pPr>
                </w:p>
              </w:tc>
              <w:tc>
                <w:tcPr>
                  <w:tcW w:w="548" w:type="pct"/>
                  <w:noWrap w:val="0"/>
                  <w:vAlign w:val="center"/>
                </w:tcPr>
                <w:p w14:paraId="3897070B">
                  <w:pPr>
                    <w:keepNext w:val="0"/>
                    <w:keepLines w:val="0"/>
                    <w:suppressLineNumbers w:val="0"/>
                    <w:topLinePunct/>
                    <w:adjustRightInd w:val="0"/>
                    <w:snapToGrid w:val="0"/>
                    <w:spacing w:before="0" w:beforeAutospacing="0" w:after="0" w:afterAutospacing="0"/>
                    <w:ind w:left="0" w:right="0"/>
                    <w:jc w:val="center"/>
                    <w:rPr>
                      <w:rFonts w:hint="default" w:ascii="Times New Roman" w:hAnsi="Times New Roman" w:eastAsia="宋体" w:cs="Times New Roman"/>
                      <w:b w:val="0"/>
                      <w:bCs/>
                      <w:color w:val="auto"/>
                      <w:kern w:val="0"/>
                      <w:sz w:val="21"/>
                      <w:szCs w:val="21"/>
                      <w:highlight w:val="none"/>
                      <w:lang w:val="en-US" w:eastAsia="zh-CN" w:bidi="ar-SA"/>
                    </w:rPr>
                  </w:pPr>
                  <w:r>
                    <w:rPr>
                      <w:rFonts w:hint="eastAsia" w:cs="Times New Roman"/>
                      <w:b w:val="0"/>
                      <w:bCs/>
                      <w:color w:val="auto"/>
                      <w:kern w:val="0"/>
                      <w:sz w:val="21"/>
                      <w:szCs w:val="21"/>
                      <w:highlight w:val="none"/>
                      <w:lang w:val="en-US" w:eastAsia="zh-CN" w:bidi="ar-SA"/>
                    </w:rPr>
                    <w:t>2个月</w:t>
                  </w:r>
                </w:p>
              </w:tc>
            </w:tr>
            <w:tr w14:paraId="1016D94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86" w:type="pct"/>
                  <w:noWrap w:val="0"/>
                  <w:vAlign w:val="center"/>
                </w:tcPr>
                <w:p w14:paraId="60FCB832">
                  <w:pPr>
                    <w:keepNext w:val="0"/>
                    <w:keepLines w:val="0"/>
                    <w:numPr>
                      <w:ilvl w:val="0"/>
                      <w:numId w:val="16"/>
                    </w:numPr>
                    <w:suppressLineNumbers w:val="0"/>
                    <w:topLinePunct/>
                    <w:adjustRightInd w:val="0"/>
                    <w:snapToGrid w:val="0"/>
                    <w:spacing w:before="0" w:beforeAutospacing="0" w:after="0" w:afterAutospacing="0"/>
                    <w:ind w:left="0" w:leftChars="0" w:right="0" w:firstLine="0" w:firstLineChars="0"/>
                    <w:jc w:val="center"/>
                    <w:rPr>
                      <w:rFonts w:hint="default" w:cs="Times New Roman"/>
                      <w:b w:val="0"/>
                      <w:bCs/>
                      <w:color w:val="auto"/>
                      <w:kern w:val="0"/>
                      <w:sz w:val="21"/>
                      <w:szCs w:val="21"/>
                      <w:highlight w:val="none"/>
                      <w:lang w:val="en-US" w:eastAsia="zh-CN" w:bidi="ar-SA"/>
                    </w:rPr>
                  </w:pPr>
                </w:p>
              </w:tc>
              <w:tc>
                <w:tcPr>
                  <w:tcW w:w="396" w:type="pct"/>
                  <w:vMerge w:val="continue"/>
                  <w:noWrap w:val="0"/>
                  <w:vAlign w:val="center"/>
                </w:tcPr>
                <w:p w14:paraId="09C35582">
                  <w:pPr>
                    <w:keepNext w:val="0"/>
                    <w:keepLines w:val="0"/>
                    <w:suppressLineNumbers w:val="0"/>
                    <w:topLinePunct/>
                    <w:adjustRightInd w:val="0"/>
                    <w:snapToGrid w:val="0"/>
                    <w:spacing w:before="0" w:beforeAutospacing="0" w:after="0" w:afterAutospacing="0"/>
                    <w:ind w:left="0" w:right="0"/>
                    <w:jc w:val="center"/>
                    <w:rPr>
                      <w:rFonts w:hint="default" w:ascii="Times New Roman" w:hAnsi="Times New Roman" w:eastAsia="宋体" w:cs="Times New Roman"/>
                      <w:b w:val="0"/>
                      <w:bCs/>
                      <w:color w:val="auto"/>
                      <w:kern w:val="0"/>
                      <w:sz w:val="21"/>
                      <w:szCs w:val="21"/>
                      <w:highlight w:val="none"/>
                      <w:lang w:bidi="ar-SA"/>
                    </w:rPr>
                  </w:pPr>
                </w:p>
              </w:tc>
              <w:tc>
                <w:tcPr>
                  <w:tcW w:w="705" w:type="pct"/>
                  <w:shd w:val="clear" w:color="auto" w:fill="auto"/>
                  <w:noWrap w:val="0"/>
                  <w:vAlign w:val="center"/>
                </w:tcPr>
                <w:p w14:paraId="3D430031">
                  <w:pPr>
                    <w:widowControl/>
                    <w:jc w:val="center"/>
                    <w:rPr>
                      <w:rFonts w:hint="default" w:ascii="Times New Roman" w:hAnsi="Times New Roman" w:eastAsia="宋体" w:cs="Times New Roman"/>
                      <w:bCs/>
                      <w:snapToGrid w:val="0"/>
                      <w:color w:val="auto"/>
                      <w:spacing w:val="6"/>
                      <w:kern w:val="2"/>
                      <w:sz w:val="21"/>
                      <w:szCs w:val="21"/>
                      <w:lang w:val="en-US" w:eastAsia="zh-CN" w:bidi="ar"/>
                    </w:rPr>
                  </w:pPr>
                  <w:r>
                    <w:rPr>
                      <w:rFonts w:hint="default" w:ascii="Times New Roman" w:hAnsi="Times New Roman" w:eastAsia="宋体" w:cs="Times New Roman"/>
                      <w:bCs/>
                      <w:snapToGrid w:val="0"/>
                      <w:color w:val="auto"/>
                      <w:spacing w:val="6"/>
                      <w:kern w:val="2"/>
                      <w:sz w:val="21"/>
                      <w:szCs w:val="21"/>
                      <w:lang w:val="en-US" w:eastAsia="zh-CN" w:bidi="ar"/>
                    </w:rPr>
                    <w:t>废润滑油</w:t>
                  </w:r>
                </w:p>
              </w:tc>
              <w:tc>
                <w:tcPr>
                  <w:tcW w:w="526" w:type="pct"/>
                  <w:shd w:val="clear" w:color="auto" w:fill="auto"/>
                  <w:noWrap w:val="0"/>
                  <w:vAlign w:val="center"/>
                </w:tcPr>
                <w:p w14:paraId="0A7E2063">
                  <w:pPr>
                    <w:adjustRightInd w:val="0"/>
                    <w:snapToGrid w:val="0"/>
                    <w:jc w:val="center"/>
                    <w:rPr>
                      <w:rFonts w:hint="default" w:ascii="Times New Roman" w:hAnsi="Times New Roman" w:eastAsia="宋体" w:cs="Times New Roman"/>
                      <w:bCs/>
                      <w:color w:val="auto"/>
                      <w:kern w:val="2"/>
                      <w:sz w:val="21"/>
                      <w:szCs w:val="21"/>
                      <w:lang w:val="en-US" w:eastAsia="zh-CN" w:bidi="ar"/>
                    </w:rPr>
                  </w:pPr>
                  <w:r>
                    <w:rPr>
                      <w:color w:val="auto"/>
                      <w:sz w:val="21"/>
                      <w:szCs w:val="21"/>
                      <w:lang w:bidi="ar"/>
                    </w:rPr>
                    <w:t>HW</w:t>
                  </w:r>
                  <w:r>
                    <w:rPr>
                      <w:rFonts w:hint="eastAsia"/>
                      <w:color w:val="auto"/>
                      <w:sz w:val="21"/>
                      <w:szCs w:val="21"/>
                      <w:lang w:bidi="ar"/>
                    </w:rPr>
                    <w:t>08</w:t>
                  </w:r>
                </w:p>
              </w:tc>
              <w:tc>
                <w:tcPr>
                  <w:tcW w:w="746" w:type="pct"/>
                  <w:shd w:val="clear" w:color="auto" w:fill="auto"/>
                  <w:noWrap w:val="0"/>
                  <w:vAlign w:val="center"/>
                </w:tcPr>
                <w:p w14:paraId="27ED796E">
                  <w:pPr>
                    <w:adjustRightInd w:val="0"/>
                    <w:snapToGrid w:val="0"/>
                    <w:jc w:val="center"/>
                    <w:rPr>
                      <w:rFonts w:hint="default" w:ascii="Times New Roman" w:hAnsi="Times New Roman" w:eastAsia="宋体" w:cs="Times New Roman"/>
                      <w:bCs/>
                      <w:color w:val="auto"/>
                      <w:kern w:val="2"/>
                      <w:sz w:val="21"/>
                      <w:szCs w:val="21"/>
                      <w:lang w:val="en-US" w:eastAsia="zh-CN" w:bidi="ar"/>
                    </w:rPr>
                  </w:pPr>
                  <w:r>
                    <w:rPr>
                      <w:color w:val="auto"/>
                      <w:sz w:val="21"/>
                      <w:szCs w:val="21"/>
                      <w:lang w:bidi="ar"/>
                    </w:rPr>
                    <w:t>900-</w:t>
                  </w:r>
                  <w:r>
                    <w:rPr>
                      <w:rFonts w:hint="eastAsia"/>
                      <w:color w:val="auto"/>
                      <w:sz w:val="21"/>
                      <w:szCs w:val="21"/>
                      <w:lang w:bidi="ar"/>
                    </w:rPr>
                    <w:t>217</w:t>
                  </w:r>
                  <w:r>
                    <w:rPr>
                      <w:color w:val="auto"/>
                      <w:sz w:val="21"/>
                      <w:szCs w:val="21"/>
                      <w:lang w:bidi="ar"/>
                    </w:rPr>
                    <w:t>-</w:t>
                  </w:r>
                  <w:r>
                    <w:rPr>
                      <w:rFonts w:hint="eastAsia"/>
                      <w:color w:val="auto"/>
                      <w:sz w:val="21"/>
                      <w:szCs w:val="21"/>
                      <w:lang w:bidi="ar"/>
                    </w:rPr>
                    <w:t>08</w:t>
                  </w:r>
                </w:p>
              </w:tc>
              <w:tc>
                <w:tcPr>
                  <w:tcW w:w="264" w:type="pct"/>
                  <w:vMerge w:val="continue"/>
                  <w:noWrap w:val="0"/>
                  <w:vAlign w:val="center"/>
                </w:tcPr>
                <w:p w14:paraId="08A43BE6">
                  <w:pPr>
                    <w:keepNext w:val="0"/>
                    <w:keepLines w:val="0"/>
                    <w:suppressLineNumbers w:val="0"/>
                    <w:topLinePunct/>
                    <w:adjustRightInd w:val="0"/>
                    <w:snapToGrid w:val="0"/>
                    <w:spacing w:before="0" w:beforeAutospacing="0" w:after="0" w:afterAutospacing="0"/>
                    <w:ind w:left="0" w:right="0"/>
                    <w:jc w:val="center"/>
                    <w:rPr>
                      <w:rFonts w:hint="default" w:ascii="Times New Roman" w:hAnsi="Times New Roman" w:eastAsia="宋体" w:cs="Times New Roman"/>
                      <w:b w:val="0"/>
                      <w:bCs/>
                      <w:color w:val="auto"/>
                      <w:kern w:val="0"/>
                      <w:sz w:val="21"/>
                      <w:szCs w:val="21"/>
                      <w:highlight w:val="none"/>
                      <w:lang w:bidi="ar-SA"/>
                    </w:rPr>
                  </w:pPr>
                </w:p>
              </w:tc>
              <w:tc>
                <w:tcPr>
                  <w:tcW w:w="435" w:type="pct"/>
                  <w:vMerge w:val="continue"/>
                  <w:noWrap w:val="0"/>
                  <w:vAlign w:val="center"/>
                </w:tcPr>
                <w:p w14:paraId="2D7927B9">
                  <w:pPr>
                    <w:keepNext w:val="0"/>
                    <w:keepLines w:val="0"/>
                    <w:suppressLineNumbers w:val="0"/>
                    <w:topLinePunct/>
                    <w:adjustRightInd w:val="0"/>
                    <w:snapToGrid w:val="0"/>
                    <w:spacing w:before="0" w:beforeAutospacing="0" w:after="0" w:afterAutospacing="0"/>
                    <w:ind w:left="0" w:right="0"/>
                    <w:jc w:val="center"/>
                    <w:rPr>
                      <w:rFonts w:hint="default" w:ascii="Times New Roman" w:hAnsi="Times New Roman" w:eastAsia="宋体" w:cs="Times New Roman"/>
                      <w:b w:val="0"/>
                      <w:bCs/>
                      <w:color w:val="auto"/>
                      <w:kern w:val="0"/>
                      <w:sz w:val="21"/>
                      <w:szCs w:val="21"/>
                      <w:highlight w:val="none"/>
                      <w:lang w:bidi="ar-SA"/>
                    </w:rPr>
                  </w:pPr>
                </w:p>
              </w:tc>
              <w:tc>
                <w:tcPr>
                  <w:tcW w:w="667" w:type="pct"/>
                  <w:noWrap w:val="0"/>
                  <w:vAlign w:val="center"/>
                </w:tcPr>
                <w:p w14:paraId="1944FF75">
                  <w:pPr>
                    <w:keepNext w:val="0"/>
                    <w:keepLines w:val="0"/>
                    <w:suppressLineNumbers w:val="0"/>
                    <w:topLinePunct/>
                    <w:adjustRightInd w:val="0"/>
                    <w:snapToGrid w:val="0"/>
                    <w:spacing w:before="0" w:beforeAutospacing="0" w:after="0" w:afterAutospacing="0"/>
                    <w:ind w:left="0" w:right="0"/>
                    <w:jc w:val="center"/>
                    <w:rPr>
                      <w:rFonts w:hint="eastAsia" w:cs="Times New Roman"/>
                      <w:b w:val="0"/>
                      <w:bCs/>
                      <w:color w:val="auto"/>
                      <w:kern w:val="0"/>
                      <w:sz w:val="21"/>
                      <w:szCs w:val="21"/>
                      <w:highlight w:val="none"/>
                      <w:lang w:val="en-US" w:eastAsia="zh-CN" w:bidi="ar-SA"/>
                    </w:rPr>
                  </w:pPr>
                  <w:r>
                    <w:rPr>
                      <w:rFonts w:hint="eastAsia" w:cs="Times New Roman"/>
                      <w:b w:val="0"/>
                      <w:bCs/>
                      <w:color w:val="auto"/>
                      <w:kern w:val="0"/>
                      <w:sz w:val="21"/>
                      <w:szCs w:val="21"/>
                      <w:highlight w:val="none"/>
                      <w:lang w:val="en-US" w:eastAsia="zh-CN" w:bidi="ar-SA"/>
                    </w:rPr>
                    <w:t>桶装</w:t>
                  </w:r>
                  <w:r>
                    <w:rPr>
                      <w:rFonts w:hint="default" w:ascii="Times New Roman" w:hAnsi="Times New Roman" w:eastAsia="宋体" w:cs="Times New Roman"/>
                      <w:b w:val="0"/>
                      <w:bCs/>
                      <w:color w:val="auto"/>
                      <w:kern w:val="0"/>
                      <w:sz w:val="21"/>
                      <w:szCs w:val="21"/>
                      <w:highlight w:val="none"/>
                      <w:lang w:bidi="ar-SA"/>
                    </w:rPr>
                    <w:t>密闭</w:t>
                  </w:r>
                </w:p>
              </w:tc>
              <w:tc>
                <w:tcPr>
                  <w:tcW w:w="421" w:type="pct"/>
                  <w:vMerge w:val="continue"/>
                  <w:noWrap w:val="0"/>
                  <w:vAlign w:val="center"/>
                </w:tcPr>
                <w:p w14:paraId="08935B6A">
                  <w:pPr>
                    <w:keepNext w:val="0"/>
                    <w:keepLines w:val="0"/>
                    <w:suppressLineNumbers w:val="0"/>
                    <w:topLinePunct/>
                    <w:adjustRightInd w:val="0"/>
                    <w:snapToGrid w:val="0"/>
                    <w:spacing w:before="0" w:beforeAutospacing="0" w:after="0" w:afterAutospacing="0"/>
                    <w:ind w:left="0" w:right="0"/>
                    <w:jc w:val="center"/>
                    <w:rPr>
                      <w:rFonts w:hint="default" w:ascii="Times New Roman" w:hAnsi="Times New Roman" w:eastAsia="宋体" w:cs="Times New Roman"/>
                      <w:b w:val="0"/>
                      <w:bCs/>
                      <w:color w:val="auto"/>
                      <w:kern w:val="0"/>
                      <w:sz w:val="21"/>
                      <w:szCs w:val="21"/>
                      <w:highlight w:val="none"/>
                      <w:lang w:bidi="ar-SA"/>
                    </w:rPr>
                  </w:pPr>
                </w:p>
              </w:tc>
              <w:tc>
                <w:tcPr>
                  <w:tcW w:w="548" w:type="pct"/>
                  <w:noWrap w:val="0"/>
                  <w:vAlign w:val="center"/>
                </w:tcPr>
                <w:p w14:paraId="579F0404">
                  <w:pPr>
                    <w:keepNext w:val="0"/>
                    <w:keepLines w:val="0"/>
                    <w:suppressLineNumbers w:val="0"/>
                    <w:topLinePunct/>
                    <w:adjustRightInd w:val="0"/>
                    <w:snapToGrid w:val="0"/>
                    <w:spacing w:before="0" w:beforeAutospacing="0" w:after="0" w:afterAutospacing="0"/>
                    <w:ind w:left="0" w:right="0"/>
                    <w:jc w:val="center"/>
                    <w:rPr>
                      <w:rFonts w:hint="default" w:ascii="Times New Roman" w:hAnsi="Times New Roman" w:eastAsia="宋体" w:cs="Times New Roman"/>
                      <w:b w:val="0"/>
                      <w:bCs/>
                      <w:color w:val="auto"/>
                      <w:kern w:val="0"/>
                      <w:sz w:val="21"/>
                      <w:szCs w:val="21"/>
                      <w:highlight w:val="none"/>
                      <w:lang w:val="en-US" w:eastAsia="zh-CN" w:bidi="ar-SA"/>
                    </w:rPr>
                  </w:pPr>
                  <w:r>
                    <w:rPr>
                      <w:rFonts w:hint="eastAsia" w:cs="Times New Roman"/>
                      <w:b w:val="0"/>
                      <w:bCs/>
                      <w:color w:val="auto"/>
                      <w:kern w:val="0"/>
                      <w:sz w:val="21"/>
                      <w:szCs w:val="21"/>
                      <w:highlight w:val="none"/>
                      <w:lang w:val="en-US" w:eastAsia="zh-CN" w:bidi="ar-SA"/>
                    </w:rPr>
                    <w:t>2个月</w:t>
                  </w:r>
                </w:p>
              </w:tc>
            </w:tr>
            <w:tr w14:paraId="21A0212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86" w:type="pct"/>
                  <w:noWrap w:val="0"/>
                  <w:vAlign w:val="center"/>
                </w:tcPr>
                <w:p w14:paraId="162465A0">
                  <w:pPr>
                    <w:keepNext w:val="0"/>
                    <w:keepLines w:val="0"/>
                    <w:numPr>
                      <w:ilvl w:val="0"/>
                      <w:numId w:val="16"/>
                    </w:numPr>
                    <w:suppressLineNumbers w:val="0"/>
                    <w:topLinePunct/>
                    <w:adjustRightInd w:val="0"/>
                    <w:snapToGrid w:val="0"/>
                    <w:spacing w:before="0" w:beforeAutospacing="0" w:after="0" w:afterAutospacing="0"/>
                    <w:ind w:left="0" w:leftChars="0" w:right="0" w:firstLine="0" w:firstLineChars="0"/>
                    <w:jc w:val="center"/>
                    <w:rPr>
                      <w:rFonts w:hint="default" w:cs="Times New Roman"/>
                      <w:b w:val="0"/>
                      <w:bCs/>
                      <w:color w:val="auto"/>
                      <w:kern w:val="0"/>
                      <w:sz w:val="21"/>
                      <w:szCs w:val="21"/>
                      <w:highlight w:val="none"/>
                      <w:lang w:val="en-US" w:eastAsia="zh-CN" w:bidi="ar-SA"/>
                    </w:rPr>
                  </w:pPr>
                </w:p>
              </w:tc>
              <w:tc>
                <w:tcPr>
                  <w:tcW w:w="396" w:type="pct"/>
                  <w:vMerge w:val="continue"/>
                  <w:noWrap w:val="0"/>
                  <w:vAlign w:val="center"/>
                </w:tcPr>
                <w:p w14:paraId="0F39BF08">
                  <w:pPr>
                    <w:keepNext w:val="0"/>
                    <w:keepLines w:val="0"/>
                    <w:suppressLineNumbers w:val="0"/>
                    <w:topLinePunct/>
                    <w:adjustRightInd w:val="0"/>
                    <w:snapToGrid w:val="0"/>
                    <w:spacing w:before="0" w:beforeAutospacing="0" w:after="0" w:afterAutospacing="0"/>
                    <w:ind w:left="0" w:right="0"/>
                    <w:jc w:val="center"/>
                    <w:rPr>
                      <w:rFonts w:hint="default" w:ascii="Times New Roman" w:hAnsi="Times New Roman" w:eastAsia="宋体" w:cs="Times New Roman"/>
                      <w:b w:val="0"/>
                      <w:bCs/>
                      <w:color w:val="auto"/>
                      <w:kern w:val="0"/>
                      <w:sz w:val="21"/>
                      <w:szCs w:val="21"/>
                      <w:highlight w:val="none"/>
                      <w:lang w:bidi="ar-SA"/>
                    </w:rPr>
                  </w:pPr>
                </w:p>
              </w:tc>
              <w:tc>
                <w:tcPr>
                  <w:tcW w:w="705" w:type="pct"/>
                  <w:shd w:val="clear" w:color="auto" w:fill="auto"/>
                  <w:noWrap w:val="0"/>
                  <w:vAlign w:val="center"/>
                </w:tcPr>
                <w:p w14:paraId="536B7615">
                  <w:pPr>
                    <w:widowControl/>
                    <w:jc w:val="center"/>
                    <w:rPr>
                      <w:rFonts w:hint="default" w:ascii="Times New Roman" w:hAnsi="Times New Roman" w:eastAsia="宋体" w:cs="Times New Roman"/>
                      <w:bCs/>
                      <w:snapToGrid w:val="0"/>
                      <w:color w:val="auto"/>
                      <w:spacing w:val="6"/>
                      <w:kern w:val="2"/>
                      <w:sz w:val="21"/>
                      <w:szCs w:val="21"/>
                      <w:lang w:val="en-US" w:eastAsia="zh-CN" w:bidi="ar"/>
                    </w:rPr>
                  </w:pPr>
                  <w:r>
                    <w:rPr>
                      <w:rFonts w:hint="default" w:ascii="Times New Roman" w:hAnsi="Times New Roman" w:eastAsia="宋体" w:cs="Times New Roman"/>
                      <w:bCs/>
                      <w:snapToGrid w:val="0"/>
                      <w:color w:val="auto"/>
                      <w:spacing w:val="6"/>
                      <w:kern w:val="2"/>
                      <w:sz w:val="21"/>
                      <w:szCs w:val="21"/>
                      <w:lang w:val="en-US" w:eastAsia="zh-CN" w:bidi="ar"/>
                    </w:rPr>
                    <w:t>废液压油</w:t>
                  </w:r>
                </w:p>
              </w:tc>
              <w:tc>
                <w:tcPr>
                  <w:tcW w:w="526" w:type="pct"/>
                  <w:shd w:val="clear" w:color="auto" w:fill="auto"/>
                  <w:noWrap w:val="0"/>
                  <w:vAlign w:val="center"/>
                </w:tcPr>
                <w:p w14:paraId="27D04F5F">
                  <w:pPr>
                    <w:adjustRightInd w:val="0"/>
                    <w:snapToGrid w:val="0"/>
                    <w:jc w:val="center"/>
                    <w:rPr>
                      <w:rFonts w:hint="default" w:ascii="Times New Roman" w:hAnsi="Times New Roman" w:eastAsia="宋体" w:cs="Times New Roman"/>
                      <w:color w:val="auto"/>
                      <w:kern w:val="2"/>
                      <w:sz w:val="21"/>
                      <w:szCs w:val="21"/>
                      <w:lang w:val="en-US" w:eastAsia="zh-CN" w:bidi="ar"/>
                    </w:rPr>
                  </w:pPr>
                  <w:r>
                    <w:rPr>
                      <w:color w:val="auto"/>
                    </w:rPr>
                    <w:t>HW</w:t>
                  </w:r>
                  <w:r>
                    <w:rPr>
                      <w:rFonts w:hint="eastAsia"/>
                      <w:color w:val="auto"/>
                    </w:rPr>
                    <w:t>08</w:t>
                  </w:r>
                </w:p>
              </w:tc>
              <w:tc>
                <w:tcPr>
                  <w:tcW w:w="746" w:type="pct"/>
                  <w:shd w:val="clear" w:color="auto" w:fill="auto"/>
                  <w:noWrap w:val="0"/>
                  <w:vAlign w:val="center"/>
                </w:tcPr>
                <w:p w14:paraId="713DB052">
                  <w:pPr>
                    <w:adjustRightInd w:val="0"/>
                    <w:snapToGrid w:val="0"/>
                    <w:jc w:val="center"/>
                    <w:rPr>
                      <w:rFonts w:hint="default" w:ascii="Times New Roman" w:hAnsi="Times New Roman" w:eastAsia="宋体" w:cs="Times New Roman"/>
                      <w:color w:val="auto"/>
                      <w:kern w:val="0"/>
                      <w:sz w:val="21"/>
                      <w:szCs w:val="21"/>
                      <w:lang w:val="en-US" w:eastAsia="zh-CN" w:bidi="ar"/>
                    </w:rPr>
                  </w:pPr>
                  <w:r>
                    <w:rPr>
                      <w:color w:val="auto"/>
                    </w:rPr>
                    <w:t>900-</w:t>
                  </w:r>
                  <w:r>
                    <w:rPr>
                      <w:rFonts w:hint="eastAsia"/>
                      <w:color w:val="auto"/>
                    </w:rPr>
                    <w:t>218</w:t>
                  </w:r>
                  <w:r>
                    <w:rPr>
                      <w:color w:val="auto"/>
                    </w:rPr>
                    <w:t>-</w:t>
                  </w:r>
                  <w:r>
                    <w:rPr>
                      <w:rFonts w:hint="eastAsia"/>
                      <w:color w:val="auto"/>
                    </w:rPr>
                    <w:t>08</w:t>
                  </w:r>
                </w:p>
              </w:tc>
              <w:tc>
                <w:tcPr>
                  <w:tcW w:w="264" w:type="pct"/>
                  <w:vMerge w:val="continue"/>
                  <w:noWrap w:val="0"/>
                  <w:vAlign w:val="center"/>
                </w:tcPr>
                <w:p w14:paraId="3B05439E">
                  <w:pPr>
                    <w:keepNext w:val="0"/>
                    <w:keepLines w:val="0"/>
                    <w:suppressLineNumbers w:val="0"/>
                    <w:topLinePunct/>
                    <w:adjustRightInd w:val="0"/>
                    <w:snapToGrid w:val="0"/>
                    <w:spacing w:before="0" w:beforeAutospacing="0" w:after="0" w:afterAutospacing="0"/>
                    <w:ind w:left="0" w:right="0"/>
                    <w:jc w:val="center"/>
                    <w:rPr>
                      <w:rFonts w:hint="default" w:ascii="Times New Roman" w:hAnsi="Times New Roman" w:eastAsia="宋体" w:cs="Times New Roman"/>
                      <w:b w:val="0"/>
                      <w:bCs/>
                      <w:color w:val="auto"/>
                      <w:kern w:val="0"/>
                      <w:sz w:val="21"/>
                      <w:szCs w:val="21"/>
                      <w:highlight w:val="none"/>
                      <w:lang w:bidi="ar-SA"/>
                    </w:rPr>
                  </w:pPr>
                </w:p>
              </w:tc>
              <w:tc>
                <w:tcPr>
                  <w:tcW w:w="435" w:type="pct"/>
                  <w:vMerge w:val="continue"/>
                  <w:noWrap w:val="0"/>
                  <w:vAlign w:val="center"/>
                </w:tcPr>
                <w:p w14:paraId="0E3647C6">
                  <w:pPr>
                    <w:keepNext w:val="0"/>
                    <w:keepLines w:val="0"/>
                    <w:suppressLineNumbers w:val="0"/>
                    <w:topLinePunct/>
                    <w:adjustRightInd w:val="0"/>
                    <w:snapToGrid w:val="0"/>
                    <w:spacing w:before="0" w:beforeAutospacing="0" w:after="0" w:afterAutospacing="0"/>
                    <w:ind w:left="0" w:right="0"/>
                    <w:jc w:val="center"/>
                    <w:rPr>
                      <w:rFonts w:hint="default" w:ascii="Times New Roman" w:hAnsi="Times New Roman" w:eastAsia="宋体" w:cs="Times New Roman"/>
                      <w:b w:val="0"/>
                      <w:bCs/>
                      <w:color w:val="auto"/>
                      <w:kern w:val="0"/>
                      <w:sz w:val="21"/>
                      <w:szCs w:val="21"/>
                      <w:highlight w:val="none"/>
                      <w:lang w:bidi="ar-SA"/>
                    </w:rPr>
                  </w:pPr>
                </w:p>
              </w:tc>
              <w:tc>
                <w:tcPr>
                  <w:tcW w:w="667" w:type="pct"/>
                  <w:noWrap w:val="0"/>
                  <w:vAlign w:val="center"/>
                </w:tcPr>
                <w:p w14:paraId="7FDC79F1">
                  <w:pPr>
                    <w:keepNext w:val="0"/>
                    <w:keepLines w:val="0"/>
                    <w:suppressLineNumbers w:val="0"/>
                    <w:topLinePunct/>
                    <w:adjustRightInd w:val="0"/>
                    <w:snapToGrid w:val="0"/>
                    <w:spacing w:before="0" w:beforeAutospacing="0" w:after="0" w:afterAutospacing="0"/>
                    <w:ind w:left="0" w:right="0"/>
                    <w:jc w:val="center"/>
                    <w:rPr>
                      <w:rFonts w:hint="eastAsia" w:cs="Times New Roman"/>
                      <w:b w:val="0"/>
                      <w:bCs/>
                      <w:color w:val="auto"/>
                      <w:kern w:val="0"/>
                      <w:sz w:val="21"/>
                      <w:szCs w:val="21"/>
                      <w:highlight w:val="none"/>
                      <w:lang w:val="en-US" w:eastAsia="zh-CN" w:bidi="ar-SA"/>
                    </w:rPr>
                  </w:pPr>
                  <w:r>
                    <w:rPr>
                      <w:rFonts w:hint="eastAsia" w:cs="Times New Roman"/>
                      <w:b w:val="0"/>
                      <w:bCs/>
                      <w:color w:val="auto"/>
                      <w:kern w:val="0"/>
                      <w:sz w:val="21"/>
                      <w:szCs w:val="21"/>
                      <w:highlight w:val="none"/>
                      <w:lang w:val="en-US" w:eastAsia="zh-CN" w:bidi="ar-SA"/>
                    </w:rPr>
                    <w:t>桶装</w:t>
                  </w:r>
                  <w:r>
                    <w:rPr>
                      <w:rFonts w:hint="default" w:ascii="Times New Roman" w:hAnsi="Times New Roman" w:eastAsia="宋体" w:cs="Times New Roman"/>
                      <w:b w:val="0"/>
                      <w:bCs/>
                      <w:color w:val="auto"/>
                      <w:kern w:val="0"/>
                      <w:sz w:val="21"/>
                      <w:szCs w:val="21"/>
                      <w:highlight w:val="none"/>
                      <w:lang w:bidi="ar-SA"/>
                    </w:rPr>
                    <w:t>密闭</w:t>
                  </w:r>
                </w:p>
              </w:tc>
              <w:tc>
                <w:tcPr>
                  <w:tcW w:w="421" w:type="pct"/>
                  <w:vMerge w:val="continue"/>
                  <w:noWrap w:val="0"/>
                  <w:vAlign w:val="center"/>
                </w:tcPr>
                <w:p w14:paraId="7A4D480E">
                  <w:pPr>
                    <w:keepNext w:val="0"/>
                    <w:keepLines w:val="0"/>
                    <w:suppressLineNumbers w:val="0"/>
                    <w:topLinePunct/>
                    <w:adjustRightInd w:val="0"/>
                    <w:snapToGrid w:val="0"/>
                    <w:spacing w:before="0" w:beforeAutospacing="0" w:after="0" w:afterAutospacing="0"/>
                    <w:ind w:left="0" w:right="0"/>
                    <w:jc w:val="center"/>
                    <w:rPr>
                      <w:rFonts w:hint="default" w:ascii="Times New Roman" w:hAnsi="Times New Roman" w:eastAsia="宋体" w:cs="Times New Roman"/>
                      <w:b w:val="0"/>
                      <w:bCs/>
                      <w:color w:val="auto"/>
                      <w:kern w:val="0"/>
                      <w:sz w:val="21"/>
                      <w:szCs w:val="21"/>
                      <w:highlight w:val="none"/>
                      <w:lang w:bidi="ar-SA"/>
                    </w:rPr>
                  </w:pPr>
                </w:p>
              </w:tc>
              <w:tc>
                <w:tcPr>
                  <w:tcW w:w="548" w:type="pct"/>
                  <w:noWrap w:val="0"/>
                  <w:vAlign w:val="center"/>
                </w:tcPr>
                <w:p w14:paraId="27836812">
                  <w:pPr>
                    <w:keepNext w:val="0"/>
                    <w:keepLines w:val="0"/>
                    <w:suppressLineNumbers w:val="0"/>
                    <w:topLinePunct/>
                    <w:adjustRightInd w:val="0"/>
                    <w:snapToGrid w:val="0"/>
                    <w:spacing w:before="0" w:beforeAutospacing="0" w:after="0" w:afterAutospacing="0"/>
                    <w:ind w:left="0" w:right="0"/>
                    <w:jc w:val="center"/>
                    <w:rPr>
                      <w:rFonts w:hint="eastAsia" w:cs="Times New Roman"/>
                      <w:b w:val="0"/>
                      <w:bCs/>
                      <w:color w:val="auto"/>
                      <w:kern w:val="0"/>
                      <w:sz w:val="21"/>
                      <w:szCs w:val="21"/>
                      <w:highlight w:val="none"/>
                      <w:lang w:val="en-US" w:eastAsia="zh-CN" w:bidi="ar-SA"/>
                    </w:rPr>
                  </w:pPr>
                  <w:r>
                    <w:rPr>
                      <w:rFonts w:hint="eastAsia" w:cs="Times New Roman"/>
                      <w:b w:val="0"/>
                      <w:bCs/>
                      <w:color w:val="auto"/>
                      <w:kern w:val="0"/>
                      <w:sz w:val="21"/>
                      <w:szCs w:val="21"/>
                      <w:highlight w:val="none"/>
                      <w:lang w:val="en-US" w:eastAsia="zh-CN" w:bidi="ar-SA"/>
                    </w:rPr>
                    <w:t>2个月</w:t>
                  </w:r>
                </w:p>
              </w:tc>
            </w:tr>
            <w:tr w14:paraId="624C577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86" w:type="pct"/>
                  <w:noWrap w:val="0"/>
                  <w:vAlign w:val="center"/>
                </w:tcPr>
                <w:p w14:paraId="4CE9967D">
                  <w:pPr>
                    <w:keepNext w:val="0"/>
                    <w:keepLines w:val="0"/>
                    <w:numPr>
                      <w:ilvl w:val="0"/>
                      <w:numId w:val="16"/>
                    </w:numPr>
                    <w:suppressLineNumbers w:val="0"/>
                    <w:topLinePunct/>
                    <w:adjustRightInd w:val="0"/>
                    <w:snapToGrid w:val="0"/>
                    <w:spacing w:before="0" w:beforeAutospacing="0" w:after="0" w:afterAutospacing="0"/>
                    <w:ind w:left="0" w:leftChars="0" w:right="0" w:firstLine="0" w:firstLineChars="0"/>
                    <w:jc w:val="center"/>
                    <w:rPr>
                      <w:rFonts w:hint="default" w:cs="Times New Roman"/>
                      <w:b w:val="0"/>
                      <w:bCs/>
                      <w:color w:val="auto"/>
                      <w:kern w:val="0"/>
                      <w:sz w:val="21"/>
                      <w:szCs w:val="21"/>
                      <w:highlight w:val="none"/>
                      <w:lang w:val="en-US" w:eastAsia="zh-CN" w:bidi="ar-SA"/>
                    </w:rPr>
                  </w:pPr>
                </w:p>
              </w:tc>
              <w:tc>
                <w:tcPr>
                  <w:tcW w:w="396" w:type="pct"/>
                  <w:vMerge w:val="continue"/>
                  <w:noWrap w:val="0"/>
                  <w:vAlign w:val="center"/>
                </w:tcPr>
                <w:p w14:paraId="6F1A745C">
                  <w:pPr>
                    <w:keepNext w:val="0"/>
                    <w:keepLines w:val="0"/>
                    <w:suppressLineNumbers w:val="0"/>
                    <w:topLinePunct/>
                    <w:adjustRightInd w:val="0"/>
                    <w:snapToGrid w:val="0"/>
                    <w:spacing w:before="0" w:beforeAutospacing="0" w:after="0" w:afterAutospacing="0"/>
                    <w:ind w:left="0" w:right="0"/>
                    <w:jc w:val="center"/>
                    <w:rPr>
                      <w:rFonts w:hint="default" w:ascii="Times New Roman" w:hAnsi="Times New Roman" w:eastAsia="宋体" w:cs="Times New Roman"/>
                      <w:b w:val="0"/>
                      <w:bCs/>
                      <w:color w:val="auto"/>
                      <w:kern w:val="0"/>
                      <w:sz w:val="21"/>
                      <w:szCs w:val="21"/>
                      <w:highlight w:val="none"/>
                      <w:lang w:bidi="ar-SA"/>
                    </w:rPr>
                  </w:pPr>
                </w:p>
              </w:tc>
              <w:tc>
                <w:tcPr>
                  <w:tcW w:w="705" w:type="pct"/>
                  <w:shd w:val="clear" w:color="auto" w:fill="auto"/>
                  <w:noWrap w:val="0"/>
                  <w:vAlign w:val="center"/>
                </w:tcPr>
                <w:p w14:paraId="5A1B0FAB">
                  <w:pPr>
                    <w:widowControl/>
                    <w:jc w:val="center"/>
                    <w:rPr>
                      <w:rFonts w:hint="default" w:ascii="Times New Roman" w:hAnsi="Times New Roman" w:eastAsia="宋体" w:cs="Times New Roman"/>
                      <w:bCs/>
                      <w:snapToGrid w:val="0"/>
                      <w:color w:val="auto"/>
                      <w:spacing w:val="6"/>
                      <w:kern w:val="2"/>
                      <w:sz w:val="21"/>
                      <w:szCs w:val="21"/>
                      <w:lang w:val="en-US" w:eastAsia="zh-CN" w:bidi="ar"/>
                    </w:rPr>
                  </w:pPr>
                  <w:r>
                    <w:rPr>
                      <w:rFonts w:hint="default" w:ascii="Times New Roman" w:hAnsi="Times New Roman" w:eastAsia="宋体" w:cs="Times New Roman"/>
                      <w:bCs/>
                      <w:snapToGrid w:val="0"/>
                      <w:color w:val="auto"/>
                      <w:spacing w:val="6"/>
                      <w:kern w:val="2"/>
                      <w:sz w:val="21"/>
                      <w:szCs w:val="21"/>
                      <w:lang w:val="en-US" w:eastAsia="zh-CN" w:bidi="ar"/>
                    </w:rPr>
                    <w:t>浓液</w:t>
                  </w:r>
                </w:p>
              </w:tc>
              <w:tc>
                <w:tcPr>
                  <w:tcW w:w="526" w:type="pct"/>
                  <w:shd w:val="clear" w:color="auto" w:fill="auto"/>
                  <w:noWrap w:val="0"/>
                  <w:vAlign w:val="center"/>
                </w:tcPr>
                <w:p w14:paraId="2E58BECE">
                  <w:pPr>
                    <w:widowControl/>
                    <w:jc w:val="center"/>
                    <w:textAlignment w:val="bottom"/>
                    <w:rPr>
                      <w:rFonts w:hint="default" w:ascii="Times New Roman" w:hAnsi="Times New Roman" w:eastAsia="宋体" w:cs="Times New Roman"/>
                      <w:color w:val="auto"/>
                      <w:spacing w:val="5"/>
                      <w:kern w:val="0"/>
                      <w:sz w:val="21"/>
                      <w:szCs w:val="21"/>
                      <w:lang w:val="en-US" w:eastAsia="zh-CN" w:bidi="ar"/>
                    </w:rPr>
                  </w:pPr>
                  <w:r>
                    <w:rPr>
                      <w:rFonts w:ascii="Times New Roman" w:hAnsi="Times New Roman" w:eastAsia="宋体" w:cs="Times New Roman"/>
                      <w:color w:val="auto"/>
                      <w:kern w:val="0"/>
                      <w:sz w:val="21"/>
                      <w:szCs w:val="21"/>
                      <w:lang w:bidi="ar"/>
                    </w:rPr>
                    <w:t>HW49</w:t>
                  </w:r>
                </w:p>
              </w:tc>
              <w:tc>
                <w:tcPr>
                  <w:tcW w:w="746" w:type="pct"/>
                  <w:shd w:val="clear" w:color="auto" w:fill="auto"/>
                  <w:noWrap w:val="0"/>
                  <w:vAlign w:val="center"/>
                </w:tcPr>
                <w:p w14:paraId="54FD5748">
                  <w:pPr>
                    <w:widowControl/>
                    <w:jc w:val="center"/>
                    <w:textAlignment w:val="bottom"/>
                    <w:rPr>
                      <w:rFonts w:hint="default" w:ascii="Times New Roman" w:hAnsi="Times New Roman" w:eastAsia="宋体" w:cs="Times New Roman"/>
                      <w:color w:val="auto"/>
                      <w:spacing w:val="5"/>
                      <w:kern w:val="0"/>
                      <w:sz w:val="21"/>
                      <w:szCs w:val="21"/>
                      <w:lang w:val="en-US" w:eastAsia="zh-CN" w:bidi="ar"/>
                    </w:rPr>
                  </w:pPr>
                  <w:r>
                    <w:rPr>
                      <w:rFonts w:hint="eastAsia" w:ascii="Times New Roman" w:hAnsi="Times New Roman" w:eastAsia="宋体" w:cs="Times New Roman"/>
                      <w:color w:val="auto"/>
                      <w:kern w:val="0"/>
                      <w:sz w:val="21"/>
                      <w:szCs w:val="21"/>
                      <w:lang w:val="en-US" w:eastAsia="zh-CN" w:bidi="ar"/>
                    </w:rPr>
                    <w:t>772-006-49</w:t>
                  </w:r>
                </w:p>
              </w:tc>
              <w:tc>
                <w:tcPr>
                  <w:tcW w:w="264" w:type="pct"/>
                  <w:vMerge w:val="continue"/>
                  <w:noWrap w:val="0"/>
                  <w:vAlign w:val="center"/>
                </w:tcPr>
                <w:p w14:paraId="3E1BBA44">
                  <w:pPr>
                    <w:keepNext w:val="0"/>
                    <w:keepLines w:val="0"/>
                    <w:suppressLineNumbers w:val="0"/>
                    <w:topLinePunct/>
                    <w:adjustRightInd w:val="0"/>
                    <w:snapToGrid w:val="0"/>
                    <w:spacing w:before="0" w:beforeAutospacing="0" w:after="0" w:afterAutospacing="0"/>
                    <w:ind w:left="0" w:right="0"/>
                    <w:jc w:val="center"/>
                    <w:rPr>
                      <w:rFonts w:hint="default" w:ascii="Times New Roman" w:hAnsi="Times New Roman" w:eastAsia="宋体" w:cs="Times New Roman"/>
                      <w:b w:val="0"/>
                      <w:bCs/>
                      <w:color w:val="auto"/>
                      <w:kern w:val="0"/>
                      <w:sz w:val="21"/>
                      <w:szCs w:val="21"/>
                      <w:highlight w:val="none"/>
                      <w:lang w:bidi="ar-SA"/>
                    </w:rPr>
                  </w:pPr>
                </w:p>
              </w:tc>
              <w:tc>
                <w:tcPr>
                  <w:tcW w:w="435" w:type="pct"/>
                  <w:vMerge w:val="continue"/>
                  <w:noWrap w:val="0"/>
                  <w:vAlign w:val="center"/>
                </w:tcPr>
                <w:p w14:paraId="4C58A4B8">
                  <w:pPr>
                    <w:keepNext w:val="0"/>
                    <w:keepLines w:val="0"/>
                    <w:suppressLineNumbers w:val="0"/>
                    <w:topLinePunct/>
                    <w:adjustRightInd w:val="0"/>
                    <w:snapToGrid w:val="0"/>
                    <w:spacing w:before="0" w:beforeAutospacing="0" w:after="0" w:afterAutospacing="0"/>
                    <w:ind w:left="0" w:right="0"/>
                    <w:jc w:val="center"/>
                    <w:rPr>
                      <w:rFonts w:hint="default" w:ascii="Times New Roman" w:hAnsi="Times New Roman" w:eastAsia="宋体" w:cs="Times New Roman"/>
                      <w:b w:val="0"/>
                      <w:bCs/>
                      <w:color w:val="auto"/>
                      <w:kern w:val="0"/>
                      <w:sz w:val="21"/>
                      <w:szCs w:val="21"/>
                      <w:highlight w:val="none"/>
                      <w:lang w:bidi="ar-SA"/>
                    </w:rPr>
                  </w:pPr>
                </w:p>
              </w:tc>
              <w:tc>
                <w:tcPr>
                  <w:tcW w:w="667" w:type="pct"/>
                  <w:noWrap w:val="0"/>
                  <w:vAlign w:val="center"/>
                </w:tcPr>
                <w:p w14:paraId="2568B692">
                  <w:pPr>
                    <w:keepNext w:val="0"/>
                    <w:keepLines w:val="0"/>
                    <w:suppressLineNumbers w:val="0"/>
                    <w:topLinePunct/>
                    <w:adjustRightInd w:val="0"/>
                    <w:snapToGrid w:val="0"/>
                    <w:spacing w:before="0" w:beforeAutospacing="0" w:after="0" w:afterAutospacing="0"/>
                    <w:ind w:left="0" w:right="0"/>
                    <w:jc w:val="center"/>
                    <w:rPr>
                      <w:rFonts w:hint="eastAsia" w:cs="Times New Roman"/>
                      <w:b w:val="0"/>
                      <w:bCs/>
                      <w:color w:val="auto"/>
                      <w:kern w:val="0"/>
                      <w:sz w:val="21"/>
                      <w:szCs w:val="21"/>
                      <w:highlight w:val="none"/>
                      <w:lang w:val="en-US" w:eastAsia="zh-CN" w:bidi="ar-SA"/>
                    </w:rPr>
                  </w:pPr>
                  <w:r>
                    <w:rPr>
                      <w:rFonts w:hint="eastAsia" w:cs="Times New Roman"/>
                      <w:b w:val="0"/>
                      <w:bCs/>
                      <w:color w:val="auto"/>
                      <w:kern w:val="0"/>
                      <w:sz w:val="21"/>
                      <w:szCs w:val="21"/>
                      <w:highlight w:val="none"/>
                      <w:lang w:val="en-US" w:eastAsia="zh-CN" w:bidi="ar-SA"/>
                    </w:rPr>
                    <w:t>桶装</w:t>
                  </w:r>
                  <w:r>
                    <w:rPr>
                      <w:rFonts w:hint="default" w:ascii="Times New Roman" w:hAnsi="Times New Roman" w:eastAsia="宋体" w:cs="Times New Roman"/>
                      <w:b w:val="0"/>
                      <w:bCs/>
                      <w:color w:val="auto"/>
                      <w:kern w:val="0"/>
                      <w:sz w:val="21"/>
                      <w:szCs w:val="21"/>
                      <w:highlight w:val="none"/>
                      <w:lang w:bidi="ar-SA"/>
                    </w:rPr>
                    <w:t>密闭</w:t>
                  </w:r>
                </w:p>
              </w:tc>
              <w:tc>
                <w:tcPr>
                  <w:tcW w:w="421" w:type="pct"/>
                  <w:vMerge w:val="continue"/>
                  <w:noWrap w:val="0"/>
                  <w:vAlign w:val="center"/>
                </w:tcPr>
                <w:p w14:paraId="2F94E479">
                  <w:pPr>
                    <w:keepNext w:val="0"/>
                    <w:keepLines w:val="0"/>
                    <w:suppressLineNumbers w:val="0"/>
                    <w:topLinePunct/>
                    <w:adjustRightInd w:val="0"/>
                    <w:snapToGrid w:val="0"/>
                    <w:spacing w:before="0" w:beforeAutospacing="0" w:after="0" w:afterAutospacing="0"/>
                    <w:ind w:left="0" w:right="0"/>
                    <w:jc w:val="center"/>
                    <w:rPr>
                      <w:rFonts w:hint="default" w:ascii="Times New Roman" w:hAnsi="Times New Roman" w:eastAsia="宋体" w:cs="Times New Roman"/>
                      <w:b w:val="0"/>
                      <w:bCs/>
                      <w:color w:val="auto"/>
                      <w:kern w:val="0"/>
                      <w:sz w:val="21"/>
                      <w:szCs w:val="21"/>
                      <w:highlight w:val="none"/>
                      <w:lang w:bidi="ar-SA"/>
                    </w:rPr>
                  </w:pPr>
                </w:p>
              </w:tc>
              <w:tc>
                <w:tcPr>
                  <w:tcW w:w="548" w:type="pct"/>
                  <w:noWrap w:val="0"/>
                  <w:vAlign w:val="center"/>
                </w:tcPr>
                <w:p w14:paraId="416A2598">
                  <w:pPr>
                    <w:keepNext w:val="0"/>
                    <w:keepLines w:val="0"/>
                    <w:suppressLineNumbers w:val="0"/>
                    <w:topLinePunct/>
                    <w:adjustRightInd w:val="0"/>
                    <w:snapToGrid w:val="0"/>
                    <w:spacing w:before="0" w:beforeAutospacing="0" w:after="0" w:afterAutospacing="0"/>
                    <w:ind w:left="0" w:right="0"/>
                    <w:jc w:val="center"/>
                    <w:rPr>
                      <w:rFonts w:hint="eastAsia" w:cs="Times New Roman"/>
                      <w:b w:val="0"/>
                      <w:bCs/>
                      <w:color w:val="auto"/>
                      <w:kern w:val="0"/>
                      <w:sz w:val="21"/>
                      <w:szCs w:val="21"/>
                      <w:highlight w:val="none"/>
                      <w:lang w:val="en-US" w:eastAsia="zh-CN" w:bidi="ar-SA"/>
                    </w:rPr>
                  </w:pPr>
                  <w:r>
                    <w:rPr>
                      <w:rFonts w:hint="eastAsia" w:cs="Times New Roman"/>
                      <w:b w:val="0"/>
                      <w:bCs/>
                      <w:color w:val="auto"/>
                      <w:kern w:val="0"/>
                      <w:sz w:val="21"/>
                      <w:szCs w:val="21"/>
                      <w:highlight w:val="none"/>
                      <w:lang w:val="en-US" w:eastAsia="zh-CN" w:bidi="ar-SA"/>
                    </w:rPr>
                    <w:t>3个月</w:t>
                  </w:r>
                </w:p>
              </w:tc>
            </w:tr>
            <w:tr w14:paraId="7819C13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86" w:type="pct"/>
                  <w:noWrap w:val="0"/>
                  <w:vAlign w:val="center"/>
                </w:tcPr>
                <w:p w14:paraId="1D34AFF1">
                  <w:pPr>
                    <w:keepNext w:val="0"/>
                    <w:keepLines w:val="0"/>
                    <w:numPr>
                      <w:ilvl w:val="0"/>
                      <w:numId w:val="16"/>
                    </w:numPr>
                    <w:suppressLineNumbers w:val="0"/>
                    <w:topLinePunct/>
                    <w:adjustRightInd w:val="0"/>
                    <w:snapToGrid w:val="0"/>
                    <w:spacing w:before="0" w:beforeAutospacing="0" w:after="0" w:afterAutospacing="0"/>
                    <w:ind w:left="0" w:leftChars="0" w:right="0" w:firstLine="0" w:firstLineChars="0"/>
                    <w:jc w:val="center"/>
                    <w:rPr>
                      <w:rFonts w:hint="default" w:cs="Times New Roman"/>
                      <w:b w:val="0"/>
                      <w:bCs/>
                      <w:color w:val="auto"/>
                      <w:kern w:val="0"/>
                      <w:sz w:val="21"/>
                      <w:szCs w:val="21"/>
                      <w:highlight w:val="none"/>
                      <w:lang w:val="en-US" w:eastAsia="zh-CN" w:bidi="ar-SA"/>
                    </w:rPr>
                  </w:pPr>
                </w:p>
              </w:tc>
              <w:tc>
                <w:tcPr>
                  <w:tcW w:w="396" w:type="pct"/>
                  <w:vMerge w:val="continue"/>
                  <w:noWrap w:val="0"/>
                  <w:vAlign w:val="center"/>
                </w:tcPr>
                <w:p w14:paraId="1CAF6AFE">
                  <w:pPr>
                    <w:keepNext w:val="0"/>
                    <w:keepLines w:val="0"/>
                    <w:suppressLineNumbers w:val="0"/>
                    <w:topLinePunct/>
                    <w:adjustRightInd w:val="0"/>
                    <w:snapToGrid w:val="0"/>
                    <w:spacing w:before="0" w:beforeAutospacing="0" w:after="0" w:afterAutospacing="0"/>
                    <w:ind w:left="0" w:right="0"/>
                    <w:jc w:val="center"/>
                    <w:rPr>
                      <w:rFonts w:hint="default" w:ascii="Times New Roman" w:hAnsi="Times New Roman" w:eastAsia="宋体" w:cs="Times New Roman"/>
                      <w:b w:val="0"/>
                      <w:bCs/>
                      <w:color w:val="auto"/>
                      <w:kern w:val="0"/>
                      <w:sz w:val="21"/>
                      <w:szCs w:val="21"/>
                      <w:highlight w:val="none"/>
                      <w:lang w:bidi="ar-SA"/>
                    </w:rPr>
                  </w:pPr>
                </w:p>
              </w:tc>
              <w:tc>
                <w:tcPr>
                  <w:tcW w:w="705" w:type="pct"/>
                  <w:shd w:val="clear" w:color="auto" w:fill="auto"/>
                  <w:noWrap w:val="0"/>
                  <w:vAlign w:val="center"/>
                </w:tcPr>
                <w:p w14:paraId="17D5156F">
                  <w:pPr>
                    <w:widowControl/>
                    <w:jc w:val="center"/>
                    <w:rPr>
                      <w:rFonts w:hint="default" w:ascii="Times New Roman" w:hAnsi="Times New Roman" w:eastAsia="宋体" w:cs="Times New Roman"/>
                      <w:bCs/>
                      <w:snapToGrid w:val="0"/>
                      <w:color w:val="auto"/>
                      <w:spacing w:val="6"/>
                      <w:kern w:val="2"/>
                      <w:sz w:val="21"/>
                      <w:szCs w:val="21"/>
                      <w:lang w:val="en-US" w:eastAsia="zh-CN" w:bidi="ar"/>
                    </w:rPr>
                  </w:pPr>
                  <w:r>
                    <w:rPr>
                      <w:rFonts w:hint="default" w:ascii="Times New Roman" w:hAnsi="Times New Roman" w:eastAsia="宋体" w:cs="Times New Roman"/>
                      <w:bCs/>
                      <w:snapToGrid w:val="0"/>
                      <w:color w:val="auto"/>
                      <w:spacing w:val="6"/>
                      <w:kern w:val="2"/>
                      <w:sz w:val="21"/>
                      <w:szCs w:val="21"/>
                      <w:lang w:val="en-US" w:eastAsia="zh-CN" w:bidi="ar"/>
                    </w:rPr>
                    <w:t>过滤材料</w:t>
                  </w:r>
                </w:p>
              </w:tc>
              <w:tc>
                <w:tcPr>
                  <w:tcW w:w="526" w:type="pct"/>
                  <w:shd w:val="clear" w:color="auto" w:fill="auto"/>
                  <w:noWrap w:val="0"/>
                  <w:vAlign w:val="center"/>
                </w:tcPr>
                <w:p w14:paraId="2D512C37">
                  <w:pPr>
                    <w:pStyle w:val="22"/>
                    <w:widowControl w:val="0"/>
                    <w:snapToGrid w:val="0"/>
                    <w:spacing w:before="0" w:beforeAutospacing="0" w:after="0" w:afterAutospacing="0"/>
                    <w:jc w:val="center"/>
                    <w:rPr>
                      <w:rFonts w:hint="default" w:ascii="宋体" w:hAnsi="宋体" w:eastAsia="宋体" w:cs="Times New Roman"/>
                      <w:color w:val="auto"/>
                      <w:kern w:val="0"/>
                      <w:sz w:val="21"/>
                      <w:szCs w:val="21"/>
                      <w:lang w:val="en-US" w:eastAsia="zh-CN" w:bidi="ar-SA"/>
                    </w:rPr>
                  </w:pPr>
                  <w:r>
                    <w:rPr>
                      <w:rFonts w:ascii="Times New Roman" w:hAnsi="Times New Roman"/>
                      <w:bCs/>
                      <w:color w:val="auto"/>
                      <w:sz w:val="21"/>
                      <w:szCs w:val="21"/>
                    </w:rPr>
                    <w:t>HW49</w:t>
                  </w:r>
                </w:p>
              </w:tc>
              <w:tc>
                <w:tcPr>
                  <w:tcW w:w="746" w:type="pct"/>
                  <w:shd w:val="clear" w:color="auto" w:fill="auto"/>
                  <w:noWrap w:val="0"/>
                  <w:vAlign w:val="center"/>
                </w:tcPr>
                <w:p w14:paraId="0AC768E4">
                  <w:pPr>
                    <w:pStyle w:val="22"/>
                    <w:widowControl w:val="0"/>
                    <w:snapToGrid w:val="0"/>
                    <w:spacing w:before="0" w:beforeAutospacing="0" w:after="0" w:afterAutospacing="0"/>
                    <w:jc w:val="center"/>
                    <w:rPr>
                      <w:rFonts w:hint="default" w:ascii="宋体" w:hAnsi="宋体" w:eastAsia="宋体" w:cs="Times New Roman"/>
                      <w:color w:val="auto"/>
                      <w:kern w:val="0"/>
                      <w:sz w:val="21"/>
                      <w:szCs w:val="21"/>
                      <w:lang w:val="en-US" w:eastAsia="zh-CN" w:bidi="ar-SA"/>
                    </w:rPr>
                  </w:pPr>
                  <w:r>
                    <w:rPr>
                      <w:rFonts w:ascii="Times New Roman" w:hAnsi="Times New Roman"/>
                      <w:bCs/>
                      <w:color w:val="auto"/>
                      <w:sz w:val="21"/>
                      <w:szCs w:val="21"/>
                    </w:rPr>
                    <w:t>900-041-49</w:t>
                  </w:r>
                </w:p>
              </w:tc>
              <w:tc>
                <w:tcPr>
                  <w:tcW w:w="264" w:type="pct"/>
                  <w:vMerge w:val="continue"/>
                  <w:noWrap w:val="0"/>
                  <w:vAlign w:val="center"/>
                </w:tcPr>
                <w:p w14:paraId="178A5BF8">
                  <w:pPr>
                    <w:keepNext w:val="0"/>
                    <w:keepLines w:val="0"/>
                    <w:suppressLineNumbers w:val="0"/>
                    <w:topLinePunct/>
                    <w:adjustRightInd w:val="0"/>
                    <w:snapToGrid w:val="0"/>
                    <w:spacing w:before="0" w:beforeAutospacing="0" w:after="0" w:afterAutospacing="0"/>
                    <w:ind w:left="0" w:right="0"/>
                    <w:jc w:val="center"/>
                    <w:rPr>
                      <w:rFonts w:hint="default" w:ascii="Times New Roman" w:hAnsi="Times New Roman" w:eastAsia="宋体" w:cs="Times New Roman"/>
                      <w:b w:val="0"/>
                      <w:bCs/>
                      <w:color w:val="auto"/>
                      <w:kern w:val="0"/>
                      <w:sz w:val="21"/>
                      <w:szCs w:val="21"/>
                      <w:highlight w:val="none"/>
                      <w:lang w:bidi="ar-SA"/>
                    </w:rPr>
                  </w:pPr>
                </w:p>
              </w:tc>
              <w:tc>
                <w:tcPr>
                  <w:tcW w:w="435" w:type="pct"/>
                  <w:vMerge w:val="continue"/>
                  <w:noWrap w:val="0"/>
                  <w:vAlign w:val="center"/>
                </w:tcPr>
                <w:p w14:paraId="35FA142A">
                  <w:pPr>
                    <w:keepNext w:val="0"/>
                    <w:keepLines w:val="0"/>
                    <w:suppressLineNumbers w:val="0"/>
                    <w:topLinePunct/>
                    <w:adjustRightInd w:val="0"/>
                    <w:snapToGrid w:val="0"/>
                    <w:spacing w:before="0" w:beforeAutospacing="0" w:after="0" w:afterAutospacing="0"/>
                    <w:ind w:left="0" w:right="0"/>
                    <w:jc w:val="center"/>
                    <w:rPr>
                      <w:rFonts w:hint="default" w:ascii="Times New Roman" w:hAnsi="Times New Roman" w:eastAsia="宋体" w:cs="Times New Roman"/>
                      <w:b w:val="0"/>
                      <w:bCs/>
                      <w:color w:val="auto"/>
                      <w:kern w:val="0"/>
                      <w:sz w:val="21"/>
                      <w:szCs w:val="21"/>
                      <w:highlight w:val="none"/>
                      <w:lang w:bidi="ar-SA"/>
                    </w:rPr>
                  </w:pPr>
                </w:p>
              </w:tc>
              <w:tc>
                <w:tcPr>
                  <w:tcW w:w="667" w:type="pct"/>
                  <w:noWrap w:val="0"/>
                  <w:vAlign w:val="center"/>
                </w:tcPr>
                <w:p w14:paraId="43E0FC5C">
                  <w:pPr>
                    <w:keepNext w:val="0"/>
                    <w:keepLines w:val="0"/>
                    <w:suppressLineNumbers w:val="0"/>
                    <w:topLinePunct/>
                    <w:adjustRightInd w:val="0"/>
                    <w:snapToGrid w:val="0"/>
                    <w:spacing w:before="0" w:beforeAutospacing="0" w:after="0" w:afterAutospacing="0"/>
                    <w:ind w:left="0" w:right="0"/>
                    <w:jc w:val="center"/>
                    <w:rPr>
                      <w:rFonts w:hint="eastAsia" w:cs="Times New Roman"/>
                      <w:b w:val="0"/>
                      <w:bCs/>
                      <w:color w:val="auto"/>
                      <w:kern w:val="0"/>
                      <w:sz w:val="21"/>
                      <w:szCs w:val="21"/>
                      <w:highlight w:val="none"/>
                      <w:lang w:val="en-US" w:eastAsia="zh-CN" w:bidi="ar-SA"/>
                    </w:rPr>
                  </w:pPr>
                  <w:r>
                    <w:rPr>
                      <w:rFonts w:hint="eastAsia" w:cs="Times New Roman"/>
                      <w:b w:val="0"/>
                      <w:bCs/>
                      <w:color w:val="auto"/>
                      <w:kern w:val="0"/>
                      <w:sz w:val="21"/>
                      <w:szCs w:val="21"/>
                      <w:highlight w:val="none"/>
                      <w:lang w:val="en-US" w:eastAsia="zh-CN" w:bidi="ar-SA"/>
                    </w:rPr>
                    <w:t>袋装密闭</w:t>
                  </w:r>
                </w:p>
              </w:tc>
              <w:tc>
                <w:tcPr>
                  <w:tcW w:w="421" w:type="pct"/>
                  <w:vMerge w:val="continue"/>
                  <w:noWrap w:val="0"/>
                  <w:vAlign w:val="center"/>
                </w:tcPr>
                <w:p w14:paraId="69895EE8">
                  <w:pPr>
                    <w:keepNext w:val="0"/>
                    <w:keepLines w:val="0"/>
                    <w:suppressLineNumbers w:val="0"/>
                    <w:topLinePunct/>
                    <w:adjustRightInd w:val="0"/>
                    <w:snapToGrid w:val="0"/>
                    <w:spacing w:before="0" w:beforeAutospacing="0" w:after="0" w:afterAutospacing="0"/>
                    <w:ind w:left="0" w:right="0"/>
                    <w:jc w:val="center"/>
                    <w:rPr>
                      <w:rFonts w:hint="default" w:ascii="Times New Roman" w:hAnsi="Times New Roman" w:eastAsia="宋体" w:cs="Times New Roman"/>
                      <w:b w:val="0"/>
                      <w:bCs/>
                      <w:color w:val="auto"/>
                      <w:kern w:val="0"/>
                      <w:sz w:val="21"/>
                      <w:szCs w:val="21"/>
                      <w:highlight w:val="none"/>
                      <w:lang w:bidi="ar-SA"/>
                    </w:rPr>
                  </w:pPr>
                </w:p>
              </w:tc>
              <w:tc>
                <w:tcPr>
                  <w:tcW w:w="548" w:type="pct"/>
                  <w:noWrap w:val="0"/>
                  <w:vAlign w:val="center"/>
                </w:tcPr>
                <w:p w14:paraId="2BFC7768">
                  <w:pPr>
                    <w:keepNext w:val="0"/>
                    <w:keepLines w:val="0"/>
                    <w:suppressLineNumbers w:val="0"/>
                    <w:topLinePunct/>
                    <w:adjustRightInd w:val="0"/>
                    <w:snapToGrid w:val="0"/>
                    <w:spacing w:before="0" w:beforeAutospacing="0" w:after="0" w:afterAutospacing="0"/>
                    <w:ind w:left="0" w:right="0"/>
                    <w:jc w:val="center"/>
                    <w:rPr>
                      <w:rFonts w:hint="eastAsia" w:cs="Times New Roman"/>
                      <w:b w:val="0"/>
                      <w:bCs/>
                      <w:color w:val="auto"/>
                      <w:kern w:val="0"/>
                      <w:sz w:val="21"/>
                      <w:szCs w:val="21"/>
                      <w:highlight w:val="none"/>
                      <w:lang w:val="en-US" w:eastAsia="zh-CN" w:bidi="ar-SA"/>
                    </w:rPr>
                  </w:pPr>
                  <w:r>
                    <w:rPr>
                      <w:rFonts w:hint="eastAsia" w:cs="Times New Roman"/>
                      <w:b w:val="0"/>
                      <w:bCs/>
                      <w:color w:val="auto"/>
                      <w:kern w:val="0"/>
                      <w:sz w:val="21"/>
                      <w:szCs w:val="21"/>
                      <w:highlight w:val="none"/>
                      <w:lang w:val="en-US" w:eastAsia="zh-CN" w:bidi="ar-SA"/>
                    </w:rPr>
                    <w:t>3个月</w:t>
                  </w:r>
                </w:p>
              </w:tc>
            </w:tr>
            <w:tr w14:paraId="3830F47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86" w:type="pct"/>
                  <w:noWrap w:val="0"/>
                  <w:vAlign w:val="center"/>
                </w:tcPr>
                <w:p w14:paraId="52CFE5A2">
                  <w:pPr>
                    <w:keepNext w:val="0"/>
                    <w:keepLines w:val="0"/>
                    <w:numPr>
                      <w:ilvl w:val="0"/>
                      <w:numId w:val="16"/>
                    </w:numPr>
                    <w:suppressLineNumbers w:val="0"/>
                    <w:topLinePunct/>
                    <w:adjustRightInd w:val="0"/>
                    <w:snapToGrid w:val="0"/>
                    <w:spacing w:before="0" w:beforeAutospacing="0" w:after="0" w:afterAutospacing="0"/>
                    <w:ind w:left="0" w:leftChars="0" w:right="0" w:firstLine="0" w:firstLineChars="0"/>
                    <w:jc w:val="center"/>
                    <w:rPr>
                      <w:rFonts w:hint="default" w:cs="Times New Roman"/>
                      <w:b w:val="0"/>
                      <w:bCs/>
                      <w:color w:val="auto"/>
                      <w:kern w:val="0"/>
                      <w:sz w:val="21"/>
                      <w:szCs w:val="21"/>
                      <w:highlight w:val="none"/>
                      <w:lang w:val="en-US" w:eastAsia="zh-CN" w:bidi="ar-SA"/>
                    </w:rPr>
                  </w:pPr>
                </w:p>
              </w:tc>
              <w:tc>
                <w:tcPr>
                  <w:tcW w:w="396" w:type="pct"/>
                  <w:vMerge w:val="continue"/>
                  <w:noWrap w:val="0"/>
                  <w:vAlign w:val="center"/>
                </w:tcPr>
                <w:p w14:paraId="720B0DE9">
                  <w:pPr>
                    <w:keepNext w:val="0"/>
                    <w:keepLines w:val="0"/>
                    <w:suppressLineNumbers w:val="0"/>
                    <w:topLinePunct/>
                    <w:adjustRightInd w:val="0"/>
                    <w:snapToGrid w:val="0"/>
                    <w:spacing w:before="0" w:beforeAutospacing="0" w:after="0" w:afterAutospacing="0"/>
                    <w:ind w:left="0" w:right="0"/>
                    <w:jc w:val="center"/>
                    <w:rPr>
                      <w:rFonts w:hint="default" w:ascii="Times New Roman" w:hAnsi="Times New Roman" w:eastAsia="宋体" w:cs="Times New Roman"/>
                      <w:b w:val="0"/>
                      <w:bCs/>
                      <w:color w:val="auto"/>
                      <w:kern w:val="0"/>
                      <w:sz w:val="21"/>
                      <w:szCs w:val="21"/>
                      <w:highlight w:val="none"/>
                      <w:lang w:bidi="ar-SA"/>
                    </w:rPr>
                  </w:pPr>
                </w:p>
              </w:tc>
              <w:tc>
                <w:tcPr>
                  <w:tcW w:w="705" w:type="pct"/>
                  <w:shd w:val="clear" w:color="auto" w:fill="auto"/>
                  <w:noWrap w:val="0"/>
                  <w:vAlign w:val="center"/>
                </w:tcPr>
                <w:p w14:paraId="4A74DB6E">
                  <w:pPr>
                    <w:widowControl/>
                    <w:jc w:val="center"/>
                    <w:rPr>
                      <w:rFonts w:hint="default" w:ascii="Times New Roman" w:hAnsi="Times New Roman" w:eastAsia="宋体" w:cs="Times New Roman"/>
                      <w:bCs/>
                      <w:snapToGrid w:val="0"/>
                      <w:color w:val="auto"/>
                      <w:spacing w:val="6"/>
                      <w:kern w:val="2"/>
                      <w:sz w:val="21"/>
                      <w:szCs w:val="21"/>
                      <w:lang w:val="en-US" w:eastAsia="zh-CN" w:bidi="ar"/>
                    </w:rPr>
                  </w:pPr>
                  <w:r>
                    <w:rPr>
                      <w:rFonts w:hint="default" w:ascii="Times New Roman" w:hAnsi="Times New Roman" w:eastAsia="宋体" w:cs="Times New Roman"/>
                      <w:bCs/>
                      <w:snapToGrid w:val="0"/>
                      <w:color w:val="auto"/>
                      <w:spacing w:val="6"/>
                      <w:kern w:val="2"/>
                      <w:sz w:val="21"/>
                      <w:szCs w:val="21"/>
                      <w:lang w:val="en-US" w:eastAsia="zh-CN" w:bidi="ar"/>
                    </w:rPr>
                    <w:t>空压机含油废水</w:t>
                  </w:r>
                </w:p>
              </w:tc>
              <w:tc>
                <w:tcPr>
                  <w:tcW w:w="526" w:type="pct"/>
                  <w:shd w:val="clear" w:color="auto" w:fill="auto"/>
                  <w:noWrap w:val="0"/>
                  <w:vAlign w:val="center"/>
                </w:tcPr>
                <w:p w14:paraId="556F5885">
                  <w:pPr>
                    <w:adjustRightInd w:val="0"/>
                    <w:snapToGrid w:val="0"/>
                    <w:jc w:val="center"/>
                    <w:rPr>
                      <w:rFonts w:hint="default" w:ascii="Times New Roman" w:hAnsi="Times New Roman" w:eastAsia="宋体" w:cs="Times New Roman"/>
                      <w:color w:val="auto"/>
                      <w:kern w:val="2"/>
                      <w:sz w:val="21"/>
                      <w:szCs w:val="21"/>
                      <w:highlight w:val="none"/>
                      <w:lang w:val="en-US" w:eastAsia="zh-CN" w:bidi="ar"/>
                    </w:rPr>
                  </w:pPr>
                  <w:r>
                    <w:rPr>
                      <w:rFonts w:hint="eastAsia"/>
                      <w:color w:val="auto"/>
                      <w:sz w:val="21"/>
                      <w:szCs w:val="21"/>
                      <w:highlight w:val="none"/>
                      <w:lang w:val="en-US" w:eastAsia="zh-CN" w:bidi="ar"/>
                    </w:rPr>
                    <w:t>HW09</w:t>
                  </w:r>
                </w:p>
              </w:tc>
              <w:tc>
                <w:tcPr>
                  <w:tcW w:w="746" w:type="pct"/>
                  <w:shd w:val="clear" w:color="auto" w:fill="auto"/>
                  <w:noWrap w:val="0"/>
                  <w:vAlign w:val="center"/>
                </w:tcPr>
                <w:p w14:paraId="5C9DF2A4">
                  <w:pPr>
                    <w:adjustRightInd w:val="0"/>
                    <w:snapToGrid w:val="0"/>
                    <w:jc w:val="center"/>
                    <w:rPr>
                      <w:rFonts w:hint="default" w:ascii="Times New Roman" w:hAnsi="Times New Roman" w:eastAsia="宋体" w:cs="Times New Roman"/>
                      <w:color w:val="auto"/>
                      <w:kern w:val="2"/>
                      <w:sz w:val="21"/>
                      <w:szCs w:val="21"/>
                      <w:highlight w:val="none"/>
                      <w:lang w:val="en-US" w:eastAsia="zh-CN" w:bidi="ar"/>
                    </w:rPr>
                  </w:pPr>
                  <w:r>
                    <w:rPr>
                      <w:rFonts w:hint="default"/>
                      <w:color w:val="auto"/>
                      <w:sz w:val="21"/>
                      <w:szCs w:val="21"/>
                      <w:highlight w:val="none"/>
                      <w:lang w:bidi="ar"/>
                    </w:rPr>
                    <w:t>900-</w:t>
                  </w:r>
                  <w:r>
                    <w:rPr>
                      <w:rFonts w:hint="eastAsia"/>
                      <w:color w:val="auto"/>
                      <w:sz w:val="21"/>
                      <w:szCs w:val="21"/>
                      <w:highlight w:val="none"/>
                      <w:lang w:val="en-US" w:eastAsia="zh-CN" w:bidi="ar"/>
                    </w:rPr>
                    <w:t>007-09</w:t>
                  </w:r>
                </w:p>
              </w:tc>
              <w:tc>
                <w:tcPr>
                  <w:tcW w:w="264" w:type="pct"/>
                  <w:vMerge w:val="continue"/>
                  <w:noWrap w:val="0"/>
                  <w:vAlign w:val="center"/>
                </w:tcPr>
                <w:p w14:paraId="364BAF2A">
                  <w:pPr>
                    <w:keepNext w:val="0"/>
                    <w:keepLines w:val="0"/>
                    <w:suppressLineNumbers w:val="0"/>
                    <w:topLinePunct/>
                    <w:adjustRightInd w:val="0"/>
                    <w:snapToGrid w:val="0"/>
                    <w:spacing w:before="0" w:beforeAutospacing="0" w:after="0" w:afterAutospacing="0"/>
                    <w:ind w:left="0" w:right="0"/>
                    <w:jc w:val="center"/>
                    <w:rPr>
                      <w:rFonts w:hint="default" w:ascii="Times New Roman" w:hAnsi="Times New Roman" w:eastAsia="宋体" w:cs="Times New Roman"/>
                      <w:b w:val="0"/>
                      <w:bCs/>
                      <w:color w:val="auto"/>
                      <w:kern w:val="0"/>
                      <w:sz w:val="21"/>
                      <w:szCs w:val="21"/>
                      <w:highlight w:val="none"/>
                      <w:lang w:bidi="ar-SA"/>
                    </w:rPr>
                  </w:pPr>
                </w:p>
              </w:tc>
              <w:tc>
                <w:tcPr>
                  <w:tcW w:w="435" w:type="pct"/>
                  <w:vMerge w:val="continue"/>
                  <w:noWrap w:val="0"/>
                  <w:vAlign w:val="center"/>
                </w:tcPr>
                <w:p w14:paraId="062AE4EB">
                  <w:pPr>
                    <w:keepNext w:val="0"/>
                    <w:keepLines w:val="0"/>
                    <w:suppressLineNumbers w:val="0"/>
                    <w:topLinePunct/>
                    <w:adjustRightInd w:val="0"/>
                    <w:snapToGrid w:val="0"/>
                    <w:spacing w:before="0" w:beforeAutospacing="0" w:after="0" w:afterAutospacing="0"/>
                    <w:ind w:left="0" w:right="0"/>
                    <w:jc w:val="center"/>
                    <w:rPr>
                      <w:rFonts w:hint="default" w:ascii="Times New Roman" w:hAnsi="Times New Roman" w:eastAsia="宋体" w:cs="Times New Roman"/>
                      <w:b w:val="0"/>
                      <w:bCs/>
                      <w:color w:val="auto"/>
                      <w:kern w:val="0"/>
                      <w:sz w:val="21"/>
                      <w:szCs w:val="21"/>
                      <w:highlight w:val="none"/>
                      <w:lang w:bidi="ar-SA"/>
                    </w:rPr>
                  </w:pPr>
                </w:p>
              </w:tc>
              <w:tc>
                <w:tcPr>
                  <w:tcW w:w="667" w:type="pct"/>
                  <w:noWrap w:val="0"/>
                  <w:vAlign w:val="center"/>
                </w:tcPr>
                <w:p w14:paraId="34CAF726">
                  <w:pPr>
                    <w:keepNext w:val="0"/>
                    <w:keepLines w:val="0"/>
                    <w:suppressLineNumbers w:val="0"/>
                    <w:topLinePunct/>
                    <w:adjustRightInd w:val="0"/>
                    <w:snapToGrid w:val="0"/>
                    <w:spacing w:before="0" w:beforeAutospacing="0" w:after="0" w:afterAutospacing="0"/>
                    <w:ind w:left="0" w:right="0"/>
                    <w:jc w:val="center"/>
                    <w:rPr>
                      <w:rFonts w:hint="eastAsia" w:cs="Times New Roman"/>
                      <w:b w:val="0"/>
                      <w:bCs/>
                      <w:color w:val="auto"/>
                      <w:kern w:val="0"/>
                      <w:sz w:val="21"/>
                      <w:szCs w:val="21"/>
                      <w:highlight w:val="none"/>
                      <w:lang w:val="en-US" w:eastAsia="zh-CN" w:bidi="ar-SA"/>
                    </w:rPr>
                  </w:pPr>
                  <w:r>
                    <w:rPr>
                      <w:rFonts w:hint="eastAsia" w:cs="Times New Roman"/>
                      <w:b w:val="0"/>
                      <w:bCs/>
                      <w:color w:val="auto"/>
                      <w:kern w:val="0"/>
                      <w:sz w:val="21"/>
                      <w:szCs w:val="21"/>
                      <w:highlight w:val="none"/>
                      <w:lang w:val="en-US" w:eastAsia="zh-CN" w:bidi="ar-SA"/>
                    </w:rPr>
                    <w:t>桶装</w:t>
                  </w:r>
                  <w:r>
                    <w:rPr>
                      <w:rFonts w:hint="default" w:ascii="Times New Roman" w:hAnsi="Times New Roman" w:eastAsia="宋体" w:cs="Times New Roman"/>
                      <w:b w:val="0"/>
                      <w:bCs/>
                      <w:color w:val="auto"/>
                      <w:kern w:val="0"/>
                      <w:sz w:val="21"/>
                      <w:szCs w:val="21"/>
                      <w:highlight w:val="none"/>
                      <w:lang w:bidi="ar-SA"/>
                    </w:rPr>
                    <w:t>密闭</w:t>
                  </w:r>
                </w:p>
              </w:tc>
              <w:tc>
                <w:tcPr>
                  <w:tcW w:w="421" w:type="pct"/>
                  <w:vMerge w:val="continue"/>
                  <w:noWrap w:val="0"/>
                  <w:vAlign w:val="center"/>
                </w:tcPr>
                <w:p w14:paraId="3EA05202">
                  <w:pPr>
                    <w:keepNext w:val="0"/>
                    <w:keepLines w:val="0"/>
                    <w:suppressLineNumbers w:val="0"/>
                    <w:topLinePunct/>
                    <w:adjustRightInd w:val="0"/>
                    <w:snapToGrid w:val="0"/>
                    <w:spacing w:before="0" w:beforeAutospacing="0" w:after="0" w:afterAutospacing="0"/>
                    <w:ind w:left="0" w:right="0"/>
                    <w:jc w:val="center"/>
                    <w:rPr>
                      <w:rFonts w:hint="default" w:ascii="Times New Roman" w:hAnsi="Times New Roman" w:eastAsia="宋体" w:cs="Times New Roman"/>
                      <w:b w:val="0"/>
                      <w:bCs/>
                      <w:color w:val="auto"/>
                      <w:kern w:val="0"/>
                      <w:sz w:val="21"/>
                      <w:szCs w:val="21"/>
                      <w:highlight w:val="none"/>
                      <w:lang w:bidi="ar-SA"/>
                    </w:rPr>
                  </w:pPr>
                </w:p>
              </w:tc>
              <w:tc>
                <w:tcPr>
                  <w:tcW w:w="548" w:type="pct"/>
                  <w:noWrap w:val="0"/>
                  <w:vAlign w:val="center"/>
                </w:tcPr>
                <w:p w14:paraId="799C005B">
                  <w:pPr>
                    <w:keepNext w:val="0"/>
                    <w:keepLines w:val="0"/>
                    <w:suppressLineNumbers w:val="0"/>
                    <w:topLinePunct/>
                    <w:adjustRightInd w:val="0"/>
                    <w:snapToGrid w:val="0"/>
                    <w:spacing w:before="0" w:beforeAutospacing="0" w:after="0" w:afterAutospacing="0"/>
                    <w:ind w:left="0" w:right="0"/>
                    <w:jc w:val="center"/>
                    <w:rPr>
                      <w:rFonts w:hint="eastAsia" w:cs="Times New Roman"/>
                      <w:b w:val="0"/>
                      <w:bCs/>
                      <w:color w:val="auto"/>
                      <w:kern w:val="0"/>
                      <w:sz w:val="21"/>
                      <w:szCs w:val="21"/>
                      <w:highlight w:val="none"/>
                      <w:lang w:val="en-US" w:eastAsia="zh-CN" w:bidi="ar-SA"/>
                    </w:rPr>
                  </w:pPr>
                  <w:r>
                    <w:rPr>
                      <w:rFonts w:hint="eastAsia" w:cs="Times New Roman"/>
                      <w:b w:val="0"/>
                      <w:bCs/>
                      <w:color w:val="auto"/>
                      <w:kern w:val="0"/>
                      <w:sz w:val="21"/>
                      <w:szCs w:val="21"/>
                      <w:highlight w:val="none"/>
                      <w:lang w:val="en-US" w:eastAsia="zh-CN" w:bidi="ar-SA"/>
                    </w:rPr>
                    <w:t>3个月</w:t>
                  </w:r>
                </w:p>
              </w:tc>
            </w:tr>
            <w:tr w14:paraId="0BAE624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86" w:type="pct"/>
                  <w:noWrap w:val="0"/>
                  <w:vAlign w:val="center"/>
                </w:tcPr>
                <w:p w14:paraId="49D160FA">
                  <w:pPr>
                    <w:keepNext w:val="0"/>
                    <w:keepLines w:val="0"/>
                    <w:numPr>
                      <w:ilvl w:val="0"/>
                      <w:numId w:val="16"/>
                    </w:numPr>
                    <w:suppressLineNumbers w:val="0"/>
                    <w:topLinePunct/>
                    <w:adjustRightInd w:val="0"/>
                    <w:snapToGrid w:val="0"/>
                    <w:spacing w:before="0" w:beforeAutospacing="0" w:after="0" w:afterAutospacing="0"/>
                    <w:ind w:left="0" w:leftChars="0" w:right="0" w:firstLine="0" w:firstLineChars="0"/>
                    <w:jc w:val="center"/>
                    <w:rPr>
                      <w:rFonts w:hint="default" w:cs="Times New Roman"/>
                      <w:b w:val="0"/>
                      <w:bCs/>
                      <w:color w:val="auto"/>
                      <w:kern w:val="0"/>
                      <w:sz w:val="21"/>
                      <w:szCs w:val="21"/>
                      <w:highlight w:val="none"/>
                      <w:lang w:val="en-US" w:eastAsia="zh-CN" w:bidi="ar-SA"/>
                    </w:rPr>
                  </w:pPr>
                </w:p>
              </w:tc>
              <w:tc>
                <w:tcPr>
                  <w:tcW w:w="396" w:type="pct"/>
                  <w:vMerge w:val="continue"/>
                  <w:noWrap w:val="0"/>
                  <w:vAlign w:val="center"/>
                </w:tcPr>
                <w:p w14:paraId="74564AB5">
                  <w:pPr>
                    <w:keepNext w:val="0"/>
                    <w:keepLines w:val="0"/>
                    <w:suppressLineNumbers w:val="0"/>
                    <w:topLinePunct/>
                    <w:adjustRightInd w:val="0"/>
                    <w:snapToGrid w:val="0"/>
                    <w:spacing w:before="0" w:beforeAutospacing="0" w:after="0" w:afterAutospacing="0"/>
                    <w:ind w:left="0" w:right="0"/>
                    <w:jc w:val="center"/>
                    <w:rPr>
                      <w:rFonts w:hint="default" w:ascii="Times New Roman" w:hAnsi="Times New Roman" w:eastAsia="宋体" w:cs="Times New Roman"/>
                      <w:b w:val="0"/>
                      <w:bCs/>
                      <w:color w:val="auto"/>
                      <w:kern w:val="0"/>
                      <w:sz w:val="21"/>
                      <w:szCs w:val="21"/>
                      <w:highlight w:val="none"/>
                      <w:lang w:bidi="ar-SA"/>
                    </w:rPr>
                  </w:pPr>
                </w:p>
              </w:tc>
              <w:tc>
                <w:tcPr>
                  <w:tcW w:w="705" w:type="pct"/>
                  <w:shd w:val="clear" w:color="auto" w:fill="auto"/>
                  <w:noWrap w:val="0"/>
                  <w:vAlign w:val="center"/>
                </w:tcPr>
                <w:p w14:paraId="06EC6909">
                  <w:pPr>
                    <w:widowControl/>
                    <w:jc w:val="center"/>
                    <w:rPr>
                      <w:rFonts w:hint="default" w:ascii="Times New Roman" w:hAnsi="Times New Roman" w:eastAsia="宋体" w:cs="Times New Roman"/>
                      <w:bCs/>
                      <w:snapToGrid w:val="0"/>
                      <w:color w:val="auto"/>
                      <w:spacing w:val="6"/>
                      <w:kern w:val="2"/>
                      <w:sz w:val="21"/>
                      <w:szCs w:val="21"/>
                      <w:lang w:val="en-US" w:eastAsia="zh-CN" w:bidi="ar"/>
                    </w:rPr>
                  </w:pPr>
                  <w:r>
                    <w:rPr>
                      <w:rFonts w:hint="default" w:ascii="Times New Roman" w:hAnsi="Times New Roman" w:eastAsia="宋体" w:cs="Times New Roman"/>
                      <w:bCs/>
                      <w:snapToGrid w:val="0"/>
                      <w:color w:val="auto"/>
                      <w:spacing w:val="6"/>
                      <w:sz w:val="21"/>
                      <w:szCs w:val="21"/>
                    </w:rPr>
                    <w:t>抛光废料</w:t>
                  </w:r>
                </w:p>
              </w:tc>
              <w:tc>
                <w:tcPr>
                  <w:tcW w:w="526" w:type="pct"/>
                  <w:shd w:val="clear" w:color="auto" w:fill="auto"/>
                  <w:noWrap w:val="0"/>
                  <w:vAlign w:val="center"/>
                </w:tcPr>
                <w:p w14:paraId="28515A81">
                  <w:pPr>
                    <w:pStyle w:val="2"/>
                    <w:spacing w:before="0" w:after="0" w:line="240" w:lineRule="auto"/>
                    <w:jc w:val="center"/>
                    <w:rPr>
                      <w:rFonts w:hint="eastAsia" w:ascii="Times New Roman" w:hAnsi="Times New Roman" w:eastAsia="宋体" w:cs="Times New Roman"/>
                      <w:b w:val="0"/>
                      <w:bCs w:val="0"/>
                      <w:color w:val="auto"/>
                      <w:kern w:val="2"/>
                      <w:sz w:val="21"/>
                      <w:szCs w:val="21"/>
                      <w:lang w:val="en-US" w:eastAsia="zh-CN" w:bidi="ar"/>
                    </w:rPr>
                  </w:pPr>
                  <w:r>
                    <w:rPr>
                      <w:rFonts w:hint="default" w:ascii="Times New Roman" w:hAnsi="Times New Roman" w:eastAsia="宋体" w:cs="Times New Roman"/>
                      <w:b w:val="0"/>
                      <w:bCs w:val="0"/>
                      <w:color w:val="auto"/>
                      <w:kern w:val="2"/>
                      <w:sz w:val="21"/>
                      <w:szCs w:val="21"/>
                      <w:lang w:val="en-US" w:eastAsia="zh-CN" w:bidi="ar"/>
                    </w:rPr>
                    <w:t>HW08</w:t>
                  </w:r>
                </w:p>
              </w:tc>
              <w:tc>
                <w:tcPr>
                  <w:tcW w:w="746" w:type="pct"/>
                  <w:shd w:val="clear" w:color="auto" w:fill="auto"/>
                  <w:noWrap w:val="0"/>
                  <w:vAlign w:val="center"/>
                </w:tcPr>
                <w:p w14:paraId="51C77B91">
                  <w:pPr>
                    <w:pStyle w:val="2"/>
                    <w:spacing w:before="0" w:after="0" w:line="240" w:lineRule="auto"/>
                    <w:jc w:val="center"/>
                    <w:rPr>
                      <w:rFonts w:hint="default" w:ascii="Times New Roman" w:hAnsi="Times New Roman" w:eastAsia="宋体" w:cs="Times New Roman"/>
                      <w:b w:val="0"/>
                      <w:bCs w:val="0"/>
                      <w:color w:val="auto"/>
                      <w:kern w:val="2"/>
                      <w:sz w:val="21"/>
                      <w:szCs w:val="21"/>
                      <w:lang w:val="en-US" w:eastAsia="zh-CN" w:bidi="ar"/>
                    </w:rPr>
                  </w:pPr>
                  <w:r>
                    <w:rPr>
                      <w:rFonts w:hint="default" w:ascii="Times New Roman" w:hAnsi="Times New Roman" w:eastAsia="宋体" w:cs="Times New Roman"/>
                      <w:b w:val="0"/>
                      <w:bCs w:val="0"/>
                      <w:color w:val="auto"/>
                      <w:kern w:val="2"/>
                      <w:sz w:val="21"/>
                      <w:szCs w:val="21"/>
                      <w:lang w:val="en-US" w:eastAsia="zh-CN" w:bidi="ar"/>
                    </w:rPr>
                    <w:t>900-249-08</w:t>
                  </w:r>
                </w:p>
              </w:tc>
              <w:tc>
                <w:tcPr>
                  <w:tcW w:w="264" w:type="pct"/>
                  <w:vMerge w:val="continue"/>
                  <w:noWrap w:val="0"/>
                  <w:vAlign w:val="center"/>
                </w:tcPr>
                <w:p w14:paraId="73049479">
                  <w:pPr>
                    <w:keepNext w:val="0"/>
                    <w:keepLines w:val="0"/>
                    <w:suppressLineNumbers w:val="0"/>
                    <w:topLinePunct/>
                    <w:adjustRightInd w:val="0"/>
                    <w:snapToGrid w:val="0"/>
                    <w:spacing w:before="0" w:beforeAutospacing="0" w:after="0" w:afterAutospacing="0"/>
                    <w:ind w:left="0" w:right="0"/>
                    <w:jc w:val="center"/>
                    <w:rPr>
                      <w:rFonts w:hint="default" w:ascii="Times New Roman" w:hAnsi="Times New Roman" w:eastAsia="宋体" w:cs="Times New Roman"/>
                      <w:b w:val="0"/>
                      <w:bCs/>
                      <w:color w:val="auto"/>
                      <w:kern w:val="0"/>
                      <w:sz w:val="21"/>
                      <w:szCs w:val="21"/>
                      <w:highlight w:val="none"/>
                      <w:lang w:bidi="ar-SA"/>
                    </w:rPr>
                  </w:pPr>
                </w:p>
              </w:tc>
              <w:tc>
                <w:tcPr>
                  <w:tcW w:w="435" w:type="pct"/>
                  <w:vMerge w:val="continue"/>
                  <w:noWrap w:val="0"/>
                  <w:vAlign w:val="center"/>
                </w:tcPr>
                <w:p w14:paraId="08B36C74">
                  <w:pPr>
                    <w:keepNext w:val="0"/>
                    <w:keepLines w:val="0"/>
                    <w:suppressLineNumbers w:val="0"/>
                    <w:topLinePunct/>
                    <w:adjustRightInd w:val="0"/>
                    <w:snapToGrid w:val="0"/>
                    <w:spacing w:before="0" w:beforeAutospacing="0" w:after="0" w:afterAutospacing="0"/>
                    <w:ind w:left="0" w:right="0"/>
                    <w:jc w:val="center"/>
                    <w:rPr>
                      <w:rFonts w:hint="default" w:ascii="Times New Roman" w:hAnsi="Times New Roman" w:eastAsia="宋体" w:cs="Times New Roman"/>
                      <w:b w:val="0"/>
                      <w:bCs/>
                      <w:color w:val="auto"/>
                      <w:kern w:val="0"/>
                      <w:sz w:val="21"/>
                      <w:szCs w:val="21"/>
                      <w:highlight w:val="none"/>
                      <w:lang w:bidi="ar-SA"/>
                    </w:rPr>
                  </w:pPr>
                </w:p>
              </w:tc>
              <w:tc>
                <w:tcPr>
                  <w:tcW w:w="667" w:type="pct"/>
                  <w:noWrap w:val="0"/>
                  <w:vAlign w:val="center"/>
                </w:tcPr>
                <w:p w14:paraId="46B3890E">
                  <w:pPr>
                    <w:keepNext w:val="0"/>
                    <w:keepLines w:val="0"/>
                    <w:suppressLineNumbers w:val="0"/>
                    <w:topLinePunct/>
                    <w:adjustRightInd w:val="0"/>
                    <w:snapToGrid w:val="0"/>
                    <w:spacing w:before="0" w:beforeAutospacing="0" w:after="0" w:afterAutospacing="0"/>
                    <w:ind w:left="0" w:right="0"/>
                    <w:jc w:val="center"/>
                    <w:rPr>
                      <w:rFonts w:hint="eastAsia" w:cs="Times New Roman"/>
                      <w:b w:val="0"/>
                      <w:bCs/>
                      <w:color w:val="auto"/>
                      <w:kern w:val="0"/>
                      <w:sz w:val="21"/>
                      <w:szCs w:val="21"/>
                      <w:highlight w:val="none"/>
                      <w:lang w:val="en-US" w:eastAsia="zh-CN" w:bidi="ar-SA"/>
                    </w:rPr>
                  </w:pPr>
                  <w:r>
                    <w:rPr>
                      <w:rFonts w:hint="eastAsia" w:cs="Times New Roman"/>
                      <w:b w:val="0"/>
                      <w:bCs/>
                      <w:color w:val="auto"/>
                      <w:kern w:val="0"/>
                      <w:sz w:val="21"/>
                      <w:szCs w:val="21"/>
                      <w:highlight w:val="none"/>
                      <w:lang w:val="en-US" w:eastAsia="zh-CN" w:bidi="ar-SA"/>
                    </w:rPr>
                    <w:t>袋装密闭</w:t>
                  </w:r>
                </w:p>
              </w:tc>
              <w:tc>
                <w:tcPr>
                  <w:tcW w:w="421" w:type="pct"/>
                  <w:vMerge w:val="continue"/>
                  <w:noWrap w:val="0"/>
                  <w:vAlign w:val="center"/>
                </w:tcPr>
                <w:p w14:paraId="0D55D018">
                  <w:pPr>
                    <w:keepNext w:val="0"/>
                    <w:keepLines w:val="0"/>
                    <w:suppressLineNumbers w:val="0"/>
                    <w:topLinePunct/>
                    <w:adjustRightInd w:val="0"/>
                    <w:snapToGrid w:val="0"/>
                    <w:spacing w:before="0" w:beforeAutospacing="0" w:after="0" w:afterAutospacing="0"/>
                    <w:ind w:left="0" w:right="0"/>
                    <w:jc w:val="center"/>
                    <w:rPr>
                      <w:rFonts w:hint="default" w:ascii="Times New Roman" w:hAnsi="Times New Roman" w:eastAsia="宋体" w:cs="Times New Roman"/>
                      <w:b w:val="0"/>
                      <w:bCs/>
                      <w:color w:val="auto"/>
                      <w:kern w:val="0"/>
                      <w:sz w:val="21"/>
                      <w:szCs w:val="21"/>
                      <w:highlight w:val="none"/>
                      <w:lang w:bidi="ar-SA"/>
                    </w:rPr>
                  </w:pPr>
                </w:p>
              </w:tc>
              <w:tc>
                <w:tcPr>
                  <w:tcW w:w="548" w:type="pct"/>
                  <w:noWrap w:val="0"/>
                  <w:vAlign w:val="center"/>
                </w:tcPr>
                <w:p w14:paraId="1906B64F">
                  <w:pPr>
                    <w:keepNext w:val="0"/>
                    <w:keepLines w:val="0"/>
                    <w:suppressLineNumbers w:val="0"/>
                    <w:topLinePunct/>
                    <w:adjustRightInd w:val="0"/>
                    <w:snapToGrid w:val="0"/>
                    <w:spacing w:before="0" w:beforeAutospacing="0" w:after="0" w:afterAutospacing="0"/>
                    <w:ind w:left="0" w:right="0"/>
                    <w:jc w:val="center"/>
                    <w:rPr>
                      <w:rFonts w:hint="eastAsia" w:cs="Times New Roman"/>
                      <w:b w:val="0"/>
                      <w:bCs/>
                      <w:color w:val="auto"/>
                      <w:kern w:val="0"/>
                      <w:sz w:val="21"/>
                      <w:szCs w:val="21"/>
                      <w:highlight w:val="none"/>
                      <w:lang w:val="en-US" w:eastAsia="zh-CN" w:bidi="ar-SA"/>
                    </w:rPr>
                  </w:pPr>
                  <w:r>
                    <w:rPr>
                      <w:rFonts w:hint="eastAsia" w:cs="Times New Roman"/>
                      <w:b w:val="0"/>
                      <w:bCs/>
                      <w:color w:val="auto"/>
                      <w:kern w:val="0"/>
                      <w:sz w:val="21"/>
                      <w:szCs w:val="21"/>
                      <w:highlight w:val="none"/>
                      <w:lang w:val="en-US" w:eastAsia="zh-CN" w:bidi="ar-SA"/>
                    </w:rPr>
                    <w:t>2个月</w:t>
                  </w:r>
                </w:p>
              </w:tc>
            </w:tr>
            <w:tr w14:paraId="7D5C404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86" w:type="pct"/>
                  <w:noWrap w:val="0"/>
                  <w:vAlign w:val="center"/>
                </w:tcPr>
                <w:p w14:paraId="1222D365">
                  <w:pPr>
                    <w:keepNext w:val="0"/>
                    <w:keepLines w:val="0"/>
                    <w:numPr>
                      <w:ilvl w:val="0"/>
                      <w:numId w:val="16"/>
                    </w:numPr>
                    <w:suppressLineNumbers w:val="0"/>
                    <w:topLinePunct/>
                    <w:adjustRightInd w:val="0"/>
                    <w:snapToGrid w:val="0"/>
                    <w:spacing w:before="0" w:beforeAutospacing="0" w:after="0" w:afterAutospacing="0"/>
                    <w:ind w:left="0" w:leftChars="0" w:right="0" w:firstLine="0" w:firstLineChars="0"/>
                    <w:jc w:val="center"/>
                    <w:rPr>
                      <w:rFonts w:hint="default" w:cs="Times New Roman"/>
                      <w:b w:val="0"/>
                      <w:bCs/>
                      <w:color w:val="auto"/>
                      <w:kern w:val="0"/>
                      <w:sz w:val="21"/>
                      <w:szCs w:val="21"/>
                      <w:highlight w:val="none"/>
                      <w:lang w:val="en-US" w:eastAsia="zh-CN" w:bidi="ar-SA"/>
                    </w:rPr>
                  </w:pPr>
                </w:p>
              </w:tc>
              <w:tc>
                <w:tcPr>
                  <w:tcW w:w="396" w:type="pct"/>
                  <w:vMerge w:val="continue"/>
                  <w:noWrap w:val="0"/>
                  <w:vAlign w:val="center"/>
                </w:tcPr>
                <w:p w14:paraId="044AE30A">
                  <w:pPr>
                    <w:keepNext w:val="0"/>
                    <w:keepLines w:val="0"/>
                    <w:suppressLineNumbers w:val="0"/>
                    <w:topLinePunct/>
                    <w:adjustRightInd w:val="0"/>
                    <w:snapToGrid w:val="0"/>
                    <w:spacing w:before="0" w:beforeAutospacing="0" w:after="0" w:afterAutospacing="0"/>
                    <w:ind w:left="0" w:right="0"/>
                    <w:jc w:val="center"/>
                    <w:rPr>
                      <w:rFonts w:hint="default" w:ascii="Times New Roman" w:hAnsi="Times New Roman" w:eastAsia="宋体" w:cs="Times New Roman"/>
                      <w:b w:val="0"/>
                      <w:bCs/>
                      <w:color w:val="auto"/>
                      <w:kern w:val="0"/>
                      <w:sz w:val="21"/>
                      <w:szCs w:val="21"/>
                      <w:highlight w:val="none"/>
                      <w:lang w:bidi="ar-SA"/>
                    </w:rPr>
                  </w:pPr>
                </w:p>
              </w:tc>
              <w:tc>
                <w:tcPr>
                  <w:tcW w:w="705" w:type="pct"/>
                  <w:shd w:val="clear" w:color="auto" w:fill="auto"/>
                  <w:noWrap w:val="0"/>
                  <w:vAlign w:val="center"/>
                </w:tcPr>
                <w:p w14:paraId="715A7C0D">
                  <w:pPr>
                    <w:widowControl/>
                    <w:jc w:val="center"/>
                    <w:rPr>
                      <w:rFonts w:hint="default" w:ascii="Times New Roman" w:hAnsi="Times New Roman" w:eastAsia="宋体" w:cs="Times New Roman"/>
                      <w:bCs/>
                      <w:snapToGrid w:val="0"/>
                      <w:color w:val="auto"/>
                      <w:spacing w:val="6"/>
                      <w:kern w:val="2"/>
                      <w:sz w:val="21"/>
                      <w:szCs w:val="21"/>
                      <w:lang w:val="en-US" w:eastAsia="zh-CN" w:bidi="ar"/>
                    </w:rPr>
                  </w:pPr>
                  <w:r>
                    <w:rPr>
                      <w:rFonts w:hint="eastAsia"/>
                      <w:bCs/>
                      <w:snapToGrid w:val="0"/>
                      <w:color w:val="auto"/>
                      <w:spacing w:val="6"/>
                    </w:rPr>
                    <w:t>废电池</w:t>
                  </w:r>
                </w:p>
              </w:tc>
              <w:tc>
                <w:tcPr>
                  <w:tcW w:w="526" w:type="pct"/>
                  <w:shd w:val="clear" w:color="auto" w:fill="auto"/>
                  <w:noWrap w:val="0"/>
                  <w:vAlign w:val="center"/>
                </w:tcPr>
                <w:p w14:paraId="1616464B">
                  <w:pPr>
                    <w:pStyle w:val="22"/>
                    <w:widowControl w:val="0"/>
                    <w:snapToGrid w:val="0"/>
                    <w:spacing w:before="0" w:beforeAutospacing="0" w:after="0" w:afterAutospacing="0"/>
                    <w:jc w:val="center"/>
                    <w:rPr>
                      <w:rFonts w:hint="eastAsia" w:ascii="Times New Roman" w:hAnsi="Times New Roman" w:eastAsia="宋体" w:cs="Times New Roman"/>
                      <w:bCs/>
                      <w:color w:val="auto"/>
                      <w:kern w:val="0"/>
                      <w:sz w:val="21"/>
                      <w:szCs w:val="21"/>
                      <w:lang w:val="en-US" w:eastAsia="zh-CN" w:bidi="ar"/>
                    </w:rPr>
                  </w:pPr>
                  <w:r>
                    <w:rPr>
                      <w:rFonts w:hint="eastAsia" w:ascii="Times New Roman" w:hAnsi="Times New Roman"/>
                      <w:bCs/>
                      <w:color w:val="auto"/>
                      <w:sz w:val="21"/>
                      <w:szCs w:val="21"/>
                    </w:rPr>
                    <w:t>HW31</w:t>
                  </w:r>
                </w:p>
              </w:tc>
              <w:tc>
                <w:tcPr>
                  <w:tcW w:w="746" w:type="pct"/>
                  <w:shd w:val="clear" w:color="auto" w:fill="auto"/>
                  <w:noWrap w:val="0"/>
                  <w:vAlign w:val="center"/>
                </w:tcPr>
                <w:p w14:paraId="04C1FF51">
                  <w:pPr>
                    <w:pStyle w:val="22"/>
                    <w:widowControl w:val="0"/>
                    <w:snapToGrid w:val="0"/>
                    <w:spacing w:before="0" w:beforeAutospacing="0" w:after="0" w:afterAutospacing="0"/>
                    <w:jc w:val="center"/>
                    <w:rPr>
                      <w:rFonts w:hint="default" w:ascii="Times New Roman" w:hAnsi="Times New Roman" w:eastAsia="宋体" w:cs="Times New Roman"/>
                      <w:bCs/>
                      <w:color w:val="auto"/>
                      <w:kern w:val="0"/>
                      <w:sz w:val="21"/>
                      <w:szCs w:val="21"/>
                      <w:lang w:val="en-US" w:eastAsia="zh-CN" w:bidi="ar"/>
                    </w:rPr>
                  </w:pPr>
                  <w:r>
                    <w:rPr>
                      <w:rFonts w:hint="eastAsia" w:ascii="Times New Roman" w:hAnsi="Times New Roman"/>
                      <w:bCs/>
                      <w:color w:val="auto"/>
                      <w:sz w:val="21"/>
                      <w:szCs w:val="21"/>
                    </w:rPr>
                    <w:t>900-052-31</w:t>
                  </w:r>
                </w:p>
              </w:tc>
              <w:tc>
                <w:tcPr>
                  <w:tcW w:w="264" w:type="pct"/>
                  <w:vMerge w:val="continue"/>
                  <w:noWrap w:val="0"/>
                  <w:vAlign w:val="center"/>
                </w:tcPr>
                <w:p w14:paraId="660F265D">
                  <w:pPr>
                    <w:keepNext w:val="0"/>
                    <w:keepLines w:val="0"/>
                    <w:suppressLineNumbers w:val="0"/>
                    <w:topLinePunct/>
                    <w:adjustRightInd w:val="0"/>
                    <w:snapToGrid w:val="0"/>
                    <w:spacing w:before="0" w:beforeAutospacing="0" w:after="0" w:afterAutospacing="0"/>
                    <w:ind w:left="0" w:right="0"/>
                    <w:jc w:val="center"/>
                    <w:rPr>
                      <w:rFonts w:hint="default" w:ascii="Times New Roman" w:hAnsi="Times New Roman" w:eastAsia="宋体" w:cs="Times New Roman"/>
                      <w:b w:val="0"/>
                      <w:bCs/>
                      <w:color w:val="auto"/>
                      <w:kern w:val="0"/>
                      <w:sz w:val="21"/>
                      <w:szCs w:val="21"/>
                      <w:highlight w:val="none"/>
                      <w:lang w:bidi="ar-SA"/>
                    </w:rPr>
                  </w:pPr>
                </w:p>
              </w:tc>
              <w:tc>
                <w:tcPr>
                  <w:tcW w:w="435" w:type="pct"/>
                  <w:vMerge w:val="continue"/>
                  <w:noWrap w:val="0"/>
                  <w:vAlign w:val="center"/>
                </w:tcPr>
                <w:p w14:paraId="6675258B">
                  <w:pPr>
                    <w:keepNext w:val="0"/>
                    <w:keepLines w:val="0"/>
                    <w:suppressLineNumbers w:val="0"/>
                    <w:topLinePunct/>
                    <w:adjustRightInd w:val="0"/>
                    <w:snapToGrid w:val="0"/>
                    <w:spacing w:before="0" w:beforeAutospacing="0" w:after="0" w:afterAutospacing="0"/>
                    <w:ind w:left="0" w:right="0"/>
                    <w:jc w:val="center"/>
                    <w:rPr>
                      <w:rFonts w:hint="default" w:ascii="Times New Roman" w:hAnsi="Times New Roman" w:eastAsia="宋体" w:cs="Times New Roman"/>
                      <w:b w:val="0"/>
                      <w:bCs/>
                      <w:color w:val="auto"/>
                      <w:kern w:val="0"/>
                      <w:sz w:val="21"/>
                      <w:szCs w:val="21"/>
                      <w:highlight w:val="none"/>
                      <w:lang w:bidi="ar-SA"/>
                    </w:rPr>
                  </w:pPr>
                </w:p>
              </w:tc>
              <w:tc>
                <w:tcPr>
                  <w:tcW w:w="667" w:type="pct"/>
                  <w:noWrap w:val="0"/>
                  <w:vAlign w:val="center"/>
                </w:tcPr>
                <w:p w14:paraId="1F9E0996">
                  <w:pPr>
                    <w:keepNext w:val="0"/>
                    <w:keepLines w:val="0"/>
                    <w:suppressLineNumbers w:val="0"/>
                    <w:topLinePunct/>
                    <w:adjustRightInd w:val="0"/>
                    <w:snapToGrid w:val="0"/>
                    <w:spacing w:before="0" w:beforeAutospacing="0" w:after="0" w:afterAutospacing="0"/>
                    <w:ind w:left="0" w:right="0"/>
                    <w:jc w:val="center"/>
                    <w:rPr>
                      <w:rFonts w:hint="eastAsia" w:cs="Times New Roman"/>
                      <w:b w:val="0"/>
                      <w:bCs/>
                      <w:color w:val="auto"/>
                      <w:kern w:val="0"/>
                      <w:sz w:val="21"/>
                      <w:szCs w:val="21"/>
                      <w:highlight w:val="none"/>
                      <w:lang w:val="en-US" w:eastAsia="zh-CN" w:bidi="ar-SA"/>
                    </w:rPr>
                  </w:pPr>
                  <w:r>
                    <w:rPr>
                      <w:rFonts w:hint="eastAsia" w:cs="Times New Roman"/>
                      <w:b w:val="0"/>
                      <w:bCs/>
                      <w:color w:val="auto"/>
                      <w:kern w:val="0"/>
                      <w:sz w:val="21"/>
                      <w:szCs w:val="21"/>
                      <w:highlight w:val="none"/>
                      <w:lang w:val="en-US" w:eastAsia="zh-CN" w:bidi="ar-SA"/>
                    </w:rPr>
                    <w:t>袋装密闭</w:t>
                  </w:r>
                </w:p>
              </w:tc>
              <w:tc>
                <w:tcPr>
                  <w:tcW w:w="421" w:type="pct"/>
                  <w:vMerge w:val="continue"/>
                  <w:noWrap w:val="0"/>
                  <w:vAlign w:val="center"/>
                </w:tcPr>
                <w:p w14:paraId="364927DD">
                  <w:pPr>
                    <w:keepNext w:val="0"/>
                    <w:keepLines w:val="0"/>
                    <w:suppressLineNumbers w:val="0"/>
                    <w:topLinePunct/>
                    <w:adjustRightInd w:val="0"/>
                    <w:snapToGrid w:val="0"/>
                    <w:spacing w:before="0" w:beforeAutospacing="0" w:after="0" w:afterAutospacing="0"/>
                    <w:ind w:left="0" w:right="0"/>
                    <w:jc w:val="center"/>
                    <w:rPr>
                      <w:rFonts w:hint="default" w:ascii="Times New Roman" w:hAnsi="Times New Roman" w:eastAsia="宋体" w:cs="Times New Roman"/>
                      <w:b w:val="0"/>
                      <w:bCs/>
                      <w:color w:val="auto"/>
                      <w:kern w:val="0"/>
                      <w:sz w:val="21"/>
                      <w:szCs w:val="21"/>
                      <w:highlight w:val="none"/>
                      <w:lang w:bidi="ar-SA"/>
                    </w:rPr>
                  </w:pPr>
                </w:p>
              </w:tc>
              <w:tc>
                <w:tcPr>
                  <w:tcW w:w="548" w:type="pct"/>
                  <w:noWrap w:val="0"/>
                  <w:vAlign w:val="center"/>
                </w:tcPr>
                <w:p w14:paraId="20D901A8">
                  <w:pPr>
                    <w:keepNext w:val="0"/>
                    <w:keepLines w:val="0"/>
                    <w:suppressLineNumbers w:val="0"/>
                    <w:topLinePunct/>
                    <w:adjustRightInd w:val="0"/>
                    <w:snapToGrid w:val="0"/>
                    <w:spacing w:before="0" w:beforeAutospacing="0" w:after="0" w:afterAutospacing="0"/>
                    <w:ind w:left="0" w:right="0"/>
                    <w:jc w:val="center"/>
                    <w:rPr>
                      <w:rFonts w:hint="eastAsia" w:cs="Times New Roman"/>
                      <w:b w:val="0"/>
                      <w:bCs/>
                      <w:color w:val="auto"/>
                      <w:kern w:val="0"/>
                      <w:sz w:val="21"/>
                      <w:szCs w:val="21"/>
                      <w:highlight w:val="none"/>
                      <w:lang w:val="en-US" w:eastAsia="zh-CN" w:bidi="ar-SA"/>
                    </w:rPr>
                  </w:pPr>
                  <w:r>
                    <w:rPr>
                      <w:rFonts w:hint="eastAsia" w:cs="Times New Roman"/>
                      <w:b w:val="0"/>
                      <w:bCs/>
                      <w:color w:val="auto"/>
                      <w:kern w:val="0"/>
                      <w:sz w:val="21"/>
                      <w:szCs w:val="21"/>
                      <w:highlight w:val="none"/>
                      <w:lang w:val="en-US" w:eastAsia="zh-CN" w:bidi="ar-SA"/>
                    </w:rPr>
                    <w:t>3个月</w:t>
                  </w:r>
                </w:p>
              </w:tc>
            </w:tr>
            <w:tr w14:paraId="43BB5D4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86" w:type="pct"/>
                  <w:noWrap w:val="0"/>
                  <w:vAlign w:val="center"/>
                </w:tcPr>
                <w:p w14:paraId="3B763B13">
                  <w:pPr>
                    <w:keepNext w:val="0"/>
                    <w:keepLines w:val="0"/>
                    <w:numPr>
                      <w:ilvl w:val="0"/>
                      <w:numId w:val="16"/>
                    </w:numPr>
                    <w:suppressLineNumbers w:val="0"/>
                    <w:topLinePunct/>
                    <w:adjustRightInd w:val="0"/>
                    <w:snapToGrid w:val="0"/>
                    <w:spacing w:before="0" w:beforeAutospacing="0" w:after="0" w:afterAutospacing="0"/>
                    <w:ind w:left="0" w:leftChars="0" w:right="0" w:firstLine="0" w:firstLineChars="0"/>
                    <w:jc w:val="center"/>
                    <w:rPr>
                      <w:rFonts w:hint="default" w:cs="Times New Roman"/>
                      <w:b w:val="0"/>
                      <w:bCs/>
                      <w:color w:val="auto"/>
                      <w:kern w:val="0"/>
                      <w:sz w:val="21"/>
                      <w:szCs w:val="21"/>
                      <w:highlight w:val="none"/>
                      <w:lang w:val="en-US" w:eastAsia="zh-CN" w:bidi="ar-SA"/>
                    </w:rPr>
                  </w:pPr>
                </w:p>
              </w:tc>
              <w:tc>
                <w:tcPr>
                  <w:tcW w:w="396" w:type="pct"/>
                  <w:vMerge w:val="continue"/>
                  <w:noWrap w:val="0"/>
                  <w:vAlign w:val="center"/>
                </w:tcPr>
                <w:p w14:paraId="1647FDF7">
                  <w:pPr>
                    <w:keepNext w:val="0"/>
                    <w:keepLines w:val="0"/>
                    <w:suppressLineNumbers w:val="0"/>
                    <w:topLinePunct/>
                    <w:adjustRightInd w:val="0"/>
                    <w:snapToGrid w:val="0"/>
                    <w:spacing w:before="0" w:beforeAutospacing="0" w:after="0" w:afterAutospacing="0"/>
                    <w:ind w:left="0" w:right="0"/>
                    <w:jc w:val="center"/>
                    <w:rPr>
                      <w:rFonts w:hint="default" w:ascii="Times New Roman" w:hAnsi="Times New Roman" w:eastAsia="宋体" w:cs="Times New Roman"/>
                      <w:b w:val="0"/>
                      <w:bCs/>
                      <w:color w:val="auto"/>
                      <w:kern w:val="0"/>
                      <w:sz w:val="21"/>
                      <w:szCs w:val="21"/>
                      <w:highlight w:val="none"/>
                      <w:lang w:bidi="ar-SA"/>
                    </w:rPr>
                  </w:pPr>
                </w:p>
              </w:tc>
              <w:tc>
                <w:tcPr>
                  <w:tcW w:w="705" w:type="pct"/>
                  <w:shd w:val="clear" w:color="auto" w:fill="auto"/>
                  <w:noWrap w:val="0"/>
                  <w:vAlign w:val="center"/>
                </w:tcPr>
                <w:p w14:paraId="685193B4">
                  <w:pPr>
                    <w:widowControl/>
                    <w:jc w:val="center"/>
                    <w:rPr>
                      <w:rFonts w:hint="default" w:ascii="Times New Roman" w:hAnsi="Times New Roman" w:eastAsia="宋体" w:cs="Times New Roman"/>
                      <w:bCs/>
                      <w:snapToGrid w:val="0"/>
                      <w:color w:val="auto"/>
                      <w:spacing w:val="6"/>
                      <w:kern w:val="2"/>
                      <w:sz w:val="21"/>
                      <w:szCs w:val="21"/>
                      <w:lang w:val="en-US" w:eastAsia="zh-CN" w:bidi="ar"/>
                    </w:rPr>
                  </w:pPr>
                  <w:r>
                    <w:rPr>
                      <w:rFonts w:hint="eastAsia" w:ascii="Times New Roman" w:hAnsi="Times New Roman" w:eastAsia="宋体" w:cs="Times New Roman"/>
                      <w:bCs/>
                      <w:snapToGrid w:val="0"/>
                      <w:color w:val="auto"/>
                      <w:spacing w:val="6"/>
                      <w:kern w:val="2"/>
                      <w:sz w:val="21"/>
                      <w:szCs w:val="21"/>
                      <w:lang w:val="en-US" w:eastAsia="zh-CN" w:bidi="ar"/>
                    </w:rPr>
                    <w:t>废油</w:t>
                  </w:r>
                </w:p>
              </w:tc>
              <w:tc>
                <w:tcPr>
                  <w:tcW w:w="526" w:type="pct"/>
                  <w:shd w:val="clear" w:color="auto" w:fill="auto"/>
                  <w:noWrap w:val="0"/>
                  <w:vAlign w:val="center"/>
                </w:tcPr>
                <w:p w14:paraId="7EED40BF">
                  <w:pPr>
                    <w:pStyle w:val="2"/>
                    <w:spacing w:before="0" w:after="0" w:line="240" w:lineRule="auto"/>
                    <w:jc w:val="center"/>
                    <w:rPr>
                      <w:rFonts w:hint="eastAsia" w:ascii="Times New Roman" w:hAnsi="Times New Roman" w:eastAsia="宋体" w:cs="Times New Roman"/>
                      <w:b w:val="0"/>
                      <w:bCs w:val="0"/>
                      <w:color w:val="auto"/>
                      <w:kern w:val="2"/>
                      <w:sz w:val="21"/>
                      <w:szCs w:val="21"/>
                      <w:lang w:val="en-US" w:eastAsia="zh-CN" w:bidi="ar"/>
                    </w:rPr>
                  </w:pPr>
                  <w:r>
                    <w:rPr>
                      <w:rFonts w:hint="eastAsia" w:ascii="Times New Roman" w:hAnsi="Times New Roman" w:eastAsia="宋体" w:cs="Times New Roman"/>
                      <w:b w:val="0"/>
                      <w:bCs w:val="0"/>
                      <w:color w:val="auto"/>
                      <w:kern w:val="2"/>
                      <w:sz w:val="21"/>
                      <w:szCs w:val="21"/>
                      <w:lang w:val="en-US" w:eastAsia="zh-CN" w:bidi="ar"/>
                    </w:rPr>
                    <w:t>HW09</w:t>
                  </w:r>
                </w:p>
              </w:tc>
              <w:tc>
                <w:tcPr>
                  <w:tcW w:w="746" w:type="pct"/>
                  <w:shd w:val="clear" w:color="auto" w:fill="auto"/>
                  <w:noWrap w:val="0"/>
                  <w:vAlign w:val="center"/>
                </w:tcPr>
                <w:p w14:paraId="00D706DF">
                  <w:pPr>
                    <w:pStyle w:val="2"/>
                    <w:spacing w:before="0" w:after="0" w:line="240" w:lineRule="auto"/>
                    <w:jc w:val="center"/>
                    <w:rPr>
                      <w:rFonts w:hint="default" w:ascii="Times New Roman" w:hAnsi="Times New Roman" w:eastAsia="宋体" w:cs="Times New Roman"/>
                      <w:b w:val="0"/>
                      <w:bCs w:val="0"/>
                      <w:color w:val="auto"/>
                      <w:kern w:val="2"/>
                      <w:sz w:val="21"/>
                      <w:szCs w:val="21"/>
                      <w:lang w:val="en-US" w:eastAsia="zh-CN" w:bidi="ar"/>
                    </w:rPr>
                  </w:pPr>
                  <w:r>
                    <w:rPr>
                      <w:rFonts w:hint="default" w:ascii="Times New Roman" w:hAnsi="Times New Roman" w:eastAsia="宋体" w:cs="Times New Roman"/>
                      <w:b w:val="0"/>
                      <w:bCs w:val="0"/>
                      <w:color w:val="auto"/>
                      <w:kern w:val="2"/>
                      <w:sz w:val="21"/>
                      <w:szCs w:val="21"/>
                      <w:lang w:val="en-US" w:eastAsia="zh-CN" w:bidi="ar"/>
                    </w:rPr>
                    <w:t>900-007-09</w:t>
                  </w:r>
                </w:p>
              </w:tc>
              <w:tc>
                <w:tcPr>
                  <w:tcW w:w="264" w:type="pct"/>
                  <w:vMerge w:val="continue"/>
                  <w:noWrap w:val="0"/>
                  <w:vAlign w:val="center"/>
                </w:tcPr>
                <w:p w14:paraId="2809308F">
                  <w:pPr>
                    <w:keepNext w:val="0"/>
                    <w:keepLines w:val="0"/>
                    <w:suppressLineNumbers w:val="0"/>
                    <w:topLinePunct/>
                    <w:adjustRightInd w:val="0"/>
                    <w:snapToGrid w:val="0"/>
                    <w:spacing w:before="0" w:beforeAutospacing="0" w:after="0" w:afterAutospacing="0"/>
                    <w:ind w:left="0" w:right="0"/>
                    <w:jc w:val="center"/>
                    <w:rPr>
                      <w:rFonts w:hint="default" w:ascii="Times New Roman" w:hAnsi="Times New Roman" w:eastAsia="宋体" w:cs="Times New Roman"/>
                      <w:b w:val="0"/>
                      <w:bCs/>
                      <w:color w:val="auto"/>
                      <w:kern w:val="0"/>
                      <w:sz w:val="21"/>
                      <w:szCs w:val="21"/>
                      <w:highlight w:val="none"/>
                      <w:lang w:bidi="ar-SA"/>
                    </w:rPr>
                  </w:pPr>
                </w:p>
              </w:tc>
              <w:tc>
                <w:tcPr>
                  <w:tcW w:w="435" w:type="pct"/>
                  <w:vMerge w:val="continue"/>
                  <w:noWrap w:val="0"/>
                  <w:vAlign w:val="center"/>
                </w:tcPr>
                <w:p w14:paraId="4995D952">
                  <w:pPr>
                    <w:keepNext w:val="0"/>
                    <w:keepLines w:val="0"/>
                    <w:suppressLineNumbers w:val="0"/>
                    <w:topLinePunct/>
                    <w:adjustRightInd w:val="0"/>
                    <w:snapToGrid w:val="0"/>
                    <w:spacing w:before="0" w:beforeAutospacing="0" w:after="0" w:afterAutospacing="0"/>
                    <w:ind w:left="0" w:right="0"/>
                    <w:jc w:val="center"/>
                    <w:rPr>
                      <w:rFonts w:hint="default" w:ascii="Times New Roman" w:hAnsi="Times New Roman" w:eastAsia="宋体" w:cs="Times New Roman"/>
                      <w:b w:val="0"/>
                      <w:bCs/>
                      <w:color w:val="auto"/>
                      <w:kern w:val="0"/>
                      <w:sz w:val="21"/>
                      <w:szCs w:val="21"/>
                      <w:highlight w:val="none"/>
                      <w:lang w:bidi="ar-SA"/>
                    </w:rPr>
                  </w:pPr>
                </w:p>
              </w:tc>
              <w:tc>
                <w:tcPr>
                  <w:tcW w:w="667" w:type="pct"/>
                  <w:noWrap w:val="0"/>
                  <w:vAlign w:val="center"/>
                </w:tcPr>
                <w:p w14:paraId="4A5444D0">
                  <w:pPr>
                    <w:keepNext w:val="0"/>
                    <w:keepLines w:val="0"/>
                    <w:suppressLineNumbers w:val="0"/>
                    <w:topLinePunct/>
                    <w:adjustRightInd w:val="0"/>
                    <w:snapToGrid w:val="0"/>
                    <w:spacing w:before="0" w:beforeAutospacing="0" w:after="0" w:afterAutospacing="0"/>
                    <w:ind w:left="0" w:right="0"/>
                    <w:jc w:val="center"/>
                    <w:rPr>
                      <w:rFonts w:hint="eastAsia" w:cs="Times New Roman"/>
                      <w:b w:val="0"/>
                      <w:bCs/>
                      <w:color w:val="auto"/>
                      <w:kern w:val="0"/>
                      <w:sz w:val="21"/>
                      <w:szCs w:val="21"/>
                      <w:highlight w:val="none"/>
                      <w:lang w:val="en-US" w:eastAsia="zh-CN" w:bidi="ar-SA"/>
                    </w:rPr>
                  </w:pPr>
                  <w:r>
                    <w:rPr>
                      <w:rFonts w:hint="eastAsia" w:cs="Times New Roman"/>
                      <w:b w:val="0"/>
                      <w:bCs/>
                      <w:color w:val="auto"/>
                      <w:kern w:val="0"/>
                      <w:sz w:val="21"/>
                      <w:szCs w:val="21"/>
                      <w:highlight w:val="none"/>
                      <w:lang w:val="en-US" w:eastAsia="zh-CN" w:bidi="ar-SA"/>
                    </w:rPr>
                    <w:t>桶装</w:t>
                  </w:r>
                  <w:r>
                    <w:rPr>
                      <w:rFonts w:hint="default" w:ascii="Times New Roman" w:hAnsi="Times New Roman" w:eastAsia="宋体" w:cs="Times New Roman"/>
                      <w:b w:val="0"/>
                      <w:bCs/>
                      <w:color w:val="auto"/>
                      <w:kern w:val="0"/>
                      <w:sz w:val="21"/>
                      <w:szCs w:val="21"/>
                      <w:highlight w:val="none"/>
                      <w:lang w:bidi="ar-SA"/>
                    </w:rPr>
                    <w:t>密闭</w:t>
                  </w:r>
                </w:p>
              </w:tc>
              <w:tc>
                <w:tcPr>
                  <w:tcW w:w="421" w:type="pct"/>
                  <w:vMerge w:val="continue"/>
                  <w:noWrap w:val="0"/>
                  <w:vAlign w:val="center"/>
                </w:tcPr>
                <w:p w14:paraId="224848E2">
                  <w:pPr>
                    <w:keepNext w:val="0"/>
                    <w:keepLines w:val="0"/>
                    <w:suppressLineNumbers w:val="0"/>
                    <w:topLinePunct/>
                    <w:adjustRightInd w:val="0"/>
                    <w:snapToGrid w:val="0"/>
                    <w:spacing w:before="0" w:beforeAutospacing="0" w:after="0" w:afterAutospacing="0"/>
                    <w:ind w:left="0" w:right="0"/>
                    <w:jc w:val="center"/>
                    <w:rPr>
                      <w:rFonts w:hint="default" w:ascii="Times New Roman" w:hAnsi="Times New Roman" w:eastAsia="宋体" w:cs="Times New Roman"/>
                      <w:b w:val="0"/>
                      <w:bCs/>
                      <w:color w:val="auto"/>
                      <w:kern w:val="0"/>
                      <w:sz w:val="21"/>
                      <w:szCs w:val="21"/>
                      <w:highlight w:val="none"/>
                      <w:lang w:bidi="ar-SA"/>
                    </w:rPr>
                  </w:pPr>
                </w:p>
              </w:tc>
              <w:tc>
                <w:tcPr>
                  <w:tcW w:w="548" w:type="pct"/>
                  <w:noWrap w:val="0"/>
                  <w:vAlign w:val="center"/>
                </w:tcPr>
                <w:p w14:paraId="090BCFAC">
                  <w:pPr>
                    <w:keepNext w:val="0"/>
                    <w:keepLines w:val="0"/>
                    <w:suppressLineNumbers w:val="0"/>
                    <w:topLinePunct/>
                    <w:adjustRightInd w:val="0"/>
                    <w:snapToGrid w:val="0"/>
                    <w:spacing w:before="0" w:beforeAutospacing="0" w:after="0" w:afterAutospacing="0"/>
                    <w:ind w:left="0" w:right="0"/>
                    <w:jc w:val="center"/>
                    <w:rPr>
                      <w:rFonts w:hint="eastAsia" w:cs="Times New Roman"/>
                      <w:b w:val="0"/>
                      <w:bCs/>
                      <w:color w:val="auto"/>
                      <w:kern w:val="0"/>
                      <w:sz w:val="21"/>
                      <w:szCs w:val="21"/>
                      <w:highlight w:val="none"/>
                      <w:lang w:val="en-US" w:eastAsia="zh-CN" w:bidi="ar-SA"/>
                    </w:rPr>
                  </w:pPr>
                  <w:r>
                    <w:rPr>
                      <w:rFonts w:hint="eastAsia" w:cs="Times New Roman"/>
                      <w:b w:val="0"/>
                      <w:bCs/>
                      <w:color w:val="auto"/>
                      <w:kern w:val="0"/>
                      <w:sz w:val="21"/>
                      <w:szCs w:val="21"/>
                      <w:highlight w:val="none"/>
                      <w:lang w:val="en-US" w:eastAsia="zh-CN" w:bidi="ar-SA"/>
                    </w:rPr>
                    <w:t>3个月</w:t>
                  </w:r>
                </w:p>
              </w:tc>
            </w:tr>
            <w:tr w14:paraId="2D727F6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86" w:type="pct"/>
                  <w:noWrap w:val="0"/>
                  <w:vAlign w:val="center"/>
                </w:tcPr>
                <w:p w14:paraId="33958953">
                  <w:pPr>
                    <w:keepNext w:val="0"/>
                    <w:keepLines w:val="0"/>
                    <w:numPr>
                      <w:ilvl w:val="0"/>
                      <w:numId w:val="16"/>
                    </w:numPr>
                    <w:suppressLineNumbers w:val="0"/>
                    <w:topLinePunct/>
                    <w:adjustRightInd w:val="0"/>
                    <w:snapToGrid w:val="0"/>
                    <w:spacing w:before="0" w:beforeAutospacing="0" w:after="0" w:afterAutospacing="0"/>
                    <w:ind w:left="0" w:leftChars="0" w:right="0" w:firstLine="0" w:firstLineChars="0"/>
                    <w:jc w:val="center"/>
                    <w:rPr>
                      <w:rFonts w:hint="default" w:cs="Times New Roman"/>
                      <w:b w:val="0"/>
                      <w:bCs/>
                      <w:color w:val="auto"/>
                      <w:kern w:val="0"/>
                      <w:sz w:val="21"/>
                      <w:szCs w:val="21"/>
                      <w:highlight w:val="none"/>
                      <w:lang w:val="en-US" w:eastAsia="zh-CN" w:bidi="ar-SA"/>
                    </w:rPr>
                  </w:pPr>
                </w:p>
              </w:tc>
              <w:tc>
                <w:tcPr>
                  <w:tcW w:w="396" w:type="pct"/>
                  <w:vMerge w:val="continue"/>
                  <w:noWrap w:val="0"/>
                  <w:vAlign w:val="center"/>
                </w:tcPr>
                <w:p w14:paraId="3E4BA975">
                  <w:pPr>
                    <w:keepNext w:val="0"/>
                    <w:keepLines w:val="0"/>
                    <w:suppressLineNumbers w:val="0"/>
                    <w:topLinePunct/>
                    <w:adjustRightInd w:val="0"/>
                    <w:snapToGrid w:val="0"/>
                    <w:spacing w:before="0" w:beforeAutospacing="0" w:after="0" w:afterAutospacing="0"/>
                    <w:ind w:left="0" w:right="0"/>
                    <w:jc w:val="center"/>
                    <w:rPr>
                      <w:rFonts w:hint="default" w:ascii="Times New Roman" w:hAnsi="Times New Roman" w:eastAsia="宋体" w:cs="Times New Roman"/>
                      <w:b w:val="0"/>
                      <w:bCs/>
                      <w:color w:val="auto"/>
                      <w:kern w:val="0"/>
                      <w:sz w:val="21"/>
                      <w:szCs w:val="21"/>
                      <w:highlight w:val="none"/>
                      <w:lang w:bidi="ar-SA"/>
                    </w:rPr>
                  </w:pPr>
                </w:p>
              </w:tc>
              <w:tc>
                <w:tcPr>
                  <w:tcW w:w="705" w:type="pct"/>
                  <w:shd w:val="clear" w:color="auto" w:fill="auto"/>
                  <w:noWrap w:val="0"/>
                  <w:vAlign w:val="center"/>
                </w:tcPr>
                <w:p w14:paraId="272B8EC0">
                  <w:pPr>
                    <w:widowControl/>
                    <w:jc w:val="center"/>
                    <w:rPr>
                      <w:rFonts w:hint="default" w:ascii="Times New Roman" w:hAnsi="Times New Roman" w:eastAsia="宋体" w:cs="Times New Roman"/>
                      <w:bCs/>
                      <w:snapToGrid w:val="0"/>
                      <w:color w:val="auto"/>
                      <w:spacing w:val="6"/>
                      <w:kern w:val="2"/>
                      <w:sz w:val="21"/>
                      <w:szCs w:val="21"/>
                      <w:lang w:val="en-US" w:eastAsia="zh-CN" w:bidi="ar"/>
                    </w:rPr>
                  </w:pPr>
                  <w:r>
                    <w:rPr>
                      <w:rFonts w:hint="eastAsia"/>
                      <w:bCs/>
                      <w:snapToGrid w:val="0"/>
                      <w:color w:val="auto"/>
                      <w:spacing w:val="6"/>
                    </w:rPr>
                    <w:t>金属屑</w:t>
                  </w:r>
                </w:p>
              </w:tc>
              <w:tc>
                <w:tcPr>
                  <w:tcW w:w="526" w:type="pct"/>
                  <w:shd w:val="clear" w:color="auto" w:fill="auto"/>
                  <w:noWrap w:val="0"/>
                  <w:vAlign w:val="center"/>
                </w:tcPr>
                <w:p w14:paraId="6A580AC6">
                  <w:pPr>
                    <w:pStyle w:val="22"/>
                    <w:keepNext w:val="0"/>
                    <w:keepLines w:val="0"/>
                    <w:widowControl w:val="0"/>
                    <w:suppressLineNumbers w:val="0"/>
                    <w:adjustRightInd w:val="0"/>
                    <w:snapToGrid w:val="0"/>
                    <w:spacing w:before="0" w:beforeAutospacing="0" w:after="0" w:afterAutospacing="0"/>
                    <w:ind w:left="0" w:leftChars="0" w:right="0" w:rightChars="0"/>
                    <w:jc w:val="center"/>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
                    </w:rPr>
                    <w:t>待</w:t>
                  </w:r>
                  <w:r>
                    <w:rPr>
                      <w:rFonts w:hint="eastAsia" w:ascii="Times New Roman" w:hAnsi="Times New Roman" w:cs="Times New Roman"/>
                      <w:color w:val="auto"/>
                      <w:kern w:val="2"/>
                      <w:sz w:val="21"/>
                      <w:szCs w:val="21"/>
                      <w:lang w:val="en-US" w:eastAsia="zh-CN" w:bidi="ar"/>
                    </w:rPr>
                    <w:t>鉴别</w:t>
                  </w:r>
                </w:p>
              </w:tc>
              <w:tc>
                <w:tcPr>
                  <w:tcW w:w="746" w:type="pct"/>
                  <w:shd w:val="clear" w:color="auto" w:fill="auto"/>
                  <w:noWrap w:val="0"/>
                  <w:vAlign w:val="center"/>
                </w:tcPr>
                <w:p w14:paraId="1986A9AD">
                  <w:pPr>
                    <w:pStyle w:val="22"/>
                    <w:keepNext w:val="0"/>
                    <w:keepLines w:val="0"/>
                    <w:widowControl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
                    </w:rPr>
                    <w:t>待</w:t>
                  </w:r>
                  <w:r>
                    <w:rPr>
                      <w:rFonts w:hint="eastAsia" w:ascii="Times New Roman" w:hAnsi="Times New Roman" w:cs="Times New Roman"/>
                      <w:color w:val="auto"/>
                      <w:kern w:val="2"/>
                      <w:sz w:val="21"/>
                      <w:szCs w:val="21"/>
                      <w:lang w:val="en-US" w:eastAsia="zh-CN" w:bidi="ar"/>
                    </w:rPr>
                    <w:t>鉴别</w:t>
                  </w:r>
                </w:p>
              </w:tc>
              <w:tc>
                <w:tcPr>
                  <w:tcW w:w="264" w:type="pct"/>
                  <w:vMerge w:val="continue"/>
                  <w:noWrap w:val="0"/>
                  <w:vAlign w:val="center"/>
                </w:tcPr>
                <w:p w14:paraId="76DF6D8A">
                  <w:pPr>
                    <w:keepNext w:val="0"/>
                    <w:keepLines w:val="0"/>
                    <w:suppressLineNumbers w:val="0"/>
                    <w:topLinePunct/>
                    <w:adjustRightInd w:val="0"/>
                    <w:snapToGrid w:val="0"/>
                    <w:spacing w:before="0" w:beforeAutospacing="0" w:after="0" w:afterAutospacing="0"/>
                    <w:ind w:left="0" w:right="0"/>
                    <w:jc w:val="center"/>
                    <w:rPr>
                      <w:rFonts w:hint="default" w:ascii="Times New Roman" w:hAnsi="Times New Roman" w:eastAsia="宋体" w:cs="Times New Roman"/>
                      <w:b w:val="0"/>
                      <w:bCs/>
                      <w:color w:val="auto"/>
                      <w:kern w:val="0"/>
                      <w:sz w:val="21"/>
                      <w:szCs w:val="21"/>
                      <w:highlight w:val="none"/>
                      <w:lang w:bidi="ar-SA"/>
                    </w:rPr>
                  </w:pPr>
                </w:p>
              </w:tc>
              <w:tc>
                <w:tcPr>
                  <w:tcW w:w="435" w:type="pct"/>
                  <w:vMerge w:val="continue"/>
                  <w:noWrap w:val="0"/>
                  <w:vAlign w:val="center"/>
                </w:tcPr>
                <w:p w14:paraId="33951ED2">
                  <w:pPr>
                    <w:keepNext w:val="0"/>
                    <w:keepLines w:val="0"/>
                    <w:suppressLineNumbers w:val="0"/>
                    <w:topLinePunct/>
                    <w:adjustRightInd w:val="0"/>
                    <w:snapToGrid w:val="0"/>
                    <w:spacing w:before="0" w:beforeAutospacing="0" w:after="0" w:afterAutospacing="0"/>
                    <w:ind w:left="0" w:right="0"/>
                    <w:jc w:val="center"/>
                    <w:rPr>
                      <w:rFonts w:hint="default" w:ascii="Times New Roman" w:hAnsi="Times New Roman" w:eastAsia="宋体" w:cs="Times New Roman"/>
                      <w:b w:val="0"/>
                      <w:bCs/>
                      <w:color w:val="auto"/>
                      <w:kern w:val="0"/>
                      <w:sz w:val="21"/>
                      <w:szCs w:val="21"/>
                      <w:highlight w:val="none"/>
                      <w:lang w:bidi="ar-SA"/>
                    </w:rPr>
                  </w:pPr>
                </w:p>
              </w:tc>
              <w:tc>
                <w:tcPr>
                  <w:tcW w:w="667" w:type="pct"/>
                  <w:noWrap w:val="0"/>
                  <w:vAlign w:val="center"/>
                </w:tcPr>
                <w:p w14:paraId="331F737A">
                  <w:pPr>
                    <w:keepNext w:val="0"/>
                    <w:keepLines w:val="0"/>
                    <w:suppressLineNumbers w:val="0"/>
                    <w:topLinePunct/>
                    <w:adjustRightInd w:val="0"/>
                    <w:snapToGrid w:val="0"/>
                    <w:spacing w:before="0" w:beforeAutospacing="0" w:after="0" w:afterAutospacing="0"/>
                    <w:ind w:left="0" w:right="0"/>
                    <w:jc w:val="center"/>
                    <w:rPr>
                      <w:rFonts w:hint="eastAsia" w:cs="Times New Roman"/>
                      <w:b w:val="0"/>
                      <w:bCs/>
                      <w:color w:val="auto"/>
                      <w:kern w:val="0"/>
                      <w:sz w:val="21"/>
                      <w:szCs w:val="21"/>
                      <w:highlight w:val="none"/>
                      <w:lang w:val="en-US" w:eastAsia="zh-CN" w:bidi="ar-SA"/>
                    </w:rPr>
                  </w:pPr>
                  <w:r>
                    <w:rPr>
                      <w:rFonts w:hint="eastAsia" w:cs="Times New Roman"/>
                      <w:b w:val="0"/>
                      <w:bCs/>
                      <w:color w:val="auto"/>
                      <w:kern w:val="0"/>
                      <w:sz w:val="21"/>
                      <w:szCs w:val="21"/>
                      <w:highlight w:val="none"/>
                      <w:lang w:val="en-US" w:eastAsia="zh-CN" w:bidi="ar-SA"/>
                    </w:rPr>
                    <w:t>桶装</w:t>
                  </w:r>
                  <w:r>
                    <w:rPr>
                      <w:rFonts w:hint="default" w:ascii="Times New Roman" w:hAnsi="Times New Roman" w:eastAsia="宋体" w:cs="Times New Roman"/>
                      <w:b w:val="0"/>
                      <w:bCs/>
                      <w:color w:val="auto"/>
                      <w:kern w:val="0"/>
                      <w:sz w:val="21"/>
                      <w:szCs w:val="21"/>
                      <w:highlight w:val="none"/>
                      <w:lang w:bidi="ar-SA"/>
                    </w:rPr>
                    <w:t>密闭</w:t>
                  </w:r>
                </w:p>
              </w:tc>
              <w:tc>
                <w:tcPr>
                  <w:tcW w:w="421" w:type="pct"/>
                  <w:vMerge w:val="continue"/>
                  <w:noWrap w:val="0"/>
                  <w:vAlign w:val="center"/>
                </w:tcPr>
                <w:p w14:paraId="412CEB79">
                  <w:pPr>
                    <w:keepNext w:val="0"/>
                    <w:keepLines w:val="0"/>
                    <w:suppressLineNumbers w:val="0"/>
                    <w:topLinePunct/>
                    <w:adjustRightInd w:val="0"/>
                    <w:snapToGrid w:val="0"/>
                    <w:spacing w:before="0" w:beforeAutospacing="0" w:after="0" w:afterAutospacing="0"/>
                    <w:ind w:left="0" w:right="0"/>
                    <w:jc w:val="center"/>
                    <w:rPr>
                      <w:rFonts w:hint="default" w:ascii="Times New Roman" w:hAnsi="Times New Roman" w:eastAsia="宋体" w:cs="Times New Roman"/>
                      <w:b w:val="0"/>
                      <w:bCs/>
                      <w:color w:val="auto"/>
                      <w:kern w:val="0"/>
                      <w:sz w:val="21"/>
                      <w:szCs w:val="21"/>
                      <w:highlight w:val="none"/>
                      <w:lang w:bidi="ar-SA"/>
                    </w:rPr>
                  </w:pPr>
                </w:p>
              </w:tc>
              <w:tc>
                <w:tcPr>
                  <w:tcW w:w="548" w:type="pct"/>
                  <w:noWrap w:val="0"/>
                  <w:vAlign w:val="center"/>
                </w:tcPr>
                <w:p w14:paraId="7831FF91">
                  <w:pPr>
                    <w:keepNext w:val="0"/>
                    <w:keepLines w:val="0"/>
                    <w:suppressLineNumbers w:val="0"/>
                    <w:topLinePunct/>
                    <w:adjustRightInd w:val="0"/>
                    <w:snapToGrid w:val="0"/>
                    <w:spacing w:before="0" w:beforeAutospacing="0" w:after="0" w:afterAutospacing="0"/>
                    <w:ind w:left="0" w:right="0"/>
                    <w:jc w:val="center"/>
                    <w:rPr>
                      <w:rFonts w:hint="default" w:eastAsia="宋体" w:cs="Times New Roman"/>
                      <w:b w:val="0"/>
                      <w:bCs/>
                      <w:color w:val="auto"/>
                      <w:kern w:val="0"/>
                      <w:sz w:val="21"/>
                      <w:szCs w:val="21"/>
                      <w:highlight w:val="none"/>
                      <w:lang w:val="en-US" w:eastAsia="zh-CN" w:bidi="ar-SA"/>
                    </w:rPr>
                  </w:pPr>
                  <w:r>
                    <w:rPr>
                      <w:rFonts w:hint="eastAsia" w:cs="Times New Roman"/>
                      <w:b w:val="0"/>
                      <w:bCs/>
                      <w:color w:val="auto"/>
                      <w:kern w:val="0"/>
                      <w:sz w:val="21"/>
                      <w:szCs w:val="21"/>
                      <w:highlight w:val="none"/>
                      <w:lang w:val="en-US" w:eastAsia="zh-CN" w:bidi="ar-SA"/>
                    </w:rPr>
                    <w:t>半个月</w:t>
                  </w:r>
                </w:p>
              </w:tc>
            </w:tr>
          </w:tbl>
          <w:p w14:paraId="1D693CBA">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auto"/>
                <w:sz w:val="24"/>
                <w:szCs w:val="24"/>
                <w:lang w:bidi="ar"/>
              </w:rPr>
            </w:pPr>
            <w:r>
              <w:rPr>
                <w:rFonts w:hint="default" w:ascii="Times New Roman" w:hAnsi="Times New Roman" w:eastAsia="宋体" w:cs="Times New Roman"/>
                <w:color w:val="auto"/>
                <w:sz w:val="24"/>
                <w:szCs w:val="24"/>
                <w:lang w:bidi="ar"/>
              </w:rPr>
              <w:t>危废仓库设置合理性分析：</w:t>
            </w:r>
          </w:p>
          <w:p w14:paraId="6E12A7F0">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auto"/>
                <w:sz w:val="24"/>
                <w:szCs w:val="24"/>
                <w:lang w:bidi="ar"/>
              </w:rPr>
            </w:pPr>
            <w:r>
              <w:rPr>
                <w:rFonts w:hint="default" w:ascii="Times New Roman" w:hAnsi="Times New Roman" w:eastAsia="宋体" w:cs="Times New Roman"/>
                <w:color w:val="auto"/>
                <w:sz w:val="24"/>
                <w:szCs w:val="24"/>
                <w:lang w:bidi="ar"/>
              </w:rPr>
              <w:t>①</w:t>
            </w:r>
            <w:r>
              <w:rPr>
                <w:rFonts w:hint="eastAsia" w:cs="Times New Roman"/>
                <w:color w:val="auto"/>
                <w:sz w:val="24"/>
                <w:szCs w:val="24"/>
                <w:lang w:val="en-US" w:eastAsia="zh-CN" w:bidi="ar"/>
              </w:rPr>
              <w:t>扩建</w:t>
            </w:r>
            <w:r>
              <w:rPr>
                <w:rFonts w:hint="default" w:ascii="Times New Roman" w:hAnsi="Times New Roman" w:eastAsia="宋体" w:cs="Times New Roman"/>
                <w:color w:val="auto"/>
                <w:sz w:val="24"/>
                <w:szCs w:val="24"/>
                <w:lang w:bidi="ar"/>
              </w:rPr>
              <w:t>项目</w:t>
            </w:r>
            <w:r>
              <w:rPr>
                <w:rFonts w:hint="eastAsia" w:cs="Times New Roman"/>
                <w:color w:val="auto"/>
                <w:sz w:val="24"/>
                <w:szCs w:val="24"/>
                <w:lang w:val="en-US" w:eastAsia="zh-CN" w:bidi="ar"/>
              </w:rPr>
              <w:t>依托厂区现有48</w:t>
            </w:r>
            <w:r>
              <w:rPr>
                <w:rFonts w:hint="default" w:ascii="Times New Roman" w:hAnsi="Times New Roman" w:eastAsia="宋体" w:cs="Times New Roman"/>
                <w:color w:val="auto"/>
                <w:sz w:val="24"/>
                <w:szCs w:val="24"/>
                <w:lang w:bidi="ar"/>
              </w:rPr>
              <w:t>m</w:t>
            </w:r>
            <w:r>
              <w:rPr>
                <w:rFonts w:hint="default" w:ascii="Times New Roman" w:hAnsi="Times New Roman" w:eastAsia="宋体" w:cs="Times New Roman"/>
                <w:color w:val="auto"/>
                <w:sz w:val="24"/>
                <w:szCs w:val="24"/>
                <w:vertAlign w:val="superscript"/>
                <w:lang w:bidi="ar"/>
              </w:rPr>
              <w:t>2</w:t>
            </w:r>
            <w:r>
              <w:rPr>
                <w:rFonts w:hint="default" w:ascii="Times New Roman" w:hAnsi="Times New Roman" w:eastAsia="宋体" w:cs="Times New Roman"/>
                <w:color w:val="auto"/>
                <w:sz w:val="24"/>
                <w:szCs w:val="24"/>
                <w:lang w:bidi="ar"/>
              </w:rPr>
              <w:t>危废仓库，按照《危险废物贮存污染控制标准》（GB18597-2023）的要求进行建设，地面基础及内墙采取防渗措施，使用防水混凝土，地面做防滑处理，危险废物临时贮存渗透系数达1.0×10</w:t>
            </w:r>
            <w:r>
              <w:rPr>
                <w:rFonts w:hint="default" w:ascii="Times New Roman" w:hAnsi="Times New Roman" w:eastAsia="宋体" w:cs="Times New Roman"/>
                <w:color w:val="auto"/>
                <w:sz w:val="24"/>
                <w:szCs w:val="24"/>
                <w:vertAlign w:val="superscript"/>
                <w:lang w:bidi="ar"/>
              </w:rPr>
              <w:t>-10</w:t>
            </w:r>
            <w:r>
              <w:rPr>
                <w:rFonts w:hint="default" w:ascii="Times New Roman" w:hAnsi="Times New Roman" w:eastAsia="宋体" w:cs="Times New Roman"/>
                <w:color w:val="auto"/>
                <w:sz w:val="24"/>
                <w:szCs w:val="24"/>
                <w:lang w:bidi="ar"/>
              </w:rPr>
              <w:t>厘米/秒。</w:t>
            </w:r>
            <w:r>
              <w:rPr>
                <w:rFonts w:hint="eastAsia" w:cs="Times New Roman"/>
                <w:color w:val="auto"/>
                <w:sz w:val="24"/>
                <w:szCs w:val="24"/>
                <w:lang w:val="en-US" w:eastAsia="zh-CN" w:bidi="ar"/>
              </w:rPr>
              <w:t>厂区</w:t>
            </w:r>
            <w:r>
              <w:rPr>
                <w:rFonts w:hint="default" w:ascii="Times New Roman" w:hAnsi="Times New Roman" w:eastAsia="宋体" w:cs="Times New Roman"/>
                <w:color w:val="auto"/>
                <w:sz w:val="24"/>
                <w:szCs w:val="24"/>
                <w:lang w:bidi="ar"/>
              </w:rPr>
              <w:t>危废仓库设置在生产车间外东北角，运输车辆进出较为方便。</w:t>
            </w:r>
          </w:p>
          <w:p w14:paraId="6B057964">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auto"/>
                <w:sz w:val="24"/>
                <w:szCs w:val="24"/>
                <w:lang w:val="en-US" w:eastAsia="zh-CN" w:bidi="ar"/>
              </w:rPr>
            </w:pPr>
            <w:r>
              <w:rPr>
                <w:rFonts w:hint="default" w:ascii="Times New Roman" w:hAnsi="Times New Roman" w:eastAsia="宋体" w:cs="Times New Roman"/>
                <w:color w:val="auto"/>
                <w:sz w:val="24"/>
                <w:szCs w:val="24"/>
                <w:lang w:bidi="ar"/>
              </w:rPr>
              <w:t>②</w:t>
            </w:r>
            <w:r>
              <w:rPr>
                <w:rFonts w:hint="eastAsia" w:cs="Times New Roman"/>
                <w:color w:val="auto"/>
                <w:sz w:val="24"/>
                <w:szCs w:val="24"/>
                <w:lang w:val="en-US" w:eastAsia="zh-CN" w:bidi="ar"/>
              </w:rPr>
              <w:t>全厂</w:t>
            </w:r>
            <w:r>
              <w:rPr>
                <w:rFonts w:hint="default" w:ascii="Times New Roman" w:hAnsi="Times New Roman" w:eastAsia="宋体" w:cs="Times New Roman"/>
                <w:color w:val="auto"/>
                <w:sz w:val="24"/>
                <w:szCs w:val="24"/>
                <w:lang w:bidi="ar"/>
              </w:rPr>
              <w:t>涉及的危险废物为：废深孔钻油12.15t/a</w:t>
            </w:r>
            <w:r>
              <w:rPr>
                <w:rFonts w:hint="eastAsia" w:cs="Times New Roman"/>
                <w:color w:val="auto"/>
                <w:sz w:val="24"/>
                <w:szCs w:val="24"/>
                <w:lang w:eastAsia="zh-CN" w:bidi="ar"/>
              </w:rPr>
              <w:t>、废油桶0.705</w:t>
            </w:r>
            <w:r>
              <w:rPr>
                <w:rFonts w:hint="default" w:ascii="Times New Roman" w:hAnsi="Times New Roman" w:eastAsia="宋体" w:cs="Times New Roman"/>
                <w:color w:val="auto"/>
                <w:sz w:val="24"/>
                <w:szCs w:val="24"/>
                <w:lang w:bidi="ar"/>
              </w:rPr>
              <w:t>t/a</w:t>
            </w:r>
            <w:r>
              <w:rPr>
                <w:rFonts w:hint="eastAsia" w:cs="Times New Roman"/>
                <w:color w:val="auto"/>
                <w:sz w:val="24"/>
                <w:szCs w:val="24"/>
                <w:lang w:eastAsia="zh-CN" w:bidi="ar"/>
              </w:rPr>
              <w:t>、废润滑油6</w:t>
            </w:r>
            <w:r>
              <w:rPr>
                <w:rFonts w:hint="default" w:ascii="Times New Roman" w:hAnsi="Times New Roman" w:eastAsia="宋体" w:cs="Times New Roman"/>
                <w:color w:val="auto"/>
                <w:sz w:val="24"/>
                <w:szCs w:val="24"/>
                <w:lang w:bidi="ar"/>
              </w:rPr>
              <w:t>t/a</w:t>
            </w:r>
            <w:r>
              <w:rPr>
                <w:rFonts w:hint="eastAsia" w:cs="Times New Roman"/>
                <w:color w:val="auto"/>
                <w:sz w:val="24"/>
                <w:szCs w:val="24"/>
                <w:lang w:eastAsia="zh-CN" w:bidi="ar"/>
              </w:rPr>
              <w:t>、废液压油</w:t>
            </w:r>
            <w:r>
              <w:rPr>
                <w:rFonts w:hint="eastAsia" w:cs="Times New Roman"/>
                <w:color w:val="auto"/>
                <w:sz w:val="24"/>
                <w:szCs w:val="24"/>
                <w:lang w:val="en-US" w:eastAsia="zh-CN" w:bidi="ar"/>
              </w:rPr>
              <w:t>2</w:t>
            </w:r>
            <w:r>
              <w:rPr>
                <w:rFonts w:hint="default" w:ascii="Times New Roman" w:hAnsi="Times New Roman" w:eastAsia="宋体" w:cs="Times New Roman"/>
                <w:color w:val="auto"/>
                <w:sz w:val="24"/>
                <w:szCs w:val="24"/>
                <w:lang w:bidi="ar"/>
              </w:rPr>
              <w:t>t/a</w:t>
            </w:r>
            <w:r>
              <w:rPr>
                <w:rFonts w:hint="eastAsia" w:cs="Times New Roman"/>
                <w:color w:val="auto"/>
                <w:sz w:val="24"/>
                <w:szCs w:val="24"/>
                <w:lang w:eastAsia="zh-CN" w:bidi="ar"/>
              </w:rPr>
              <w:t>、抛光废料14.3</w:t>
            </w:r>
            <w:r>
              <w:rPr>
                <w:rFonts w:hint="default" w:ascii="Times New Roman" w:hAnsi="Times New Roman" w:eastAsia="宋体" w:cs="Times New Roman"/>
                <w:color w:val="auto"/>
                <w:sz w:val="24"/>
                <w:szCs w:val="24"/>
                <w:lang w:bidi="ar"/>
              </w:rPr>
              <w:t>t/a</w:t>
            </w:r>
            <w:r>
              <w:rPr>
                <w:rFonts w:hint="eastAsia" w:cs="Times New Roman"/>
                <w:color w:val="auto"/>
                <w:sz w:val="24"/>
                <w:szCs w:val="24"/>
                <w:lang w:eastAsia="zh-CN" w:bidi="ar"/>
              </w:rPr>
              <w:t>、废电池0.25t/3a、废油9.996</w:t>
            </w:r>
            <w:r>
              <w:rPr>
                <w:rFonts w:hint="default" w:ascii="Times New Roman" w:hAnsi="Times New Roman" w:eastAsia="宋体" w:cs="Times New Roman"/>
                <w:color w:val="auto"/>
                <w:sz w:val="24"/>
                <w:szCs w:val="24"/>
                <w:lang w:bidi="ar"/>
              </w:rPr>
              <w:t>t/a</w:t>
            </w:r>
            <w:r>
              <w:rPr>
                <w:rFonts w:hint="eastAsia" w:cs="Times New Roman"/>
                <w:color w:val="auto"/>
                <w:sz w:val="24"/>
                <w:szCs w:val="24"/>
                <w:lang w:val="en-US" w:eastAsia="zh-CN" w:bidi="ar"/>
              </w:rPr>
              <w:t>、废切削液15.72</w:t>
            </w:r>
            <w:r>
              <w:rPr>
                <w:rFonts w:hint="default" w:ascii="Times New Roman" w:hAnsi="Times New Roman" w:eastAsia="宋体" w:cs="Times New Roman"/>
                <w:color w:val="auto"/>
                <w:sz w:val="24"/>
                <w:szCs w:val="24"/>
                <w:lang w:bidi="ar"/>
              </w:rPr>
              <w:t>t/a</w:t>
            </w:r>
            <w:r>
              <w:rPr>
                <w:rFonts w:hint="default" w:ascii="Times New Roman" w:hAnsi="Times New Roman" w:eastAsia="宋体" w:cs="Times New Roman"/>
                <w:color w:val="auto"/>
                <w:sz w:val="24"/>
                <w:szCs w:val="24"/>
                <w:lang w:eastAsia="zh-CN" w:bidi="ar"/>
              </w:rPr>
              <w:t>，</w:t>
            </w:r>
            <w:r>
              <w:rPr>
                <w:rFonts w:hint="default" w:ascii="Times New Roman" w:hAnsi="Times New Roman" w:eastAsia="宋体" w:cs="Times New Roman"/>
                <w:color w:val="auto"/>
                <w:sz w:val="24"/>
                <w:szCs w:val="24"/>
                <w:lang w:val="en-US" w:eastAsia="zh-CN" w:bidi="ar"/>
              </w:rPr>
              <w:t>每</w:t>
            </w:r>
            <w:r>
              <w:rPr>
                <w:rFonts w:hint="eastAsia" w:cs="Times New Roman"/>
                <w:color w:val="auto"/>
                <w:sz w:val="24"/>
                <w:szCs w:val="24"/>
                <w:lang w:val="en-US" w:eastAsia="zh-CN" w:bidi="ar"/>
              </w:rPr>
              <w:t>2</w:t>
            </w:r>
            <w:r>
              <w:rPr>
                <w:rFonts w:hint="default" w:ascii="Times New Roman" w:hAnsi="Times New Roman" w:eastAsia="宋体" w:cs="Times New Roman"/>
                <w:color w:val="auto"/>
                <w:sz w:val="24"/>
                <w:szCs w:val="24"/>
                <w:lang w:val="en-US" w:eastAsia="zh-CN" w:bidi="ar"/>
              </w:rPr>
              <w:t>个月转运一次</w:t>
            </w:r>
            <w:r>
              <w:rPr>
                <w:rFonts w:hint="eastAsia" w:cs="Times New Roman"/>
                <w:color w:val="auto"/>
                <w:sz w:val="24"/>
                <w:szCs w:val="24"/>
                <w:lang w:val="en-US" w:eastAsia="zh-CN" w:bidi="ar"/>
              </w:rPr>
              <w:t>；废刷子0.3</w:t>
            </w:r>
            <w:r>
              <w:rPr>
                <w:rFonts w:hint="default" w:ascii="Times New Roman" w:hAnsi="Times New Roman" w:eastAsia="宋体" w:cs="Times New Roman"/>
                <w:color w:val="auto"/>
                <w:sz w:val="24"/>
                <w:szCs w:val="24"/>
                <w:lang w:bidi="ar"/>
              </w:rPr>
              <w:t>t/a</w:t>
            </w:r>
            <w:r>
              <w:rPr>
                <w:rFonts w:hint="eastAsia" w:cs="Times New Roman"/>
                <w:color w:val="auto"/>
                <w:sz w:val="24"/>
                <w:szCs w:val="24"/>
                <w:lang w:val="en-US" w:eastAsia="zh-CN" w:bidi="ar"/>
              </w:rPr>
              <w:t>、废抹布及手套0.06</w:t>
            </w:r>
            <w:r>
              <w:rPr>
                <w:rFonts w:hint="default" w:ascii="Times New Roman" w:hAnsi="Times New Roman" w:eastAsia="宋体" w:cs="Times New Roman"/>
                <w:color w:val="auto"/>
                <w:sz w:val="24"/>
                <w:szCs w:val="24"/>
                <w:lang w:bidi="ar"/>
              </w:rPr>
              <w:t>t/a</w:t>
            </w:r>
            <w:r>
              <w:rPr>
                <w:rFonts w:hint="eastAsia" w:cs="Times New Roman"/>
                <w:color w:val="auto"/>
                <w:sz w:val="24"/>
                <w:szCs w:val="24"/>
                <w:lang w:val="en-US" w:eastAsia="zh-CN" w:bidi="ar"/>
              </w:rPr>
              <w:t>、废包装桶0.22</w:t>
            </w:r>
            <w:r>
              <w:rPr>
                <w:rFonts w:hint="default" w:ascii="Times New Roman" w:hAnsi="Times New Roman" w:eastAsia="宋体" w:cs="Times New Roman"/>
                <w:color w:val="auto"/>
                <w:sz w:val="24"/>
                <w:szCs w:val="24"/>
                <w:lang w:bidi="ar"/>
              </w:rPr>
              <w:t>t/a</w:t>
            </w:r>
            <w:r>
              <w:rPr>
                <w:rFonts w:hint="eastAsia" w:cs="Times New Roman"/>
                <w:color w:val="auto"/>
                <w:sz w:val="24"/>
                <w:szCs w:val="24"/>
                <w:lang w:eastAsia="zh-CN" w:bidi="ar"/>
              </w:rPr>
              <w:t>、浓液8.44</w:t>
            </w:r>
            <w:r>
              <w:rPr>
                <w:rFonts w:hint="default" w:ascii="Times New Roman" w:hAnsi="Times New Roman" w:eastAsia="宋体" w:cs="Times New Roman"/>
                <w:color w:val="auto"/>
                <w:sz w:val="24"/>
                <w:szCs w:val="24"/>
                <w:lang w:bidi="ar"/>
              </w:rPr>
              <w:t>t/a</w:t>
            </w:r>
            <w:r>
              <w:rPr>
                <w:rFonts w:hint="eastAsia" w:cs="Times New Roman"/>
                <w:color w:val="auto"/>
                <w:sz w:val="24"/>
                <w:szCs w:val="24"/>
                <w:lang w:eastAsia="zh-CN" w:bidi="ar"/>
              </w:rPr>
              <w:t>、过滤材料0.5</w:t>
            </w:r>
            <w:r>
              <w:rPr>
                <w:rFonts w:hint="eastAsia" w:cs="Times New Roman"/>
                <w:color w:val="auto"/>
                <w:sz w:val="24"/>
                <w:szCs w:val="24"/>
                <w:lang w:val="en-US" w:eastAsia="zh-CN" w:bidi="ar"/>
              </w:rPr>
              <w:t>t</w:t>
            </w:r>
            <w:r>
              <w:rPr>
                <w:rFonts w:hint="eastAsia" w:cs="Times New Roman"/>
                <w:color w:val="auto"/>
                <w:sz w:val="24"/>
                <w:szCs w:val="24"/>
                <w:lang w:eastAsia="zh-CN" w:bidi="ar"/>
              </w:rPr>
              <w:t>/2a、空压机含油废水</w:t>
            </w:r>
            <w:r>
              <w:rPr>
                <w:rFonts w:hint="eastAsia" w:cs="Times New Roman"/>
                <w:color w:val="auto"/>
                <w:sz w:val="24"/>
                <w:szCs w:val="24"/>
                <w:lang w:val="en-US" w:eastAsia="zh-CN" w:bidi="ar"/>
              </w:rPr>
              <w:t>0.2</w:t>
            </w:r>
            <w:r>
              <w:rPr>
                <w:rFonts w:hint="default" w:ascii="Times New Roman" w:hAnsi="Times New Roman" w:eastAsia="宋体" w:cs="Times New Roman"/>
                <w:color w:val="auto"/>
                <w:sz w:val="24"/>
                <w:szCs w:val="24"/>
                <w:lang w:bidi="ar"/>
              </w:rPr>
              <w:t>t/a</w:t>
            </w:r>
            <w:r>
              <w:rPr>
                <w:rFonts w:hint="eastAsia" w:ascii="Times New Roman" w:hAnsi="Times New Roman" w:eastAsia="宋体" w:cs="Times New Roman"/>
                <w:color w:val="auto"/>
                <w:sz w:val="24"/>
                <w:szCs w:val="24"/>
                <w:lang w:eastAsia="zh-CN" w:bidi="ar"/>
              </w:rPr>
              <w:t>，</w:t>
            </w:r>
            <w:r>
              <w:rPr>
                <w:rFonts w:hint="eastAsia" w:ascii="Times New Roman" w:hAnsi="Times New Roman" w:eastAsia="宋体" w:cs="Times New Roman"/>
                <w:color w:val="auto"/>
                <w:sz w:val="24"/>
                <w:szCs w:val="24"/>
                <w:lang w:val="en-US" w:eastAsia="zh-CN" w:bidi="ar"/>
              </w:rPr>
              <w:t>每</w:t>
            </w:r>
            <w:r>
              <w:rPr>
                <w:rFonts w:hint="eastAsia" w:cs="Times New Roman"/>
                <w:color w:val="auto"/>
                <w:sz w:val="24"/>
                <w:szCs w:val="24"/>
                <w:lang w:val="en-US" w:eastAsia="zh-CN" w:bidi="ar"/>
              </w:rPr>
              <w:t>3</w:t>
            </w:r>
            <w:r>
              <w:rPr>
                <w:rFonts w:hint="eastAsia" w:ascii="Times New Roman" w:hAnsi="Times New Roman" w:eastAsia="宋体" w:cs="Times New Roman"/>
                <w:color w:val="auto"/>
                <w:sz w:val="24"/>
                <w:szCs w:val="24"/>
                <w:lang w:val="en-US" w:eastAsia="zh-CN" w:bidi="ar"/>
              </w:rPr>
              <w:t>个月转运一次</w:t>
            </w:r>
            <w:r>
              <w:rPr>
                <w:rFonts w:hint="eastAsia" w:cs="Times New Roman"/>
                <w:color w:val="auto"/>
                <w:sz w:val="24"/>
                <w:szCs w:val="24"/>
                <w:lang w:val="en-US" w:eastAsia="zh-CN" w:bidi="ar"/>
              </w:rPr>
              <w:t>；金属屑650</w:t>
            </w:r>
            <w:r>
              <w:rPr>
                <w:rFonts w:hint="default" w:ascii="Times New Roman" w:hAnsi="Times New Roman" w:eastAsia="宋体" w:cs="Times New Roman"/>
                <w:color w:val="auto"/>
                <w:sz w:val="24"/>
                <w:szCs w:val="24"/>
                <w:lang w:bidi="ar"/>
              </w:rPr>
              <w:t>t/a</w:t>
            </w:r>
            <w:r>
              <w:rPr>
                <w:rFonts w:hint="eastAsia" w:cs="Times New Roman"/>
                <w:color w:val="auto"/>
                <w:sz w:val="24"/>
                <w:szCs w:val="24"/>
                <w:lang w:eastAsia="zh-CN" w:bidi="ar"/>
              </w:rPr>
              <w:t>，</w:t>
            </w:r>
            <w:r>
              <w:rPr>
                <w:rFonts w:hint="eastAsia" w:ascii="Times New Roman" w:hAnsi="Times New Roman" w:eastAsia="宋体" w:cs="Times New Roman"/>
                <w:color w:val="auto"/>
                <w:sz w:val="24"/>
                <w:szCs w:val="24"/>
                <w:lang w:val="en-US" w:eastAsia="zh-CN" w:bidi="ar"/>
              </w:rPr>
              <w:t>每半个月转运一次。</w:t>
            </w:r>
          </w:p>
          <w:p w14:paraId="3FAEB10A">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auto"/>
                <w:sz w:val="24"/>
                <w:szCs w:val="24"/>
                <w:lang w:bidi="ar"/>
              </w:rPr>
            </w:pPr>
            <w:r>
              <w:rPr>
                <w:rFonts w:hint="default" w:ascii="Times New Roman" w:hAnsi="Times New Roman" w:eastAsia="宋体" w:cs="Times New Roman"/>
                <w:color w:val="auto"/>
                <w:sz w:val="24"/>
                <w:szCs w:val="24"/>
                <w:lang w:bidi="ar"/>
              </w:rPr>
              <w:t>A、废深孔钻油最大暂存量为</w:t>
            </w:r>
            <w:r>
              <w:rPr>
                <w:rFonts w:hint="eastAsia" w:cs="Times New Roman"/>
                <w:color w:val="auto"/>
                <w:sz w:val="24"/>
                <w:szCs w:val="24"/>
                <w:lang w:val="en-US" w:eastAsia="zh-CN" w:bidi="ar"/>
              </w:rPr>
              <w:t>2.025</w:t>
            </w:r>
            <w:r>
              <w:rPr>
                <w:rFonts w:hint="default" w:ascii="Times New Roman" w:hAnsi="Times New Roman" w:eastAsia="宋体" w:cs="Times New Roman"/>
                <w:color w:val="auto"/>
                <w:sz w:val="24"/>
                <w:szCs w:val="24"/>
                <w:lang w:bidi="ar"/>
              </w:rPr>
              <w:t>t/次，装入容重为</w:t>
            </w:r>
            <w:r>
              <w:rPr>
                <w:rFonts w:hint="eastAsia" w:cs="Times New Roman"/>
                <w:color w:val="auto"/>
                <w:sz w:val="24"/>
                <w:szCs w:val="24"/>
                <w:lang w:val="en-US" w:eastAsia="zh-CN" w:bidi="ar"/>
              </w:rPr>
              <w:t>100</w:t>
            </w:r>
            <w:r>
              <w:rPr>
                <w:rFonts w:hint="default" w:ascii="Times New Roman" w:hAnsi="Times New Roman" w:eastAsia="宋体" w:cs="Times New Roman"/>
                <w:color w:val="auto"/>
                <w:sz w:val="24"/>
                <w:szCs w:val="24"/>
                <w:lang w:bidi="ar"/>
              </w:rPr>
              <w:t>kg的</w:t>
            </w:r>
            <w:r>
              <w:rPr>
                <w:rFonts w:hint="eastAsia" w:cs="Times New Roman"/>
                <w:color w:val="auto"/>
                <w:sz w:val="24"/>
                <w:szCs w:val="24"/>
                <w:lang w:val="en-US" w:eastAsia="zh-CN" w:bidi="ar"/>
              </w:rPr>
              <w:t>包装桶</w:t>
            </w:r>
            <w:r>
              <w:rPr>
                <w:rFonts w:hint="default" w:ascii="Times New Roman" w:hAnsi="Times New Roman" w:eastAsia="宋体" w:cs="Times New Roman"/>
                <w:color w:val="auto"/>
                <w:sz w:val="24"/>
                <w:szCs w:val="24"/>
                <w:lang w:bidi="ar"/>
              </w:rPr>
              <w:t>中暂存，单个</w:t>
            </w:r>
            <w:r>
              <w:rPr>
                <w:rFonts w:hint="eastAsia" w:cs="Times New Roman"/>
                <w:color w:val="auto"/>
                <w:sz w:val="24"/>
                <w:szCs w:val="24"/>
                <w:lang w:val="en-US" w:eastAsia="zh-CN" w:bidi="ar"/>
              </w:rPr>
              <w:t>包装桶</w:t>
            </w:r>
            <w:r>
              <w:rPr>
                <w:rFonts w:hint="default" w:ascii="Times New Roman" w:hAnsi="Times New Roman" w:eastAsia="宋体" w:cs="Times New Roman"/>
                <w:color w:val="auto"/>
                <w:sz w:val="24"/>
                <w:szCs w:val="24"/>
                <w:lang w:bidi="ar"/>
              </w:rPr>
              <w:t>的占地面积约为</w:t>
            </w:r>
            <w:r>
              <w:rPr>
                <w:rFonts w:hint="eastAsia" w:cs="Times New Roman"/>
                <w:color w:val="auto"/>
                <w:sz w:val="24"/>
                <w:szCs w:val="24"/>
                <w:lang w:val="en-US" w:eastAsia="zh-CN" w:bidi="ar"/>
              </w:rPr>
              <w:t>0.1</w:t>
            </w:r>
            <w:r>
              <w:rPr>
                <w:rFonts w:hint="default" w:ascii="Times New Roman" w:hAnsi="Times New Roman" w:eastAsia="宋体" w:cs="Times New Roman"/>
                <w:color w:val="auto"/>
                <w:sz w:val="24"/>
                <w:szCs w:val="24"/>
                <w:lang w:bidi="ar"/>
              </w:rPr>
              <w:t>m</w:t>
            </w:r>
            <w:r>
              <w:rPr>
                <w:rFonts w:hint="default" w:ascii="Times New Roman" w:hAnsi="Times New Roman" w:eastAsia="宋体" w:cs="Times New Roman"/>
                <w:color w:val="auto"/>
                <w:sz w:val="24"/>
                <w:szCs w:val="24"/>
                <w:vertAlign w:val="superscript"/>
                <w:lang w:bidi="ar"/>
              </w:rPr>
              <w:t>2</w:t>
            </w:r>
            <w:r>
              <w:rPr>
                <w:rFonts w:hint="default" w:ascii="Times New Roman" w:hAnsi="Times New Roman" w:eastAsia="宋体" w:cs="Times New Roman"/>
                <w:color w:val="auto"/>
                <w:sz w:val="24"/>
                <w:szCs w:val="24"/>
                <w:lang w:bidi="ar"/>
              </w:rPr>
              <w:t>，则所需暂存面积约为</w:t>
            </w:r>
            <w:r>
              <w:rPr>
                <w:rFonts w:hint="eastAsia" w:cs="Times New Roman"/>
                <w:color w:val="auto"/>
                <w:sz w:val="24"/>
                <w:szCs w:val="24"/>
                <w:lang w:val="en-US" w:eastAsia="zh-CN" w:bidi="ar"/>
              </w:rPr>
              <w:t>2.1</w:t>
            </w:r>
            <w:r>
              <w:rPr>
                <w:rFonts w:hint="default" w:ascii="Times New Roman" w:hAnsi="Times New Roman" w:eastAsia="宋体" w:cs="Times New Roman"/>
                <w:color w:val="auto"/>
                <w:sz w:val="24"/>
                <w:szCs w:val="24"/>
                <w:lang w:bidi="ar"/>
              </w:rPr>
              <w:t>m</w:t>
            </w:r>
            <w:r>
              <w:rPr>
                <w:rFonts w:hint="default" w:ascii="Times New Roman" w:hAnsi="Times New Roman" w:eastAsia="宋体" w:cs="Times New Roman"/>
                <w:color w:val="auto"/>
                <w:sz w:val="24"/>
                <w:szCs w:val="24"/>
                <w:vertAlign w:val="superscript"/>
                <w:lang w:bidi="ar"/>
              </w:rPr>
              <w:t>2</w:t>
            </w:r>
            <w:r>
              <w:rPr>
                <w:rFonts w:hint="default" w:ascii="Times New Roman" w:hAnsi="Times New Roman" w:eastAsia="宋体" w:cs="Times New Roman"/>
                <w:color w:val="auto"/>
                <w:sz w:val="24"/>
                <w:szCs w:val="24"/>
                <w:lang w:bidi="ar"/>
              </w:rPr>
              <w:t>。</w:t>
            </w:r>
          </w:p>
          <w:p w14:paraId="5CA6A9FC">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auto"/>
                <w:sz w:val="24"/>
                <w:szCs w:val="24"/>
                <w:lang w:bidi="ar"/>
              </w:rPr>
            </w:pPr>
            <w:r>
              <w:rPr>
                <w:rFonts w:hint="default" w:ascii="Times New Roman" w:hAnsi="Times New Roman" w:eastAsia="宋体" w:cs="Times New Roman"/>
                <w:color w:val="auto"/>
                <w:sz w:val="24"/>
                <w:szCs w:val="24"/>
                <w:lang w:val="en-US" w:eastAsia="zh-CN" w:bidi="ar"/>
              </w:rPr>
              <w:t>B、</w:t>
            </w:r>
            <w:r>
              <w:rPr>
                <w:rFonts w:hint="eastAsia" w:cs="Times New Roman"/>
                <w:color w:val="auto"/>
                <w:sz w:val="24"/>
                <w:szCs w:val="24"/>
                <w:lang w:eastAsia="zh-CN" w:bidi="ar"/>
              </w:rPr>
              <w:t>废油桶</w:t>
            </w:r>
            <w:r>
              <w:rPr>
                <w:rFonts w:hint="default" w:ascii="Times New Roman" w:hAnsi="Times New Roman" w:eastAsia="宋体" w:cs="Times New Roman"/>
                <w:color w:val="auto"/>
                <w:sz w:val="24"/>
                <w:szCs w:val="24"/>
                <w:lang w:val="en-US" w:eastAsia="zh-CN" w:bidi="ar"/>
              </w:rPr>
              <w:t>加盖密闭，最大暂存量为</w:t>
            </w:r>
            <w:r>
              <w:rPr>
                <w:rFonts w:hint="eastAsia" w:ascii="Times New Roman" w:hAnsi="Times New Roman" w:eastAsia="宋体" w:cs="Times New Roman"/>
                <w:color w:val="auto"/>
                <w:sz w:val="24"/>
                <w:szCs w:val="24"/>
                <w:lang w:val="en-US" w:eastAsia="zh-CN" w:bidi="ar"/>
              </w:rPr>
              <w:t>0.119</w:t>
            </w:r>
            <w:r>
              <w:rPr>
                <w:rFonts w:hint="default" w:ascii="Times New Roman" w:hAnsi="Times New Roman" w:eastAsia="宋体" w:cs="Times New Roman"/>
                <w:color w:val="auto"/>
                <w:sz w:val="24"/>
                <w:szCs w:val="24"/>
                <w:lang w:val="en-US" w:eastAsia="zh-CN" w:bidi="ar"/>
              </w:rPr>
              <w:t>t/次，共</w:t>
            </w:r>
            <w:r>
              <w:rPr>
                <w:rFonts w:hint="eastAsia" w:ascii="Times New Roman" w:hAnsi="Times New Roman" w:eastAsia="宋体" w:cs="Times New Roman"/>
                <w:color w:val="auto"/>
                <w:sz w:val="24"/>
                <w:szCs w:val="24"/>
                <w:lang w:val="en-US" w:eastAsia="zh-CN" w:bidi="ar"/>
              </w:rPr>
              <w:t>43</w:t>
            </w:r>
            <w:r>
              <w:rPr>
                <w:rFonts w:hint="default" w:ascii="Times New Roman" w:hAnsi="Times New Roman" w:eastAsia="宋体" w:cs="Times New Roman"/>
                <w:color w:val="auto"/>
                <w:sz w:val="24"/>
                <w:szCs w:val="24"/>
                <w:lang w:val="en-US" w:eastAsia="zh-CN" w:bidi="ar"/>
              </w:rPr>
              <w:t>个/次，单个塑料桶的占地面积约为0.1m</w:t>
            </w:r>
            <w:r>
              <w:rPr>
                <w:rFonts w:hint="default" w:ascii="Times New Roman" w:hAnsi="Times New Roman" w:eastAsia="宋体" w:cs="Times New Roman"/>
                <w:color w:val="auto"/>
                <w:sz w:val="24"/>
                <w:szCs w:val="24"/>
                <w:vertAlign w:val="superscript"/>
                <w:lang w:val="en-US" w:eastAsia="zh-CN" w:bidi="ar"/>
              </w:rPr>
              <w:t>2</w:t>
            </w:r>
            <w:r>
              <w:rPr>
                <w:rFonts w:hint="default" w:ascii="Times New Roman" w:hAnsi="Times New Roman" w:eastAsia="宋体" w:cs="Times New Roman"/>
                <w:color w:val="auto"/>
                <w:sz w:val="24"/>
                <w:szCs w:val="24"/>
                <w:lang w:val="en-US" w:eastAsia="zh-CN" w:bidi="ar"/>
              </w:rPr>
              <w:t>，按照</w:t>
            </w:r>
            <w:r>
              <w:rPr>
                <w:rFonts w:hint="eastAsia" w:cs="Times New Roman"/>
                <w:color w:val="auto"/>
                <w:sz w:val="24"/>
                <w:szCs w:val="24"/>
                <w:lang w:val="en-US" w:eastAsia="zh-CN" w:bidi="ar"/>
              </w:rPr>
              <w:t>3</w:t>
            </w:r>
            <w:r>
              <w:rPr>
                <w:rFonts w:hint="default" w:ascii="Times New Roman" w:hAnsi="Times New Roman" w:eastAsia="宋体" w:cs="Times New Roman"/>
                <w:color w:val="auto"/>
                <w:sz w:val="24"/>
                <w:szCs w:val="24"/>
                <w:lang w:val="en-US" w:eastAsia="zh-CN" w:bidi="ar"/>
              </w:rPr>
              <w:t>层暂存考虑，则所需暂存面积约为</w:t>
            </w:r>
            <w:r>
              <w:rPr>
                <w:rFonts w:hint="eastAsia" w:ascii="Times New Roman" w:hAnsi="Times New Roman" w:eastAsia="宋体" w:cs="Times New Roman"/>
                <w:color w:val="auto"/>
                <w:sz w:val="24"/>
                <w:szCs w:val="24"/>
                <w:lang w:val="en-US" w:eastAsia="zh-CN" w:bidi="ar"/>
              </w:rPr>
              <w:t>1.5</w:t>
            </w:r>
            <w:r>
              <w:rPr>
                <w:rFonts w:hint="default" w:ascii="Times New Roman" w:hAnsi="Times New Roman" w:eastAsia="宋体" w:cs="Times New Roman"/>
                <w:color w:val="auto"/>
                <w:sz w:val="24"/>
                <w:szCs w:val="24"/>
                <w:lang w:val="en-US" w:eastAsia="zh-CN" w:bidi="ar"/>
              </w:rPr>
              <w:t>m</w:t>
            </w:r>
            <w:r>
              <w:rPr>
                <w:rFonts w:hint="default" w:ascii="Times New Roman" w:hAnsi="Times New Roman" w:eastAsia="宋体" w:cs="Times New Roman"/>
                <w:color w:val="auto"/>
                <w:sz w:val="24"/>
                <w:szCs w:val="24"/>
                <w:vertAlign w:val="superscript"/>
                <w:lang w:val="en-US" w:eastAsia="zh-CN" w:bidi="ar"/>
              </w:rPr>
              <w:t>2</w:t>
            </w:r>
            <w:r>
              <w:rPr>
                <w:rFonts w:hint="default" w:ascii="Times New Roman" w:hAnsi="Times New Roman" w:eastAsia="宋体" w:cs="Times New Roman"/>
                <w:color w:val="auto"/>
                <w:sz w:val="24"/>
                <w:szCs w:val="24"/>
                <w:lang w:val="en-US" w:eastAsia="zh-CN" w:bidi="ar"/>
              </w:rPr>
              <w:t>。</w:t>
            </w:r>
          </w:p>
          <w:p w14:paraId="22BD8A41">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auto"/>
                <w:sz w:val="24"/>
                <w:szCs w:val="24"/>
                <w:lang w:val="en-US" w:eastAsia="zh-CN" w:bidi="ar"/>
              </w:rPr>
            </w:pPr>
            <w:r>
              <w:rPr>
                <w:rFonts w:hint="eastAsia" w:ascii="Times New Roman" w:hAnsi="Times New Roman" w:eastAsia="宋体" w:cs="Times New Roman"/>
                <w:color w:val="auto"/>
                <w:sz w:val="24"/>
                <w:szCs w:val="24"/>
                <w:lang w:val="en-US" w:eastAsia="zh-CN" w:bidi="ar"/>
              </w:rPr>
              <w:t>C、</w:t>
            </w:r>
            <w:r>
              <w:rPr>
                <w:rFonts w:hint="eastAsia" w:cs="Times New Roman"/>
                <w:color w:val="auto"/>
                <w:sz w:val="24"/>
                <w:szCs w:val="24"/>
                <w:lang w:eastAsia="zh-CN" w:bidi="ar"/>
              </w:rPr>
              <w:t>废润滑油</w:t>
            </w:r>
            <w:r>
              <w:rPr>
                <w:color w:val="auto"/>
                <w:sz w:val="24"/>
                <w:szCs w:val="24"/>
              </w:rPr>
              <w:t>最大暂存量为</w:t>
            </w:r>
            <w:r>
              <w:rPr>
                <w:rFonts w:hint="eastAsia"/>
                <w:color w:val="auto"/>
                <w:sz w:val="24"/>
                <w:szCs w:val="24"/>
                <w:lang w:val="en-US" w:eastAsia="zh-CN"/>
              </w:rPr>
              <w:t>1</w:t>
            </w:r>
            <w:r>
              <w:rPr>
                <w:color w:val="auto"/>
                <w:sz w:val="24"/>
                <w:szCs w:val="24"/>
              </w:rPr>
              <w:t>t</w:t>
            </w:r>
            <w:r>
              <w:rPr>
                <w:color w:val="auto"/>
                <w:kern w:val="0"/>
                <w:sz w:val="24"/>
                <w:szCs w:val="24"/>
              </w:rPr>
              <w:t>/次</w:t>
            </w:r>
            <w:r>
              <w:rPr>
                <w:color w:val="auto"/>
                <w:sz w:val="24"/>
                <w:szCs w:val="24"/>
              </w:rPr>
              <w:t>，装入容重为</w:t>
            </w:r>
            <w:r>
              <w:rPr>
                <w:rFonts w:hint="eastAsia"/>
                <w:color w:val="auto"/>
                <w:sz w:val="24"/>
                <w:szCs w:val="24"/>
                <w:lang w:val="en-US" w:eastAsia="zh-CN"/>
              </w:rPr>
              <w:t>1t</w:t>
            </w:r>
            <w:r>
              <w:rPr>
                <w:color w:val="auto"/>
                <w:sz w:val="24"/>
                <w:szCs w:val="24"/>
              </w:rPr>
              <w:t>的</w:t>
            </w:r>
            <w:r>
              <w:rPr>
                <w:rFonts w:hint="eastAsia"/>
                <w:color w:val="auto"/>
                <w:sz w:val="24"/>
                <w:szCs w:val="24"/>
              </w:rPr>
              <w:t>塑料桶</w:t>
            </w:r>
            <w:r>
              <w:rPr>
                <w:color w:val="auto"/>
                <w:sz w:val="24"/>
                <w:szCs w:val="24"/>
              </w:rPr>
              <w:t>中</w:t>
            </w:r>
            <w:r>
              <w:rPr>
                <w:rFonts w:hint="eastAsia"/>
                <w:color w:val="auto"/>
                <w:sz w:val="24"/>
                <w:szCs w:val="24"/>
              </w:rPr>
              <w:t>密闭</w:t>
            </w:r>
            <w:r>
              <w:rPr>
                <w:color w:val="auto"/>
                <w:sz w:val="24"/>
                <w:szCs w:val="24"/>
              </w:rPr>
              <w:t>暂存，单个塑料</w:t>
            </w:r>
            <w:r>
              <w:rPr>
                <w:rFonts w:hint="eastAsia"/>
                <w:color w:val="auto"/>
                <w:sz w:val="24"/>
                <w:szCs w:val="24"/>
              </w:rPr>
              <w:t>桶</w:t>
            </w:r>
            <w:r>
              <w:rPr>
                <w:color w:val="auto"/>
                <w:sz w:val="24"/>
                <w:szCs w:val="24"/>
              </w:rPr>
              <w:t>的占地面积约为</w:t>
            </w:r>
            <w:r>
              <w:rPr>
                <w:rFonts w:hint="eastAsia"/>
                <w:color w:val="auto"/>
                <w:sz w:val="24"/>
                <w:szCs w:val="24"/>
                <w:lang w:val="en-US" w:eastAsia="zh-CN"/>
              </w:rPr>
              <w:t>1</w:t>
            </w:r>
            <w:r>
              <w:rPr>
                <w:color w:val="auto"/>
                <w:sz w:val="24"/>
                <w:szCs w:val="24"/>
              </w:rPr>
              <w:t>m</w:t>
            </w:r>
            <w:r>
              <w:rPr>
                <w:color w:val="auto"/>
                <w:sz w:val="24"/>
                <w:szCs w:val="24"/>
                <w:vertAlign w:val="superscript"/>
              </w:rPr>
              <w:t>2</w:t>
            </w:r>
            <w:r>
              <w:rPr>
                <w:color w:val="auto"/>
                <w:sz w:val="24"/>
                <w:szCs w:val="24"/>
              </w:rPr>
              <w:t>，则所需暂存面积约为</w:t>
            </w:r>
            <w:r>
              <w:rPr>
                <w:rFonts w:hint="eastAsia"/>
                <w:color w:val="auto"/>
                <w:sz w:val="24"/>
                <w:szCs w:val="24"/>
                <w:lang w:val="en-US" w:eastAsia="zh-CN"/>
              </w:rPr>
              <w:t>1</w:t>
            </w:r>
            <w:r>
              <w:rPr>
                <w:color w:val="auto"/>
                <w:sz w:val="24"/>
                <w:szCs w:val="24"/>
              </w:rPr>
              <w:t>m</w:t>
            </w:r>
            <w:r>
              <w:rPr>
                <w:color w:val="auto"/>
                <w:sz w:val="24"/>
                <w:szCs w:val="24"/>
                <w:vertAlign w:val="superscript"/>
              </w:rPr>
              <w:t>2</w:t>
            </w:r>
            <w:r>
              <w:rPr>
                <w:color w:val="auto"/>
                <w:sz w:val="24"/>
                <w:szCs w:val="24"/>
              </w:rPr>
              <w:t>。</w:t>
            </w:r>
          </w:p>
          <w:p w14:paraId="148C40FF">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auto"/>
                <w:sz w:val="24"/>
                <w:szCs w:val="24"/>
                <w:lang w:eastAsia="zh-CN" w:bidi="ar"/>
              </w:rPr>
            </w:pPr>
            <w:r>
              <w:rPr>
                <w:rFonts w:hint="eastAsia" w:cs="Times New Roman"/>
                <w:color w:val="auto"/>
                <w:sz w:val="24"/>
                <w:szCs w:val="24"/>
                <w:lang w:val="en-US" w:eastAsia="zh-CN" w:bidi="ar"/>
              </w:rPr>
              <w:t>D、</w:t>
            </w:r>
            <w:r>
              <w:rPr>
                <w:rFonts w:hint="eastAsia" w:cs="Times New Roman"/>
                <w:color w:val="auto"/>
                <w:sz w:val="24"/>
                <w:szCs w:val="24"/>
                <w:lang w:eastAsia="zh-CN" w:bidi="ar"/>
              </w:rPr>
              <w:t>废液压油</w:t>
            </w:r>
            <w:r>
              <w:rPr>
                <w:color w:val="auto"/>
                <w:sz w:val="24"/>
                <w:szCs w:val="24"/>
              </w:rPr>
              <w:t>最大暂存量为</w:t>
            </w:r>
            <w:r>
              <w:rPr>
                <w:rFonts w:hint="eastAsia"/>
                <w:color w:val="auto"/>
                <w:sz w:val="24"/>
                <w:szCs w:val="24"/>
                <w:lang w:val="en-US" w:eastAsia="zh-CN"/>
              </w:rPr>
              <w:t>0.333</w:t>
            </w:r>
            <w:r>
              <w:rPr>
                <w:color w:val="auto"/>
                <w:sz w:val="24"/>
                <w:szCs w:val="24"/>
              </w:rPr>
              <w:t>t</w:t>
            </w:r>
            <w:r>
              <w:rPr>
                <w:color w:val="auto"/>
                <w:kern w:val="0"/>
                <w:sz w:val="24"/>
                <w:szCs w:val="24"/>
              </w:rPr>
              <w:t>/次</w:t>
            </w:r>
            <w:r>
              <w:rPr>
                <w:color w:val="auto"/>
                <w:sz w:val="24"/>
                <w:szCs w:val="24"/>
              </w:rPr>
              <w:t>，装入容重为</w:t>
            </w:r>
            <w:r>
              <w:rPr>
                <w:rFonts w:hint="eastAsia"/>
                <w:color w:val="auto"/>
                <w:sz w:val="24"/>
                <w:szCs w:val="24"/>
              </w:rPr>
              <w:t>50</w:t>
            </w:r>
            <w:r>
              <w:rPr>
                <w:rFonts w:hint="eastAsia"/>
                <w:color w:val="auto"/>
                <w:sz w:val="24"/>
                <w:szCs w:val="24"/>
                <w:lang w:val="en-US" w:eastAsia="zh-CN"/>
              </w:rPr>
              <w:t>0</w:t>
            </w:r>
            <w:r>
              <w:rPr>
                <w:color w:val="auto"/>
                <w:sz w:val="24"/>
                <w:szCs w:val="24"/>
              </w:rPr>
              <w:t>kg的</w:t>
            </w:r>
            <w:r>
              <w:rPr>
                <w:rFonts w:hint="eastAsia"/>
                <w:color w:val="auto"/>
                <w:sz w:val="24"/>
                <w:szCs w:val="24"/>
              </w:rPr>
              <w:t>塑料桶</w:t>
            </w:r>
            <w:r>
              <w:rPr>
                <w:color w:val="auto"/>
                <w:sz w:val="24"/>
                <w:szCs w:val="24"/>
              </w:rPr>
              <w:t>中</w:t>
            </w:r>
            <w:r>
              <w:rPr>
                <w:rFonts w:hint="eastAsia"/>
                <w:color w:val="auto"/>
                <w:sz w:val="24"/>
                <w:szCs w:val="24"/>
              </w:rPr>
              <w:t>密闭</w:t>
            </w:r>
            <w:r>
              <w:rPr>
                <w:color w:val="auto"/>
                <w:sz w:val="24"/>
                <w:szCs w:val="24"/>
              </w:rPr>
              <w:t>暂存，单个塑料</w:t>
            </w:r>
            <w:r>
              <w:rPr>
                <w:rFonts w:hint="eastAsia"/>
                <w:color w:val="auto"/>
                <w:sz w:val="24"/>
                <w:szCs w:val="24"/>
              </w:rPr>
              <w:t>桶</w:t>
            </w:r>
            <w:r>
              <w:rPr>
                <w:color w:val="auto"/>
                <w:sz w:val="24"/>
                <w:szCs w:val="24"/>
              </w:rPr>
              <w:t>的占地面积约为</w:t>
            </w:r>
            <w:r>
              <w:rPr>
                <w:rFonts w:hint="eastAsia"/>
                <w:color w:val="auto"/>
                <w:sz w:val="24"/>
                <w:szCs w:val="24"/>
              </w:rPr>
              <w:t>0.5</w:t>
            </w:r>
            <w:r>
              <w:rPr>
                <w:color w:val="auto"/>
                <w:sz w:val="24"/>
                <w:szCs w:val="24"/>
              </w:rPr>
              <w:t>m</w:t>
            </w:r>
            <w:r>
              <w:rPr>
                <w:color w:val="auto"/>
                <w:sz w:val="24"/>
                <w:szCs w:val="24"/>
                <w:vertAlign w:val="superscript"/>
              </w:rPr>
              <w:t>2</w:t>
            </w:r>
            <w:r>
              <w:rPr>
                <w:color w:val="auto"/>
                <w:sz w:val="24"/>
                <w:szCs w:val="24"/>
              </w:rPr>
              <w:t>，则所需暂存面积约为</w:t>
            </w:r>
            <w:r>
              <w:rPr>
                <w:rFonts w:hint="eastAsia"/>
                <w:color w:val="auto"/>
                <w:sz w:val="24"/>
                <w:szCs w:val="24"/>
              </w:rPr>
              <w:t>0.5</w:t>
            </w:r>
            <w:r>
              <w:rPr>
                <w:color w:val="auto"/>
                <w:sz w:val="24"/>
                <w:szCs w:val="24"/>
              </w:rPr>
              <w:t>m</w:t>
            </w:r>
            <w:r>
              <w:rPr>
                <w:color w:val="auto"/>
                <w:sz w:val="24"/>
                <w:szCs w:val="24"/>
                <w:vertAlign w:val="superscript"/>
              </w:rPr>
              <w:t>2</w:t>
            </w:r>
            <w:r>
              <w:rPr>
                <w:color w:val="auto"/>
                <w:sz w:val="24"/>
                <w:szCs w:val="24"/>
              </w:rPr>
              <w:t>。</w:t>
            </w:r>
          </w:p>
          <w:p w14:paraId="30588E58">
            <w:pPr>
              <w:keepNext w:val="0"/>
              <w:keepLines w:val="0"/>
              <w:suppressLineNumbers w:val="0"/>
              <w:spacing w:before="0" w:beforeAutospacing="0" w:after="0" w:afterAutospacing="0" w:line="360" w:lineRule="auto"/>
              <w:ind w:left="0" w:right="0" w:firstLine="480" w:firstLineChars="200"/>
              <w:rPr>
                <w:rFonts w:hint="eastAsia" w:cs="Times New Roman"/>
                <w:color w:val="auto"/>
                <w:sz w:val="24"/>
                <w:szCs w:val="24"/>
                <w:lang w:val="en-US" w:eastAsia="zh-CN" w:bidi="ar"/>
              </w:rPr>
            </w:pPr>
            <w:r>
              <w:rPr>
                <w:rFonts w:hint="eastAsia" w:cs="Times New Roman"/>
                <w:color w:val="auto"/>
                <w:sz w:val="24"/>
                <w:szCs w:val="24"/>
                <w:lang w:val="en-US" w:eastAsia="zh-CN" w:bidi="ar"/>
              </w:rPr>
              <w:t>E、抛光废料</w:t>
            </w:r>
            <w:r>
              <w:rPr>
                <w:color w:val="auto"/>
                <w:sz w:val="24"/>
                <w:szCs w:val="24"/>
              </w:rPr>
              <w:t>最大暂存量为</w:t>
            </w:r>
            <w:r>
              <w:rPr>
                <w:rFonts w:hint="eastAsia"/>
                <w:color w:val="auto"/>
                <w:sz w:val="24"/>
                <w:szCs w:val="24"/>
                <w:lang w:val="en-US" w:eastAsia="zh-CN"/>
              </w:rPr>
              <w:t>2.38</w:t>
            </w:r>
            <w:r>
              <w:rPr>
                <w:color w:val="auto"/>
                <w:sz w:val="24"/>
                <w:szCs w:val="24"/>
              </w:rPr>
              <w:t>t</w:t>
            </w:r>
            <w:r>
              <w:rPr>
                <w:color w:val="auto"/>
                <w:kern w:val="0"/>
                <w:sz w:val="24"/>
                <w:szCs w:val="24"/>
              </w:rPr>
              <w:t>/次</w:t>
            </w:r>
            <w:r>
              <w:rPr>
                <w:color w:val="auto"/>
                <w:sz w:val="24"/>
                <w:szCs w:val="24"/>
              </w:rPr>
              <w:t>，装入容重为</w:t>
            </w:r>
            <w:r>
              <w:rPr>
                <w:rFonts w:hint="eastAsia"/>
                <w:color w:val="auto"/>
                <w:sz w:val="24"/>
                <w:szCs w:val="24"/>
                <w:lang w:val="en-US" w:eastAsia="zh-CN"/>
              </w:rPr>
              <w:t>100kg</w:t>
            </w:r>
            <w:r>
              <w:rPr>
                <w:color w:val="auto"/>
                <w:sz w:val="24"/>
                <w:szCs w:val="24"/>
              </w:rPr>
              <w:t>的</w:t>
            </w:r>
            <w:r>
              <w:rPr>
                <w:rFonts w:hint="eastAsia"/>
                <w:color w:val="auto"/>
                <w:sz w:val="24"/>
                <w:szCs w:val="24"/>
              </w:rPr>
              <w:t>塑料</w:t>
            </w:r>
            <w:r>
              <w:rPr>
                <w:rFonts w:hint="eastAsia"/>
                <w:color w:val="auto"/>
                <w:sz w:val="24"/>
                <w:szCs w:val="24"/>
                <w:lang w:val="en-US" w:eastAsia="zh-CN"/>
              </w:rPr>
              <w:t>袋</w:t>
            </w:r>
            <w:r>
              <w:rPr>
                <w:color w:val="auto"/>
                <w:sz w:val="24"/>
                <w:szCs w:val="24"/>
              </w:rPr>
              <w:t>中</w:t>
            </w:r>
            <w:r>
              <w:rPr>
                <w:rFonts w:hint="eastAsia"/>
                <w:color w:val="auto"/>
                <w:sz w:val="24"/>
                <w:szCs w:val="24"/>
              </w:rPr>
              <w:t>密闭</w:t>
            </w:r>
            <w:r>
              <w:rPr>
                <w:color w:val="auto"/>
                <w:sz w:val="24"/>
                <w:szCs w:val="24"/>
              </w:rPr>
              <w:t>暂存，单个塑料</w:t>
            </w:r>
            <w:r>
              <w:rPr>
                <w:rFonts w:hint="eastAsia"/>
                <w:color w:val="auto"/>
                <w:sz w:val="24"/>
                <w:szCs w:val="24"/>
                <w:lang w:val="en-US" w:eastAsia="zh-CN"/>
              </w:rPr>
              <w:t>袋</w:t>
            </w:r>
            <w:r>
              <w:rPr>
                <w:color w:val="auto"/>
                <w:sz w:val="24"/>
                <w:szCs w:val="24"/>
              </w:rPr>
              <w:t>的占地面积约为</w:t>
            </w:r>
            <w:r>
              <w:rPr>
                <w:rFonts w:hint="eastAsia"/>
                <w:color w:val="auto"/>
                <w:sz w:val="24"/>
                <w:szCs w:val="24"/>
                <w:lang w:val="en-US" w:eastAsia="zh-CN"/>
              </w:rPr>
              <w:t>0.1</w:t>
            </w:r>
            <w:r>
              <w:rPr>
                <w:color w:val="auto"/>
                <w:sz w:val="24"/>
                <w:szCs w:val="24"/>
              </w:rPr>
              <w:t>m</w:t>
            </w:r>
            <w:r>
              <w:rPr>
                <w:color w:val="auto"/>
                <w:sz w:val="24"/>
                <w:szCs w:val="24"/>
                <w:vertAlign w:val="superscript"/>
              </w:rPr>
              <w:t>2</w:t>
            </w:r>
            <w:r>
              <w:rPr>
                <w:color w:val="auto"/>
                <w:sz w:val="24"/>
                <w:szCs w:val="24"/>
              </w:rPr>
              <w:t>，则所需暂存面积约为</w:t>
            </w:r>
            <w:r>
              <w:rPr>
                <w:rFonts w:hint="eastAsia"/>
                <w:color w:val="auto"/>
                <w:sz w:val="24"/>
                <w:szCs w:val="24"/>
                <w:lang w:val="en-US" w:eastAsia="zh-CN"/>
              </w:rPr>
              <w:t>2.4</w:t>
            </w:r>
            <w:r>
              <w:rPr>
                <w:color w:val="auto"/>
                <w:sz w:val="24"/>
                <w:szCs w:val="24"/>
              </w:rPr>
              <w:t>m</w:t>
            </w:r>
            <w:r>
              <w:rPr>
                <w:color w:val="auto"/>
                <w:sz w:val="24"/>
                <w:szCs w:val="24"/>
                <w:vertAlign w:val="superscript"/>
              </w:rPr>
              <w:t>2</w:t>
            </w:r>
            <w:r>
              <w:rPr>
                <w:color w:val="auto"/>
                <w:sz w:val="24"/>
                <w:szCs w:val="24"/>
              </w:rPr>
              <w:t>。</w:t>
            </w:r>
          </w:p>
          <w:p w14:paraId="621E40AA">
            <w:pPr>
              <w:keepNext w:val="0"/>
              <w:keepLines w:val="0"/>
              <w:suppressLineNumbers w:val="0"/>
              <w:spacing w:before="0" w:beforeAutospacing="0" w:after="0" w:afterAutospacing="0" w:line="360" w:lineRule="auto"/>
              <w:ind w:left="0" w:right="0" w:firstLine="480" w:firstLineChars="200"/>
              <w:rPr>
                <w:rFonts w:hint="eastAsia" w:cs="Times New Roman"/>
                <w:color w:val="auto"/>
                <w:sz w:val="24"/>
                <w:szCs w:val="24"/>
                <w:lang w:val="en-US" w:eastAsia="zh-CN" w:bidi="ar"/>
              </w:rPr>
            </w:pPr>
            <w:r>
              <w:rPr>
                <w:rFonts w:hint="eastAsia" w:cs="Times New Roman"/>
                <w:color w:val="auto"/>
                <w:sz w:val="24"/>
                <w:szCs w:val="24"/>
                <w:lang w:val="en-US" w:eastAsia="zh-CN" w:bidi="ar"/>
              </w:rPr>
              <w:t>F、</w:t>
            </w:r>
            <w:r>
              <w:rPr>
                <w:rFonts w:hint="eastAsia" w:cs="Times New Roman"/>
                <w:color w:val="auto"/>
                <w:sz w:val="24"/>
                <w:szCs w:val="24"/>
                <w:lang w:eastAsia="zh-CN" w:bidi="ar"/>
              </w:rPr>
              <w:t>废电池</w:t>
            </w:r>
            <w:r>
              <w:rPr>
                <w:color w:val="auto"/>
                <w:sz w:val="24"/>
                <w:szCs w:val="24"/>
              </w:rPr>
              <w:t>最大暂存量为</w:t>
            </w:r>
            <w:r>
              <w:rPr>
                <w:rFonts w:hint="eastAsia" w:cs="Times New Roman"/>
                <w:color w:val="auto"/>
                <w:sz w:val="24"/>
                <w:szCs w:val="24"/>
                <w:lang w:eastAsia="zh-CN" w:bidi="ar"/>
              </w:rPr>
              <w:t>0.25</w:t>
            </w:r>
            <w:r>
              <w:rPr>
                <w:color w:val="auto"/>
                <w:sz w:val="24"/>
                <w:szCs w:val="24"/>
              </w:rPr>
              <w:t>t</w:t>
            </w:r>
            <w:r>
              <w:rPr>
                <w:color w:val="auto"/>
                <w:kern w:val="0"/>
                <w:sz w:val="24"/>
                <w:szCs w:val="24"/>
              </w:rPr>
              <w:t>/次</w:t>
            </w:r>
            <w:r>
              <w:rPr>
                <w:color w:val="auto"/>
                <w:sz w:val="24"/>
                <w:szCs w:val="24"/>
              </w:rPr>
              <w:t>，装入容重为</w:t>
            </w:r>
            <w:r>
              <w:rPr>
                <w:rFonts w:hint="eastAsia"/>
                <w:color w:val="auto"/>
                <w:sz w:val="24"/>
                <w:szCs w:val="24"/>
                <w:lang w:val="en-US" w:eastAsia="zh-CN"/>
              </w:rPr>
              <w:t>100kg</w:t>
            </w:r>
            <w:r>
              <w:rPr>
                <w:color w:val="auto"/>
                <w:sz w:val="24"/>
                <w:szCs w:val="24"/>
              </w:rPr>
              <w:t>的</w:t>
            </w:r>
            <w:r>
              <w:rPr>
                <w:rFonts w:hint="eastAsia"/>
                <w:color w:val="auto"/>
                <w:sz w:val="24"/>
                <w:szCs w:val="24"/>
              </w:rPr>
              <w:t>塑料</w:t>
            </w:r>
            <w:r>
              <w:rPr>
                <w:rFonts w:hint="eastAsia"/>
                <w:color w:val="auto"/>
                <w:sz w:val="24"/>
                <w:szCs w:val="24"/>
                <w:lang w:val="en-US" w:eastAsia="zh-CN"/>
              </w:rPr>
              <w:t>袋</w:t>
            </w:r>
            <w:r>
              <w:rPr>
                <w:color w:val="auto"/>
                <w:sz w:val="24"/>
                <w:szCs w:val="24"/>
              </w:rPr>
              <w:t>中</w:t>
            </w:r>
            <w:r>
              <w:rPr>
                <w:rFonts w:hint="eastAsia"/>
                <w:color w:val="auto"/>
                <w:sz w:val="24"/>
                <w:szCs w:val="24"/>
              </w:rPr>
              <w:t>密闭</w:t>
            </w:r>
            <w:r>
              <w:rPr>
                <w:color w:val="auto"/>
                <w:sz w:val="24"/>
                <w:szCs w:val="24"/>
              </w:rPr>
              <w:t>暂存，单个塑料</w:t>
            </w:r>
            <w:r>
              <w:rPr>
                <w:rFonts w:hint="eastAsia"/>
                <w:color w:val="auto"/>
                <w:sz w:val="24"/>
                <w:szCs w:val="24"/>
                <w:lang w:val="en-US" w:eastAsia="zh-CN"/>
              </w:rPr>
              <w:t>袋</w:t>
            </w:r>
            <w:r>
              <w:rPr>
                <w:color w:val="auto"/>
                <w:sz w:val="24"/>
                <w:szCs w:val="24"/>
              </w:rPr>
              <w:t>的占地面积约为</w:t>
            </w:r>
            <w:r>
              <w:rPr>
                <w:rFonts w:hint="eastAsia"/>
                <w:color w:val="auto"/>
                <w:sz w:val="24"/>
                <w:szCs w:val="24"/>
                <w:lang w:val="en-US" w:eastAsia="zh-CN"/>
              </w:rPr>
              <w:t>0.1</w:t>
            </w:r>
            <w:r>
              <w:rPr>
                <w:color w:val="auto"/>
                <w:sz w:val="24"/>
                <w:szCs w:val="24"/>
              </w:rPr>
              <w:t>m</w:t>
            </w:r>
            <w:r>
              <w:rPr>
                <w:color w:val="auto"/>
                <w:sz w:val="24"/>
                <w:szCs w:val="24"/>
                <w:vertAlign w:val="superscript"/>
              </w:rPr>
              <w:t>2</w:t>
            </w:r>
            <w:r>
              <w:rPr>
                <w:color w:val="auto"/>
                <w:sz w:val="24"/>
                <w:szCs w:val="24"/>
              </w:rPr>
              <w:t>，则所需暂存面积约为</w:t>
            </w:r>
            <w:r>
              <w:rPr>
                <w:rFonts w:hint="eastAsia"/>
                <w:color w:val="auto"/>
                <w:sz w:val="24"/>
                <w:szCs w:val="24"/>
                <w:lang w:val="en-US" w:eastAsia="zh-CN"/>
              </w:rPr>
              <w:t>0.3</w:t>
            </w:r>
            <w:r>
              <w:rPr>
                <w:color w:val="auto"/>
                <w:sz w:val="24"/>
                <w:szCs w:val="24"/>
              </w:rPr>
              <w:t>m</w:t>
            </w:r>
            <w:r>
              <w:rPr>
                <w:color w:val="auto"/>
                <w:sz w:val="24"/>
                <w:szCs w:val="24"/>
                <w:vertAlign w:val="superscript"/>
              </w:rPr>
              <w:t>2</w:t>
            </w:r>
            <w:r>
              <w:rPr>
                <w:color w:val="auto"/>
                <w:sz w:val="24"/>
                <w:szCs w:val="24"/>
              </w:rPr>
              <w:t>。</w:t>
            </w:r>
          </w:p>
          <w:p w14:paraId="62FF82CA">
            <w:pPr>
              <w:keepNext w:val="0"/>
              <w:keepLines w:val="0"/>
              <w:suppressLineNumbers w:val="0"/>
              <w:spacing w:before="0" w:beforeAutospacing="0" w:after="0" w:afterAutospacing="0" w:line="360" w:lineRule="auto"/>
              <w:ind w:left="0" w:right="0" w:firstLine="480" w:firstLineChars="200"/>
              <w:rPr>
                <w:rFonts w:hint="eastAsia" w:cs="Times New Roman"/>
                <w:color w:val="auto"/>
                <w:sz w:val="24"/>
                <w:szCs w:val="24"/>
                <w:lang w:val="en-US" w:eastAsia="zh-CN" w:bidi="ar"/>
              </w:rPr>
            </w:pPr>
            <w:r>
              <w:rPr>
                <w:rFonts w:hint="eastAsia" w:cs="Times New Roman"/>
                <w:color w:val="auto"/>
                <w:sz w:val="24"/>
                <w:szCs w:val="24"/>
                <w:lang w:val="en-US" w:eastAsia="zh-CN" w:bidi="ar"/>
              </w:rPr>
              <w:t>G、废油</w:t>
            </w:r>
            <w:r>
              <w:rPr>
                <w:color w:val="auto"/>
                <w:sz w:val="24"/>
                <w:szCs w:val="24"/>
              </w:rPr>
              <w:t>最大暂存量为</w:t>
            </w:r>
            <w:r>
              <w:rPr>
                <w:rFonts w:hint="eastAsia"/>
                <w:color w:val="auto"/>
                <w:sz w:val="24"/>
                <w:szCs w:val="24"/>
                <w:lang w:val="en-US" w:eastAsia="zh-CN"/>
              </w:rPr>
              <w:t>1.666</w:t>
            </w:r>
            <w:r>
              <w:rPr>
                <w:color w:val="auto"/>
                <w:sz w:val="24"/>
                <w:szCs w:val="24"/>
              </w:rPr>
              <w:t>t</w:t>
            </w:r>
            <w:r>
              <w:rPr>
                <w:color w:val="auto"/>
                <w:kern w:val="0"/>
                <w:sz w:val="24"/>
                <w:szCs w:val="24"/>
              </w:rPr>
              <w:t>/次</w:t>
            </w:r>
            <w:r>
              <w:rPr>
                <w:color w:val="auto"/>
                <w:sz w:val="24"/>
                <w:szCs w:val="24"/>
              </w:rPr>
              <w:t>，装入容重为</w:t>
            </w:r>
            <w:r>
              <w:rPr>
                <w:rFonts w:hint="eastAsia"/>
                <w:color w:val="auto"/>
                <w:sz w:val="24"/>
                <w:szCs w:val="24"/>
                <w:lang w:val="en-US" w:eastAsia="zh-CN"/>
              </w:rPr>
              <w:t>1t</w:t>
            </w:r>
            <w:r>
              <w:rPr>
                <w:color w:val="auto"/>
                <w:sz w:val="24"/>
                <w:szCs w:val="24"/>
              </w:rPr>
              <w:t>的</w:t>
            </w:r>
            <w:r>
              <w:rPr>
                <w:rFonts w:hint="eastAsia"/>
                <w:color w:val="auto"/>
                <w:sz w:val="24"/>
                <w:szCs w:val="24"/>
              </w:rPr>
              <w:t>塑料桶</w:t>
            </w:r>
            <w:r>
              <w:rPr>
                <w:color w:val="auto"/>
                <w:sz w:val="24"/>
                <w:szCs w:val="24"/>
              </w:rPr>
              <w:t>中</w:t>
            </w:r>
            <w:r>
              <w:rPr>
                <w:rFonts w:hint="eastAsia"/>
                <w:color w:val="auto"/>
                <w:sz w:val="24"/>
                <w:szCs w:val="24"/>
              </w:rPr>
              <w:t>密闭</w:t>
            </w:r>
            <w:r>
              <w:rPr>
                <w:color w:val="auto"/>
                <w:sz w:val="24"/>
                <w:szCs w:val="24"/>
              </w:rPr>
              <w:t>暂存，单个塑料</w:t>
            </w:r>
            <w:r>
              <w:rPr>
                <w:rFonts w:hint="eastAsia"/>
                <w:color w:val="auto"/>
                <w:sz w:val="24"/>
                <w:szCs w:val="24"/>
              </w:rPr>
              <w:t>桶</w:t>
            </w:r>
            <w:r>
              <w:rPr>
                <w:color w:val="auto"/>
                <w:sz w:val="24"/>
                <w:szCs w:val="24"/>
              </w:rPr>
              <w:t>的占地面积约为</w:t>
            </w:r>
            <w:r>
              <w:rPr>
                <w:rFonts w:hint="eastAsia"/>
                <w:color w:val="auto"/>
                <w:sz w:val="24"/>
                <w:szCs w:val="24"/>
                <w:lang w:val="en-US" w:eastAsia="zh-CN"/>
              </w:rPr>
              <w:t>1</w:t>
            </w:r>
            <w:r>
              <w:rPr>
                <w:color w:val="auto"/>
                <w:sz w:val="24"/>
                <w:szCs w:val="24"/>
              </w:rPr>
              <w:t>m</w:t>
            </w:r>
            <w:r>
              <w:rPr>
                <w:color w:val="auto"/>
                <w:sz w:val="24"/>
                <w:szCs w:val="24"/>
                <w:vertAlign w:val="superscript"/>
              </w:rPr>
              <w:t>2</w:t>
            </w:r>
            <w:r>
              <w:rPr>
                <w:color w:val="auto"/>
                <w:sz w:val="24"/>
                <w:szCs w:val="24"/>
              </w:rPr>
              <w:t>，则所需暂存面积约为</w:t>
            </w:r>
            <w:r>
              <w:rPr>
                <w:rFonts w:hint="eastAsia"/>
                <w:color w:val="auto"/>
                <w:sz w:val="24"/>
                <w:szCs w:val="24"/>
                <w:lang w:val="en-US" w:eastAsia="zh-CN"/>
              </w:rPr>
              <w:t>2</w:t>
            </w:r>
            <w:r>
              <w:rPr>
                <w:color w:val="auto"/>
                <w:sz w:val="24"/>
                <w:szCs w:val="24"/>
              </w:rPr>
              <w:t>m</w:t>
            </w:r>
            <w:r>
              <w:rPr>
                <w:color w:val="auto"/>
                <w:sz w:val="24"/>
                <w:szCs w:val="24"/>
                <w:vertAlign w:val="superscript"/>
              </w:rPr>
              <w:t>2</w:t>
            </w:r>
            <w:r>
              <w:rPr>
                <w:color w:val="auto"/>
                <w:sz w:val="24"/>
                <w:szCs w:val="24"/>
              </w:rPr>
              <w:t>。</w:t>
            </w:r>
          </w:p>
          <w:p w14:paraId="71FF0342">
            <w:pPr>
              <w:keepNext w:val="0"/>
              <w:keepLines w:val="0"/>
              <w:suppressLineNumbers w:val="0"/>
              <w:spacing w:before="0" w:beforeAutospacing="0" w:after="0" w:afterAutospacing="0" w:line="360" w:lineRule="auto"/>
              <w:ind w:left="0" w:right="0" w:firstLine="480" w:firstLineChars="200"/>
              <w:rPr>
                <w:rFonts w:hint="default" w:cs="Times New Roman"/>
                <w:color w:val="auto"/>
                <w:sz w:val="24"/>
                <w:szCs w:val="24"/>
                <w:lang w:val="en-US" w:eastAsia="zh-CN" w:bidi="ar"/>
              </w:rPr>
            </w:pPr>
            <w:r>
              <w:rPr>
                <w:rFonts w:hint="eastAsia" w:cs="Times New Roman"/>
                <w:color w:val="auto"/>
                <w:sz w:val="24"/>
                <w:szCs w:val="24"/>
                <w:lang w:val="en-US" w:eastAsia="zh-CN" w:bidi="ar"/>
              </w:rPr>
              <w:t>H、废切削液</w:t>
            </w:r>
            <w:r>
              <w:rPr>
                <w:color w:val="auto"/>
                <w:sz w:val="24"/>
                <w:szCs w:val="24"/>
              </w:rPr>
              <w:t>最大暂存量为</w:t>
            </w:r>
            <w:r>
              <w:rPr>
                <w:rFonts w:hint="eastAsia"/>
                <w:color w:val="auto"/>
                <w:sz w:val="24"/>
                <w:szCs w:val="24"/>
                <w:lang w:val="en-US" w:eastAsia="zh-CN"/>
              </w:rPr>
              <w:t>2.62</w:t>
            </w:r>
            <w:r>
              <w:rPr>
                <w:color w:val="auto"/>
                <w:sz w:val="24"/>
                <w:szCs w:val="24"/>
              </w:rPr>
              <w:t>t</w:t>
            </w:r>
            <w:r>
              <w:rPr>
                <w:color w:val="auto"/>
                <w:kern w:val="0"/>
                <w:sz w:val="24"/>
                <w:szCs w:val="24"/>
              </w:rPr>
              <w:t>/次</w:t>
            </w:r>
            <w:r>
              <w:rPr>
                <w:color w:val="auto"/>
                <w:sz w:val="24"/>
                <w:szCs w:val="24"/>
              </w:rPr>
              <w:t>，装入容重为</w:t>
            </w:r>
            <w:r>
              <w:rPr>
                <w:rFonts w:hint="eastAsia"/>
                <w:color w:val="auto"/>
                <w:sz w:val="24"/>
                <w:szCs w:val="24"/>
                <w:lang w:val="en-US" w:eastAsia="zh-CN"/>
              </w:rPr>
              <w:t>1t</w:t>
            </w:r>
            <w:r>
              <w:rPr>
                <w:color w:val="auto"/>
                <w:sz w:val="24"/>
                <w:szCs w:val="24"/>
              </w:rPr>
              <w:t>的</w:t>
            </w:r>
            <w:r>
              <w:rPr>
                <w:rFonts w:hint="eastAsia"/>
                <w:color w:val="auto"/>
                <w:sz w:val="24"/>
                <w:szCs w:val="24"/>
              </w:rPr>
              <w:t>塑料桶</w:t>
            </w:r>
            <w:r>
              <w:rPr>
                <w:color w:val="auto"/>
                <w:sz w:val="24"/>
                <w:szCs w:val="24"/>
              </w:rPr>
              <w:t>中</w:t>
            </w:r>
            <w:r>
              <w:rPr>
                <w:rFonts w:hint="eastAsia"/>
                <w:color w:val="auto"/>
                <w:sz w:val="24"/>
                <w:szCs w:val="24"/>
              </w:rPr>
              <w:t>密闭</w:t>
            </w:r>
            <w:r>
              <w:rPr>
                <w:color w:val="auto"/>
                <w:sz w:val="24"/>
                <w:szCs w:val="24"/>
              </w:rPr>
              <w:t>暂存，单个塑料</w:t>
            </w:r>
            <w:r>
              <w:rPr>
                <w:rFonts w:hint="eastAsia"/>
                <w:color w:val="auto"/>
                <w:sz w:val="24"/>
                <w:szCs w:val="24"/>
              </w:rPr>
              <w:t>桶</w:t>
            </w:r>
            <w:r>
              <w:rPr>
                <w:color w:val="auto"/>
                <w:sz w:val="24"/>
                <w:szCs w:val="24"/>
              </w:rPr>
              <w:t>的占地面积约为</w:t>
            </w:r>
            <w:r>
              <w:rPr>
                <w:rFonts w:hint="eastAsia"/>
                <w:color w:val="auto"/>
                <w:sz w:val="24"/>
                <w:szCs w:val="24"/>
                <w:lang w:val="en-US" w:eastAsia="zh-CN"/>
              </w:rPr>
              <w:t>1</w:t>
            </w:r>
            <w:r>
              <w:rPr>
                <w:color w:val="auto"/>
                <w:sz w:val="24"/>
                <w:szCs w:val="24"/>
              </w:rPr>
              <w:t>m</w:t>
            </w:r>
            <w:r>
              <w:rPr>
                <w:color w:val="auto"/>
                <w:sz w:val="24"/>
                <w:szCs w:val="24"/>
                <w:vertAlign w:val="superscript"/>
              </w:rPr>
              <w:t>2</w:t>
            </w:r>
            <w:r>
              <w:rPr>
                <w:color w:val="auto"/>
                <w:sz w:val="24"/>
                <w:szCs w:val="24"/>
              </w:rPr>
              <w:t>，则所需暂存面积约为</w:t>
            </w:r>
            <w:r>
              <w:rPr>
                <w:rFonts w:hint="eastAsia"/>
                <w:color w:val="auto"/>
                <w:sz w:val="24"/>
                <w:szCs w:val="24"/>
                <w:lang w:val="en-US" w:eastAsia="zh-CN"/>
              </w:rPr>
              <w:t>3</w:t>
            </w:r>
            <w:r>
              <w:rPr>
                <w:color w:val="auto"/>
                <w:sz w:val="24"/>
                <w:szCs w:val="24"/>
              </w:rPr>
              <w:t>m</w:t>
            </w:r>
            <w:r>
              <w:rPr>
                <w:color w:val="auto"/>
                <w:sz w:val="24"/>
                <w:szCs w:val="24"/>
                <w:vertAlign w:val="superscript"/>
              </w:rPr>
              <w:t>2</w:t>
            </w:r>
            <w:r>
              <w:rPr>
                <w:color w:val="auto"/>
                <w:sz w:val="24"/>
                <w:szCs w:val="24"/>
              </w:rPr>
              <w:t>。</w:t>
            </w:r>
          </w:p>
          <w:p w14:paraId="5FD23EAC">
            <w:pPr>
              <w:keepNext w:val="0"/>
              <w:keepLines w:val="0"/>
              <w:suppressLineNumbers w:val="0"/>
              <w:spacing w:before="0" w:beforeAutospacing="0" w:after="0" w:afterAutospacing="0" w:line="360" w:lineRule="auto"/>
              <w:ind w:left="0" w:right="0" w:firstLine="480" w:firstLineChars="200"/>
              <w:rPr>
                <w:rFonts w:hint="eastAsia" w:ascii="Times New Roman" w:hAnsi="Times New Roman" w:eastAsia="宋体" w:cs="Times New Roman"/>
                <w:color w:val="auto"/>
                <w:sz w:val="24"/>
                <w:szCs w:val="24"/>
                <w:lang w:val="en-US" w:eastAsia="zh-CN" w:bidi="ar"/>
              </w:rPr>
            </w:pPr>
            <w:r>
              <w:rPr>
                <w:rFonts w:hint="eastAsia" w:cs="Times New Roman"/>
                <w:color w:val="auto"/>
                <w:sz w:val="24"/>
                <w:szCs w:val="24"/>
                <w:lang w:val="en-US" w:eastAsia="zh-CN" w:bidi="ar"/>
              </w:rPr>
              <w:t>I、废刷子</w:t>
            </w:r>
            <w:r>
              <w:rPr>
                <w:color w:val="auto"/>
                <w:sz w:val="24"/>
                <w:szCs w:val="24"/>
              </w:rPr>
              <w:t>最大暂存量为</w:t>
            </w:r>
            <w:r>
              <w:rPr>
                <w:rFonts w:hint="eastAsia"/>
                <w:color w:val="auto"/>
                <w:sz w:val="24"/>
                <w:szCs w:val="24"/>
                <w:lang w:val="en-US" w:eastAsia="zh-CN"/>
              </w:rPr>
              <w:t>0.075</w:t>
            </w:r>
            <w:r>
              <w:rPr>
                <w:color w:val="auto"/>
                <w:sz w:val="24"/>
                <w:szCs w:val="24"/>
              </w:rPr>
              <w:t>t</w:t>
            </w:r>
            <w:r>
              <w:rPr>
                <w:color w:val="auto"/>
                <w:kern w:val="0"/>
                <w:sz w:val="24"/>
                <w:szCs w:val="24"/>
              </w:rPr>
              <w:t>/次</w:t>
            </w:r>
            <w:r>
              <w:rPr>
                <w:color w:val="auto"/>
                <w:sz w:val="24"/>
                <w:szCs w:val="24"/>
              </w:rPr>
              <w:t>，装入容重为</w:t>
            </w:r>
            <w:r>
              <w:rPr>
                <w:rFonts w:hint="eastAsia"/>
                <w:color w:val="auto"/>
                <w:sz w:val="24"/>
                <w:szCs w:val="24"/>
                <w:lang w:val="en-US" w:eastAsia="zh-CN"/>
              </w:rPr>
              <w:t>100kg</w:t>
            </w:r>
            <w:r>
              <w:rPr>
                <w:color w:val="auto"/>
                <w:sz w:val="24"/>
                <w:szCs w:val="24"/>
              </w:rPr>
              <w:t>的</w:t>
            </w:r>
            <w:r>
              <w:rPr>
                <w:rFonts w:hint="eastAsia"/>
                <w:color w:val="auto"/>
                <w:sz w:val="24"/>
                <w:szCs w:val="24"/>
              </w:rPr>
              <w:t>塑料</w:t>
            </w:r>
            <w:r>
              <w:rPr>
                <w:rFonts w:hint="eastAsia"/>
                <w:color w:val="auto"/>
                <w:sz w:val="24"/>
                <w:szCs w:val="24"/>
                <w:lang w:val="en-US" w:eastAsia="zh-CN"/>
              </w:rPr>
              <w:t>袋</w:t>
            </w:r>
            <w:r>
              <w:rPr>
                <w:color w:val="auto"/>
                <w:sz w:val="24"/>
                <w:szCs w:val="24"/>
              </w:rPr>
              <w:t>中</w:t>
            </w:r>
            <w:r>
              <w:rPr>
                <w:rFonts w:hint="eastAsia"/>
                <w:color w:val="auto"/>
                <w:sz w:val="24"/>
                <w:szCs w:val="24"/>
              </w:rPr>
              <w:t>密闭</w:t>
            </w:r>
            <w:r>
              <w:rPr>
                <w:color w:val="auto"/>
                <w:sz w:val="24"/>
                <w:szCs w:val="24"/>
              </w:rPr>
              <w:t>暂存，单个塑料</w:t>
            </w:r>
            <w:r>
              <w:rPr>
                <w:rFonts w:hint="eastAsia"/>
                <w:color w:val="auto"/>
                <w:sz w:val="24"/>
                <w:szCs w:val="24"/>
                <w:lang w:val="en-US" w:eastAsia="zh-CN"/>
              </w:rPr>
              <w:t>袋</w:t>
            </w:r>
            <w:r>
              <w:rPr>
                <w:color w:val="auto"/>
                <w:sz w:val="24"/>
                <w:szCs w:val="24"/>
              </w:rPr>
              <w:t>的占地面积约为</w:t>
            </w:r>
            <w:r>
              <w:rPr>
                <w:rFonts w:hint="eastAsia"/>
                <w:color w:val="auto"/>
                <w:sz w:val="24"/>
                <w:szCs w:val="24"/>
                <w:lang w:val="en-US" w:eastAsia="zh-CN"/>
              </w:rPr>
              <w:t>0.1</w:t>
            </w:r>
            <w:r>
              <w:rPr>
                <w:color w:val="auto"/>
                <w:sz w:val="24"/>
                <w:szCs w:val="24"/>
              </w:rPr>
              <w:t>m</w:t>
            </w:r>
            <w:r>
              <w:rPr>
                <w:color w:val="auto"/>
                <w:sz w:val="24"/>
                <w:szCs w:val="24"/>
                <w:vertAlign w:val="superscript"/>
              </w:rPr>
              <w:t>2</w:t>
            </w:r>
            <w:r>
              <w:rPr>
                <w:color w:val="auto"/>
                <w:sz w:val="24"/>
                <w:szCs w:val="24"/>
              </w:rPr>
              <w:t>，则所需暂存面积约为</w:t>
            </w:r>
            <w:r>
              <w:rPr>
                <w:rFonts w:hint="eastAsia"/>
                <w:color w:val="auto"/>
                <w:sz w:val="24"/>
                <w:szCs w:val="24"/>
                <w:lang w:val="en-US" w:eastAsia="zh-CN"/>
              </w:rPr>
              <w:t>0.1</w:t>
            </w:r>
            <w:r>
              <w:rPr>
                <w:color w:val="auto"/>
                <w:sz w:val="24"/>
                <w:szCs w:val="24"/>
              </w:rPr>
              <w:t>m</w:t>
            </w:r>
            <w:r>
              <w:rPr>
                <w:color w:val="auto"/>
                <w:sz w:val="24"/>
                <w:szCs w:val="24"/>
                <w:vertAlign w:val="superscript"/>
              </w:rPr>
              <w:t>2</w:t>
            </w:r>
            <w:r>
              <w:rPr>
                <w:color w:val="auto"/>
                <w:sz w:val="24"/>
                <w:szCs w:val="24"/>
              </w:rPr>
              <w:t>。</w:t>
            </w:r>
          </w:p>
          <w:p w14:paraId="32CCD71B">
            <w:pPr>
              <w:keepNext w:val="0"/>
              <w:keepLines w:val="0"/>
              <w:suppressLineNumbers w:val="0"/>
              <w:spacing w:before="0" w:beforeAutospacing="0" w:after="0" w:afterAutospacing="0" w:line="360" w:lineRule="auto"/>
              <w:ind w:left="0" w:right="0" w:firstLine="480" w:firstLineChars="200"/>
              <w:rPr>
                <w:rFonts w:hint="eastAsia" w:cs="Times New Roman"/>
                <w:color w:val="auto"/>
                <w:sz w:val="24"/>
                <w:szCs w:val="24"/>
                <w:lang w:val="en-US" w:eastAsia="zh-CN" w:bidi="ar"/>
              </w:rPr>
            </w:pPr>
            <w:r>
              <w:rPr>
                <w:rFonts w:hint="eastAsia" w:cs="Times New Roman"/>
                <w:color w:val="auto"/>
                <w:sz w:val="24"/>
                <w:szCs w:val="24"/>
                <w:lang w:val="en-US" w:eastAsia="zh-CN" w:bidi="ar"/>
              </w:rPr>
              <w:t>J、废抹布及手套</w:t>
            </w:r>
            <w:r>
              <w:rPr>
                <w:color w:val="auto"/>
                <w:sz w:val="24"/>
                <w:szCs w:val="24"/>
              </w:rPr>
              <w:t>最大暂存量为</w:t>
            </w:r>
            <w:r>
              <w:rPr>
                <w:rFonts w:hint="eastAsia"/>
                <w:color w:val="auto"/>
                <w:sz w:val="24"/>
                <w:szCs w:val="24"/>
                <w:lang w:val="en-US" w:eastAsia="zh-CN"/>
              </w:rPr>
              <w:t>0.015</w:t>
            </w:r>
            <w:r>
              <w:rPr>
                <w:color w:val="auto"/>
                <w:sz w:val="24"/>
                <w:szCs w:val="24"/>
              </w:rPr>
              <w:t>t</w:t>
            </w:r>
            <w:r>
              <w:rPr>
                <w:color w:val="auto"/>
                <w:kern w:val="0"/>
                <w:sz w:val="24"/>
                <w:szCs w:val="24"/>
              </w:rPr>
              <w:t>/次</w:t>
            </w:r>
            <w:r>
              <w:rPr>
                <w:color w:val="auto"/>
                <w:sz w:val="24"/>
                <w:szCs w:val="24"/>
              </w:rPr>
              <w:t>，装入容重为</w:t>
            </w:r>
            <w:r>
              <w:rPr>
                <w:rFonts w:hint="eastAsia"/>
                <w:color w:val="auto"/>
                <w:sz w:val="24"/>
                <w:szCs w:val="24"/>
                <w:lang w:val="en-US" w:eastAsia="zh-CN"/>
              </w:rPr>
              <w:t>20kg</w:t>
            </w:r>
            <w:r>
              <w:rPr>
                <w:color w:val="auto"/>
                <w:sz w:val="24"/>
                <w:szCs w:val="24"/>
              </w:rPr>
              <w:t>的</w:t>
            </w:r>
            <w:r>
              <w:rPr>
                <w:rFonts w:hint="eastAsia"/>
                <w:color w:val="auto"/>
                <w:sz w:val="24"/>
                <w:szCs w:val="24"/>
              </w:rPr>
              <w:t>塑料</w:t>
            </w:r>
            <w:r>
              <w:rPr>
                <w:rFonts w:hint="eastAsia"/>
                <w:color w:val="auto"/>
                <w:sz w:val="24"/>
                <w:szCs w:val="24"/>
                <w:lang w:val="en-US" w:eastAsia="zh-CN"/>
              </w:rPr>
              <w:t>袋</w:t>
            </w:r>
            <w:r>
              <w:rPr>
                <w:color w:val="auto"/>
                <w:sz w:val="24"/>
                <w:szCs w:val="24"/>
              </w:rPr>
              <w:t>中</w:t>
            </w:r>
            <w:r>
              <w:rPr>
                <w:rFonts w:hint="eastAsia"/>
                <w:color w:val="auto"/>
                <w:sz w:val="24"/>
                <w:szCs w:val="24"/>
              </w:rPr>
              <w:t>密闭</w:t>
            </w:r>
            <w:r>
              <w:rPr>
                <w:color w:val="auto"/>
                <w:sz w:val="24"/>
                <w:szCs w:val="24"/>
              </w:rPr>
              <w:t>暂存，单个塑料</w:t>
            </w:r>
            <w:r>
              <w:rPr>
                <w:rFonts w:hint="eastAsia"/>
                <w:color w:val="auto"/>
                <w:sz w:val="24"/>
                <w:szCs w:val="24"/>
                <w:lang w:val="en-US" w:eastAsia="zh-CN"/>
              </w:rPr>
              <w:t>袋</w:t>
            </w:r>
            <w:r>
              <w:rPr>
                <w:color w:val="auto"/>
                <w:sz w:val="24"/>
                <w:szCs w:val="24"/>
              </w:rPr>
              <w:t>的占地面积约为</w:t>
            </w:r>
            <w:r>
              <w:rPr>
                <w:rFonts w:hint="eastAsia"/>
                <w:color w:val="auto"/>
                <w:sz w:val="24"/>
                <w:szCs w:val="24"/>
                <w:lang w:val="en-US" w:eastAsia="zh-CN"/>
              </w:rPr>
              <w:t>0.02</w:t>
            </w:r>
            <w:r>
              <w:rPr>
                <w:color w:val="auto"/>
                <w:sz w:val="24"/>
                <w:szCs w:val="24"/>
              </w:rPr>
              <w:t>m</w:t>
            </w:r>
            <w:r>
              <w:rPr>
                <w:color w:val="auto"/>
                <w:sz w:val="24"/>
                <w:szCs w:val="24"/>
                <w:vertAlign w:val="superscript"/>
              </w:rPr>
              <w:t>2</w:t>
            </w:r>
            <w:r>
              <w:rPr>
                <w:color w:val="auto"/>
                <w:sz w:val="24"/>
                <w:szCs w:val="24"/>
              </w:rPr>
              <w:t>，则所需暂存面积约为</w:t>
            </w:r>
            <w:r>
              <w:rPr>
                <w:rFonts w:hint="eastAsia"/>
                <w:color w:val="auto"/>
                <w:sz w:val="24"/>
                <w:szCs w:val="24"/>
                <w:lang w:val="en-US" w:eastAsia="zh-CN"/>
              </w:rPr>
              <w:t>0.02</w:t>
            </w:r>
            <w:r>
              <w:rPr>
                <w:color w:val="auto"/>
                <w:sz w:val="24"/>
                <w:szCs w:val="24"/>
              </w:rPr>
              <w:t>m</w:t>
            </w:r>
            <w:r>
              <w:rPr>
                <w:color w:val="auto"/>
                <w:sz w:val="24"/>
                <w:szCs w:val="24"/>
                <w:vertAlign w:val="superscript"/>
              </w:rPr>
              <w:t>2</w:t>
            </w:r>
            <w:r>
              <w:rPr>
                <w:color w:val="auto"/>
                <w:sz w:val="24"/>
                <w:szCs w:val="24"/>
              </w:rPr>
              <w:t>。</w:t>
            </w:r>
          </w:p>
          <w:p w14:paraId="74BFD650">
            <w:pPr>
              <w:keepNext w:val="0"/>
              <w:keepLines w:val="0"/>
              <w:suppressLineNumbers w:val="0"/>
              <w:spacing w:before="0" w:beforeAutospacing="0" w:after="0" w:afterAutospacing="0" w:line="360" w:lineRule="auto"/>
              <w:ind w:left="0" w:right="0" w:firstLine="480" w:firstLineChars="200"/>
              <w:rPr>
                <w:rFonts w:hint="default" w:cs="Times New Roman"/>
                <w:color w:val="auto"/>
                <w:sz w:val="24"/>
                <w:szCs w:val="24"/>
                <w:lang w:val="en-US" w:eastAsia="zh-CN" w:bidi="ar"/>
              </w:rPr>
            </w:pPr>
            <w:r>
              <w:rPr>
                <w:rFonts w:hint="eastAsia" w:cs="Times New Roman"/>
                <w:color w:val="auto"/>
                <w:sz w:val="24"/>
                <w:szCs w:val="24"/>
                <w:lang w:val="en-US" w:eastAsia="zh-CN" w:bidi="ar"/>
              </w:rPr>
              <w:t>K、废包装桶</w:t>
            </w:r>
            <w:r>
              <w:rPr>
                <w:rFonts w:hint="default" w:ascii="Times New Roman" w:hAnsi="Times New Roman" w:eastAsia="宋体" w:cs="Times New Roman"/>
                <w:color w:val="auto"/>
                <w:sz w:val="24"/>
                <w:szCs w:val="24"/>
                <w:lang w:val="en-US" w:eastAsia="zh-CN" w:bidi="ar"/>
              </w:rPr>
              <w:t>加盖密闭，最大暂存量为</w:t>
            </w:r>
            <w:r>
              <w:rPr>
                <w:rFonts w:hint="eastAsia" w:ascii="Times New Roman" w:hAnsi="Times New Roman" w:eastAsia="宋体" w:cs="Times New Roman"/>
                <w:color w:val="auto"/>
                <w:sz w:val="24"/>
                <w:szCs w:val="24"/>
                <w:lang w:val="en-US" w:eastAsia="zh-CN" w:bidi="ar"/>
              </w:rPr>
              <w:t>0.055</w:t>
            </w:r>
            <w:r>
              <w:rPr>
                <w:rFonts w:hint="default" w:ascii="Times New Roman" w:hAnsi="Times New Roman" w:eastAsia="宋体" w:cs="Times New Roman"/>
                <w:color w:val="auto"/>
                <w:sz w:val="24"/>
                <w:szCs w:val="24"/>
                <w:lang w:val="en-US" w:eastAsia="zh-CN" w:bidi="ar"/>
              </w:rPr>
              <w:t>t/次，共</w:t>
            </w:r>
            <w:r>
              <w:rPr>
                <w:rFonts w:hint="eastAsia" w:ascii="Times New Roman" w:hAnsi="Times New Roman" w:eastAsia="宋体" w:cs="Times New Roman"/>
                <w:color w:val="auto"/>
                <w:sz w:val="24"/>
                <w:szCs w:val="24"/>
                <w:lang w:val="en-US" w:eastAsia="zh-CN" w:bidi="ar"/>
              </w:rPr>
              <w:t>11</w:t>
            </w:r>
            <w:r>
              <w:rPr>
                <w:rFonts w:hint="default" w:ascii="Times New Roman" w:hAnsi="Times New Roman" w:eastAsia="宋体" w:cs="Times New Roman"/>
                <w:color w:val="auto"/>
                <w:sz w:val="24"/>
                <w:szCs w:val="24"/>
                <w:lang w:val="en-US" w:eastAsia="zh-CN" w:bidi="ar"/>
              </w:rPr>
              <w:t>个/次，单个塑料桶的占地面积约为0.1m</w:t>
            </w:r>
            <w:r>
              <w:rPr>
                <w:rFonts w:hint="default" w:ascii="Times New Roman" w:hAnsi="Times New Roman" w:eastAsia="宋体" w:cs="Times New Roman"/>
                <w:color w:val="auto"/>
                <w:sz w:val="24"/>
                <w:szCs w:val="24"/>
                <w:vertAlign w:val="superscript"/>
                <w:lang w:val="en-US" w:eastAsia="zh-CN" w:bidi="ar"/>
              </w:rPr>
              <w:t>2</w:t>
            </w:r>
            <w:r>
              <w:rPr>
                <w:rFonts w:hint="default" w:ascii="Times New Roman" w:hAnsi="Times New Roman" w:eastAsia="宋体" w:cs="Times New Roman"/>
                <w:color w:val="auto"/>
                <w:sz w:val="24"/>
                <w:szCs w:val="24"/>
                <w:lang w:val="en-US" w:eastAsia="zh-CN" w:bidi="ar"/>
              </w:rPr>
              <w:t>，按照</w:t>
            </w:r>
            <w:r>
              <w:rPr>
                <w:rFonts w:hint="eastAsia" w:cs="Times New Roman"/>
                <w:color w:val="auto"/>
                <w:sz w:val="24"/>
                <w:szCs w:val="24"/>
                <w:lang w:val="en-US" w:eastAsia="zh-CN" w:bidi="ar"/>
              </w:rPr>
              <w:t>3</w:t>
            </w:r>
            <w:r>
              <w:rPr>
                <w:rFonts w:hint="default" w:ascii="Times New Roman" w:hAnsi="Times New Roman" w:eastAsia="宋体" w:cs="Times New Roman"/>
                <w:color w:val="auto"/>
                <w:sz w:val="24"/>
                <w:szCs w:val="24"/>
                <w:lang w:val="en-US" w:eastAsia="zh-CN" w:bidi="ar"/>
              </w:rPr>
              <w:t>层暂存考虑，则所需暂存面积约为</w:t>
            </w:r>
            <w:r>
              <w:rPr>
                <w:rFonts w:hint="eastAsia" w:cs="Times New Roman"/>
                <w:color w:val="auto"/>
                <w:sz w:val="24"/>
                <w:szCs w:val="24"/>
                <w:lang w:val="en-US" w:eastAsia="zh-CN" w:bidi="ar"/>
              </w:rPr>
              <w:t>0.4</w:t>
            </w:r>
            <w:r>
              <w:rPr>
                <w:rFonts w:hint="default" w:ascii="Times New Roman" w:hAnsi="Times New Roman" w:eastAsia="宋体" w:cs="Times New Roman"/>
                <w:color w:val="auto"/>
                <w:sz w:val="24"/>
                <w:szCs w:val="24"/>
                <w:lang w:val="en-US" w:eastAsia="zh-CN" w:bidi="ar"/>
              </w:rPr>
              <w:t>m</w:t>
            </w:r>
            <w:r>
              <w:rPr>
                <w:rFonts w:hint="default" w:ascii="Times New Roman" w:hAnsi="Times New Roman" w:eastAsia="宋体" w:cs="Times New Roman"/>
                <w:color w:val="auto"/>
                <w:sz w:val="24"/>
                <w:szCs w:val="24"/>
                <w:vertAlign w:val="superscript"/>
                <w:lang w:val="en-US" w:eastAsia="zh-CN" w:bidi="ar"/>
              </w:rPr>
              <w:t>2</w:t>
            </w:r>
            <w:r>
              <w:rPr>
                <w:rFonts w:hint="default" w:ascii="Times New Roman" w:hAnsi="Times New Roman" w:eastAsia="宋体" w:cs="Times New Roman"/>
                <w:color w:val="auto"/>
                <w:sz w:val="24"/>
                <w:szCs w:val="24"/>
                <w:lang w:val="en-US" w:eastAsia="zh-CN" w:bidi="ar"/>
              </w:rPr>
              <w:t>。</w:t>
            </w:r>
          </w:p>
          <w:p w14:paraId="4D83217B">
            <w:pPr>
              <w:keepNext w:val="0"/>
              <w:keepLines w:val="0"/>
              <w:suppressLineNumbers w:val="0"/>
              <w:spacing w:before="0" w:beforeAutospacing="0" w:after="0" w:afterAutospacing="0" w:line="360" w:lineRule="auto"/>
              <w:ind w:left="0" w:right="0" w:firstLine="480" w:firstLineChars="200"/>
              <w:rPr>
                <w:rFonts w:hint="default" w:cs="Times New Roman"/>
                <w:color w:val="auto"/>
                <w:sz w:val="24"/>
                <w:szCs w:val="24"/>
                <w:lang w:val="en-US" w:eastAsia="zh-CN" w:bidi="ar"/>
              </w:rPr>
            </w:pPr>
            <w:r>
              <w:rPr>
                <w:rFonts w:hint="eastAsia" w:cs="Times New Roman"/>
                <w:color w:val="auto"/>
                <w:sz w:val="24"/>
                <w:szCs w:val="24"/>
                <w:lang w:val="en-US" w:eastAsia="zh-CN" w:bidi="ar"/>
              </w:rPr>
              <w:t>L、浓液</w:t>
            </w:r>
            <w:r>
              <w:rPr>
                <w:color w:val="auto"/>
                <w:sz w:val="24"/>
                <w:szCs w:val="24"/>
              </w:rPr>
              <w:t>最大暂存量为</w:t>
            </w:r>
            <w:r>
              <w:rPr>
                <w:rFonts w:hint="eastAsia"/>
                <w:color w:val="auto"/>
                <w:sz w:val="24"/>
                <w:szCs w:val="24"/>
                <w:lang w:val="en-US" w:eastAsia="zh-CN"/>
              </w:rPr>
              <w:t>2.11</w:t>
            </w:r>
            <w:r>
              <w:rPr>
                <w:color w:val="auto"/>
                <w:sz w:val="24"/>
                <w:szCs w:val="24"/>
              </w:rPr>
              <w:t>t</w:t>
            </w:r>
            <w:r>
              <w:rPr>
                <w:color w:val="auto"/>
                <w:kern w:val="0"/>
                <w:sz w:val="24"/>
                <w:szCs w:val="24"/>
              </w:rPr>
              <w:t>/次</w:t>
            </w:r>
            <w:r>
              <w:rPr>
                <w:color w:val="auto"/>
                <w:sz w:val="24"/>
                <w:szCs w:val="24"/>
              </w:rPr>
              <w:t>，装入容重为</w:t>
            </w:r>
            <w:r>
              <w:rPr>
                <w:rFonts w:hint="eastAsia"/>
                <w:color w:val="auto"/>
                <w:sz w:val="24"/>
                <w:szCs w:val="24"/>
                <w:lang w:val="en-US" w:eastAsia="zh-CN"/>
              </w:rPr>
              <w:t>100kg</w:t>
            </w:r>
            <w:r>
              <w:rPr>
                <w:color w:val="auto"/>
                <w:sz w:val="24"/>
                <w:szCs w:val="24"/>
              </w:rPr>
              <w:t>的</w:t>
            </w:r>
            <w:r>
              <w:rPr>
                <w:rFonts w:hint="eastAsia"/>
                <w:color w:val="auto"/>
                <w:sz w:val="24"/>
                <w:szCs w:val="24"/>
              </w:rPr>
              <w:t>塑料桶</w:t>
            </w:r>
            <w:r>
              <w:rPr>
                <w:color w:val="auto"/>
                <w:sz w:val="24"/>
                <w:szCs w:val="24"/>
              </w:rPr>
              <w:t>中</w:t>
            </w:r>
            <w:r>
              <w:rPr>
                <w:rFonts w:hint="eastAsia"/>
                <w:color w:val="auto"/>
                <w:sz w:val="24"/>
                <w:szCs w:val="24"/>
              </w:rPr>
              <w:t>密闭</w:t>
            </w:r>
            <w:r>
              <w:rPr>
                <w:color w:val="auto"/>
                <w:sz w:val="24"/>
                <w:szCs w:val="24"/>
              </w:rPr>
              <w:t>暂存，单个塑料</w:t>
            </w:r>
            <w:r>
              <w:rPr>
                <w:rFonts w:hint="eastAsia"/>
                <w:color w:val="auto"/>
                <w:sz w:val="24"/>
                <w:szCs w:val="24"/>
              </w:rPr>
              <w:t>桶</w:t>
            </w:r>
            <w:r>
              <w:rPr>
                <w:color w:val="auto"/>
                <w:sz w:val="24"/>
                <w:szCs w:val="24"/>
              </w:rPr>
              <w:t>的占地面积约为</w:t>
            </w:r>
            <w:r>
              <w:rPr>
                <w:rFonts w:hint="eastAsia"/>
                <w:color w:val="auto"/>
                <w:sz w:val="24"/>
                <w:szCs w:val="24"/>
                <w:lang w:val="en-US" w:eastAsia="zh-CN"/>
              </w:rPr>
              <w:t>0.1</w:t>
            </w:r>
            <w:r>
              <w:rPr>
                <w:color w:val="auto"/>
                <w:sz w:val="24"/>
                <w:szCs w:val="24"/>
              </w:rPr>
              <w:t>m</w:t>
            </w:r>
            <w:r>
              <w:rPr>
                <w:color w:val="auto"/>
                <w:sz w:val="24"/>
                <w:szCs w:val="24"/>
                <w:vertAlign w:val="superscript"/>
              </w:rPr>
              <w:t>2</w:t>
            </w:r>
            <w:r>
              <w:rPr>
                <w:color w:val="auto"/>
                <w:sz w:val="24"/>
                <w:szCs w:val="24"/>
              </w:rPr>
              <w:t>，则所需暂存面积约为</w:t>
            </w:r>
            <w:r>
              <w:rPr>
                <w:rFonts w:hint="eastAsia"/>
                <w:color w:val="auto"/>
                <w:sz w:val="24"/>
                <w:szCs w:val="24"/>
                <w:lang w:val="en-US" w:eastAsia="zh-CN"/>
              </w:rPr>
              <w:t>2.2</w:t>
            </w:r>
            <w:r>
              <w:rPr>
                <w:color w:val="auto"/>
                <w:sz w:val="24"/>
                <w:szCs w:val="24"/>
              </w:rPr>
              <w:t>m</w:t>
            </w:r>
            <w:r>
              <w:rPr>
                <w:color w:val="auto"/>
                <w:sz w:val="24"/>
                <w:szCs w:val="24"/>
                <w:vertAlign w:val="superscript"/>
              </w:rPr>
              <w:t>2</w:t>
            </w:r>
            <w:r>
              <w:rPr>
                <w:color w:val="auto"/>
                <w:sz w:val="24"/>
                <w:szCs w:val="24"/>
              </w:rPr>
              <w:t>。</w:t>
            </w:r>
          </w:p>
          <w:p w14:paraId="526037B7">
            <w:pPr>
              <w:keepNext w:val="0"/>
              <w:keepLines w:val="0"/>
              <w:suppressLineNumbers w:val="0"/>
              <w:spacing w:before="0" w:beforeAutospacing="0" w:after="0" w:afterAutospacing="0" w:line="360" w:lineRule="auto"/>
              <w:ind w:left="0" w:right="0" w:firstLine="480" w:firstLineChars="200"/>
              <w:rPr>
                <w:rFonts w:hint="eastAsia" w:ascii="Times New Roman" w:hAnsi="Times New Roman" w:eastAsia="宋体" w:cs="Times New Roman"/>
                <w:color w:val="auto"/>
                <w:sz w:val="24"/>
                <w:szCs w:val="24"/>
                <w:lang w:val="en-US" w:eastAsia="zh-CN" w:bidi="ar"/>
              </w:rPr>
            </w:pPr>
            <w:r>
              <w:rPr>
                <w:rFonts w:hint="eastAsia" w:cs="Times New Roman"/>
                <w:color w:val="auto"/>
                <w:sz w:val="24"/>
                <w:szCs w:val="24"/>
                <w:lang w:val="en-US" w:eastAsia="zh-CN" w:bidi="ar"/>
              </w:rPr>
              <w:t>M、</w:t>
            </w:r>
            <w:r>
              <w:rPr>
                <w:rFonts w:hint="eastAsia" w:cs="Times New Roman"/>
                <w:color w:val="auto"/>
                <w:sz w:val="24"/>
                <w:szCs w:val="24"/>
                <w:lang w:eastAsia="zh-CN" w:bidi="ar"/>
              </w:rPr>
              <w:t>过滤材料</w:t>
            </w:r>
            <w:r>
              <w:rPr>
                <w:color w:val="auto"/>
                <w:sz w:val="24"/>
                <w:szCs w:val="24"/>
              </w:rPr>
              <w:t>最大暂存量为</w:t>
            </w:r>
            <w:r>
              <w:rPr>
                <w:rFonts w:hint="eastAsia"/>
                <w:color w:val="auto"/>
                <w:sz w:val="24"/>
                <w:szCs w:val="24"/>
                <w:lang w:val="en-US" w:eastAsia="zh-CN"/>
              </w:rPr>
              <w:t>0.5t</w:t>
            </w:r>
            <w:r>
              <w:rPr>
                <w:color w:val="auto"/>
                <w:kern w:val="0"/>
                <w:sz w:val="24"/>
                <w:szCs w:val="24"/>
              </w:rPr>
              <w:t>/次</w:t>
            </w:r>
            <w:r>
              <w:rPr>
                <w:color w:val="auto"/>
                <w:sz w:val="24"/>
                <w:szCs w:val="24"/>
              </w:rPr>
              <w:t>，装入容重为</w:t>
            </w:r>
            <w:r>
              <w:rPr>
                <w:rFonts w:hint="eastAsia"/>
                <w:color w:val="auto"/>
                <w:sz w:val="24"/>
                <w:szCs w:val="24"/>
                <w:lang w:val="en-US" w:eastAsia="zh-CN"/>
              </w:rPr>
              <w:t>500kg</w:t>
            </w:r>
            <w:r>
              <w:rPr>
                <w:color w:val="auto"/>
                <w:sz w:val="24"/>
                <w:szCs w:val="24"/>
              </w:rPr>
              <w:t>的</w:t>
            </w:r>
            <w:r>
              <w:rPr>
                <w:rFonts w:hint="eastAsia"/>
                <w:color w:val="auto"/>
                <w:sz w:val="24"/>
                <w:szCs w:val="24"/>
              </w:rPr>
              <w:t>塑料</w:t>
            </w:r>
            <w:r>
              <w:rPr>
                <w:rFonts w:hint="eastAsia"/>
                <w:color w:val="auto"/>
                <w:sz w:val="24"/>
                <w:szCs w:val="24"/>
                <w:lang w:val="en-US" w:eastAsia="zh-CN"/>
              </w:rPr>
              <w:t>袋</w:t>
            </w:r>
            <w:r>
              <w:rPr>
                <w:color w:val="auto"/>
                <w:sz w:val="24"/>
                <w:szCs w:val="24"/>
              </w:rPr>
              <w:t>中</w:t>
            </w:r>
            <w:r>
              <w:rPr>
                <w:rFonts w:hint="eastAsia"/>
                <w:color w:val="auto"/>
                <w:sz w:val="24"/>
                <w:szCs w:val="24"/>
              </w:rPr>
              <w:t>密闭</w:t>
            </w:r>
            <w:r>
              <w:rPr>
                <w:color w:val="auto"/>
                <w:sz w:val="24"/>
                <w:szCs w:val="24"/>
              </w:rPr>
              <w:t>暂存，单个塑料</w:t>
            </w:r>
            <w:r>
              <w:rPr>
                <w:rFonts w:hint="eastAsia"/>
                <w:color w:val="auto"/>
                <w:sz w:val="24"/>
                <w:szCs w:val="24"/>
                <w:lang w:val="en-US" w:eastAsia="zh-CN"/>
              </w:rPr>
              <w:t>袋</w:t>
            </w:r>
            <w:r>
              <w:rPr>
                <w:color w:val="auto"/>
                <w:sz w:val="24"/>
                <w:szCs w:val="24"/>
              </w:rPr>
              <w:t>的占地面积约为</w:t>
            </w:r>
            <w:r>
              <w:rPr>
                <w:rFonts w:hint="eastAsia"/>
                <w:color w:val="auto"/>
                <w:sz w:val="24"/>
                <w:szCs w:val="24"/>
                <w:lang w:val="en-US" w:eastAsia="zh-CN"/>
              </w:rPr>
              <w:t>0.5</w:t>
            </w:r>
            <w:r>
              <w:rPr>
                <w:color w:val="auto"/>
                <w:sz w:val="24"/>
                <w:szCs w:val="24"/>
              </w:rPr>
              <w:t>m</w:t>
            </w:r>
            <w:r>
              <w:rPr>
                <w:color w:val="auto"/>
                <w:sz w:val="24"/>
                <w:szCs w:val="24"/>
                <w:vertAlign w:val="superscript"/>
              </w:rPr>
              <w:t>2</w:t>
            </w:r>
            <w:r>
              <w:rPr>
                <w:color w:val="auto"/>
                <w:sz w:val="24"/>
                <w:szCs w:val="24"/>
              </w:rPr>
              <w:t>，则所需暂存面积约为</w:t>
            </w:r>
            <w:r>
              <w:rPr>
                <w:rFonts w:hint="eastAsia"/>
                <w:color w:val="auto"/>
                <w:sz w:val="24"/>
                <w:szCs w:val="24"/>
                <w:lang w:val="en-US" w:eastAsia="zh-CN"/>
              </w:rPr>
              <w:t>0.5</w:t>
            </w:r>
            <w:r>
              <w:rPr>
                <w:color w:val="auto"/>
                <w:sz w:val="24"/>
                <w:szCs w:val="24"/>
              </w:rPr>
              <w:t>m</w:t>
            </w:r>
            <w:r>
              <w:rPr>
                <w:color w:val="auto"/>
                <w:sz w:val="24"/>
                <w:szCs w:val="24"/>
                <w:vertAlign w:val="superscript"/>
              </w:rPr>
              <w:t>2</w:t>
            </w:r>
            <w:r>
              <w:rPr>
                <w:color w:val="auto"/>
                <w:sz w:val="24"/>
                <w:szCs w:val="24"/>
              </w:rPr>
              <w:t>。</w:t>
            </w:r>
          </w:p>
          <w:p w14:paraId="00307CB8">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auto"/>
                <w:sz w:val="24"/>
                <w:szCs w:val="24"/>
                <w:lang w:val="en-US" w:eastAsia="zh-CN" w:bidi="ar"/>
              </w:rPr>
            </w:pPr>
            <w:r>
              <w:rPr>
                <w:rFonts w:hint="eastAsia" w:cs="Times New Roman"/>
                <w:color w:val="auto"/>
                <w:sz w:val="24"/>
                <w:szCs w:val="24"/>
                <w:lang w:val="en-US" w:eastAsia="zh-CN" w:bidi="ar"/>
              </w:rPr>
              <w:t>N、空压机含油废水</w:t>
            </w:r>
            <w:r>
              <w:rPr>
                <w:color w:val="auto"/>
                <w:sz w:val="24"/>
                <w:szCs w:val="24"/>
              </w:rPr>
              <w:t>最大暂存量为</w:t>
            </w:r>
            <w:r>
              <w:rPr>
                <w:rFonts w:hint="eastAsia"/>
                <w:color w:val="auto"/>
                <w:sz w:val="24"/>
                <w:szCs w:val="24"/>
                <w:lang w:val="en-US" w:eastAsia="zh-CN"/>
              </w:rPr>
              <w:t>0.05</w:t>
            </w:r>
            <w:r>
              <w:rPr>
                <w:color w:val="auto"/>
                <w:sz w:val="24"/>
                <w:szCs w:val="24"/>
              </w:rPr>
              <w:t>t</w:t>
            </w:r>
            <w:r>
              <w:rPr>
                <w:color w:val="auto"/>
                <w:kern w:val="0"/>
                <w:sz w:val="24"/>
                <w:szCs w:val="24"/>
              </w:rPr>
              <w:t>/次</w:t>
            </w:r>
            <w:r>
              <w:rPr>
                <w:color w:val="auto"/>
                <w:sz w:val="24"/>
                <w:szCs w:val="24"/>
              </w:rPr>
              <w:t>，装入容重为</w:t>
            </w:r>
            <w:r>
              <w:rPr>
                <w:rFonts w:hint="eastAsia"/>
                <w:color w:val="auto"/>
                <w:sz w:val="24"/>
                <w:szCs w:val="24"/>
                <w:lang w:val="en-US" w:eastAsia="zh-CN"/>
              </w:rPr>
              <w:t>50kg</w:t>
            </w:r>
            <w:r>
              <w:rPr>
                <w:color w:val="auto"/>
                <w:sz w:val="24"/>
                <w:szCs w:val="24"/>
              </w:rPr>
              <w:t>的</w:t>
            </w:r>
            <w:r>
              <w:rPr>
                <w:rFonts w:hint="eastAsia"/>
                <w:color w:val="auto"/>
                <w:sz w:val="24"/>
                <w:szCs w:val="24"/>
              </w:rPr>
              <w:t>塑料桶</w:t>
            </w:r>
            <w:r>
              <w:rPr>
                <w:color w:val="auto"/>
                <w:sz w:val="24"/>
                <w:szCs w:val="24"/>
              </w:rPr>
              <w:t>中</w:t>
            </w:r>
            <w:r>
              <w:rPr>
                <w:rFonts w:hint="eastAsia"/>
                <w:color w:val="auto"/>
                <w:sz w:val="24"/>
                <w:szCs w:val="24"/>
              </w:rPr>
              <w:t>密闭</w:t>
            </w:r>
            <w:r>
              <w:rPr>
                <w:color w:val="auto"/>
                <w:sz w:val="24"/>
                <w:szCs w:val="24"/>
              </w:rPr>
              <w:t>暂存，单个塑料</w:t>
            </w:r>
            <w:r>
              <w:rPr>
                <w:rFonts w:hint="eastAsia"/>
                <w:color w:val="auto"/>
                <w:sz w:val="24"/>
                <w:szCs w:val="24"/>
              </w:rPr>
              <w:t>桶</w:t>
            </w:r>
            <w:r>
              <w:rPr>
                <w:color w:val="auto"/>
                <w:sz w:val="24"/>
                <w:szCs w:val="24"/>
              </w:rPr>
              <w:t>的占地面积约为</w:t>
            </w:r>
            <w:r>
              <w:rPr>
                <w:rFonts w:hint="eastAsia"/>
                <w:color w:val="auto"/>
                <w:sz w:val="24"/>
                <w:szCs w:val="24"/>
                <w:lang w:val="en-US" w:eastAsia="zh-CN"/>
              </w:rPr>
              <w:t>0.05</w:t>
            </w:r>
            <w:r>
              <w:rPr>
                <w:color w:val="auto"/>
                <w:sz w:val="24"/>
                <w:szCs w:val="24"/>
              </w:rPr>
              <w:t>m</w:t>
            </w:r>
            <w:r>
              <w:rPr>
                <w:color w:val="auto"/>
                <w:sz w:val="24"/>
                <w:szCs w:val="24"/>
                <w:vertAlign w:val="superscript"/>
              </w:rPr>
              <w:t>2</w:t>
            </w:r>
            <w:r>
              <w:rPr>
                <w:color w:val="auto"/>
                <w:sz w:val="24"/>
                <w:szCs w:val="24"/>
              </w:rPr>
              <w:t>，则所需暂存面积约为</w:t>
            </w:r>
            <w:r>
              <w:rPr>
                <w:rFonts w:hint="eastAsia"/>
                <w:color w:val="auto"/>
                <w:sz w:val="24"/>
                <w:szCs w:val="24"/>
                <w:lang w:val="en-US" w:eastAsia="zh-CN"/>
              </w:rPr>
              <w:t>0.05</w:t>
            </w:r>
            <w:r>
              <w:rPr>
                <w:color w:val="auto"/>
                <w:sz w:val="24"/>
                <w:szCs w:val="24"/>
              </w:rPr>
              <w:t>m</w:t>
            </w:r>
            <w:r>
              <w:rPr>
                <w:color w:val="auto"/>
                <w:sz w:val="24"/>
                <w:szCs w:val="24"/>
                <w:vertAlign w:val="superscript"/>
              </w:rPr>
              <w:t>2</w:t>
            </w:r>
            <w:r>
              <w:rPr>
                <w:color w:val="auto"/>
                <w:sz w:val="24"/>
                <w:szCs w:val="24"/>
              </w:rPr>
              <w:t>。</w:t>
            </w:r>
          </w:p>
          <w:p w14:paraId="794A0A3D">
            <w:pPr>
              <w:keepNext w:val="0"/>
              <w:keepLines w:val="0"/>
              <w:suppressLineNumbers w:val="0"/>
              <w:spacing w:before="0" w:beforeAutospacing="0" w:after="0" w:afterAutospacing="0" w:line="360" w:lineRule="auto"/>
              <w:ind w:left="0" w:right="0" w:firstLine="480" w:firstLineChars="200"/>
              <w:rPr>
                <w:rFonts w:hint="eastAsia" w:ascii="Times New Roman" w:hAnsi="Times New Roman" w:eastAsia="宋体" w:cs="Times New Roman"/>
                <w:color w:val="auto"/>
                <w:sz w:val="24"/>
                <w:szCs w:val="24"/>
                <w:lang w:val="en-US" w:eastAsia="zh-CN" w:bidi="ar"/>
              </w:rPr>
            </w:pPr>
            <w:r>
              <w:rPr>
                <w:rFonts w:hint="eastAsia" w:cs="Times New Roman"/>
                <w:color w:val="auto"/>
                <w:sz w:val="24"/>
                <w:szCs w:val="24"/>
                <w:lang w:val="en-US" w:eastAsia="zh-CN" w:bidi="ar"/>
              </w:rPr>
              <w:t>O、金属屑</w:t>
            </w:r>
            <w:r>
              <w:rPr>
                <w:color w:val="auto"/>
                <w:sz w:val="24"/>
                <w:szCs w:val="24"/>
              </w:rPr>
              <w:t>最大暂存量为</w:t>
            </w:r>
            <w:r>
              <w:rPr>
                <w:rFonts w:hint="eastAsia"/>
                <w:color w:val="auto"/>
                <w:sz w:val="24"/>
                <w:szCs w:val="24"/>
                <w:lang w:val="en-US" w:eastAsia="zh-CN"/>
              </w:rPr>
              <w:t>27.1</w:t>
            </w:r>
            <w:r>
              <w:rPr>
                <w:color w:val="auto"/>
                <w:sz w:val="24"/>
                <w:szCs w:val="24"/>
              </w:rPr>
              <w:t>t</w:t>
            </w:r>
            <w:r>
              <w:rPr>
                <w:color w:val="auto"/>
                <w:kern w:val="0"/>
                <w:sz w:val="24"/>
                <w:szCs w:val="24"/>
              </w:rPr>
              <w:t>/次</w:t>
            </w:r>
            <w:r>
              <w:rPr>
                <w:color w:val="auto"/>
                <w:sz w:val="24"/>
                <w:szCs w:val="24"/>
              </w:rPr>
              <w:t>，装入容重为</w:t>
            </w:r>
            <w:r>
              <w:rPr>
                <w:rFonts w:hint="eastAsia"/>
                <w:color w:val="auto"/>
                <w:sz w:val="24"/>
                <w:szCs w:val="24"/>
                <w:lang w:val="en-US" w:eastAsia="zh-CN"/>
              </w:rPr>
              <w:t>1t</w:t>
            </w:r>
            <w:r>
              <w:rPr>
                <w:color w:val="auto"/>
                <w:sz w:val="24"/>
                <w:szCs w:val="24"/>
              </w:rPr>
              <w:t>的</w:t>
            </w:r>
            <w:r>
              <w:rPr>
                <w:rFonts w:hint="eastAsia"/>
                <w:color w:val="auto"/>
                <w:sz w:val="24"/>
                <w:szCs w:val="24"/>
              </w:rPr>
              <w:t>塑料桶</w:t>
            </w:r>
            <w:r>
              <w:rPr>
                <w:color w:val="auto"/>
                <w:sz w:val="24"/>
                <w:szCs w:val="24"/>
              </w:rPr>
              <w:t>中</w:t>
            </w:r>
            <w:r>
              <w:rPr>
                <w:rFonts w:hint="eastAsia"/>
                <w:color w:val="auto"/>
                <w:sz w:val="24"/>
                <w:szCs w:val="24"/>
              </w:rPr>
              <w:t>密闭</w:t>
            </w:r>
            <w:r>
              <w:rPr>
                <w:color w:val="auto"/>
                <w:sz w:val="24"/>
                <w:szCs w:val="24"/>
              </w:rPr>
              <w:t>暂存，单个塑料</w:t>
            </w:r>
            <w:r>
              <w:rPr>
                <w:rFonts w:hint="eastAsia"/>
                <w:color w:val="auto"/>
                <w:sz w:val="24"/>
                <w:szCs w:val="24"/>
              </w:rPr>
              <w:t>桶</w:t>
            </w:r>
            <w:r>
              <w:rPr>
                <w:color w:val="auto"/>
                <w:sz w:val="24"/>
                <w:szCs w:val="24"/>
              </w:rPr>
              <w:t>的占地面积约为</w:t>
            </w:r>
            <w:r>
              <w:rPr>
                <w:rFonts w:hint="eastAsia"/>
                <w:color w:val="auto"/>
                <w:sz w:val="24"/>
                <w:szCs w:val="24"/>
                <w:lang w:val="en-US" w:eastAsia="zh-CN"/>
              </w:rPr>
              <w:t>1</w:t>
            </w:r>
            <w:r>
              <w:rPr>
                <w:color w:val="auto"/>
                <w:sz w:val="24"/>
                <w:szCs w:val="24"/>
              </w:rPr>
              <w:t>m</w:t>
            </w:r>
            <w:r>
              <w:rPr>
                <w:color w:val="auto"/>
                <w:sz w:val="24"/>
                <w:szCs w:val="24"/>
                <w:vertAlign w:val="superscript"/>
              </w:rPr>
              <w:t>2</w:t>
            </w:r>
            <w:r>
              <w:rPr>
                <w:color w:val="auto"/>
                <w:sz w:val="24"/>
                <w:szCs w:val="24"/>
              </w:rPr>
              <w:t>，则所需暂存面积约为</w:t>
            </w:r>
            <w:r>
              <w:rPr>
                <w:rFonts w:hint="eastAsia"/>
                <w:color w:val="auto"/>
                <w:sz w:val="24"/>
                <w:szCs w:val="24"/>
                <w:lang w:val="en-US" w:eastAsia="zh-CN"/>
              </w:rPr>
              <w:t>28</w:t>
            </w:r>
            <w:r>
              <w:rPr>
                <w:color w:val="auto"/>
                <w:sz w:val="24"/>
                <w:szCs w:val="24"/>
              </w:rPr>
              <w:t>m</w:t>
            </w:r>
            <w:r>
              <w:rPr>
                <w:color w:val="auto"/>
                <w:sz w:val="24"/>
                <w:szCs w:val="24"/>
                <w:vertAlign w:val="superscript"/>
              </w:rPr>
              <w:t>2</w:t>
            </w:r>
            <w:r>
              <w:rPr>
                <w:color w:val="auto"/>
                <w:sz w:val="24"/>
                <w:szCs w:val="24"/>
              </w:rPr>
              <w:t>。</w:t>
            </w:r>
          </w:p>
          <w:p w14:paraId="521AA400">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auto"/>
                <w:sz w:val="24"/>
                <w:szCs w:val="24"/>
                <w:lang w:bidi="ar"/>
              </w:rPr>
            </w:pPr>
            <w:r>
              <w:rPr>
                <w:rFonts w:hint="default" w:ascii="Times New Roman" w:hAnsi="Times New Roman" w:eastAsia="宋体" w:cs="Times New Roman"/>
                <w:color w:val="auto"/>
                <w:sz w:val="24"/>
                <w:szCs w:val="24"/>
                <w:lang w:bidi="ar"/>
              </w:rPr>
              <w:t>因此，</w:t>
            </w:r>
            <w:r>
              <w:rPr>
                <w:rFonts w:hint="eastAsia" w:cs="Times New Roman"/>
                <w:color w:val="auto"/>
                <w:sz w:val="24"/>
                <w:szCs w:val="24"/>
                <w:lang w:val="en-US" w:eastAsia="zh-CN" w:bidi="ar"/>
              </w:rPr>
              <w:t>扩建项目建成后，全厂</w:t>
            </w:r>
            <w:r>
              <w:rPr>
                <w:rFonts w:hint="default" w:ascii="Times New Roman" w:hAnsi="Times New Roman" w:eastAsia="宋体" w:cs="Times New Roman"/>
                <w:color w:val="auto"/>
                <w:sz w:val="24"/>
                <w:szCs w:val="24"/>
                <w:lang w:bidi="ar"/>
              </w:rPr>
              <w:t>所产生的危险废物共需</w:t>
            </w:r>
            <w:r>
              <w:rPr>
                <w:rFonts w:hint="eastAsia"/>
                <w:color w:val="auto"/>
                <w:lang w:val="en-US" w:eastAsia="zh-CN"/>
              </w:rPr>
              <w:t>44.07</w:t>
            </w:r>
            <w:r>
              <w:rPr>
                <w:rFonts w:hint="default" w:ascii="Times New Roman" w:hAnsi="Times New Roman" w:eastAsia="宋体" w:cs="Times New Roman"/>
                <w:color w:val="auto"/>
                <w:sz w:val="24"/>
                <w:szCs w:val="24"/>
                <w:lang w:bidi="ar"/>
              </w:rPr>
              <w:t>m</w:t>
            </w:r>
            <w:r>
              <w:rPr>
                <w:rFonts w:hint="default" w:ascii="Times New Roman" w:hAnsi="Times New Roman" w:eastAsia="宋体" w:cs="Times New Roman"/>
                <w:color w:val="auto"/>
                <w:sz w:val="24"/>
                <w:szCs w:val="24"/>
                <w:vertAlign w:val="superscript"/>
                <w:lang w:bidi="ar"/>
              </w:rPr>
              <w:t>2</w:t>
            </w:r>
            <w:r>
              <w:rPr>
                <w:rFonts w:hint="default" w:ascii="Times New Roman" w:hAnsi="Times New Roman" w:eastAsia="宋体" w:cs="Times New Roman"/>
                <w:color w:val="auto"/>
                <w:sz w:val="24"/>
                <w:szCs w:val="24"/>
                <w:lang w:bidi="ar"/>
              </w:rPr>
              <w:t>区域暂存，考虑到分区暂存、导流渠和运输通道的占地面积，</w:t>
            </w:r>
            <w:r>
              <w:rPr>
                <w:rFonts w:hint="eastAsia" w:cs="Times New Roman"/>
                <w:color w:val="auto"/>
                <w:sz w:val="24"/>
                <w:szCs w:val="24"/>
                <w:lang w:val="en-US" w:eastAsia="zh-CN" w:bidi="ar"/>
              </w:rPr>
              <w:t>现有48</w:t>
            </w:r>
            <w:r>
              <w:rPr>
                <w:rFonts w:hint="default" w:ascii="Times New Roman" w:hAnsi="Times New Roman" w:eastAsia="宋体" w:cs="Times New Roman"/>
                <w:color w:val="auto"/>
                <w:sz w:val="24"/>
                <w:szCs w:val="24"/>
                <w:lang w:bidi="ar"/>
              </w:rPr>
              <w:t>m</w:t>
            </w:r>
            <w:r>
              <w:rPr>
                <w:rFonts w:hint="default" w:ascii="Times New Roman" w:hAnsi="Times New Roman" w:eastAsia="宋体" w:cs="Times New Roman"/>
                <w:color w:val="auto"/>
                <w:sz w:val="24"/>
                <w:szCs w:val="24"/>
                <w:vertAlign w:val="superscript"/>
                <w:lang w:bidi="ar"/>
              </w:rPr>
              <w:t>2</w:t>
            </w:r>
            <w:r>
              <w:rPr>
                <w:rFonts w:hint="default" w:ascii="Times New Roman" w:hAnsi="Times New Roman" w:eastAsia="宋体" w:cs="Times New Roman"/>
                <w:color w:val="auto"/>
                <w:sz w:val="24"/>
                <w:szCs w:val="24"/>
                <w:lang w:bidi="ar"/>
              </w:rPr>
              <w:t>危废库可以满足全厂危废贮存需求。</w:t>
            </w:r>
          </w:p>
          <w:p w14:paraId="3D69DB3B">
            <w:pPr>
              <w:keepNext w:val="0"/>
              <w:keepLines w:val="0"/>
              <w:widowControl w:val="0"/>
              <w:suppressLineNumbers w:val="0"/>
              <w:adjustRightInd w:val="0"/>
              <w:snapToGrid w:val="0"/>
              <w:spacing w:before="0" w:beforeAutospacing="0" w:after="0" w:afterAutospacing="0" w:line="360" w:lineRule="auto"/>
              <w:ind w:left="0" w:right="0" w:firstLine="480" w:firstLineChars="200"/>
              <w:jc w:val="both"/>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
              </w:rPr>
              <w:t>根据</w:t>
            </w:r>
            <w:r>
              <w:rPr>
                <w:rFonts w:hint="eastAsia" w:cs="Times New Roman"/>
                <w:color w:val="auto"/>
                <w:kern w:val="2"/>
                <w:sz w:val="24"/>
                <w:szCs w:val="24"/>
                <w:lang w:val="en-US" w:eastAsia="zh-CN" w:bidi="ar"/>
              </w:rPr>
              <w:t>《</w:t>
            </w:r>
            <w:r>
              <w:rPr>
                <w:rFonts w:hint="default" w:ascii="Times New Roman" w:hAnsi="Times New Roman" w:eastAsia="宋体" w:cs="Times New Roman"/>
                <w:color w:val="auto"/>
                <w:kern w:val="2"/>
                <w:sz w:val="24"/>
                <w:szCs w:val="24"/>
                <w:lang w:val="en-US" w:eastAsia="zh-CN" w:bidi="ar"/>
              </w:rPr>
              <w:t>危险废物贮存污染控制标准</w:t>
            </w:r>
            <w:r>
              <w:rPr>
                <w:rFonts w:hint="eastAsia" w:cs="Times New Roman"/>
                <w:color w:val="auto"/>
                <w:kern w:val="2"/>
                <w:sz w:val="24"/>
                <w:szCs w:val="24"/>
                <w:lang w:val="en-US" w:eastAsia="zh-CN" w:bidi="ar"/>
              </w:rPr>
              <w:t>》</w:t>
            </w:r>
            <w:r>
              <w:rPr>
                <w:rFonts w:hint="default" w:ascii="Times New Roman" w:hAnsi="Times New Roman" w:eastAsia="宋体" w:cs="Times New Roman"/>
                <w:color w:val="auto"/>
                <w:kern w:val="2"/>
                <w:sz w:val="24"/>
                <w:szCs w:val="24"/>
                <w:lang w:val="en-US" w:eastAsia="zh-CN" w:bidi="ar"/>
              </w:rPr>
              <w:t>（GB18597-2023）中6.2.2：在贮存库内或通过贮存分区方式贮存液态危险废物的，应具有液体泄漏堵截设施，堵截设施最小容积不应低于对应贮存区域最大液态废物容器容积或液态废物总储量1/10（二者取较大者）。</w:t>
            </w:r>
            <w:r>
              <w:rPr>
                <w:color w:val="auto"/>
                <w:sz w:val="24"/>
                <w:szCs w:val="24"/>
                <w:lang w:bidi="ar"/>
              </w:rPr>
              <w:t>本项目最大液态废物容积为</w:t>
            </w:r>
            <w:r>
              <w:rPr>
                <w:rFonts w:hint="eastAsia"/>
                <w:color w:val="auto"/>
                <w:sz w:val="24"/>
                <w:szCs w:val="24"/>
                <w:lang w:val="en-US" w:eastAsia="zh-CN" w:bidi="ar"/>
              </w:rPr>
              <w:t>1</w:t>
            </w:r>
            <w:r>
              <w:rPr>
                <w:color w:val="auto"/>
                <w:sz w:val="24"/>
                <w:szCs w:val="24"/>
                <w:lang w:bidi="ar"/>
              </w:rPr>
              <w:t>m</w:t>
            </w:r>
            <w:r>
              <w:rPr>
                <w:color w:val="auto"/>
                <w:sz w:val="24"/>
                <w:szCs w:val="24"/>
                <w:vertAlign w:val="superscript"/>
                <w:lang w:bidi="ar"/>
              </w:rPr>
              <w:t>3</w:t>
            </w:r>
            <w:r>
              <w:rPr>
                <w:color w:val="auto"/>
                <w:sz w:val="24"/>
                <w:szCs w:val="24"/>
                <w:lang w:bidi="ar"/>
              </w:rPr>
              <w:t>，液态废物总储量1/10为</w:t>
            </w:r>
            <w:r>
              <w:rPr>
                <w:rFonts w:hint="eastAsia"/>
                <w:color w:val="auto"/>
                <w:sz w:val="24"/>
                <w:szCs w:val="24"/>
                <w:lang w:val="en-US" w:eastAsia="zh-CN" w:bidi="ar"/>
              </w:rPr>
              <w:t>0.98</w:t>
            </w:r>
            <w:r>
              <w:rPr>
                <w:color w:val="auto"/>
                <w:sz w:val="24"/>
                <w:szCs w:val="24"/>
                <w:lang w:bidi="ar"/>
              </w:rPr>
              <w:t>m</w:t>
            </w:r>
            <w:r>
              <w:rPr>
                <w:color w:val="auto"/>
                <w:sz w:val="24"/>
                <w:szCs w:val="24"/>
                <w:vertAlign w:val="superscript"/>
                <w:lang w:bidi="ar"/>
              </w:rPr>
              <w:t>3</w:t>
            </w:r>
            <w:r>
              <w:rPr>
                <w:color w:val="auto"/>
                <w:sz w:val="24"/>
                <w:szCs w:val="24"/>
                <w:lang w:bidi="ar"/>
              </w:rPr>
              <w:t>，因此本项目设置堵截设施容积为</w:t>
            </w:r>
            <w:r>
              <w:rPr>
                <w:rFonts w:hint="eastAsia"/>
                <w:color w:val="auto"/>
                <w:sz w:val="24"/>
                <w:szCs w:val="24"/>
                <w:lang w:val="en-US" w:eastAsia="zh-CN" w:bidi="ar"/>
              </w:rPr>
              <w:t>1</w:t>
            </w:r>
            <w:r>
              <w:rPr>
                <w:color w:val="auto"/>
                <w:sz w:val="24"/>
                <w:szCs w:val="24"/>
                <w:lang w:bidi="ar"/>
              </w:rPr>
              <w:t>m</w:t>
            </w:r>
            <w:r>
              <w:rPr>
                <w:color w:val="auto"/>
                <w:sz w:val="24"/>
                <w:szCs w:val="24"/>
                <w:vertAlign w:val="superscript"/>
                <w:lang w:bidi="ar"/>
              </w:rPr>
              <w:t>3</w:t>
            </w:r>
            <w:r>
              <w:rPr>
                <w:color w:val="auto"/>
                <w:sz w:val="24"/>
                <w:szCs w:val="24"/>
                <w:lang w:bidi="ar"/>
              </w:rPr>
              <w:t>，位于危废仓库东北角</w:t>
            </w:r>
            <w:r>
              <w:rPr>
                <w:rFonts w:hint="default" w:ascii="Times New Roman" w:hAnsi="Times New Roman" w:eastAsia="宋体" w:cs="Times New Roman"/>
                <w:color w:val="auto"/>
                <w:kern w:val="2"/>
                <w:sz w:val="24"/>
                <w:szCs w:val="24"/>
                <w:lang w:val="en-US" w:eastAsia="zh-CN" w:bidi="ar"/>
              </w:rPr>
              <w:t>。</w:t>
            </w:r>
          </w:p>
          <w:p w14:paraId="0D419A0A">
            <w:pPr>
              <w:keepNext/>
              <w:keepLines/>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outlineLvl w:val="9"/>
              <w:rPr>
                <w:rFonts w:hint="default" w:ascii="Times New Roman" w:hAnsi="Times New Roman" w:eastAsia="宋体" w:cs="Times New Roman"/>
                <w:b/>
                <w:bCs/>
                <w:color w:val="auto"/>
                <w:kern w:val="2"/>
                <w:sz w:val="24"/>
                <w:szCs w:val="24"/>
                <w:lang w:val="en-US" w:eastAsia="zh-CN" w:bidi="ar"/>
              </w:rPr>
            </w:pPr>
            <w:r>
              <w:rPr>
                <w:color w:val="auto"/>
              </w:rPr>
              <w:drawing>
                <wp:inline distT="0" distB="0" distL="114300" distR="114300">
                  <wp:extent cx="5179060" cy="3526155"/>
                  <wp:effectExtent l="0" t="0" r="2540" b="17145"/>
                  <wp:docPr id="1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3"/>
                          <pic:cNvPicPr>
                            <a:picLocks noChangeAspect="1"/>
                          </pic:cNvPicPr>
                        </pic:nvPicPr>
                        <pic:blipFill>
                          <a:blip r:embed="rId18"/>
                          <a:stretch>
                            <a:fillRect/>
                          </a:stretch>
                        </pic:blipFill>
                        <pic:spPr>
                          <a:xfrm>
                            <a:off x="0" y="0"/>
                            <a:ext cx="5179060" cy="3526155"/>
                          </a:xfrm>
                          <a:prstGeom prst="rect">
                            <a:avLst/>
                          </a:prstGeom>
                          <a:noFill/>
                          <a:ln>
                            <a:noFill/>
                          </a:ln>
                        </pic:spPr>
                      </pic:pic>
                    </a:graphicData>
                  </a:graphic>
                </wp:inline>
              </w:drawing>
            </w:r>
          </w:p>
          <w:p w14:paraId="71DC95A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4"/>
                <w:szCs w:val="24"/>
                <w:highlight w:val="none"/>
                <w:lang w:val="en-US" w:eastAsia="zh-CN" w:bidi="ar-SA"/>
              </w:rPr>
            </w:pPr>
            <w:r>
              <w:rPr>
                <w:rFonts w:hint="default" w:ascii="Times New Roman" w:hAnsi="Times New Roman" w:eastAsia="宋体" w:cs="Times New Roman"/>
                <w:b/>
                <w:bCs/>
                <w:color w:val="auto"/>
                <w:sz w:val="24"/>
                <w:szCs w:val="24"/>
                <w:highlight w:val="none"/>
                <w:lang w:val="en-US" w:eastAsia="zh-CN" w:bidi="ar-SA"/>
              </w:rPr>
              <w:t>图4-</w:t>
            </w:r>
            <w:r>
              <w:rPr>
                <w:rFonts w:hint="eastAsia" w:cs="Times New Roman"/>
                <w:b/>
                <w:bCs/>
                <w:color w:val="auto"/>
                <w:sz w:val="24"/>
                <w:szCs w:val="24"/>
                <w:highlight w:val="none"/>
                <w:lang w:val="en-US" w:eastAsia="zh-CN" w:bidi="ar-SA"/>
              </w:rPr>
              <w:t>4</w:t>
            </w:r>
            <w:r>
              <w:rPr>
                <w:rFonts w:hint="default" w:ascii="Times New Roman" w:hAnsi="Times New Roman" w:eastAsia="宋体" w:cs="Times New Roman"/>
                <w:b/>
                <w:bCs/>
                <w:color w:val="auto"/>
                <w:sz w:val="24"/>
                <w:szCs w:val="24"/>
                <w:highlight w:val="none"/>
                <w:lang w:val="en-US" w:eastAsia="zh-CN" w:bidi="ar-SA"/>
              </w:rPr>
              <w:t xml:space="preserve"> 危废仓库分区贮存示意图</w:t>
            </w:r>
          </w:p>
          <w:p w14:paraId="0C780D37">
            <w:pPr>
              <w:keepNext w:val="0"/>
              <w:keepLines w:val="0"/>
              <w:widowControl w:val="0"/>
              <w:suppressLineNumbers w:val="0"/>
              <w:adjustRightInd w:val="0"/>
              <w:snapToGrid w:val="0"/>
              <w:spacing w:before="0" w:beforeAutospacing="0" w:after="0" w:afterAutospacing="0" w:line="360" w:lineRule="auto"/>
              <w:ind w:left="0" w:right="0" w:firstLine="480" w:firstLineChars="200"/>
              <w:jc w:val="both"/>
              <w:rPr>
                <w:rFonts w:hint="default" w:ascii="Times New Roman" w:hAnsi="Times New Roman" w:eastAsia="宋体" w:cs="Times New Roman"/>
                <w:color w:val="auto"/>
                <w:kern w:val="0"/>
                <w:sz w:val="24"/>
                <w:szCs w:val="24"/>
                <w:highlight w:val="none"/>
                <w:lang w:val="en-US" w:eastAsia="zh-CN" w:bidi="ar-SA"/>
              </w:rPr>
            </w:pPr>
            <w:r>
              <w:rPr>
                <w:rFonts w:hint="default" w:ascii="Times New Roman" w:hAnsi="Times New Roman" w:eastAsia="宋体" w:cs="Times New Roman"/>
                <w:color w:val="auto"/>
                <w:kern w:val="0"/>
                <w:sz w:val="24"/>
                <w:szCs w:val="24"/>
                <w:highlight w:val="none"/>
                <w:lang w:val="en-US" w:eastAsia="zh-CN" w:bidi="ar-SA"/>
              </w:rPr>
              <w:t>（6）危险废物运输要求及分析</w:t>
            </w:r>
          </w:p>
          <w:p w14:paraId="7A64E3B5">
            <w:pPr>
              <w:keepNext w:val="0"/>
              <w:keepLines w:val="0"/>
              <w:widowControl w:val="0"/>
              <w:suppressLineNumbers w:val="0"/>
              <w:adjustRightInd w:val="0"/>
              <w:snapToGrid w:val="0"/>
              <w:spacing w:before="0" w:beforeAutospacing="0" w:after="0" w:afterAutospacing="0" w:line="360" w:lineRule="auto"/>
              <w:ind w:left="0" w:right="0" w:firstLine="480" w:firstLineChars="200"/>
              <w:jc w:val="both"/>
              <w:rPr>
                <w:rFonts w:hint="default" w:ascii="Times New Roman" w:hAnsi="Times New Roman" w:eastAsia="宋体" w:cs="Times New Roman"/>
                <w:color w:val="auto"/>
                <w:kern w:val="0"/>
                <w:sz w:val="24"/>
                <w:szCs w:val="24"/>
                <w:highlight w:val="none"/>
                <w:lang w:val="en-US" w:eastAsia="zh-CN" w:bidi="ar-SA"/>
              </w:rPr>
            </w:pPr>
            <w:r>
              <w:rPr>
                <w:rFonts w:hint="default" w:ascii="Times New Roman" w:hAnsi="Times New Roman" w:eastAsia="宋体" w:cs="Times New Roman"/>
                <w:color w:val="auto"/>
                <w:kern w:val="0"/>
                <w:sz w:val="24"/>
                <w:szCs w:val="24"/>
                <w:highlight w:val="none"/>
                <w:lang w:val="en-US" w:eastAsia="zh-CN" w:bidi="ar-SA"/>
              </w:rPr>
              <w:t>企业危险废物运输要求做到以下几点：</w:t>
            </w:r>
          </w:p>
          <w:p w14:paraId="5D757C61">
            <w:pPr>
              <w:keepNext w:val="0"/>
              <w:keepLines w:val="0"/>
              <w:widowControl w:val="0"/>
              <w:suppressLineNumbers w:val="0"/>
              <w:adjustRightInd w:val="0"/>
              <w:snapToGrid w:val="0"/>
              <w:spacing w:before="0" w:beforeAutospacing="0" w:after="0" w:afterAutospacing="0" w:line="360" w:lineRule="auto"/>
              <w:ind w:left="0" w:right="0" w:firstLine="480" w:firstLineChars="200"/>
              <w:jc w:val="both"/>
              <w:rPr>
                <w:rFonts w:hint="default" w:ascii="Times New Roman" w:hAnsi="Times New Roman" w:eastAsia="宋体" w:cs="Times New Roman"/>
                <w:color w:val="auto"/>
                <w:kern w:val="0"/>
                <w:sz w:val="24"/>
                <w:szCs w:val="24"/>
                <w:highlight w:val="none"/>
                <w:lang w:val="en-US" w:eastAsia="zh-CN" w:bidi="ar-SA"/>
              </w:rPr>
            </w:pPr>
            <w:r>
              <w:rPr>
                <w:rFonts w:hint="default" w:ascii="Times New Roman" w:hAnsi="Times New Roman" w:eastAsia="宋体" w:cs="Times New Roman"/>
                <w:color w:val="auto"/>
                <w:kern w:val="0"/>
                <w:sz w:val="24"/>
                <w:szCs w:val="24"/>
                <w:highlight w:val="none"/>
                <w:lang w:val="en-US" w:eastAsia="zh-CN" w:bidi="ar-SA"/>
              </w:rPr>
              <w:t>①危险废物的运输车辆须经主管单位检查，并持有有关单位签发的许可证，负责运输的司机应通过培训，持有证明文件。</w:t>
            </w:r>
          </w:p>
          <w:p w14:paraId="56201EC1">
            <w:pPr>
              <w:keepNext w:val="0"/>
              <w:keepLines w:val="0"/>
              <w:widowControl w:val="0"/>
              <w:suppressLineNumbers w:val="0"/>
              <w:adjustRightInd w:val="0"/>
              <w:snapToGrid w:val="0"/>
              <w:spacing w:before="0" w:beforeAutospacing="0" w:after="0" w:afterAutospacing="0" w:line="360" w:lineRule="auto"/>
              <w:ind w:left="0" w:right="0" w:firstLine="480" w:firstLineChars="200"/>
              <w:jc w:val="both"/>
              <w:rPr>
                <w:rFonts w:hint="default" w:ascii="Times New Roman" w:hAnsi="Times New Roman" w:eastAsia="宋体" w:cs="Times New Roman"/>
                <w:color w:val="auto"/>
                <w:kern w:val="0"/>
                <w:sz w:val="24"/>
                <w:szCs w:val="24"/>
                <w:highlight w:val="none"/>
                <w:lang w:val="en-US" w:eastAsia="zh-CN" w:bidi="ar-SA"/>
              </w:rPr>
            </w:pPr>
            <w:r>
              <w:rPr>
                <w:rFonts w:hint="default" w:ascii="Times New Roman" w:hAnsi="Times New Roman" w:eastAsia="宋体" w:cs="Times New Roman"/>
                <w:color w:val="auto"/>
                <w:kern w:val="0"/>
                <w:sz w:val="24"/>
                <w:szCs w:val="24"/>
                <w:highlight w:val="none"/>
                <w:lang w:val="en-US" w:eastAsia="zh-CN" w:bidi="ar-SA"/>
              </w:rPr>
              <w:t>②承载危险废物的车辆须有明显的标志或适当的危险符号，以引起注意。</w:t>
            </w:r>
          </w:p>
          <w:p w14:paraId="1E1F29D6">
            <w:pPr>
              <w:keepNext w:val="0"/>
              <w:keepLines w:val="0"/>
              <w:widowControl w:val="0"/>
              <w:suppressLineNumbers w:val="0"/>
              <w:adjustRightInd w:val="0"/>
              <w:snapToGrid w:val="0"/>
              <w:spacing w:before="0" w:beforeAutospacing="0" w:after="0" w:afterAutospacing="0" w:line="360" w:lineRule="auto"/>
              <w:ind w:left="0" w:right="0" w:firstLine="480" w:firstLineChars="200"/>
              <w:jc w:val="both"/>
              <w:rPr>
                <w:rFonts w:hint="default" w:ascii="Times New Roman" w:hAnsi="Times New Roman" w:eastAsia="宋体" w:cs="Times New Roman"/>
                <w:color w:val="auto"/>
                <w:kern w:val="0"/>
                <w:sz w:val="24"/>
                <w:szCs w:val="24"/>
                <w:highlight w:val="none"/>
                <w:lang w:val="en-US" w:eastAsia="zh-CN" w:bidi="ar-SA"/>
              </w:rPr>
            </w:pPr>
            <w:r>
              <w:rPr>
                <w:rFonts w:hint="default" w:ascii="Times New Roman" w:hAnsi="Times New Roman" w:eastAsia="宋体" w:cs="Times New Roman"/>
                <w:color w:val="auto"/>
                <w:kern w:val="0"/>
                <w:sz w:val="24"/>
                <w:szCs w:val="24"/>
                <w:highlight w:val="none"/>
                <w:lang w:val="en-US" w:eastAsia="zh-CN" w:bidi="ar-SA"/>
              </w:rPr>
              <w:t>③载有危险废物的车辆在公路上行驶时，须持有运输许可证，其上应注明废物来源、性质和运往地点。</w:t>
            </w:r>
          </w:p>
          <w:p w14:paraId="07499D0A">
            <w:pPr>
              <w:keepNext w:val="0"/>
              <w:keepLines w:val="0"/>
              <w:widowControl w:val="0"/>
              <w:suppressLineNumbers w:val="0"/>
              <w:adjustRightInd w:val="0"/>
              <w:snapToGrid w:val="0"/>
              <w:spacing w:before="0" w:beforeAutospacing="0" w:after="0" w:afterAutospacing="0" w:line="360" w:lineRule="auto"/>
              <w:ind w:left="0" w:right="0" w:firstLine="480" w:firstLineChars="200"/>
              <w:jc w:val="both"/>
              <w:rPr>
                <w:rFonts w:hint="default" w:ascii="Times New Roman" w:hAnsi="Times New Roman" w:eastAsia="宋体" w:cs="Times New Roman"/>
                <w:color w:val="auto"/>
                <w:kern w:val="0"/>
                <w:sz w:val="24"/>
                <w:szCs w:val="24"/>
                <w:highlight w:val="none"/>
                <w:lang w:val="en-US" w:eastAsia="zh-CN" w:bidi="ar-SA"/>
              </w:rPr>
            </w:pPr>
            <w:r>
              <w:rPr>
                <w:rFonts w:hint="default" w:ascii="Times New Roman" w:hAnsi="Times New Roman" w:eastAsia="宋体" w:cs="Times New Roman"/>
                <w:color w:val="auto"/>
                <w:kern w:val="0"/>
                <w:sz w:val="24"/>
                <w:szCs w:val="24"/>
                <w:highlight w:val="none"/>
                <w:lang w:val="en-US" w:eastAsia="zh-CN" w:bidi="ar-SA"/>
              </w:rPr>
              <w:t>④组织危险废物的运输单位，事先需作出周密的运输计划和行驶路线，其中包括有效的废物泄漏情况下的应急措施。</w:t>
            </w:r>
          </w:p>
          <w:p w14:paraId="662F8FC1">
            <w:pPr>
              <w:keepNext w:val="0"/>
              <w:keepLines w:val="0"/>
              <w:widowControl w:val="0"/>
              <w:suppressLineNumbers w:val="0"/>
              <w:adjustRightInd w:val="0"/>
              <w:snapToGrid w:val="0"/>
              <w:spacing w:before="0" w:beforeAutospacing="0" w:after="0" w:afterAutospacing="0" w:line="360" w:lineRule="auto"/>
              <w:ind w:left="0" w:right="0" w:firstLine="480" w:firstLineChars="200"/>
              <w:jc w:val="both"/>
              <w:rPr>
                <w:rFonts w:hint="default" w:ascii="Times New Roman" w:hAnsi="Times New Roman" w:eastAsia="宋体" w:cs="Times New Roman"/>
                <w:color w:val="auto"/>
                <w:kern w:val="0"/>
                <w:sz w:val="24"/>
                <w:szCs w:val="24"/>
                <w:highlight w:val="none"/>
                <w:lang w:val="en-US" w:eastAsia="zh-CN" w:bidi="ar-SA"/>
              </w:rPr>
            </w:pPr>
            <w:r>
              <w:rPr>
                <w:rFonts w:hint="default" w:ascii="Times New Roman" w:hAnsi="Times New Roman" w:eastAsia="宋体" w:cs="Times New Roman"/>
                <w:color w:val="auto"/>
                <w:kern w:val="0"/>
                <w:sz w:val="24"/>
                <w:szCs w:val="24"/>
                <w:highlight w:val="none"/>
                <w:lang w:val="en-US" w:eastAsia="zh-CN" w:bidi="ar-SA"/>
              </w:rPr>
              <w:t>⑤必须配备随车人员在途中经常检查，危险废物如有丢失、被盗，应立即报告当地交通运输、环境保护主管部门，并由交通运输主管部门会同公安部门和环保部门查处。</w:t>
            </w:r>
          </w:p>
          <w:p w14:paraId="03ED7B30">
            <w:pPr>
              <w:keepNext w:val="0"/>
              <w:keepLines w:val="0"/>
              <w:widowControl w:val="0"/>
              <w:suppressLineNumbers w:val="0"/>
              <w:adjustRightInd w:val="0"/>
              <w:snapToGrid w:val="0"/>
              <w:spacing w:before="0" w:beforeAutospacing="0" w:after="0" w:afterAutospacing="0" w:line="360" w:lineRule="auto"/>
              <w:ind w:left="0" w:right="0" w:firstLine="480" w:firstLineChars="200"/>
              <w:jc w:val="both"/>
              <w:rPr>
                <w:rFonts w:hint="default" w:ascii="Times New Roman" w:hAnsi="Times New Roman" w:eastAsia="宋体" w:cs="Times New Roman"/>
                <w:color w:val="auto"/>
                <w:kern w:val="0"/>
                <w:sz w:val="24"/>
                <w:szCs w:val="24"/>
                <w:highlight w:val="none"/>
                <w:lang w:val="en-US" w:eastAsia="zh-CN" w:bidi="ar-SA"/>
              </w:rPr>
            </w:pPr>
            <w:r>
              <w:rPr>
                <w:rFonts w:hint="default" w:ascii="Times New Roman" w:hAnsi="Times New Roman" w:eastAsia="宋体" w:cs="Times New Roman"/>
                <w:color w:val="auto"/>
                <w:kern w:val="0"/>
                <w:sz w:val="24"/>
                <w:szCs w:val="24"/>
                <w:highlight w:val="none"/>
                <w:lang w:val="en-US" w:eastAsia="zh-CN" w:bidi="ar-SA"/>
              </w:rPr>
              <w:t>⑥驾驶人员一次连续驾驶4小时应休息20分钟以上，24小时之内驾驶时间累计不超过8小时。</w:t>
            </w:r>
          </w:p>
          <w:p w14:paraId="558AA69C">
            <w:pPr>
              <w:keepNext w:val="0"/>
              <w:keepLines w:val="0"/>
              <w:widowControl w:val="0"/>
              <w:suppressLineNumbers w:val="0"/>
              <w:adjustRightInd w:val="0"/>
              <w:snapToGrid w:val="0"/>
              <w:spacing w:before="0" w:beforeAutospacing="0" w:after="0" w:afterAutospacing="0" w:line="360" w:lineRule="auto"/>
              <w:ind w:left="0" w:right="0" w:firstLine="480" w:firstLineChars="200"/>
              <w:jc w:val="both"/>
              <w:rPr>
                <w:rFonts w:hint="default" w:ascii="Times New Roman" w:hAnsi="Times New Roman" w:eastAsia="宋体" w:cs="Times New Roman"/>
                <w:color w:val="auto"/>
                <w:kern w:val="0"/>
                <w:sz w:val="24"/>
                <w:szCs w:val="24"/>
                <w:highlight w:val="none"/>
                <w:lang w:val="en-US" w:eastAsia="zh-CN" w:bidi="ar-SA"/>
              </w:rPr>
            </w:pPr>
            <w:r>
              <w:rPr>
                <w:rFonts w:hint="default" w:ascii="Times New Roman" w:hAnsi="Times New Roman" w:eastAsia="宋体" w:cs="Times New Roman"/>
                <w:color w:val="auto"/>
                <w:kern w:val="0"/>
                <w:sz w:val="24"/>
                <w:szCs w:val="24"/>
                <w:highlight w:val="none"/>
                <w:lang w:val="en-US" w:eastAsia="zh-CN" w:bidi="ar-SA"/>
              </w:rPr>
              <w:t>因此企业危废运输过程中对环境影响较小。</w:t>
            </w:r>
          </w:p>
          <w:p w14:paraId="1FE31C78">
            <w:pPr>
              <w:keepNext w:val="0"/>
              <w:keepLines w:val="0"/>
              <w:widowControl w:val="0"/>
              <w:suppressLineNumbers w:val="0"/>
              <w:adjustRightInd w:val="0"/>
              <w:snapToGrid w:val="0"/>
              <w:spacing w:before="0" w:beforeAutospacing="0" w:after="0" w:afterAutospacing="0" w:line="360" w:lineRule="auto"/>
              <w:ind w:left="0" w:right="0" w:firstLine="480" w:firstLineChars="200"/>
              <w:jc w:val="both"/>
              <w:rPr>
                <w:rFonts w:hint="default" w:ascii="Times New Roman" w:hAnsi="Times New Roman" w:eastAsia="宋体" w:cs="Times New Roman"/>
                <w:color w:val="auto"/>
                <w:kern w:val="0"/>
                <w:sz w:val="24"/>
                <w:szCs w:val="24"/>
                <w:highlight w:val="none"/>
                <w:lang w:val="en-US" w:eastAsia="zh-CN" w:bidi="ar-SA"/>
              </w:rPr>
            </w:pPr>
            <w:r>
              <w:rPr>
                <w:rFonts w:hint="default" w:ascii="Times New Roman" w:hAnsi="Times New Roman" w:eastAsia="宋体" w:cs="Times New Roman"/>
                <w:color w:val="auto"/>
                <w:kern w:val="0"/>
                <w:sz w:val="24"/>
                <w:szCs w:val="24"/>
                <w:highlight w:val="none"/>
                <w:lang w:val="en-US" w:eastAsia="zh-CN" w:bidi="ar-SA"/>
              </w:rPr>
              <w:t>（7）危险废物处置要求及分析</w:t>
            </w:r>
          </w:p>
          <w:p w14:paraId="09553108">
            <w:pPr>
              <w:keepNext w:val="0"/>
              <w:keepLines w:val="0"/>
              <w:widowControl w:val="0"/>
              <w:suppressLineNumbers w:val="0"/>
              <w:adjustRightInd w:val="0"/>
              <w:snapToGrid w:val="0"/>
              <w:spacing w:before="0" w:beforeAutospacing="0" w:after="0" w:afterAutospacing="0" w:line="360" w:lineRule="auto"/>
              <w:ind w:left="0" w:right="0" w:firstLine="480" w:firstLineChars="200"/>
              <w:jc w:val="both"/>
              <w:rPr>
                <w:rFonts w:hint="default" w:ascii="Times New Roman" w:hAnsi="Times New Roman" w:eastAsia="宋体" w:cs="Times New Roman"/>
                <w:b/>
                <w:bCs/>
                <w:color w:val="auto"/>
                <w:kern w:val="44"/>
                <w:sz w:val="24"/>
                <w:szCs w:val="24"/>
                <w:lang w:val="en-US" w:eastAsia="zh-CN" w:bidi="ar-SA"/>
              </w:rPr>
            </w:pPr>
            <w:r>
              <w:rPr>
                <w:rFonts w:hint="default" w:ascii="Times New Roman" w:hAnsi="Times New Roman" w:eastAsia="宋体" w:cs="Times New Roman"/>
                <w:color w:val="auto"/>
                <w:kern w:val="0"/>
                <w:sz w:val="24"/>
                <w:szCs w:val="24"/>
                <w:highlight w:val="none"/>
                <w:lang w:val="en-US" w:eastAsia="zh-CN" w:bidi="ar-SA"/>
              </w:rPr>
              <w:t>本项目位于江苏省海安高新技术产业开发区田庄村18组，周边主要的危废处置单位有南通润启环保服务有限公司、上海电气南通国海环保科技有限公司等。危废处置单位情况见下表。</w:t>
            </w:r>
          </w:p>
          <w:p w14:paraId="65E28683">
            <w:pPr>
              <w:keepNext w:val="0"/>
              <w:keepLines w:val="0"/>
              <w:numPr>
                <w:ilvl w:val="0"/>
                <w:numId w:val="0"/>
              </w:numPr>
              <w:suppressLineNumbers w:val="0"/>
              <w:spacing w:before="0" w:beforeAutospacing="0" w:after="0" w:afterAutospacing="0"/>
              <w:ind w:left="0" w:leftChars="0" w:right="0"/>
              <w:jc w:val="center"/>
              <w:rPr>
                <w:rFonts w:hint="default" w:ascii="Times New Roman" w:hAnsi="Times New Roman" w:eastAsia="宋体" w:cs="Times New Roman"/>
                <w:b/>
                <w:bCs/>
                <w:color w:val="auto"/>
                <w:kern w:val="44"/>
                <w:sz w:val="24"/>
                <w:szCs w:val="24"/>
                <w:lang w:val="en-US" w:eastAsia="zh-CN" w:bidi="ar-SA"/>
              </w:rPr>
            </w:pPr>
            <w:r>
              <w:rPr>
                <w:rFonts w:hint="default" w:ascii="Times New Roman" w:hAnsi="Times New Roman" w:eastAsia="宋体" w:cs="Times New Roman"/>
                <w:b/>
                <w:bCs/>
                <w:color w:val="auto"/>
                <w:kern w:val="44"/>
                <w:sz w:val="24"/>
                <w:szCs w:val="24"/>
                <w:lang w:val="en-US" w:eastAsia="zh-CN" w:bidi="ar-SA"/>
              </w:rPr>
              <w:t>表4-</w:t>
            </w:r>
            <w:r>
              <w:rPr>
                <w:rFonts w:hint="eastAsia" w:cs="Times New Roman"/>
                <w:b/>
                <w:bCs/>
                <w:color w:val="auto"/>
                <w:kern w:val="44"/>
                <w:sz w:val="24"/>
                <w:szCs w:val="24"/>
                <w:lang w:val="en-US" w:eastAsia="zh-CN" w:bidi="ar-SA"/>
              </w:rPr>
              <w:t>29</w:t>
            </w:r>
            <w:r>
              <w:rPr>
                <w:rFonts w:hint="default" w:ascii="Times New Roman" w:hAnsi="Times New Roman" w:eastAsia="宋体" w:cs="Times New Roman"/>
                <w:b/>
                <w:bCs/>
                <w:color w:val="auto"/>
                <w:kern w:val="44"/>
                <w:sz w:val="24"/>
                <w:szCs w:val="24"/>
                <w:lang w:val="en-US" w:eastAsia="zh-CN" w:bidi="ar-SA"/>
              </w:rPr>
              <w:t xml:space="preserve"> 危废处置单位情况表</w:t>
            </w:r>
          </w:p>
          <w:tbl>
            <w:tblPr>
              <w:tblStyle w:val="26"/>
              <w:tblW w:w="4985"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097"/>
              <w:gridCol w:w="859"/>
              <w:gridCol w:w="1223"/>
              <w:gridCol w:w="863"/>
              <w:gridCol w:w="880"/>
              <w:gridCol w:w="1523"/>
              <w:gridCol w:w="1693"/>
            </w:tblGrid>
            <w:tr w14:paraId="6275241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483" w:type="pct"/>
                  <w:gridSpan w:val="4"/>
                  <w:tcBorders>
                    <w:tl2br w:val="nil"/>
                    <w:tr2bl w:val="nil"/>
                  </w:tcBorders>
                  <w:noWrap w:val="0"/>
                  <w:vAlign w:val="center"/>
                </w:tcPr>
                <w:p w14:paraId="5ABD84B3">
                  <w:pPr>
                    <w:keepNext w:val="0"/>
                    <w:keepLines w:val="0"/>
                    <w:suppressLineNumbers w:val="0"/>
                    <w:wordWrap w:val="0"/>
                    <w:topLinePunct/>
                    <w:adjustRightInd w:val="0"/>
                    <w:snapToGrid w:val="0"/>
                    <w:spacing w:before="0" w:beforeLines="0" w:beforeAutospacing="0" w:after="0" w:afterLines="0" w:afterAutospacing="0" w:line="240" w:lineRule="atLeast"/>
                    <w:ind w:left="0" w:right="0"/>
                    <w:jc w:val="center"/>
                    <w:rPr>
                      <w:rFonts w:hint="default" w:ascii="Times New Roman" w:hAnsi="Times New Roman" w:eastAsia="宋体" w:cs="Times New Roman"/>
                      <w:b/>
                      <w:color w:val="auto"/>
                      <w:sz w:val="21"/>
                      <w:szCs w:val="21"/>
                      <w:lang w:bidi="ar-SA"/>
                    </w:rPr>
                  </w:pPr>
                  <w:r>
                    <w:rPr>
                      <w:rFonts w:hint="default" w:ascii="Times New Roman" w:hAnsi="Times New Roman" w:eastAsia="宋体" w:cs="Times New Roman"/>
                      <w:b/>
                      <w:color w:val="auto"/>
                      <w:sz w:val="21"/>
                      <w:szCs w:val="21"/>
                      <w:lang w:bidi="ar"/>
                    </w:rPr>
                    <w:t>危废产生情况</w:t>
                  </w:r>
                </w:p>
              </w:tc>
              <w:tc>
                <w:tcPr>
                  <w:tcW w:w="2516" w:type="pct"/>
                  <w:gridSpan w:val="3"/>
                  <w:tcBorders>
                    <w:tl2br w:val="nil"/>
                    <w:tr2bl w:val="nil"/>
                  </w:tcBorders>
                  <w:noWrap w:val="0"/>
                  <w:vAlign w:val="center"/>
                </w:tcPr>
                <w:p w14:paraId="13F87D18">
                  <w:pPr>
                    <w:keepNext w:val="0"/>
                    <w:keepLines w:val="0"/>
                    <w:suppressLineNumbers w:val="0"/>
                    <w:wordWrap w:val="0"/>
                    <w:topLinePunct/>
                    <w:adjustRightInd w:val="0"/>
                    <w:snapToGrid w:val="0"/>
                    <w:spacing w:before="0" w:beforeLines="0" w:beforeAutospacing="0" w:after="0" w:afterLines="0" w:afterAutospacing="0" w:line="240" w:lineRule="atLeast"/>
                    <w:ind w:left="0" w:right="0"/>
                    <w:jc w:val="center"/>
                    <w:rPr>
                      <w:rFonts w:hint="default" w:ascii="Times New Roman" w:hAnsi="Times New Roman" w:eastAsia="宋体" w:cs="Times New Roman"/>
                      <w:b/>
                      <w:color w:val="auto"/>
                      <w:sz w:val="21"/>
                      <w:szCs w:val="21"/>
                      <w:lang w:bidi="ar-SA"/>
                    </w:rPr>
                  </w:pPr>
                  <w:r>
                    <w:rPr>
                      <w:rFonts w:hint="default" w:ascii="Times New Roman" w:hAnsi="Times New Roman" w:eastAsia="宋体" w:cs="Times New Roman"/>
                      <w:b/>
                      <w:color w:val="auto"/>
                      <w:sz w:val="21"/>
                      <w:szCs w:val="21"/>
                      <w:lang w:bidi="ar"/>
                    </w:rPr>
                    <w:t>危废处置单位情况</w:t>
                  </w:r>
                </w:p>
              </w:tc>
            </w:tr>
            <w:tr w14:paraId="6D12330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 w:type="pct"/>
                  <w:tcBorders>
                    <w:tl2br w:val="nil"/>
                    <w:tr2bl w:val="nil"/>
                  </w:tcBorders>
                  <w:noWrap w:val="0"/>
                  <w:vAlign w:val="center"/>
                </w:tcPr>
                <w:p w14:paraId="5DB4C0BF">
                  <w:pPr>
                    <w:keepNext w:val="0"/>
                    <w:keepLines w:val="0"/>
                    <w:suppressLineNumbers w:val="0"/>
                    <w:wordWrap w:val="0"/>
                    <w:topLinePunct/>
                    <w:adjustRightInd w:val="0"/>
                    <w:snapToGrid w:val="0"/>
                    <w:spacing w:before="0" w:beforeLines="0" w:beforeAutospacing="0" w:after="0" w:afterLines="0" w:afterAutospacing="0" w:line="240" w:lineRule="atLeast"/>
                    <w:ind w:left="0" w:right="0"/>
                    <w:jc w:val="center"/>
                    <w:rPr>
                      <w:rFonts w:hint="default" w:ascii="Times New Roman" w:hAnsi="Times New Roman" w:eastAsia="宋体" w:cs="Times New Roman"/>
                      <w:b/>
                      <w:color w:val="auto"/>
                      <w:sz w:val="21"/>
                      <w:szCs w:val="21"/>
                      <w:lang w:bidi="ar-SA"/>
                    </w:rPr>
                  </w:pPr>
                  <w:r>
                    <w:rPr>
                      <w:rFonts w:hint="default" w:ascii="Times New Roman" w:hAnsi="Times New Roman" w:eastAsia="宋体" w:cs="Times New Roman"/>
                      <w:b/>
                      <w:color w:val="auto"/>
                      <w:sz w:val="21"/>
                      <w:szCs w:val="21"/>
                      <w:lang w:bidi="ar"/>
                    </w:rPr>
                    <w:t>名称</w:t>
                  </w:r>
                </w:p>
              </w:tc>
              <w:tc>
                <w:tcPr>
                  <w:tcW w:w="527" w:type="pct"/>
                  <w:tcBorders>
                    <w:tl2br w:val="nil"/>
                    <w:tr2bl w:val="nil"/>
                  </w:tcBorders>
                  <w:noWrap w:val="0"/>
                  <w:vAlign w:val="center"/>
                </w:tcPr>
                <w:p w14:paraId="16AE9850">
                  <w:pPr>
                    <w:keepNext w:val="0"/>
                    <w:keepLines w:val="0"/>
                    <w:suppressLineNumbers w:val="0"/>
                    <w:wordWrap w:val="0"/>
                    <w:topLinePunct/>
                    <w:adjustRightInd w:val="0"/>
                    <w:snapToGrid w:val="0"/>
                    <w:spacing w:before="0" w:beforeLines="0" w:beforeAutospacing="0" w:after="0" w:afterLines="0" w:afterAutospacing="0" w:line="240" w:lineRule="atLeast"/>
                    <w:ind w:left="0" w:right="0"/>
                    <w:jc w:val="center"/>
                    <w:rPr>
                      <w:rFonts w:hint="default" w:ascii="Times New Roman" w:hAnsi="Times New Roman" w:eastAsia="宋体" w:cs="Times New Roman"/>
                      <w:b/>
                      <w:color w:val="auto"/>
                      <w:sz w:val="21"/>
                      <w:szCs w:val="21"/>
                      <w:lang w:bidi="ar-SA"/>
                    </w:rPr>
                  </w:pPr>
                  <w:r>
                    <w:rPr>
                      <w:rFonts w:hint="default" w:ascii="Times New Roman" w:hAnsi="Times New Roman" w:eastAsia="宋体" w:cs="Times New Roman"/>
                      <w:b/>
                      <w:color w:val="auto"/>
                      <w:sz w:val="21"/>
                      <w:szCs w:val="21"/>
                      <w:lang w:bidi="ar"/>
                    </w:rPr>
                    <w:t>废物类别</w:t>
                  </w:r>
                </w:p>
              </w:tc>
              <w:tc>
                <w:tcPr>
                  <w:tcW w:w="751" w:type="pct"/>
                  <w:tcBorders>
                    <w:tl2br w:val="nil"/>
                    <w:tr2bl w:val="nil"/>
                  </w:tcBorders>
                  <w:noWrap w:val="0"/>
                  <w:vAlign w:val="center"/>
                </w:tcPr>
                <w:p w14:paraId="1ADD1BE1">
                  <w:pPr>
                    <w:keepNext w:val="0"/>
                    <w:keepLines w:val="0"/>
                    <w:suppressLineNumbers w:val="0"/>
                    <w:wordWrap w:val="0"/>
                    <w:topLinePunct/>
                    <w:adjustRightInd w:val="0"/>
                    <w:snapToGrid w:val="0"/>
                    <w:spacing w:before="0" w:beforeLines="0" w:beforeAutospacing="0" w:after="0" w:afterLines="0" w:afterAutospacing="0" w:line="240" w:lineRule="atLeast"/>
                    <w:ind w:left="0" w:right="0"/>
                    <w:jc w:val="center"/>
                    <w:rPr>
                      <w:rFonts w:hint="default" w:ascii="Times New Roman" w:hAnsi="Times New Roman" w:eastAsia="宋体" w:cs="Times New Roman"/>
                      <w:b/>
                      <w:color w:val="auto"/>
                      <w:sz w:val="21"/>
                      <w:szCs w:val="21"/>
                      <w:lang w:bidi="ar-SA"/>
                    </w:rPr>
                  </w:pPr>
                  <w:r>
                    <w:rPr>
                      <w:rFonts w:hint="default" w:ascii="Times New Roman" w:hAnsi="Times New Roman" w:eastAsia="宋体" w:cs="Times New Roman"/>
                      <w:b/>
                      <w:color w:val="auto"/>
                      <w:sz w:val="21"/>
                      <w:szCs w:val="21"/>
                      <w:lang w:bidi="ar"/>
                    </w:rPr>
                    <w:t>废物代码</w:t>
                  </w:r>
                </w:p>
              </w:tc>
              <w:tc>
                <w:tcPr>
                  <w:tcW w:w="530" w:type="pct"/>
                  <w:tcBorders>
                    <w:tl2br w:val="nil"/>
                    <w:tr2bl w:val="nil"/>
                  </w:tcBorders>
                  <w:noWrap w:val="0"/>
                  <w:vAlign w:val="center"/>
                </w:tcPr>
                <w:p w14:paraId="230035F2">
                  <w:pPr>
                    <w:keepNext w:val="0"/>
                    <w:keepLines w:val="0"/>
                    <w:suppressLineNumbers w:val="0"/>
                    <w:wordWrap w:val="0"/>
                    <w:topLinePunct/>
                    <w:adjustRightInd w:val="0"/>
                    <w:snapToGrid w:val="0"/>
                    <w:spacing w:before="0" w:beforeLines="0" w:beforeAutospacing="0" w:after="0" w:afterLines="0" w:afterAutospacing="0" w:line="240" w:lineRule="atLeast"/>
                    <w:ind w:left="0" w:right="0"/>
                    <w:jc w:val="center"/>
                    <w:rPr>
                      <w:rFonts w:hint="default" w:ascii="Times New Roman" w:hAnsi="Times New Roman" w:eastAsia="宋体" w:cs="Times New Roman"/>
                      <w:b/>
                      <w:color w:val="auto"/>
                      <w:sz w:val="21"/>
                      <w:szCs w:val="21"/>
                      <w:lang w:bidi="ar-SA"/>
                    </w:rPr>
                  </w:pPr>
                  <w:r>
                    <w:rPr>
                      <w:rFonts w:hint="default" w:ascii="Times New Roman" w:hAnsi="Times New Roman" w:eastAsia="宋体" w:cs="Times New Roman"/>
                      <w:b/>
                      <w:color w:val="auto"/>
                      <w:sz w:val="21"/>
                      <w:szCs w:val="21"/>
                      <w:lang w:bidi="ar"/>
                    </w:rPr>
                    <w:t>产生量（t/a）</w:t>
                  </w:r>
                </w:p>
              </w:tc>
              <w:tc>
                <w:tcPr>
                  <w:tcW w:w="540" w:type="pct"/>
                  <w:tcBorders>
                    <w:tl2br w:val="nil"/>
                    <w:tr2bl w:val="nil"/>
                  </w:tcBorders>
                  <w:noWrap w:val="0"/>
                  <w:vAlign w:val="center"/>
                </w:tcPr>
                <w:p w14:paraId="062CB9FF">
                  <w:pPr>
                    <w:keepNext w:val="0"/>
                    <w:keepLines w:val="0"/>
                    <w:suppressLineNumbers w:val="0"/>
                    <w:wordWrap w:val="0"/>
                    <w:topLinePunct/>
                    <w:adjustRightInd w:val="0"/>
                    <w:snapToGrid w:val="0"/>
                    <w:spacing w:before="0" w:beforeLines="0" w:beforeAutospacing="0" w:after="0" w:afterLines="0" w:afterAutospacing="0" w:line="240" w:lineRule="atLeast"/>
                    <w:ind w:left="0" w:right="0"/>
                    <w:jc w:val="center"/>
                    <w:rPr>
                      <w:rFonts w:hint="default" w:ascii="Times New Roman" w:hAnsi="Times New Roman" w:eastAsia="宋体" w:cs="Times New Roman"/>
                      <w:b/>
                      <w:color w:val="auto"/>
                      <w:sz w:val="21"/>
                      <w:szCs w:val="21"/>
                      <w:lang w:bidi="ar-SA"/>
                    </w:rPr>
                  </w:pPr>
                  <w:r>
                    <w:rPr>
                      <w:rFonts w:hint="default" w:ascii="Times New Roman" w:hAnsi="Times New Roman" w:eastAsia="宋体" w:cs="Times New Roman"/>
                      <w:b/>
                      <w:color w:val="auto"/>
                      <w:sz w:val="21"/>
                      <w:szCs w:val="21"/>
                      <w:lang w:bidi="ar"/>
                    </w:rPr>
                    <w:t>单位名称</w:t>
                  </w:r>
                </w:p>
              </w:tc>
              <w:tc>
                <w:tcPr>
                  <w:tcW w:w="935" w:type="pct"/>
                  <w:tcBorders>
                    <w:tl2br w:val="nil"/>
                    <w:tr2bl w:val="nil"/>
                  </w:tcBorders>
                  <w:noWrap w:val="0"/>
                  <w:vAlign w:val="center"/>
                </w:tcPr>
                <w:p w14:paraId="1974BB36">
                  <w:pPr>
                    <w:keepNext w:val="0"/>
                    <w:keepLines w:val="0"/>
                    <w:suppressLineNumbers w:val="0"/>
                    <w:wordWrap w:val="0"/>
                    <w:topLinePunct/>
                    <w:adjustRightInd w:val="0"/>
                    <w:snapToGrid w:val="0"/>
                    <w:spacing w:before="0" w:beforeLines="0" w:beforeAutospacing="0" w:after="0" w:afterLines="0" w:afterAutospacing="0" w:line="240" w:lineRule="atLeast"/>
                    <w:ind w:left="0" w:right="0"/>
                    <w:jc w:val="center"/>
                    <w:rPr>
                      <w:rFonts w:hint="default" w:ascii="Times New Roman" w:hAnsi="Times New Roman" w:eastAsia="宋体" w:cs="Times New Roman"/>
                      <w:b/>
                      <w:color w:val="auto"/>
                      <w:sz w:val="21"/>
                      <w:szCs w:val="21"/>
                      <w:lang w:bidi="ar-SA"/>
                    </w:rPr>
                  </w:pPr>
                  <w:r>
                    <w:rPr>
                      <w:rFonts w:hint="default" w:ascii="Times New Roman" w:hAnsi="Times New Roman" w:eastAsia="宋体" w:cs="Times New Roman"/>
                      <w:b/>
                      <w:color w:val="auto"/>
                      <w:sz w:val="21"/>
                      <w:szCs w:val="21"/>
                      <w:lang w:bidi="ar"/>
                    </w:rPr>
                    <w:t>南通润启环保服务有限公司</w:t>
                  </w:r>
                </w:p>
              </w:tc>
              <w:tc>
                <w:tcPr>
                  <w:tcW w:w="1040" w:type="pct"/>
                  <w:tcBorders>
                    <w:tl2br w:val="nil"/>
                    <w:tr2bl w:val="nil"/>
                  </w:tcBorders>
                  <w:noWrap w:val="0"/>
                  <w:vAlign w:val="center"/>
                </w:tcPr>
                <w:p w14:paraId="63E22CB6">
                  <w:pPr>
                    <w:keepNext/>
                    <w:keepLines/>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ind w:left="0" w:right="0"/>
                    <w:jc w:val="center"/>
                    <w:textAlignment w:val="auto"/>
                    <w:outlineLvl w:val="9"/>
                    <w:rPr>
                      <w:rFonts w:hint="default" w:ascii="Times New Roman" w:hAnsi="Times New Roman" w:eastAsia="宋体" w:cs="Times New Roman"/>
                      <w:b/>
                      <w:color w:val="auto"/>
                      <w:sz w:val="21"/>
                      <w:szCs w:val="21"/>
                      <w:lang w:bidi="ar"/>
                    </w:rPr>
                  </w:pPr>
                  <w:r>
                    <w:rPr>
                      <w:rFonts w:hint="default" w:ascii="Times New Roman" w:hAnsi="Times New Roman" w:eastAsia="宋体" w:cs="Times New Roman"/>
                      <w:b/>
                      <w:color w:val="auto"/>
                      <w:sz w:val="21"/>
                      <w:szCs w:val="21"/>
                      <w:lang w:bidi="ar"/>
                    </w:rPr>
                    <w:t>上海电气南通国海环保科技有限公司</w:t>
                  </w:r>
                </w:p>
              </w:tc>
            </w:tr>
            <w:tr w14:paraId="6296722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 w:type="pct"/>
                  <w:tcBorders>
                    <w:tl2br w:val="nil"/>
                    <w:tr2bl w:val="nil"/>
                  </w:tcBorders>
                  <w:shd w:val="clear" w:color="auto" w:fill="auto"/>
                  <w:noWrap w:val="0"/>
                  <w:vAlign w:val="center"/>
                </w:tcPr>
                <w:p w14:paraId="6E5CD995">
                  <w:pPr>
                    <w:widowControl/>
                    <w:jc w:val="center"/>
                    <w:rPr>
                      <w:rFonts w:hint="default" w:ascii="Times New Roman" w:hAnsi="Times New Roman" w:eastAsia="宋体" w:cs="Times New Roman"/>
                      <w:bCs/>
                      <w:snapToGrid w:val="0"/>
                      <w:color w:val="auto"/>
                      <w:spacing w:val="6"/>
                      <w:kern w:val="2"/>
                      <w:sz w:val="21"/>
                      <w:szCs w:val="21"/>
                      <w:lang w:val="en-US" w:eastAsia="zh-CN" w:bidi="ar"/>
                    </w:rPr>
                  </w:pPr>
                  <w:r>
                    <w:rPr>
                      <w:rFonts w:hint="default" w:ascii="Times New Roman" w:hAnsi="Times New Roman" w:eastAsia="宋体" w:cs="Times New Roman"/>
                      <w:bCs/>
                      <w:snapToGrid w:val="0"/>
                      <w:color w:val="auto"/>
                      <w:spacing w:val="6"/>
                      <w:sz w:val="21"/>
                      <w:szCs w:val="21"/>
                    </w:rPr>
                    <w:t>废深孔钻油</w:t>
                  </w:r>
                </w:p>
              </w:tc>
              <w:tc>
                <w:tcPr>
                  <w:tcW w:w="527" w:type="pct"/>
                  <w:tcBorders>
                    <w:tl2br w:val="nil"/>
                    <w:tr2bl w:val="nil"/>
                  </w:tcBorders>
                  <w:shd w:val="clear" w:color="auto" w:fill="auto"/>
                  <w:noWrap w:val="0"/>
                  <w:vAlign w:val="center"/>
                </w:tcPr>
                <w:p w14:paraId="6BFC3BAC">
                  <w:pPr>
                    <w:pStyle w:val="2"/>
                    <w:spacing w:before="0" w:after="0" w:line="240" w:lineRule="auto"/>
                    <w:jc w:val="center"/>
                    <w:rPr>
                      <w:rFonts w:hint="default" w:ascii="Times New Roman" w:hAnsi="Times New Roman" w:eastAsia="宋体" w:cs="Times New Roman"/>
                      <w:b w:val="0"/>
                      <w:bCs w:val="0"/>
                      <w:color w:val="auto"/>
                      <w:kern w:val="2"/>
                      <w:sz w:val="21"/>
                      <w:szCs w:val="21"/>
                      <w:lang w:val="en-US" w:eastAsia="zh-CN" w:bidi="ar"/>
                    </w:rPr>
                  </w:pPr>
                  <w:r>
                    <w:rPr>
                      <w:rFonts w:hint="default" w:ascii="Times New Roman" w:hAnsi="Times New Roman" w:eastAsia="宋体" w:cs="Times New Roman"/>
                      <w:b w:val="0"/>
                      <w:bCs w:val="0"/>
                      <w:color w:val="auto"/>
                      <w:kern w:val="2"/>
                      <w:sz w:val="21"/>
                      <w:szCs w:val="21"/>
                      <w:lang w:val="en-US" w:eastAsia="zh-CN" w:bidi="ar"/>
                    </w:rPr>
                    <w:t>HW08</w:t>
                  </w:r>
                </w:p>
              </w:tc>
              <w:tc>
                <w:tcPr>
                  <w:tcW w:w="751" w:type="pct"/>
                  <w:tcBorders>
                    <w:tl2br w:val="nil"/>
                    <w:tr2bl w:val="nil"/>
                  </w:tcBorders>
                  <w:shd w:val="clear" w:color="auto" w:fill="auto"/>
                  <w:noWrap w:val="0"/>
                  <w:vAlign w:val="center"/>
                </w:tcPr>
                <w:p w14:paraId="794D472C">
                  <w:pPr>
                    <w:pStyle w:val="2"/>
                    <w:spacing w:before="0" w:after="0" w:line="240" w:lineRule="auto"/>
                    <w:jc w:val="center"/>
                    <w:rPr>
                      <w:rFonts w:hint="default" w:ascii="Times New Roman" w:hAnsi="Times New Roman" w:eastAsia="宋体" w:cs="Times New Roman"/>
                      <w:b w:val="0"/>
                      <w:bCs w:val="0"/>
                      <w:color w:val="auto"/>
                      <w:kern w:val="2"/>
                      <w:sz w:val="21"/>
                      <w:szCs w:val="21"/>
                      <w:lang w:val="en-US" w:eastAsia="zh-CN" w:bidi="ar"/>
                    </w:rPr>
                  </w:pPr>
                  <w:r>
                    <w:rPr>
                      <w:rFonts w:hint="default" w:ascii="Times New Roman" w:hAnsi="Times New Roman" w:eastAsia="宋体" w:cs="Times New Roman"/>
                      <w:b w:val="0"/>
                      <w:bCs w:val="0"/>
                      <w:color w:val="auto"/>
                      <w:kern w:val="2"/>
                      <w:sz w:val="21"/>
                      <w:szCs w:val="21"/>
                      <w:lang w:val="en-US" w:eastAsia="zh-CN" w:bidi="ar"/>
                    </w:rPr>
                    <w:t>900-249-08</w:t>
                  </w:r>
                </w:p>
              </w:tc>
              <w:tc>
                <w:tcPr>
                  <w:tcW w:w="530" w:type="pct"/>
                  <w:tcBorders>
                    <w:tl2br w:val="nil"/>
                    <w:tr2bl w:val="nil"/>
                  </w:tcBorders>
                  <w:shd w:val="clear" w:color="auto" w:fill="auto"/>
                  <w:noWrap w:val="0"/>
                  <w:vAlign w:val="center"/>
                </w:tcPr>
                <w:p w14:paraId="0DD17D33">
                  <w:pPr>
                    <w:pStyle w:val="2"/>
                    <w:spacing w:before="0" w:after="0" w:line="240" w:lineRule="auto"/>
                    <w:jc w:val="center"/>
                    <w:rPr>
                      <w:rFonts w:hint="default" w:ascii="Times New Roman" w:hAnsi="Times New Roman" w:eastAsia="宋体" w:cs="Times New Roman"/>
                      <w:b w:val="0"/>
                      <w:bCs w:val="0"/>
                      <w:color w:val="auto"/>
                      <w:kern w:val="2"/>
                      <w:sz w:val="21"/>
                      <w:szCs w:val="21"/>
                      <w:lang w:val="en-US" w:eastAsia="zh-CN" w:bidi="ar"/>
                    </w:rPr>
                  </w:pPr>
                  <w:r>
                    <w:rPr>
                      <w:rFonts w:hint="eastAsia" w:ascii="Times New Roman" w:hAnsi="Times New Roman" w:eastAsia="宋体" w:cs="Times New Roman"/>
                      <w:b w:val="0"/>
                      <w:bCs w:val="0"/>
                      <w:color w:val="auto"/>
                      <w:kern w:val="2"/>
                      <w:sz w:val="21"/>
                      <w:szCs w:val="21"/>
                      <w:lang w:val="en-US" w:eastAsia="zh-CN" w:bidi="ar"/>
                    </w:rPr>
                    <w:t>10.8</w:t>
                  </w:r>
                </w:p>
              </w:tc>
              <w:tc>
                <w:tcPr>
                  <w:tcW w:w="540" w:type="pct"/>
                  <w:tcBorders>
                    <w:tl2br w:val="nil"/>
                    <w:tr2bl w:val="nil"/>
                  </w:tcBorders>
                  <w:noWrap w:val="0"/>
                  <w:vAlign w:val="center"/>
                </w:tcPr>
                <w:p w14:paraId="7D10A97C">
                  <w:pPr>
                    <w:keepNext w:val="0"/>
                    <w:keepLines w:val="0"/>
                    <w:suppressLineNumbers w:val="0"/>
                    <w:wordWrap w:val="0"/>
                    <w:topLinePunct/>
                    <w:adjustRightInd w:val="0"/>
                    <w:snapToGrid w:val="0"/>
                    <w:spacing w:before="0" w:beforeLines="0" w:beforeAutospacing="0" w:after="0" w:afterLines="0" w:afterAutospacing="0" w:line="240" w:lineRule="atLeast"/>
                    <w:ind w:left="0" w:right="0"/>
                    <w:jc w:val="center"/>
                    <w:rPr>
                      <w:rFonts w:hint="default" w:ascii="Times New Roman" w:hAnsi="Times New Roman" w:eastAsia="宋体" w:cs="Times New Roman"/>
                      <w:color w:val="auto"/>
                      <w:sz w:val="21"/>
                      <w:szCs w:val="21"/>
                      <w:lang w:bidi="ar-SA"/>
                    </w:rPr>
                  </w:pPr>
                  <w:r>
                    <w:rPr>
                      <w:rFonts w:hint="default" w:ascii="Times New Roman" w:hAnsi="Times New Roman" w:eastAsia="宋体" w:cs="Times New Roman"/>
                      <w:b/>
                      <w:color w:val="auto"/>
                      <w:sz w:val="21"/>
                      <w:szCs w:val="21"/>
                      <w:lang w:bidi="ar"/>
                    </w:rPr>
                    <w:t>地理位置</w:t>
                  </w:r>
                </w:p>
              </w:tc>
              <w:tc>
                <w:tcPr>
                  <w:tcW w:w="935" w:type="pct"/>
                  <w:tcBorders>
                    <w:tl2br w:val="nil"/>
                    <w:tr2bl w:val="nil"/>
                  </w:tcBorders>
                  <w:noWrap w:val="0"/>
                  <w:vAlign w:val="center"/>
                </w:tcPr>
                <w:p w14:paraId="72496F54">
                  <w:pPr>
                    <w:keepNext w:val="0"/>
                    <w:keepLines w:val="0"/>
                    <w:suppressLineNumbers w:val="0"/>
                    <w:wordWrap w:val="0"/>
                    <w:topLinePunct/>
                    <w:adjustRightInd w:val="0"/>
                    <w:snapToGrid w:val="0"/>
                    <w:spacing w:before="0" w:beforeLines="0" w:beforeAutospacing="0" w:after="0" w:afterLines="0" w:afterAutospacing="0" w:line="240" w:lineRule="atLeast"/>
                    <w:ind w:left="0" w:right="0"/>
                    <w:jc w:val="center"/>
                    <w:rPr>
                      <w:rFonts w:hint="default" w:ascii="Times New Roman" w:hAnsi="Times New Roman" w:eastAsia="宋体" w:cs="Times New Roman"/>
                      <w:color w:val="auto"/>
                      <w:sz w:val="21"/>
                      <w:szCs w:val="21"/>
                      <w:lang w:bidi="ar-SA"/>
                    </w:rPr>
                  </w:pPr>
                  <w:r>
                    <w:rPr>
                      <w:rFonts w:hint="default" w:ascii="Times New Roman" w:hAnsi="Times New Roman" w:eastAsia="宋体" w:cs="Times New Roman"/>
                      <w:color w:val="auto"/>
                      <w:sz w:val="21"/>
                      <w:szCs w:val="21"/>
                      <w:lang w:bidi="ar"/>
                    </w:rPr>
                    <w:t>启东市滨江精细化工园上海路318号</w:t>
                  </w:r>
                </w:p>
              </w:tc>
              <w:tc>
                <w:tcPr>
                  <w:tcW w:w="1040" w:type="pct"/>
                  <w:tcBorders>
                    <w:tl2br w:val="nil"/>
                    <w:tr2bl w:val="nil"/>
                  </w:tcBorders>
                  <w:noWrap w:val="0"/>
                  <w:vAlign w:val="center"/>
                </w:tcPr>
                <w:p w14:paraId="5AF7934F">
                  <w:pPr>
                    <w:keepNext w:val="0"/>
                    <w:keepLines w:val="0"/>
                    <w:suppressLineNumbers w:val="0"/>
                    <w:spacing w:before="0" w:beforeLines="0" w:beforeAutospacing="0" w:after="0" w:afterLines="0" w:afterAutospacing="0" w:line="240" w:lineRule="atLeast"/>
                    <w:ind w:left="0" w:right="0"/>
                    <w:jc w:val="center"/>
                    <w:rPr>
                      <w:rFonts w:hint="default" w:ascii="Times New Roman" w:hAnsi="Times New Roman" w:eastAsia="宋体" w:cs="Times New Roman"/>
                      <w:color w:val="auto"/>
                      <w:sz w:val="21"/>
                      <w:szCs w:val="21"/>
                      <w:lang w:bidi="ar"/>
                    </w:rPr>
                  </w:pPr>
                  <w:r>
                    <w:rPr>
                      <w:rFonts w:hint="default" w:ascii="Times New Roman" w:hAnsi="Times New Roman" w:eastAsia="宋体" w:cs="Times New Roman"/>
                      <w:color w:val="auto"/>
                      <w:sz w:val="21"/>
                      <w:szCs w:val="21"/>
                      <w:lang w:bidi="ar"/>
                    </w:rPr>
                    <w:t>老坝港滨海新区滨海东路6号</w:t>
                  </w:r>
                </w:p>
              </w:tc>
            </w:tr>
            <w:tr w14:paraId="6697544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 w:type="pct"/>
                  <w:tcBorders>
                    <w:tl2br w:val="nil"/>
                    <w:tr2bl w:val="nil"/>
                  </w:tcBorders>
                  <w:shd w:val="clear" w:color="auto" w:fill="auto"/>
                  <w:noWrap w:val="0"/>
                  <w:vAlign w:val="center"/>
                </w:tcPr>
                <w:p w14:paraId="4AB9FFF6">
                  <w:pPr>
                    <w:widowControl/>
                    <w:jc w:val="center"/>
                    <w:rPr>
                      <w:rFonts w:hint="default" w:ascii="Times New Roman" w:hAnsi="Times New Roman" w:eastAsia="宋体" w:cs="Times New Roman"/>
                      <w:bCs/>
                      <w:snapToGrid w:val="0"/>
                      <w:color w:val="auto"/>
                      <w:spacing w:val="6"/>
                      <w:kern w:val="2"/>
                      <w:sz w:val="21"/>
                      <w:szCs w:val="21"/>
                      <w:lang w:val="en-US" w:eastAsia="zh-CN" w:bidi="ar"/>
                    </w:rPr>
                  </w:pPr>
                  <w:r>
                    <w:rPr>
                      <w:rFonts w:hint="default" w:ascii="Times New Roman" w:hAnsi="Times New Roman" w:eastAsia="宋体" w:cs="Times New Roman"/>
                      <w:bCs/>
                      <w:snapToGrid w:val="0"/>
                      <w:color w:val="auto"/>
                      <w:spacing w:val="6"/>
                      <w:sz w:val="21"/>
                      <w:szCs w:val="21"/>
                    </w:rPr>
                    <w:t>废切削液</w:t>
                  </w:r>
                </w:p>
              </w:tc>
              <w:tc>
                <w:tcPr>
                  <w:tcW w:w="527" w:type="pct"/>
                  <w:tcBorders>
                    <w:tl2br w:val="nil"/>
                    <w:tr2bl w:val="nil"/>
                  </w:tcBorders>
                  <w:shd w:val="clear" w:color="auto" w:fill="auto"/>
                  <w:noWrap w:val="0"/>
                  <w:vAlign w:val="center"/>
                </w:tcPr>
                <w:p w14:paraId="78FEDCEB">
                  <w:pPr>
                    <w:topLinePunct/>
                    <w:contextualSpacing/>
                    <w:jc w:val="center"/>
                    <w:outlineLvl w:val="8"/>
                    <w:rPr>
                      <w:rFonts w:hint="default" w:ascii="Times New Roman" w:hAnsi="Times New Roman" w:eastAsia="宋体" w:cs="Times New Roman"/>
                      <w:color w:val="auto"/>
                      <w:kern w:val="2"/>
                      <w:sz w:val="21"/>
                      <w:szCs w:val="21"/>
                      <w:lang w:val="en-US" w:eastAsia="zh-CN" w:bidi="ar"/>
                    </w:rPr>
                  </w:pPr>
                  <w:r>
                    <w:rPr>
                      <w:color w:val="auto"/>
                    </w:rPr>
                    <w:t>HW09</w:t>
                  </w:r>
                </w:p>
              </w:tc>
              <w:tc>
                <w:tcPr>
                  <w:tcW w:w="751" w:type="pct"/>
                  <w:tcBorders>
                    <w:tl2br w:val="nil"/>
                    <w:tr2bl w:val="nil"/>
                  </w:tcBorders>
                  <w:shd w:val="clear" w:color="auto" w:fill="auto"/>
                  <w:noWrap w:val="0"/>
                  <w:vAlign w:val="center"/>
                </w:tcPr>
                <w:p w14:paraId="75A166E1">
                  <w:pPr>
                    <w:contextualSpacing/>
                    <w:jc w:val="center"/>
                    <w:outlineLvl w:val="8"/>
                    <w:rPr>
                      <w:rFonts w:hint="default" w:ascii="Times New Roman" w:hAnsi="Times New Roman" w:eastAsia="宋体" w:cs="Times New Roman"/>
                      <w:color w:val="auto"/>
                      <w:kern w:val="2"/>
                      <w:sz w:val="21"/>
                      <w:szCs w:val="21"/>
                      <w:lang w:val="en-US" w:eastAsia="zh-CN" w:bidi="ar"/>
                    </w:rPr>
                  </w:pPr>
                  <w:r>
                    <w:rPr>
                      <w:color w:val="auto"/>
                    </w:rPr>
                    <w:t>900-006-09</w:t>
                  </w:r>
                </w:p>
              </w:tc>
              <w:tc>
                <w:tcPr>
                  <w:tcW w:w="530" w:type="pct"/>
                  <w:tcBorders>
                    <w:tl2br w:val="nil"/>
                    <w:tr2bl w:val="nil"/>
                  </w:tcBorders>
                  <w:shd w:val="clear" w:color="auto" w:fill="auto"/>
                  <w:noWrap w:val="0"/>
                  <w:vAlign w:val="center"/>
                </w:tcPr>
                <w:p w14:paraId="23C72EA7">
                  <w:pPr>
                    <w:pStyle w:val="2"/>
                    <w:spacing w:before="0" w:after="0" w:line="240" w:lineRule="auto"/>
                    <w:jc w:val="center"/>
                    <w:rPr>
                      <w:rFonts w:hint="default" w:ascii="Times New Roman" w:hAnsi="Times New Roman" w:eastAsia="宋体" w:cs="Times New Roman"/>
                      <w:b w:val="0"/>
                      <w:bCs w:val="0"/>
                      <w:color w:val="auto"/>
                      <w:kern w:val="2"/>
                      <w:sz w:val="21"/>
                      <w:szCs w:val="21"/>
                      <w:lang w:val="en-US" w:eastAsia="zh-CN" w:bidi="ar"/>
                    </w:rPr>
                  </w:pPr>
                  <w:r>
                    <w:rPr>
                      <w:rFonts w:hint="eastAsia" w:ascii="Times New Roman" w:hAnsi="Times New Roman" w:eastAsia="宋体" w:cs="Times New Roman"/>
                      <w:b w:val="0"/>
                      <w:bCs w:val="0"/>
                      <w:color w:val="auto"/>
                      <w:kern w:val="2"/>
                      <w:sz w:val="21"/>
                      <w:szCs w:val="21"/>
                      <w:lang w:val="en-US" w:eastAsia="zh-CN" w:bidi="ar"/>
                    </w:rPr>
                    <w:t>14</w:t>
                  </w:r>
                </w:p>
              </w:tc>
              <w:tc>
                <w:tcPr>
                  <w:tcW w:w="540" w:type="pct"/>
                  <w:tcBorders>
                    <w:tl2br w:val="nil"/>
                    <w:tr2bl w:val="nil"/>
                  </w:tcBorders>
                  <w:noWrap w:val="0"/>
                  <w:vAlign w:val="center"/>
                </w:tcPr>
                <w:p w14:paraId="13B1E29C">
                  <w:pPr>
                    <w:keepNext w:val="0"/>
                    <w:keepLines w:val="0"/>
                    <w:suppressLineNumbers w:val="0"/>
                    <w:wordWrap w:val="0"/>
                    <w:topLinePunct/>
                    <w:adjustRightInd w:val="0"/>
                    <w:snapToGrid w:val="0"/>
                    <w:spacing w:before="0" w:beforeLines="0" w:beforeAutospacing="0" w:after="0" w:afterLines="0" w:afterAutospacing="0" w:line="240" w:lineRule="atLeast"/>
                    <w:ind w:left="0" w:right="0"/>
                    <w:jc w:val="center"/>
                    <w:rPr>
                      <w:rFonts w:hint="default" w:ascii="Times New Roman" w:hAnsi="Times New Roman" w:eastAsia="宋体" w:cs="Times New Roman"/>
                      <w:b/>
                      <w:color w:val="auto"/>
                      <w:sz w:val="21"/>
                      <w:szCs w:val="21"/>
                      <w:lang w:bidi="ar-SA"/>
                    </w:rPr>
                  </w:pPr>
                  <w:r>
                    <w:rPr>
                      <w:rFonts w:hint="default" w:ascii="Times New Roman" w:hAnsi="Times New Roman" w:eastAsia="宋体" w:cs="Times New Roman"/>
                      <w:b/>
                      <w:color w:val="auto"/>
                      <w:sz w:val="21"/>
                      <w:szCs w:val="21"/>
                      <w:lang w:bidi="ar"/>
                    </w:rPr>
                    <w:t>许可证编号</w:t>
                  </w:r>
                </w:p>
              </w:tc>
              <w:tc>
                <w:tcPr>
                  <w:tcW w:w="935" w:type="pct"/>
                  <w:tcBorders>
                    <w:tl2br w:val="nil"/>
                    <w:tr2bl w:val="nil"/>
                  </w:tcBorders>
                  <w:noWrap w:val="0"/>
                  <w:vAlign w:val="center"/>
                </w:tcPr>
                <w:p w14:paraId="2B5E2198">
                  <w:pPr>
                    <w:keepNext w:val="0"/>
                    <w:keepLines w:val="0"/>
                    <w:suppressLineNumbers w:val="0"/>
                    <w:wordWrap w:val="0"/>
                    <w:topLinePunct/>
                    <w:adjustRightInd w:val="0"/>
                    <w:snapToGrid w:val="0"/>
                    <w:spacing w:before="0" w:beforeLines="0" w:beforeAutospacing="0" w:after="0" w:afterLines="0" w:afterAutospacing="0" w:line="240" w:lineRule="atLeast"/>
                    <w:ind w:left="0" w:right="0"/>
                    <w:jc w:val="center"/>
                    <w:rPr>
                      <w:rFonts w:hint="default" w:ascii="Times New Roman" w:hAnsi="Times New Roman" w:eastAsia="宋体" w:cs="Times New Roman"/>
                      <w:color w:val="auto"/>
                      <w:sz w:val="21"/>
                      <w:szCs w:val="21"/>
                      <w:lang w:bidi="ar-SA"/>
                    </w:rPr>
                  </w:pPr>
                  <w:r>
                    <w:rPr>
                      <w:rFonts w:hint="default" w:ascii="Times New Roman" w:hAnsi="Times New Roman" w:eastAsia="宋体" w:cs="Times New Roman"/>
                      <w:color w:val="auto"/>
                      <w:sz w:val="21"/>
                      <w:szCs w:val="21"/>
                      <w:lang w:bidi="ar"/>
                    </w:rPr>
                    <w:t>JS0681OOI555-4</w:t>
                  </w:r>
                </w:p>
              </w:tc>
              <w:tc>
                <w:tcPr>
                  <w:tcW w:w="1040" w:type="pct"/>
                  <w:tcBorders>
                    <w:tl2br w:val="nil"/>
                    <w:tr2bl w:val="nil"/>
                  </w:tcBorders>
                  <w:noWrap w:val="0"/>
                  <w:vAlign w:val="center"/>
                </w:tcPr>
                <w:p w14:paraId="0E8B904D">
                  <w:pPr>
                    <w:keepNext w:val="0"/>
                    <w:keepLines w:val="0"/>
                    <w:suppressLineNumbers w:val="0"/>
                    <w:wordWrap w:val="0"/>
                    <w:topLinePunct/>
                    <w:adjustRightInd w:val="0"/>
                    <w:snapToGrid w:val="0"/>
                    <w:spacing w:before="0" w:beforeLines="0" w:beforeAutospacing="0" w:after="0" w:afterLines="0" w:afterAutospacing="0" w:line="240" w:lineRule="atLeast"/>
                    <w:ind w:left="0" w:right="0"/>
                    <w:jc w:val="center"/>
                    <w:outlineLvl w:val="8"/>
                    <w:rPr>
                      <w:rFonts w:hint="default" w:ascii="Times New Roman" w:hAnsi="Times New Roman" w:eastAsia="宋体" w:cs="Times New Roman"/>
                      <w:color w:val="auto"/>
                      <w:sz w:val="21"/>
                      <w:szCs w:val="21"/>
                      <w:lang w:bidi="ar"/>
                    </w:rPr>
                  </w:pPr>
                  <w:r>
                    <w:rPr>
                      <w:rFonts w:hint="default" w:ascii="Times New Roman" w:hAnsi="Times New Roman" w:eastAsia="宋体" w:cs="Times New Roman"/>
                      <w:color w:val="auto"/>
                      <w:sz w:val="21"/>
                      <w:szCs w:val="21"/>
                      <w:lang w:bidi="ar"/>
                    </w:rPr>
                    <w:t>JS0621OOI569-1、JSNT0621OOL033-2</w:t>
                  </w:r>
                </w:p>
              </w:tc>
            </w:tr>
            <w:tr w14:paraId="6C762EA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 w:type="pct"/>
                  <w:tcBorders>
                    <w:tl2br w:val="nil"/>
                    <w:tr2bl w:val="nil"/>
                  </w:tcBorders>
                  <w:shd w:val="clear" w:color="auto" w:fill="auto"/>
                  <w:noWrap w:val="0"/>
                  <w:vAlign w:val="center"/>
                </w:tcPr>
                <w:p w14:paraId="4FFE058A">
                  <w:pPr>
                    <w:widowControl/>
                    <w:jc w:val="center"/>
                    <w:rPr>
                      <w:rFonts w:hint="default" w:ascii="Times New Roman" w:hAnsi="Times New Roman" w:eastAsia="宋体" w:cs="Times New Roman"/>
                      <w:bCs/>
                      <w:snapToGrid w:val="0"/>
                      <w:color w:val="auto"/>
                      <w:spacing w:val="6"/>
                      <w:kern w:val="2"/>
                      <w:sz w:val="21"/>
                      <w:szCs w:val="21"/>
                      <w:lang w:val="en-US" w:eastAsia="zh-CN" w:bidi="ar"/>
                    </w:rPr>
                  </w:pPr>
                  <w:r>
                    <w:rPr>
                      <w:rFonts w:hint="default" w:ascii="Times New Roman" w:hAnsi="Times New Roman" w:eastAsia="宋体" w:cs="Times New Roman"/>
                      <w:bCs/>
                      <w:snapToGrid w:val="0"/>
                      <w:color w:val="auto"/>
                      <w:spacing w:val="6"/>
                      <w:sz w:val="21"/>
                      <w:szCs w:val="21"/>
                    </w:rPr>
                    <w:t>废刷子</w:t>
                  </w:r>
                </w:p>
              </w:tc>
              <w:tc>
                <w:tcPr>
                  <w:tcW w:w="527" w:type="pct"/>
                  <w:tcBorders>
                    <w:tl2br w:val="nil"/>
                    <w:tr2bl w:val="nil"/>
                  </w:tcBorders>
                  <w:shd w:val="clear" w:color="auto" w:fill="auto"/>
                  <w:noWrap w:val="0"/>
                  <w:vAlign w:val="center"/>
                </w:tcPr>
                <w:p w14:paraId="32D6D118">
                  <w:pPr>
                    <w:pStyle w:val="22"/>
                    <w:widowControl w:val="0"/>
                    <w:snapToGrid w:val="0"/>
                    <w:spacing w:before="0" w:beforeAutospacing="0" w:after="0" w:afterAutospacing="0"/>
                    <w:jc w:val="center"/>
                    <w:rPr>
                      <w:rFonts w:hint="default" w:ascii="宋体" w:hAnsi="宋体" w:eastAsia="宋体" w:cs="Times New Roman"/>
                      <w:color w:val="auto"/>
                      <w:kern w:val="0"/>
                      <w:sz w:val="21"/>
                      <w:szCs w:val="21"/>
                      <w:lang w:val="en-US" w:eastAsia="zh-CN" w:bidi="ar-SA"/>
                    </w:rPr>
                  </w:pPr>
                  <w:r>
                    <w:rPr>
                      <w:rFonts w:ascii="Times New Roman" w:hAnsi="Times New Roman"/>
                      <w:bCs/>
                      <w:color w:val="auto"/>
                      <w:sz w:val="21"/>
                      <w:szCs w:val="21"/>
                    </w:rPr>
                    <w:t>HW49</w:t>
                  </w:r>
                </w:p>
              </w:tc>
              <w:tc>
                <w:tcPr>
                  <w:tcW w:w="751" w:type="pct"/>
                  <w:tcBorders>
                    <w:tl2br w:val="nil"/>
                    <w:tr2bl w:val="nil"/>
                  </w:tcBorders>
                  <w:shd w:val="clear" w:color="auto" w:fill="auto"/>
                  <w:noWrap w:val="0"/>
                  <w:vAlign w:val="center"/>
                </w:tcPr>
                <w:p w14:paraId="2E4E755B">
                  <w:pPr>
                    <w:pStyle w:val="22"/>
                    <w:widowControl w:val="0"/>
                    <w:snapToGrid w:val="0"/>
                    <w:spacing w:before="0" w:beforeAutospacing="0" w:after="0" w:afterAutospacing="0"/>
                    <w:jc w:val="center"/>
                    <w:rPr>
                      <w:rFonts w:hint="default" w:ascii="宋体" w:hAnsi="宋体" w:eastAsia="宋体" w:cs="Times New Roman"/>
                      <w:color w:val="auto"/>
                      <w:kern w:val="0"/>
                      <w:sz w:val="21"/>
                      <w:szCs w:val="21"/>
                      <w:lang w:val="en-US" w:eastAsia="zh-CN" w:bidi="ar-SA"/>
                    </w:rPr>
                  </w:pPr>
                  <w:r>
                    <w:rPr>
                      <w:rFonts w:ascii="Times New Roman" w:hAnsi="Times New Roman"/>
                      <w:bCs/>
                      <w:color w:val="auto"/>
                      <w:sz w:val="21"/>
                      <w:szCs w:val="21"/>
                    </w:rPr>
                    <w:t>900-041-49</w:t>
                  </w:r>
                </w:p>
              </w:tc>
              <w:tc>
                <w:tcPr>
                  <w:tcW w:w="530" w:type="pct"/>
                  <w:tcBorders>
                    <w:tl2br w:val="nil"/>
                    <w:tr2bl w:val="nil"/>
                  </w:tcBorders>
                  <w:shd w:val="clear" w:color="auto" w:fill="auto"/>
                  <w:noWrap w:val="0"/>
                  <w:vAlign w:val="center"/>
                </w:tcPr>
                <w:p w14:paraId="740F6BA2">
                  <w:pPr>
                    <w:widowControl/>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0.3</w:t>
                  </w:r>
                </w:p>
              </w:tc>
              <w:tc>
                <w:tcPr>
                  <w:tcW w:w="540" w:type="pct"/>
                  <w:tcBorders>
                    <w:tl2br w:val="nil"/>
                    <w:tr2bl w:val="nil"/>
                  </w:tcBorders>
                  <w:noWrap w:val="0"/>
                  <w:vAlign w:val="center"/>
                </w:tcPr>
                <w:p w14:paraId="79C72B4D">
                  <w:pPr>
                    <w:keepNext w:val="0"/>
                    <w:keepLines w:val="0"/>
                    <w:suppressLineNumbers w:val="0"/>
                    <w:wordWrap w:val="0"/>
                    <w:topLinePunct/>
                    <w:adjustRightInd w:val="0"/>
                    <w:snapToGrid w:val="0"/>
                    <w:spacing w:before="0" w:beforeLines="0" w:beforeAutospacing="0" w:after="0" w:afterLines="0" w:afterAutospacing="0" w:line="240" w:lineRule="atLeast"/>
                    <w:ind w:left="0" w:right="0"/>
                    <w:jc w:val="center"/>
                    <w:rPr>
                      <w:rFonts w:hint="default" w:ascii="Times New Roman" w:hAnsi="Times New Roman" w:eastAsia="宋体" w:cs="Times New Roman"/>
                      <w:b/>
                      <w:color w:val="auto"/>
                      <w:sz w:val="21"/>
                      <w:szCs w:val="21"/>
                      <w:lang w:bidi="ar-SA"/>
                    </w:rPr>
                  </w:pPr>
                  <w:r>
                    <w:rPr>
                      <w:rFonts w:hint="default" w:ascii="Times New Roman" w:hAnsi="Times New Roman" w:eastAsia="宋体" w:cs="Times New Roman"/>
                      <w:b/>
                      <w:color w:val="auto"/>
                      <w:sz w:val="21"/>
                      <w:szCs w:val="21"/>
                      <w:lang w:bidi="ar"/>
                    </w:rPr>
                    <w:t>处理量</w:t>
                  </w:r>
                </w:p>
                <w:p w14:paraId="3AE8F32B">
                  <w:pPr>
                    <w:keepNext w:val="0"/>
                    <w:keepLines w:val="0"/>
                    <w:suppressLineNumbers w:val="0"/>
                    <w:wordWrap w:val="0"/>
                    <w:topLinePunct/>
                    <w:adjustRightInd w:val="0"/>
                    <w:snapToGrid w:val="0"/>
                    <w:spacing w:before="0" w:beforeLines="0" w:beforeAutospacing="0" w:after="0" w:afterLines="0" w:afterAutospacing="0" w:line="240" w:lineRule="atLeast"/>
                    <w:ind w:left="0" w:right="0"/>
                    <w:jc w:val="center"/>
                    <w:rPr>
                      <w:rFonts w:hint="default" w:ascii="Times New Roman" w:hAnsi="Times New Roman" w:eastAsia="宋体" w:cs="Times New Roman"/>
                      <w:b/>
                      <w:color w:val="auto"/>
                      <w:sz w:val="21"/>
                      <w:szCs w:val="21"/>
                      <w:lang w:bidi="ar-SA"/>
                    </w:rPr>
                  </w:pPr>
                  <w:r>
                    <w:rPr>
                      <w:rFonts w:hint="default" w:ascii="Times New Roman" w:hAnsi="Times New Roman" w:eastAsia="宋体" w:cs="Times New Roman"/>
                      <w:b/>
                      <w:color w:val="auto"/>
                      <w:sz w:val="21"/>
                      <w:szCs w:val="21"/>
                      <w:lang w:bidi="ar"/>
                    </w:rPr>
                    <w:t>（t/a）</w:t>
                  </w:r>
                </w:p>
              </w:tc>
              <w:tc>
                <w:tcPr>
                  <w:tcW w:w="935" w:type="pct"/>
                  <w:tcBorders>
                    <w:tl2br w:val="nil"/>
                    <w:tr2bl w:val="nil"/>
                  </w:tcBorders>
                  <w:noWrap w:val="0"/>
                  <w:vAlign w:val="center"/>
                </w:tcPr>
                <w:p w14:paraId="54F041CF">
                  <w:pPr>
                    <w:keepNext w:val="0"/>
                    <w:keepLines w:val="0"/>
                    <w:suppressLineNumbers w:val="0"/>
                    <w:wordWrap w:val="0"/>
                    <w:topLinePunct/>
                    <w:adjustRightInd w:val="0"/>
                    <w:snapToGrid w:val="0"/>
                    <w:spacing w:before="0" w:beforeLines="0" w:beforeAutospacing="0" w:after="0" w:afterLines="0" w:afterAutospacing="0" w:line="240" w:lineRule="atLeast"/>
                    <w:ind w:left="0" w:right="0"/>
                    <w:jc w:val="center"/>
                    <w:rPr>
                      <w:rFonts w:hint="default" w:ascii="Times New Roman" w:hAnsi="Times New Roman" w:eastAsia="宋体" w:cs="Times New Roman"/>
                      <w:color w:val="auto"/>
                      <w:sz w:val="21"/>
                      <w:szCs w:val="21"/>
                      <w:lang w:bidi="ar-SA"/>
                    </w:rPr>
                  </w:pPr>
                  <w:r>
                    <w:rPr>
                      <w:rFonts w:hint="default" w:ascii="Times New Roman" w:hAnsi="Times New Roman" w:eastAsia="宋体" w:cs="Times New Roman"/>
                      <w:color w:val="auto"/>
                      <w:sz w:val="21"/>
                      <w:szCs w:val="21"/>
                      <w:lang w:bidi="ar"/>
                    </w:rPr>
                    <w:t>25000（焚烧）</w:t>
                  </w:r>
                </w:p>
              </w:tc>
              <w:tc>
                <w:tcPr>
                  <w:tcW w:w="1040" w:type="pct"/>
                  <w:tcBorders>
                    <w:tl2br w:val="nil"/>
                    <w:tr2bl w:val="nil"/>
                  </w:tcBorders>
                  <w:noWrap w:val="0"/>
                  <w:vAlign w:val="center"/>
                </w:tcPr>
                <w:p w14:paraId="6365CB45">
                  <w:pPr>
                    <w:keepNext w:val="0"/>
                    <w:keepLines w:val="0"/>
                    <w:widowControl w:val="0"/>
                    <w:suppressLineNumbers w:val="0"/>
                    <w:snapToGrid w:val="0"/>
                    <w:spacing w:before="0" w:beforeLines="0" w:beforeAutospacing="0" w:after="0" w:afterLines="0" w:afterAutospacing="0"/>
                    <w:ind w:left="0" w:right="0"/>
                    <w:jc w:val="center"/>
                    <w:outlineLvl w:val="8"/>
                    <w:rPr>
                      <w:rFonts w:hint="default" w:ascii="Times New Roman" w:hAnsi="Times New Roman" w:eastAsia="宋体" w:cs="Times New Roman"/>
                      <w:color w:val="auto"/>
                      <w:sz w:val="21"/>
                      <w:szCs w:val="21"/>
                      <w:lang w:bidi="ar"/>
                    </w:rPr>
                  </w:pPr>
                  <w:r>
                    <w:rPr>
                      <w:rFonts w:hint="default" w:ascii="Times New Roman" w:hAnsi="Times New Roman" w:eastAsia="宋体" w:cs="Times New Roman"/>
                      <w:color w:val="auto"/>
                      <w:sz w:val="21"/>
                      <w:szCs w:val="21"/>
                      <w:lang w:bidi="ar"/>
                    </w:rPr>
                    <w:t>10000（焚烧）、13000（填埋）</w:t>
                  </w:r>
                </w:p>
              </w:tc>
            </w:tr>
            <w:tr w14:paraId="11D5A54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673" w:type="pct"/>
                  <w:tcBorders>
                    <w:tl2br w:val="nil"/>
                    <w:tr2bl w:val="nil"/>
                  </w:tcBorders>
                  <w:shd w:val="clear" w:color="auto" w:fill="auto"/>
                  <w:noWrap w:val="0"/>
                  <w:vAlign w:val="center"/>
                </w:tcPr>
                <w:p w14:paraId="712FE023">
                  <w:pPr>
                    <w:widowControl/>
                    <w:jc w:val="center"/>
                    <w:rPr>
                      <w:rFonts w:hint="default" w:ascii="Times New Roman" w:hAnsi="Times New Roman" w:eastAsia="宋体" w:cs="Times New Roman"/>
                      <w:bCs/>
                      <w:snapToGrid w:val="0"/>
                      <w:color w:val="auto"/>
                      <w:spacing w:val="6"/>
                      <w:kern w:val="2"/>
                      <w:sz w:val="21"/>
                      <w:szCs w:val="21"/>
                      <w:lang w:val="en-US" w:eastAsia="zh-CN" w:bidi="ar"/>
                    </w:rPr>
                  </w:pPr>
                  <w:r>
                    <w:rPr>
                      <w:rFonts w:hint="default" w:ascii="Times New Roman" w:hAnsi="Times New Roman" w:eastAsia="宋体" w:cs="Times New Roman"/>
                      <w:bCs/>
                      <w:snapToGrid w:val="0"/>
                      <w:color w:val="auto"/>
                      <w:spacing w:val="6"/>
                      <w:sz w:val="21"/>
                      <w:szCs w:val="21"/>
                    </w:rPr>
                    <w:t>废抹布及手套</w:t>
                  </w:r>
                </w:p>
              </w:tc>
              <w:tc>
                <w:tcPr>
                  <w:tcW w:w="527" w:type="pct"/>
                  <w:tcBorders>
                    <w:tl2br w:val="nil"/>
                    <w:tr2bl w:val="nil"/>
                  </w:tcBorders>
                  <w:shd w:val="clear" w:color="auto" w:fill="auto"/>
                  <w:noWrap w:val="0"/>
                  <w:vAlign w:val="center"/>
                </w:tcPr>
                <w:p w14:paraId="0101E6BA">
                  <w:pPr>
                    <w:pStyle w:val="22"/>
                    <w:widowControl w:val="0"/>
                    <w:snapToGrid w:val="0"/>
                    <w:spacing w:before="0" w:beforeAutospacing="0" w:after="0" w:afterAutospacing="0"/>
                    <w:jc w:val="center"/>
                    <w:rPr>
                      <w:rFonts w:hint="default" w:ascii="宋体" w:hAnsi="宋体" w:eastAsia="宋体" w:cs="Times New Roman"/>
                      <w:color w:val="auto"/>
                      <w:kern w:val="0"/>
                      <w:sz w:val="21"/>
                      <w:szCs w:val="21"/>
                      <w:lang w:val="en-US" w:eastAsia="zh-CN" w:bidi="ar-SA"/>
                    </w:rPr>
                  </w:pPr>
                  <w:r>
                    <w:rPr>
                      <w:rFonts w:ascii="Times New Roman" w:hAnsi="Times New Roman"/>
                      <w:bCs/>
                      <w:color w:val="auto"/>
                      <w:sz w:val="21"/>
                      <w:szCs w:val="21"/>
                    </w:rPr>
                    <w:t>HW49</w:t>
                  </w:r>
                </w:p>
              </w:tc>
              <w:tc>
                <w:tcPr>
                  <w:tcW w:w="751" w:type="pct"/>
                  <w:tcBorders>
                    <w:tl2br w:val="nil"/>
                    <w:tr2bl w:val="nil"/>
                  </w:tcBorders>
                  <w:shd w:val="clear" w:color="auto" w:fill="auto"/>
                  <w:noWrap w:val="0"/>
                  <w:vAlign w:val="center"/>
                </w:tcPr>
                <w:p w14:paraId="4205487B">
                  <w:pPr>
                    <w:pStyle w:val="22"/>
                    <w:widowControl w:val="0"/>
                    <w:snapToGrid w:val="0"/>
                    <w:spacing w:before="0" w:beforeAutospacing="0" w:after="0" w:afterAutospacing="0"/>
                    <w:jc w:val="center"/>
                    <w:rPr>
                      <w:rFonts w:hint="default" w:ascii="宋体" w:hAnsi="宋体" w:eastAsia="宋体" w:cs="Times New Roman"/>
                      <w:color w:val="auto"/>
                      <w:kern w:val="0"/>
                      <w:sz w:val="21"/>
                      <w:szCs w:val="21"/>
                      <w:lang w:val="en-US" w:eastAsia="zh-CN" w:bidi="ar-SA"/>
                    </w:rPr>
                  </w:pPr>
                  <w:r>
                    <w:rPr>
                      <w:rFonts w:ascii="Times New Roman" w:hAnsi="Times New Roman"/>
                      <w:bCs/>
                      <w:color w:val="auto"/>
                      <w:sz w:val="21"/>
                      <w:szCs w:val="21"/>
                    </w:rPr>
                    <w:t>900-041-49</w:t>
                  </w:r>
                </w:p>
              </w:tc>
              <w:tc>
                <w:tcPr>
                  <w:tcW w:w="530" w:type="pct"/>
                  <w:tcBorders>
                    <w:tl2br w:val="nil"/>
                    <w:tr2bl w:val="nil"/>
                  </w:tcBorders>
                  <w:shd w:val="clear" w:color="auto" w:fill="auto"/>
                  <w:noWrap w:val="0"/>
                  <w:vAlign w:val="center"/>
                </w:tcPr>
                <w:p w14:paraId="03CB7E46">
                  <w:pPr>
                    <w:widowControl/>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0.05</w:t>
                  </w:r>
                </w:p>
              </w:tc>
              <w:tc>
                <w:tcPr>
                  <w:tcW w:w="540" w:type="pct"/>
                  <w:vMerge w:val="restart"/>
                  <w:tcBorders>
                    <w:tl2br w:val="nil"/>
                    <w:tr2bl w:val="nil"/>
                  </w:tcBorders>
                  <w:noWrap w:val="0"/>
                  <w:vAlign w:val="center"/>
                </w:tcPr>
                <w:p w14:paraId="1D83312B">
                  <w:pPr>
                    <w:keepNext w:val="0"/>
                    <w:keepLines w:val="0"/>
                    <w:suppressLineNumbers w:val="0"/>
                    <w:wordWrap w:val="0"/>
                    <w:topLinePunct/>
                    <w:adjustRightInd w:val="0"/>
                    <w:snapToGrid w:val="0"/>
                    <w:spacing w:before="0" w:beforeLines="0" w:beforeAutospacing="0" w:after="0" w:afterLines="0" w:afterAutospacing="0" w:line="240" w:lineRule="atLeast"/>
                    <w:ind w:left="0" w:right="0"/>
                    <w:jc w:val="center"/>
                    <w:rPr>
                      <w:rFonts w:hint="default" w:ascii="Times New Roman" w:hAnsi="Times New Roman" w:eastAsia="宋体" w:cs="Times New Roman"/>
                      <w:b/>
                      <w:color w:val="auto"/>
                      <w:sz w:val="21"/>
                      <w:szCs w:val="21"/>
                      <w:lang w:bidi="ar-SA"/>
                    </w:rPr>
                  </w:pPr>
                  <w:r>
                    <w:rPr>
                      <w:rFonts w:hint="default" w:ascii="Times New Roman" w:hAnsi="Times New Roman" w:eastAsia="宋体" w:cs="Times New Roman"/>
                      <w:b/>
                      <w:color w:val="auto"/>
                      <w:sz w:val="21"/>
                      <w:szCs w:val="21"/>
                      <w:lang w:bidi="ar"/>
                    </w:rPr>
                    <w:t>经营范围</w:t>
                  </w:r>
                </w:p>
              </w:tc>
              <w:tc>
                <w:tcPr>
                  <w:tcW w:w="935" w:type="pct"/>
                  <w:vMerge w:val="restart"/>
                  <w:tcBorders>
                    <w:tl2br w:val="nil"/>
                    <w:tr2bl w:val="nil"/>
                  </w:tcBorders>
                  <w:noWrap w:val="0"/>
                  <w:vAlign w:val="center"/>
                </w:tcPr>
                <w:p w14:paraId="327AD17A">
                  <w:pPr>
                    <w:keepNext w:val="0"/>
                    <w:keepLines w:val="0"/>
                    <w:suppressLineNumbers w:val="0"/>
                    <w:wordWrap w:val="0"/>
                    <w:topLinePunct/>
                    <w:adjustRightInd w:val="0"/>
                    <w:snapToGrid w:val="0"/>
                    <w:spacing w:before="0" w:beforeLines="0" w:beforeAutospacing="0" w:after="0" w:afterLines="0" w:afterAutospacing="0" w:line="240" w:lineRule="atLeast"/>
                    <w:ind w:left="0" w:right="0"/>
                    <w:jc w:val="center"/>
                    <w:rPr>
                      <w:rFonts w:hint="default" w:ascii="Times New Roman" w:hAnsi="Times New Roman" w:eastAsia="宋体" w:cs="Times New Roman"/>
                      <w:color w:val="auto"/>
                      <w:sz w:val="21"/>
                      <w:szCs w:val="21"/>
                      <w:lang w:bidi="ar-SA"/>
                    </w:rPr>
                  </w:pPr>
                  <w:r>
                    <w:rPr>
                      <w:rFonts w:hint="default" w:ascii="Times New Roman" w:hAnsi="Times New Roman" w:eastAsia="宋体" w:cs="Times New Roman"/>
                      <w:color w:val="auto"/>
                      <w:sz w:val="21"/>
                      <w:szCs w:val="21"/>
                      <w:lang w:bidi="ar"/>
                    </w:rPr>
                    <w:t>可处理产生的：HW08废矿物油与含矿物油废物、HW49其他废物类危废、HW13有机树脂类废物</w:t>
                  </w:r>
                </w:p>
              </w:tc>
              <w:tc>
                <w:tcPr>
                  <w:tcW w:w="1040" w:type="pct"/>
                  <w:vMerge w:val="restart"/>
                  <w:tcBorders>
                    <w:tl2br w:val="nil"/>
                    <w:tr2bl w:val="nil"/>
                  </w:tcBorders>
                  <w:noWrap w:val="0"/>
                  <w:vAlign w:val="center"/>
                </w:tcPr>
                <w:p w14:paraId="5591B4F0">
                  <w:pPr>
                    <w:keepNext w:val="0"/>
                    <w:keepLines w:val="0"/>
                    <w:widowControl w:val="0"/>
                    <w:suppressLineNumbers w:val="0"/>
                    <w:snapToGrid w:val="0"/>
                    <w:spacing w:before="0" w:beforeLines="0" w:beforeAutospacing="0" w:after="0" w:afterLines="0" w:afterAutospacing="0"/>
                    <w:ind w:left="0" w:right="0"/>
                    <w:jc w:val="center"/>
                    <w:outlineLvl w:val="8"/>
                    <w:rPr>
                      <w:rFonts w:hint="default" w:ascii="Times New Roman" w:hAnsi="Times New Roman" w:eastAsia="宋体" w:cs="Times New Roman"/>
                      <w:color w:val="auto"/>
                      <w:spacing w:val="4"/>
                      <w:kern w:val="0"/>
                      <w:sz w:val="21"/>
                      <w:szCs w:val="21"/>
                      <w:lang w:bidi="ar"/>
                    </w:rPr>
                  </w:pPr>
                  <w:r>
                    <w:rPr>
                      <w:rFonts w:hint="default" w:ascii="Times New Roman" w:hAnsi="Times New Roman" w:eastAsia="宋体" w:cs="Times New Roman"/>
                      <w:color w:val="auto"/>
                      <w:spacing w:val="4"/>
                      <w:kern w:val="0"/>
                      <w:sz w:val="21"/>
                      <w:szCs w:val="21"/>
                      <w:lang w:bidi="ar"/>
                    </w:rPr>
                    <w:t>可处理产生的：</w:t>
                  </w:r>
                  <w:r>
                    <w:rPr>
                      <w:rFonts w:hint="default" w:ascii="Times New Roman" w:hAnsi="Times New Roman" w:eastAsia="宋体" w:cs="Times New Roman"/>
                      <w:color w:val="auto"/>
                      <w:sz w:val="21"/>
                      <w:szCs w:val="21"/>
                      <w:lang w:bidi="ar"/>
                    </w:rPr>
                    <w:t>HW08废矿物油与含矿物油废物、HW09油/水、烃/水混合物或乳化液</w:t>
                  </w:r>
                  <w:r>
                    <w:rPr>
                      <w:rFonts w:hint="eastAsia" w:cs="Times New Roman"/>
                      <w:color w:val="auto"/>
                      <w:sz w:val="21"/>
                      <w:szCs w:val="21"/>
                      <w:lang w:eastAsia="zh-CN" w:bidi="ar"/>
                    </w:rPr>
                    <w:t>、</w:t>
                  </w:r>
                  <w:r>
                    <w:rPr>
                      <w:rFonts w:hint="default" w:ascii="Times New Roman" w:hAnsi="Times New Roman" w:eastAsia="宋体" w:cs="Times New Roman"/>
                      <w:color w:val="auto"/>
                      <w:spacing w:val="4"/>
                      <w:kern w:val="0"/>
                      <w:sz w:val="21"/>
                      <w:szCs w:val="21"/>
                      <w:lang w:bidi="ar"/>
                    </w:rPr>
                    <w:t>HW17表面处理废物、HW49其他废物类危废、HW13有机树脂类废物</w:t>
                  </w:r>
                  <w:r>
                    <w:rPr>
                      <w:rFonts w:hint="eastAsia"/>
                      <w:color w:val="auto"/>
                      <w:spacing w:val="4"/>
                      <w:kern w:val="0"/>
                      <w:lang w:eastAsia="zh-CN" w:bidi="ar"/>
                    </w:rPr>
                    <w:t>、HW31含铅废物</w:t>
                  </w:r>
                </w:p>
              </w:tc>
            </w:tr>
            <w:tr w14:paraId="0C10087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33" w:hRule="atLeast"/>
                <w:jc w:val="center"/>
              </w:trPr>
              <w:tc>
                <w:tcPr>
                  <w:tcW w:w="673" w:type="pct"/>
                  <w:tcBorders>
                    <w:tl2br w:val="nil"/>
                    <w:tr2bl w:val="nil"/>
                  </w:tcBorders>
                  <w:shd w:val="clear" w:color="auto" w:fill="auto"/>
                  <w:noWrap w:val="0"/>
                  <w:vAlign w:val="center"/>
                </w:tcPr>
                <w:p w14:paraId="6E491209">
                  <w:pPr>
                    <w:widowControl/>
                    <w:jc w:val="center"/>
                    <w:rPr>
                      <w:rFonts w:hint="eastAsia" w:ascii="Times New Roman" w:hAnsi="Times New Roman" w:eastAsia="宋体" w:cs="Times New Roman"/>
                      <w:bCs/>
                      <w:snapToGrid w:val="0"/>
                      <w:color w:val="auto"/>
                      <w:spacing w:val="6"/>
                      <w:kern w:val="2"/>
                      <w:sz w:val="21"/>
                      <w:szCs w:val="21"/>
                      <w:lang w:val="en-US" w:eastAsia="zh-CN" w:bidi="ar"/>
                    </w:rPr>
                  </w:pPr>
                  <w:r>
                    <w:rPr>
                      <w:rFonts w:hint="default" w:ascii="Times New Roman" w:hAnsi="Times New Roman" w:eastAsia="宋体" w:cs="Times New Roman"/>
                      <w:bCs/>
                      <w:snapToGrid w:val="0"/>
                      <w:color w:val="auto"/>
                      <w:spacing w:val="6"/>
                      <w:kern w:val="2"/>
                      <w:sz w:val="21"/>
                      <w:szCs w:val="21"/>
                      <w:lang w:val="en-US" w:eastAsia="zh-CN" w:bidi="ar"/>
                    </w:rPr>
                    <w:t>废包装桶</w:t>
                  </w:r>
                </w:p>
              </w:tc>
              <w:tc>
                <w:tcPr>
                  <w:tcW w:w="527" w:type="pct"/>
                  <w:tcBorders>
                    <w:tl2br w:val="nil"/>
                    <w:tr2bl w:val="nil"/>
                  </w:tcBorders>
                  <w:shd w:val="clear" w:color="auto" w:fill="auto"/>
                  <w:noWrap w:val="0"/>
                  <w:vAlign w:val="center"/>
                </w:tcPr>
                <w:p w14:paraId="78A49AE8">
                  <w:pPr>
                    <w:pStyle w:val="22"/>
                    <w:widowControl w:val="0"/>
                    <w:snapToGrid w:val="0"/>
                    <w:spacing w:before="0" w:beforeAutospacing="0" w:after="0" w:afterAutospacing="0"/>
                    <w:jc w:val="center"/>
                    <w:rPr>
                      <w:rFonts w:hint="default" w:ascii="宋体" w:hAnsi="宋体" w:eastAsia="宋体" w:cs="Times New Roman"/>
                      <w:color w:val="auto"/>
                      <w:kern w:val="0"/>
                      <w:sz w:val="21"/>
                      <w:szCs w:val="21"/>
                      <w:lang w:val="en-US" w:eastAsia="zh-CN" w:bidi="ar-SA"/>
                    </w:rPr>
                  </w:pPr>
                  <w:r>
                    <w:rPr>
                      <w:rFonts w:ascii="Times New Roman" w:hAnsi="Times New Roman"/>
                      <w:bCs/>
                      <w:color w:val="auto"/>
                      <w:sz w:val="21"/>
                      <w:szCs w:val="21"/>
                    </w:rPr>
                    <w:t>HW49</w:t>
                  </w:r>
                </w:p>
              </w:tc>
              <w:tc>
                <w:tcPr>
                  <w:tcW w:w="751" w:type="pct"/>
                  <w:tcBorders>
                    <w:tl2br w:val="nil"/>
                    <w:tr2bl w:val="nil"/>
                  </w:tcBorders>
                  <w:shd w:val="clear" w:color="auto" w:fill="auto"/>
                  <w:noWrap w:val="0"/>
                  <w:vAlign w:val="center"/>
                </w:tcPr>
                <w:p w14:paraId="096285EA">
                  <w:pPr>
                    <w:pStyle w:val="22"/>
                    <w:widowControl w:val="0"/>
                    <w:snapToGrid w:val="0"/>
                    <w:spacing w:before="0" w:beforeAutospacing="0" w:after="0" w:afterAutospacing="0"/>
                    <w:jc w:val="center"/>
                    <w:rPr>
                      <w:rFonts w:hint="default" w:ascii="宋体" w:hAnsi="宋体" w:eastAsia="宋体" w:cs="Times New Roman"/>
                      <w:color w:val="auto"/>
                      <w:kern w:val="0"/>
                      <w:sz w:val="21"/>
                      <w:szCs w:val="21"/>
                      <w:lang w:val="en-US" w:eastAsia="zh-CN" w:bidi="ar-SA"/>
                    </w:rPr>
                  </w:pPr>
                  <w:r>
                    <w:rPr>
                      <w:rFonts w:ascii="Times New Roman" w:hAnsi="Times New Roman"/>
                      <w:bCs/>
                      <w:color w:val="auto"/>
                      <w:sz w:val="21"/>
                      <w:szCs w:val="21"/>
                    </w:rPr>
                    <w:t>900-041-49</w:t>
                  </w:r>
                </w:p>
              </w:tc>
              <w:tc>
                <w:tcPr>
                  <w:tcW w:w="530" w:type="pct"/>
                  <w:tcBorders>
                    <w:tl2br w:val="nil"/>
                    <w:tr2bl w:val="nil"/>
                  </w:tcBorders>
                  <w:shd w:val="clear" w:color="auto" w:fill="auto"/>
                  <w:noWrap w:val="0"/>
                  <w:vAlign w:val="center"/>
                </w:tcPr>
                <w:p w14:paraId="7B188B21">
                  <w:pPr>
                    <w:widowControl/>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0.195</w:t>
                  </w:r>
                </w:p>
              </w:tc>
              <w:tc>
                <w:tcPr>
                  <w:tcW w:w="540" w:type="pct"/>
                  <w:vMerge w:val="continue"/>
                  <w:tcBorders>
                    <w:tl2br w:val="nil"/>
                    <w:tr2bl w:val="nil"/>
                  </w:tcBorders>
                  <w:noWrap w:val="0"/>
                  <w:vAlign w:val="center"/>
                </w:tcPr>
                <w:p w14:paraId="118D9800">
                  <w:pPr>
                    <w:pStyle w:val="22"/>
                    <w:widowControl w:val="0"/>
                    <w:snapToGrid w:val="0"/>
                    <w:spacing w:before="0" w:beforeAutospacing="0" w:after="0" w:afterAutospacing="0"/>
                    <w:jc w:val="center"/>
                    <w:rPr>
                      <w:rFonts w:ascii="Times New Roman" w:hAnsi="Times New Roman"/>
                      <w:bCs/>
                      <w:color w:val="auto"/>
                      <w:sz w:val="21"/>
                      <w:szCs w:val="21"/>
                    </w:rPr>
                  </w:pPr>
                </w:p>
              </w:tc>
              <w:tc>
                <w:tcPr>
                  <w:tcW w:w="935" w:type="pct"/>
                  <w:vMerge w:val="continue"/>
                  <w:tcBorders>
                    <w:tl2br w:val="nil"/>
                    <w:tr2bl w:val="nil"/>
                  </w:tcBorders>
                  <w:noWrap w:val="0"/>
                  <w:vAlign w:val="center"/>
                </w:tcPr>
                <w:p w14:paraId="255C7546">
                  <w:pPr>
                    <w:pStyle w:val="22"/>
                    <w:widowControl w:val="0"/>
                    <w:snapToGrid w:val="0"/>
                    <w:spacing w:before="0" w:beforeAutospacing="0" w:after="0" w:afterAutospacing="0"/>
                    <w:jc w:val="center"/>
                    <w:rPr>
                      <w:rFonts w:ascii="Times New Roman" w:hAnsi="Times New Roman"/>
                      <w:bCs/>
                      <w:color w:val="auto"/>
                      <w:sz w:val="21"/>
                      <w:szCs w:val="21"/>
                    </w:rPr>
                  </w:pPr>
                </w:p>
              </w:tc>
              <w:tc>
                <w:tcPr>
                  <w:tcW w:w="1040" w:type="pct"/>
                  <w:vMerge w:val="continue"/>
                  <w:tcBorders>
                    <w:tl2br w:val="nil"/>
                    <w:tr2bl w:val="nil"/>
                  </w:tcBorders>
                  <w:noWrap w:val="0"/>
                  <w:vAlign w:val="center"/>
                </w:tcPr>
                <w:p w14:paraId="19E93108">
                  <w:pPr>
                    <w:pStyle w:val="22"/>
                    <w:widowControl w:val="0"/>
                    <w:snapToGrid w:val="0"/>
                    <w:spacing w:before="0" w:beforeAutospacing="0" w:after="0" w:afterAutospacing="0"/>
                    <w:jc w:val="center"/>
                    <w:rPr>
                      <w:rFonts w:ascii="Times New Roman" w:hAnsi="Times New Roman"/>
                      <w:bCs/>
                      <w:color w:val="auto"/>
                      <w:sz w:val="21"/>
                      <w:szCs w:val="21"/>
                    </w:rPr>
                  </w:pPr>
                </w:p>
              </w:tc>
            </w:tr>
            <w:tr w14:paraId="4A19667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33" w:hRule="atLeast"/>
                <w:jc w:val="center"/>
              </w:trPr>
              <w:tc>
                <w:tcPr>
                  <w:tcW w:w="673" w:type="pct"/>
                  <w:tcBorders>
                    <w:tl2br w:val="nil"/>
                    <w:tr2bl w:val="nil"/>
                  </w:tcBorders>
                  <w:shd w:val="clear" w:color="auto" w:fill="auto"/>
                  <w:noWrap w:val="0"/>
                  <w:vAlign w:val="center"/>
                </w:tcPr>
                <w:p w14:paraId="3E2A57AD">
                  <w:pPr>
                    <w:widowControl/>
                    <w:jc w:val="center"/>
                    <w:rPr>
                      <w:rFonts w:hint="default" w:ascii="Times New Roman" w:hAnsi="Times New Roman" w:eastAsia="宋体" w:cs="Times New Roman"/>
                      <w:bCs/>
                      <w:snapToGrid w:val="0"/>
                      <w:color w:val="auto"/>
                      <w:spacing w:val="6"/>
                      <w:kern w:val="2"/>
                      <w:sz w:val="21"/>
                      <w:szCs w:val="21"/>
                      <w:lang w:val="en-US" w:eastAsia="zh-CN" w:bidi="ar"/>
                    </w:rPr>
                  </w:pPr>
                  <w:r>
                    <w:rPr>
                      <w:rFonts w:hint="default" w:ascii="Times New Roman" w:hAnsi="Times New Roman" w:eastAsia="宋体" w:cs="Times New Roman"/>
                      <w:bCs/>
                      <w:snapToGrid w:val="0"/>
                      <w:color w:val="auto"/>
                      <w:spacing w:val="6"/>
                      <w:kern w:val="2"/>
                      <w:sz w:val="21"/>
                      <w:szCs w:val="21"/>
                      <w:lang w:val="en-US" w:eastAsia="zh-CN" w:bidi="ar"/>
                    </w:rPr>
                    <w:t>废油桶</w:t>
                  </w:r>
                </w:p>
              </w:tc>
              <w:tc>
                <w:tcPr>
                  <w:tcW w:w="527" w:type="pct"/>
                  <w:tcBorders>
                    <w:tl2br w:val="nil"/>
                    <w:tr2bl w:val="nil"/>
                  </w:tcBorders>
                  <w:shd w:val="clear" w:color="auto" w:fill="auto"/>
                  <w:noWrap w:val="0"/>
                  <w:vAlign w:val="center"/>
                </w:tcPr>
                <w:p w14:paraId="5A781DB0">
                  <w:pPr>
                    <w:pStyle w:val="22"/>
                    <w:widowControl w:val="0"/>
                    <w:snapToGrid w:val="0"/>
                    <w:spacing w:before="0" w:beforeAutospacing="0" w:after="0" w:afterAutospacing="0"/>
                    <w:jc w:val="center"/>
                    <w:rPr>
                      <w:rFonts w:hint="default" w:ascii="宋体" w:hAnsi="宋体" w:eastAsia="宋体" w:cs="Times New Roman"/>
                      <w:color w:val="auto"/>
                      <w:kern w:val="0"/>
                      <w:sz w:val="21"/>
                      <w:szCs w:val="21"/>
                      <w:lang w:val="en-US" w:eastAsia="zh-CN" w:bidi="ar-SA"/>
                    </w:rPr>
                  </w:pPr>
                  <w:r>
                    <w:rPr>
                      <w:rFonts w:ascii="Times New Roman" w:hAnsi="Times New Roman"/>
                      <w:bCs/>
                      <w:color w:val="auto"/>
                      <w:sz w:val="21"/>
                      <w:szCs w:val="21"/>
                    </w:rPr>
                    <w:t>HW08</w:t>
                  </w:r>
                </w:p>
              </w:tc>
              <w:tc>
                <w:tcPr>
                  <w:tcW w:w="751" w:type="pct"/>
                  <w:tcBorders>
                    <w:tl2br w:val="nil"/>
                    <w:tr2bl w:val="nil"/>
                  </w:tcBorders>
                  <w:shd w:val="clear" w:color="auto" w:fill="auto"/>
                  <w:noWrap w:val="0"/>
                  <w:vAlign w:val="center"/>
                </w:tcPr>
                <w:p w14:paraId="43FF74A6">
                  <w:pPr>
                    <w:pStyle w:val="22"/>
                    <w:widowControl w:val="0"/>
                    <w:snapToGrid w:val="0"/>
                    <w:spacing w:before="0" w:beforeAutospacing="0" w:after="0" w:afterAutospacing="0"/>
                    <w:jc w:val="center"/>
                    <w:rPr>
                      <w:rFonts w:hint="default" w:ascii="宋体" w:hAnsi="宋体" w:eastAsia="宋体" w:cs="Times New Roman"/>
                      <w:color w:val="auto"/>
                      <w:kern w:val="0"/>
                      <w:sz w:val="21"/>
                      <w:szCs w:val="21"/>
                      <w:lang w:val="en-US" w:eastAsia="zh-CN" w:bidi="ar-SA"/>
                    </w:rPr>
                  </w:pPr>
                  <w:r>
                    <w:rPr>
                      <w:rFonts w:ascii="Times New Roman" w:hAnsi="Times New Roman"/>
                      <w:bCs/>
                      <w:color w:val="auto"/>
                      <w:sz w:val="21"/>
                      <w:szCs w:val="21"/>
                    </w:rPr>
                    <w:t>900-249-08</w:t>
                  </w:r>
                </w:p>
              </w:tc>
              <w:tc>
                <w:tcPr>
                  <w:tcW w:w="530" w:type="pct"/>
                  <w:tcBorders>
                    <w:tl2br w:val="nil"/>
                    <w:tr2bl w:val="nil"/>
                  </w:tcBorders>
                  <w:shd w:val="clear" w:color="auto" w:fill="auto"/>
                  <w:noWrap w:val="0"/>
                  <w:vAlign w:val="center"/>
                </w:tcPr>
                <w:p w14:paraId="1212A8DA">
                  <w:pPr>
                    <w:widowControl/>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0.665</w:t>
                  </w:r>
                </w:p>
              </w:tc>
              <w:tc>
                <w:tcPr>
                  <w:tcW w:w="540" w:type="pct"/>
                  <w:vMerge w:val="continue"/>
                  <w:tcBorders>
                    <w:tl2br w:val="nil"/>
                    <w:tr2bl w:val="nil"/>
                  </w:tcBorders>
                  <w:noWrap w:val="0"/>
                  <w:vAlign w:val="center"/>
                </w:tcPr>
                <w:p w14:paraId="7C2B379E">
                  <w:pPr>
                    <w:pStyle w:val="22"/>
                    <w:widowControl w:val="0"/>
                    <w:snapToGrid w:val="0"/>
                    <w:spacing w:before="0" w:beforeAutospacing="0" w:after="0" w:afterAutospacing="0"/>
                    <w:jc w:val="center"/>
                    <w:rPr>
                      <w:rFonts w:hint="default" w:ascii="宋体" w:hAnsi="宋体" w:eastAsia="宋体" w:cs="Times New Roman"/>
                      <w:color w:val="auto"/>
                      <w:kern w:val="0"/>
                      <w:sz w:val="21"/>
                      <w:szCs w:val="21"/>
                      <w:lang w:val="en-US" w:eastAsia="zh-CN" w:bidi="ar-SA"/>
                    </w:rPr>
                  </w:pPr>
                </w:p>
              </w:tc>
              <w:tc>
                <w:tcPr>
                  <w:tcW w:w="935" w:type="pct"/>
                  <w:vMerge w:val="continue"/>
                  <w:tcBorders>
                    <w:tl2br w:val="nil"/>
                    <w:tr2bl w:val="nil"/>
                  </w:tcBorders>
                  <w:noWrap w:val="0"/>
                  <w:vAlign w:val="center"/>
                </w:tcPr>
                <w:p w14:paraId="437DADD3">
                  <w:pPr>
                    <w:pStyle w:val="22"/>
                    <w:widowControl w:val="0"/>
                    <w:snapToGrid w:val="0"/>
                    <w:spacing w:before="0" w:beforeAutospacing="0" w:after="0" w:afterAutospacing="0"/>
                    <w:jc w:val="center"/>
                    <w:rPr>
                      <w:rFonts w:hint="default" w:ascii="宋体" w:hAnsi="宋体" w:eastAsia="宋体" w:cs="Times New Roman"/>
                      <w:color w:val="auto"/>
                      <w:kern w:val="0"/>
                      <w:sz w:val="21"/>
                      <w:szCs w:val="21"/>
                      <w:lang w:val="en-US" w:eastAsia="zh-CN" w:bidi="ar-SA"/>
                    </w:rPr>
                  </w:pPr>
                </w:p>
              </w:tc>
              <w:tc>
                <w:tcPr>
                  <w:tcW w:w="1040" w:type="pct"/>
                  <w:vMerge w:val="continue"/>
                  <w:tcBorders>
                    <w:tl2br w:val="nil"/>
                    <w:tr2bl w:val="nil"/>
                  </w:tcBorders>
                  <w:noWrap w:val="0"/>
                  <w:vAlign w:val="center"/>
                </w:tcPr>
                <w:p w14:paraId="2856EF84">
                  <w:pPr>
                    <w:pStyle w:val="22"/>
                    <w:widowControl w:val="0"/>
                    <w:snapToGrid w:val="0"/>
                    <w:spacing w:before="0" w:beforeAutospacing="0" w:after="0" w:afterAutospacing="0"/>
                    <w:jc w:val="center"/>
                    <w:rPr>
                      <w:rFonts w:hint="default" w:ascii="宋体" w:hAnsi="宋体" w:eastAsia="宋体" w:cs="Times New Roman"/>
                      <w:color w:val="auto"/>
                      <w:kern w:val="0"/>
                      <w:sz w:val="21"/>
                      <w:szCs w:val="21"/>
                      <w:lang w:val="en-US" w:eastAsia="zh-CN" w:bidi="ar-SA"/>
                    </w:rPr>
                  </w:pPr>
                </w:p>
              </w:tc>
            </w:tr>
            <w:tr w14:paraId="222DFD5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33" w:hRule="atLeast"/>
                <w:jc w:val="center"/>
              </w:trPr>
              <w:tc>
                <w:tcPr>
                  <w:tcW w:w="673" w:type="pct"/>
                  <w:tcBorders>
                    <w:tl2br w:val="nil"/>
                    <w:tr2bl w:val="nil"/>
                  </w:tcBorders>
                  <w:shd w:val="clear" w:color="auto" w:fill="auto"/>
                  <w:noWrap w:val="0"/>
                  <w:vAlign w:val="center"/>
                </w:tcPr>
                <w:p w14:paraId="74EBE6F2">
                  <w:pPr>
                    <w:widowControl/>
                    <w:jc w:val="center"/>
                    <w:rPr>
                      <w:rFonts w:hint="default" w:ascii="Times New Roman" w:hAnsi="Times New Roman" w:eastAsia="宋体" w:cs="Times New Roman"/>
                      <w:bCs/>
                      <w:snapToGrid w:val="0"/>
                      <w:color w:val="auto"/>
                      <w:spacing w:val="6"/>
                      <w:kern w:val="2"/>
                      <w:sz w:val="21"/>
                      <w:szCs w:val="21"/>
                      <w:lang w:val="en-US" w:eastAsia="zh-CN" w:bidi="ar"/>
                    </w:rPr>
                  </w:pPr>
                  <w:r>
                    <w:rPr>
                      <w:rFonts w:hint="default" w:ascii="Times New Roman" w:hAnsi="Times New Roman" w:eastAsia="宋体" w:cs="Times New Roman"/>
                      <w:bCs/>
                      <w:snapToGrid w:val="0"/>
                      <w:color w:val="auto"/>
                      <w:spacing w:val="6"/>
                      <w:kern w:val="2"/>
                      <w:sz w:val="21"/>
                      <w:szCs w:val="21"/>
                      <w:lang w:val="en-US" w:eastAsia="zh-CN" w:bidi="ar"/>
                    </w:rPr>
                    <w:t>废润滑油</w:t>
                  </w:r>
                </w:p>
              </w:tc>
              <w:tc>
                <w:tcPr>
                  <w:tcW w:w="527" w:type="pct"/>
                  <w:tcBorders>
                    <w:tl2br w:val="nil"/>
                    <w:tr2bl w:val="nil"/>
                  </w:tcBorders>
                  <w:shd w:val="clear" w:color="auto" w:fill="auto"/>
                  <w:noWrap w:val="0"/>
                  <w:vAlign w:val="center"/>
                </w:tcPr>
                <w:p w14:paraId="6EA6CEBE">
                  <w:pPr>
                    <w:adjustRightInd w:val="0"/>
                    <w:snapToGrid w:val="0"/>
                    <w:jc w:val="center"/>
                    <w:rPr>
                      <w:rFonts w:hint="default" w:ascii="Times New Roman" w:hAnsi="Times New Roman" w:eastAsia="宋体" w:cs="Times New Roman"/>
                      <w:bCs/>
                      <w:color w:val="auto"/>
                      <w:kern w:val="2"/>
                      <w:sz w:val="21"/>
                      <w:szCs w:val="21"/>
                      <w:lang w:val="en-US" w:eastAsia="zh-CN" w:bidi="ar"/>
                    </w:rPr>
                  </w:pPr>
                  <w:r>
                    <w:rPr>
                      <w:color w:val="auto"/>
                      <w:sz w:val="21"/>
                      <w:szCs w:val="21"/>
                      <w:lang w:bidi="ar"/>
                    </w:rPr>
                    <w:t>HW</w:t>
                  </w:r>
                  <w:r>
                    <w:rPr>
                      <w:rFonts w:hint="eastAsia"/>
                      <w:color w:val="auto"/>
                      <w:sz w:val="21"/>
                      <w:szCs w:val="21"/>
                      <w:lang w:bidi="ar"/>
                    </w:rPr>
                    <w:t>08</w:t>
                  </w:r>
                </w:p>
              </w:tc>
              <w:tc>
                <w:tcPr>
                  <w:tcW w:w="751" w:type="pct"/>
                  <w:tcBorders>
                    <w:tl2br w:val="nil"/>
                    <w:tr2bl w:val="nil"/>
                  </w:tcBorders>
                  <w:shd w:val="clear" w:color="auto" w:fill="auto"/>
                  <w:noWrap w:val="0"/>
                  <w:vAlign w:val="center"/>
                </w:tcPr>
                <w:p w14:paraId="02C4FDA3">
                  <w:pPr>
                    <w:adjustRightInd w:val="0"/>
                    <w:snapToGrid w:val="0"/>
                    <w:jc w:val="center"/>
                    <w:rPr>
                      <w:rFonts w:hint="default" w:ascii="Times New Roman" w:hAnsi="Times New Roman" w:eastAsia="宋体" w:cs="Times New Roman"/>
                      <w:bCs/>
                      <w:color w:val="auto"/>
                      <w:kern w:val="2"/>
                      <w:sz w:val="21"/>
                      <w:szCs w:val="21"/>
                      <w:lang w:val="en-US" w:eastAsia="zh-CN" w:bidi="ar"/>
                    </w:rPr>
                  </w:pPr>
                  <w:r>
                    <w:rPr>
                      <w:color w:val="auto"/>
                      <w:sz w:val="21"/>
                      <w:szCs w:val="21"/>
                      <w:lang w:bidi="ar"/>
                    </w:rPr>
                    <w:t>900-</w:t>
                  </w:r>
                  <w:r>
                    <w:rPr>
                      <w:rFonts w:hint="eastAsia"/>
                      <w:color w:val="auto"/>
                      <w:sz w:val="21"/>
                      <w:szCs w:val="21"/>
                      <w:lang w:bidi="ar"/>
                    </w:rPr>
                    <w:t>217</w:t>
                  </w:r>
                  <w:r>
                    <w:rPr>
                      <w:color w:val="auto"/>
                      <w:sz w:val="21"/>
                      <w:szCs w:val="21"/>
                      <w:lang w:bidi="ar"/>
                    </w:rPr>
                    <w:t>-</w:t>
                  </w:r>
                  <w:r>
                    <w:rPr>
                      <w:rFonts w:hint="eastAsia"/>
                      <w:color w:val="auto"/>
                      <w:sz w:val="21"/>
                      <w:szCs w:val="21"/>
                      <w:lang w:bidi="ar"/>
                    </w:rPr>
                    <w:t>08</w:t>
                  </w:r>
                </w:p>
              </w:tc>
              <w:tc>
                <w:tcPr>
                  <w:tcW w:w="530" w:type="pct"/>
                  <w:tcBorders>
                    <w:tl2br w:val="nil"/>
                    <w:tr2bl w:val="nil"/>
                  </w:tcBorders>
                  <w:shd w:val="clear" w:color="auto" w:fill="auto"/>
                  <w:noWrap w:val="0"/>
                  <w:vAlign w:val="center"/>
                </w:tcPr>
                <w:p w14:paraId="27A5F3FE">
                  <w:pPr>
                    <w:widowControl/>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6</w:t>
                  </w:r>
                </w:p>
              </w:tc>
              <w:tc>
                <w:tcPr>
                  <w:tcW w:w="540" w:type="pct"/>
                  <w:vMerge w:val="continue"/>
                  <w:tcBorders>
                    <w:tl2br w:val="nil"/>
                    <w:tr2bl w:val="nil"/>
                  </w:tcBorders>
                  <w:noWrap w:val="0"/>
                  <w:vAlign w:val="center"/>
                </w:tcPr>
                <w:p w14:paraId="0A2F7698">
                  <w:pPr>
                    <w:pStyle w:val="22"/>
                    <w:widowControl w:val="0"/>
                    <w:snapToGrid w:val="0"/>
                    <w:spacing w:before="0" w:beforeAutospacing="0" w:after="0" w:afterAutospacing="0"/>
                    <w:jc w:val="center"/>
                    <w:rPr>
                      <w:rFonts w:hint="default" w:ascii="宋体" w:hAnsi="宋体" w:eastAsia="宋体" w:cs="Times New Roman"/>
                      <w:color w:val="auto"/>
                      <w:kern w:val="0"/>
                      <w:sz w:val="21"/>
                      <w:szCs w:val="21"/>
                      <w:lang w:val="en-US" w:eastAsia="zh-CN" w:bidi="ar-SA"/>
                    </w:rPr>
                  </w:pPr>
                </w:p>
              </w:tc>
              <w:tc>
                <w:tcPr>
                  <w:tcW w:w="935" w:type="pct"/>
                  <w:vMerge w:val="continue"/>
                  <w:tcBorders>
                    <w:tl2br w:val="nil"/>
                    <w:tr2bl w:val="nil"/>
                  </w:tcBorders>
                  <w:noWrap w:val="0"/>
                  <w:vAlign w:val="center"/>
                </w:tcPr>
                <w:p w14:paraId="17A786B3">
                  <w:pPr>
                    <w:pStyle w:val="22"/>
                    <w:widowControl w:val="0"/>
                    <w:snapToGrid w:val="0"/>
                    <w:spacing w:before="0" w:beforeAutospacing="0" w:after="0" w:afterAutospacing="0"/>
                    <w:jc w:val="center"/>
                    <w:rPr>
                      <w:rFonts w:hint="default" w:ascii="宋体" w:hAnsi="宋体" w:eastAsia="宋体" w:cs="Times New Roman"/>
                      <w:color w:val="auto"/>
                      <w:kern w:val="0"/>
                      <w:sz w:val="21"/>
                      <w:szCs w:val="21"/>
                      <w:lang w:val="en-US" w:eastAsia="zh-CN" w:bidi="ar-SA"/>
                    </w:rPr>
                  </w:pPr>
                </w:p>
              </w:tc>
              <w:tc>
                <w:tcPr>
                  <w:tcW w:w="1040" w:type="pct"/>
                  <w:vMerge w:val="continue"/>
                  <w:tcBorders>
                    <w:tl2br w:val="nil"/>
                    <w:tr2bl w:val="nil"/>
                  </w:tcBorders>
                  <w:noWrap w:val="0"/>
                  <w:vAlign w:val="center"/>
                </w:tcPr>
                <w:p w14:paraId="2537B1AC">
                  <w:pPr>
                    <w:pStyle w:val="22"/>
                    <w:widowControl w:val="0"/>
                    <w:snapToGrid w:val="0"/>
                    <w:spacing w:before="0" w:beforeAutospacing="0" w:after="0" w:afterAutospacing="0"/>
                    <w:jc w:val="center"/>
                    <w:rPr>
                      <w:rFonts w:hint="default" w:ascii="宋体" w:hAnsi="宋体" w:eastAsia="宋体" w:cs="Times New Roman"/>
                      <w:color w:val="auto"/>
                      <w:kern w:val="0"/>
                      <w:sz w:val="21"/>
                      <w:szCs w:val="21"/>
                      <w:lang w:val="en-US" w:eastAsia="zh-CN" w:bidi="ar-SA"/>
                    </w:rPr>
                  </w:pPr>
                </w:p>
              </w:tc>
            </w:tr>
            <w:tr w14:paraId="5768520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2" w:hRule="atLeast"/>
                <w:jc w:val="center"/>
              </w:trPr>
              <w:tc>
                <w:tcPr>
                  <w:tcW w:w="673" w:type="pct"/>
                  <w:tcBorders>
                    <w:tl2br w:val="nil"/>
                    <w:tr2bl w:val="nil"/>
                  </w:tcBorders>
                  <w:shd w:val="clear" w:color="auto" w:fill="auto"/>
                  <w:noWrap w:val="0"/>
                  <w:vAlign w:val="center"/>
                </w:tcPr>
                <w:p w14:paraId="34B8EF15">
                  <w:pPr>
                    <w:widowControl/>
                    <w:jc w:val="center"/>
                    <w:rPr>
                      <w:rFonts w:hint="default" w:ascii="Times New Roman" w:hAnsi="Times New Roman" w:eastAsia="宋体" w:cs="Times New Roman"/>
                      <w:bCs/>
                      <w:snapToGrid w:val="0"/>
                      <w:color w:val="auto"/>
                      <w:spacing w:val="6"/>
                      <w:kern w:val="2"/>
                      <w:sz w:val="21"/>
                      <w:szCs w:val="21"/>
                      <w:lang w:val="en-US" w:eastAsia="zh-CN" w:bidi="ar"/>
                    </w:rPr>
                  </w:pPr>
                  <w:r>
                    <w:rPr>
                      <w:rFonts w:hint="default" w:ascii="Times New Roman" w:hAnsi="Times New Roman" w:eastAsia="宋体" w:cs="Times New Roman"/>
                      <w:bCs/>
                      <w:snapToGrid w:val="0"/>
                      <w:color w:val="auto"/>
                      <w:spacing w:val="6"/>
                      <w:kern w:val="2"/>
                      <w:sz w:val="21"/>
                      <w:szCs w:val="21"/>
                      <w:lang w:val="en-US" w:eastAsia="zh-CN" w:bidi="ar"/>
                    </w:rPr>
                    <w:t>废液压油</w:t>
                  </w:r>
                </w:p>
              </w:tc>
              <w:tc>
                <w:tcPr>
                  <w:tcW w:w="527" w:type="pct"/>
                  <w:tcBorders>
                    <w:tl2br w:val="nil"/>
                    <w:tr2bl w:val="nil"/>
                  </w:tcBorders>
                  <w:shd w:val="clear" w:color="auto" w:fill="auto"/>
                  <w:noWrap w:val="0"/>
                  <w:vAlign w:val="center"/>
                </w:tcPr>
                <w:p w14:paraId="4FDAF0E2">
                  <w:pPr>
                    <w:adjustRightInd w:val="0"/>
                    <w:snapToGrid w:val="0"/>
                    <w:jc w:val="center"/>
                    <w:rPr>
                      <w:rFonts w:hint="default" w:ascii="Times New Roman" w:hAnsi="Times New Roman" w:eastAsia="宋体" w:cs="Times New Roman"/>
                      <w:color w:val="auto"/>
                      <w:kern w:val="2"/>
                      <w:sz w:val="21"/>
                      <w:szCs w:val="21"/>
                      <w:lang w:val="en-US" w:eastAsia="zh-CN" w:bidi="ar"/>
                    </w:rPr>
                  </w:pPr>
                  <w:r>
                    <w:rPr>
                      <w:color w:val="auto"/>
                    </w:rPr>
                    <w:t>HW</w:t>
                  </w:r>
                  <w:r>
                    <w:rPr>
                      <w:rFonts w:hint="eastAsia"/>
                      <w:color w:val="auto"/>
                    </w:rPr>
                    <w:t>08</w:t>
                  </w:r>
                </w:p>
              </w:tc>
              <w:tc>
                <w:tcPr>
                  <w:tcW w:w="751" w:type="pct"/>
                  <w:tcBorders>
                    <w:tl2br w:val="nil"/>
                    <w:tr2bl w:val="nil"/>
                  </w:tcBorders>
                  <w:shd w:val="clear" w:color="auto" w:fill="auto"/>
                  <w:noWrap w:val="0"/>
                  <w:vAlign w:val="center"/>
                </w:tcPr>
                <w:p w14:paraId="01112C51">
                  <w:pPr>
                    <w:adjustRightInd w:val="0"/>
                    <w:snapToGrid w:val="0"/>
                    <w:jc w:val="center"/>
                    <w:rPr>
                      <w:rFonts w:hint="default" w:ascii="Times New Roman" w:hAnsi="Times New Roman" w:eastAsia="宋体" w:cs="Times New Roman"/>
                      <w:color w:val="auto"/>
                      <w:kern w:val="0"/>
                      <w:sz w:val="21"/>
                      <w:szCs w:val="21"/>
                      <w:lang w:val="en-US" w:eastAsia="zh-CN" w:bidi="ar"/>
                    </w:rPr>
                  </w:pPr>
                  <w:r>
                    <w:rPr>
                      <w:color w:val="auto"/>
                    </w:rPr>
                    <w:t>900-</w:t>
                  </w:r>
                  <w:r>
                    <w:rPr>
                      <w:rFonts w:hint="eastAsia"/>
                      <w:color w:val="auto"/>
                    </w:rPr>
                    <w:t>218</w:t>
                  </w:r>
                  <w:r>
                    <w:rPr>
                      <w:color w:val="auto"/>
                    </w:rPr>
                    <w:t>-</w:t>
                  </w:r>
                  <w:r>
                    <w:rPr>
                      <w:rFonts w:hint="eastAsia"/>
                      <w:color w:val="auto"/>
                    </w:rPr>
                    <w:t>08</w:t>
                  </w:r>
                </w:p>
              </w:tc>
              <w:tc>
                <w:tcPr>
                  <w:tcW w:w="530" w:type="pct"/>
                  <w:tcBorders>
                    <w:tl2br w:val="nil"/>
                    <w:tr2bl w:val="nil"/>
                  </w:tcBorders>
                  <w:shd w:val="clear" w:color="auto" w:fill="auto"/>
                  <w:noWrap w:val="0"/>
                  <w:vAlign w:val="center"/>
                </w:tcPr>
                <w:p w14:paraId="5F5B8380">
                  <w:pPr>
                    <w:widowControl/>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2</w:t>
                  </w:r>
                </w:p>
              </w:tc>
              <w:tc>
                <w:tcPr>
                  <w:tcW w:w="540" w:type="pct"/>
                  <w:vMerge w:val="continue"/>
                  <w:tcBorders>
                    <w:tl2br w:val="nil"/>
                    <w:tr2bl w:val="nil"/>
                  </w:tcBorders>
                  <w:noWrap w:val="0"/>
                  <w:vAlign w:val="center"/>
                </w:tcPr>
                <w:p w14:paraId="4A13BC0E">
                  <w:pPr>
                    <w:pStyle w:val="22"/>
                    <w:widowControl w:val="0"/>
                    <w:snapToGrid w:val="0"/>
                    <w:spacing w:before="0" w:beforeAutospacing="0" w:after="0" w:afterAutospacing="0"/>
                    <w:jc w:val="center"/>
                    <w:rPr>
                      <w:rFonts w:hint="default" w:ascii="宋体" w:hAnsi="宋体" w:eastAsia="宋体" w:cs="Times New Roman"/>
                      <w:color w:val="auto"/>
                      <w:kern w:val="0"/>
                      <w:sz w:val="21"/>
                      <w:szCs w:val="21"/>
                      <w:lang w:val="en-US" w:eastAsia="zh-CN" w:bidi="ar-SA"/>
                    </w:rPr>
                  </w:pPr>
                </w:p>
              </w:tc>
              <w:tc>
                <w:tcPr>
                  <w:tcW w:w="935" w:type="pct"/>
                  <w:vMerge w:val="continue"/>
                  <w:tcBorders>
                    <w:tl2br w:val="nil"/>
                    <w:tr2bl w:val="nil"/>
                  </w:tcBorders>
                  <w:noWrap w:val="0"/>
                  <w:vAlign w:val="center"/>
                </w:tcPr>
                <w:p w14:paraId="22FCDC30">
                  <w:pPr>
                    <w:pStyle w:val="22"/>
                    <w:widowControl w:val="0"/>
                    <w:snapToGrid w:val="0"/>
                    <w:spacing w:before="0" w:beforeAutospacing="0" w:after="0" w:afterAutospacing="0"/>
                    <w:jc w:val="center"/>
                    <w:rPr>
                      <w:rFonts w:hint="default" w:ascii="宋体" w:hAnsi="宋体" w:eastAsia="宋体" w:cs="Times New Roman"/>
                      <w:color w:val="auto"/>
                      <w:kern w:val="0"/>
                      <w:sz w:val="21"/>
                      <w:szCs w:val="21"/>
                      <w:lang w:val="en-US" w:eastAsia="zh-CN" w:bidi="ar-SA"/>
                    </w:rPr>
                  </w:pPr>
                </w:p>
              </w:tc>
              <w:tc>
                <w:tcPr>
                  <w:tcW w:w="1040" w:type="pct"/>
                  <w:vMerge w:val="continue"/>
                  <w:tcBorders>
                    <w:tl2br w:val="nil"/>
                    <w:tr2bl w:val="nil"/>
                  </w:tcBorders>
                  <w:noWrap w:val="0"/>
                  <w:vAlign w:val="center"/>
                </w:tcPr>
                <w:p w14:paraId="1C54BD08">
                  <w:pPr>
                    <w:pStyle w:val="22"/>
                    <w:widowControl w:val="0"/>
                    <w:snapToGrid w:val="0"/>
                    <w:spacing w:before="0" w:beforeAutospacing="0" w:after="0" w:afterAutospacing="0"/>
                    <w:jc w:val="center"/>
                    <w:rPr>
                      <w:rFonts w:hint="default" w:ascii="宋体" w:hAnsi="宋体" w:eastAsia="宋体" w:cs="Times New Roman"/>
                      <w:color w:val="auto"/>
                      <w:kern w:val="0"/>
                      <w:sz w:val="21"/>
                      <w:szCs w:val="21"/>
                      <w:lang w:val="en-US" w:eastAsia="zh-CN" w:bidi="ar-SA"/>
                    </w:rPr>
                  </w:pPr>
                </w:p>
              </w:tc>
            </w:tr>
            <w:tr w14:paraId="2CAB878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2" w:hRule="atLeast"/>
                <w:jc w:val="center"/>
              </w:trPr>
              <w:tc>
                <w:tcPr>
                  <w:tcW w:w="673" w:type="pct"/>
                  <w:tcBorders>
                    <w:tl2br w:val="nil"/>
                    <w:tr2bl w:val="nil"/>
                  </w:tcBorders>
                  <w:shd w:val="clear" w:color="auto" w:fill="auto"/>
                  <w:noWrap w:val="0"/>
                  <w:vAlign w:val="center"/>
                </w:tcPr>
                <w:p w14:paraId="73B7F203">
                  <w:pPr>
                    <w:widowControl/>
                    <w:jc w:val="center"/>
                    <w:rPr>
                      <w:rFonts w:hint="default" w:ascii="Times New Roman" w:hAnsi="Times New Roman" w:eastAsia="宋体" w:cs="Times New Roman"/>
                      <w:bCs/>
                      <w:snapToGrid w:val="0"/>
                      <w:color w:val="auto"/>
                      <w:spacing w:val="6"/>
                      <w:kern w:val="2"/>
                      <w:sz w:val="21"/>
                      <w:szCs w:val="21"/>
                      <w:lang w:val="en-US" w:eastAsia="zh-CN" w:bidi="ar"/>
                    </w:rPr>
                  </w:pPr>
                  <w:r>
                    <w:rPr>
                      <w:rFonts w:hint="default" w:ascii="Times New Roman" w:hAnsi="Times New Roman" w:eastAsia="宋体" w:cs="Times New Roman"/>
                      <w:bCs/>
                      <w:snapToGrid w:val="0"/>
                      <w:color w:val="auto"/>
                      <w:spacing w:val="6"/>
                      <w:kern w:val="2"/>
                      <w:sz w:val="21"/>
                      <w:szCs w:val="21"/>
                      <w:lang w:val="en-US" w:eastAsia="zh-CN" w:bidi="ar"/>
                    </w:rPr>
                    <w:t>浓液</w:t>
                  </w:r>
                </w:p>
              </w:tc>
              <w:tc>
                <w:tcPr>
                  <w:tcW w:w="527" w:type="pct"/>
                  <w:tcBorders>
                    <w:tl2br w:val="nil"/>
                    <w:tr2bl w:val="nil"/>
                  </w:tcBorders>
                  <w:shd w:val="clear" w:color="auto" w:fill="auto"/>
                  <w:noWrap w:val="0"/>
                  <w:vAlign w:val="center"/>
                </w:tcPr>
                <w:p w14:paraId="176A0168">
                  <w:pPr>
                    <w:widowControl/>
                    <w:jc w:val="center"/>
                    <w:textAlignment w:val="bottom"/>
                    <w:rPr>
                      <w:rFonts w:hint="default" w:ascii="Times New Roman" w:hAnsi="Times New Roman" w:eastAsia="宋体" w:cs="Times New Roman"/>
                      <w:color w:val="auto"/>
                      <w:spacing w:val="5"/>
                      <w:kern w:val="0"/>
                      <w:sz w:val="21"/>
                      <w:szCs w:val="21"/>
                      <w:lang w:val="en-US" w:eastAsia="zh-CN" w:bidi="ar"/>
                    </w:rPr>
                  </w:pPr>
                  <w:r>
                    <w:rPr>
                      <w:rFonts w:ascii="Times New Roman" w:hAnsi="Times New Roman" w:eastAsia="宋体" w:cs="Times New Roman"/>
                      <w:color w:val="auto"/>
                      <w:kern w:val="0"/>
                      <w:sz w:val="21"/>
                      <w:szCs w:val="21"/>
                      <w:lang w:bidi="ar"/>
                    </w:rPr>
                    <w:t>HW49</w:t>
                  </w:r>
                </w:p>
              </w:tc>
              <w:tc>
                <w:tcPr>
                  <w:tcW w:w="751" w:type="pct"/>
                  <w:tcBorders>
                    <w:tl2br w:val="nil"/>
                    <w:tr2bl w:val="nil"/>
                  </w:tcBorders>
                  <w:shd w:val="clear" w:color="auto" w:fill="auto"/>
                  <w:noWrap w:val="0"/>
                  <w:vAlign w:val="center"/>
                </w:tcPr>
                <w:p w14:paraId="6E8ED87A">
                  <w:pPr>
                    <w:widowControl/>
                    <w:jc w:val="center"/>
                    <w:textAlignment w:val="bottom"/>
                    <w:rPr>
                      <w:rFonts w:hint="default" w:ascii="Times New Roman" w:hAnsi="Times New Roman" w:eastAsia="宋体" w:cs="Times New Roman"/>
                      <w:color w:val="auto"/>
                      <w:spacing w:val="5"/>
                      <w:kern w:val="0"/>
                      <w:sz w:val="21"/>
                      <w:szCs w:val="21"/>
                      <w:lang w:val="en-US" w:eastAsia="zh-CN" w:bidi="ar"/>
                    </w:rPr>
                  </w:pPr>
                  <w:r>
                    <w:rPr>
                      <w:rFonts w:hint="eastAsia" w:ascii="Times New Roman" w:hAnsi="Times New Roman" w:eastAsia="宋体" w:cs="Times New Roman"/>
                      <w:color w:val="auto"/>
                      <w:kern w:val="0"/>
                      <w:sz w:val="21"/>
                      <w:szCs w:val="21"/>
                      <w:lang w:val="en-US" w:eastAsia="zh-CN" w:bidi="ar"/>
                    </w:rPr>
                    <w:t>772-006-49</w:t>
                  </w:r>
                </w:p>
              </w:tc>
              <w:tc>
                <w:tcPr>
                  <w:tcW w:w="530" w:type="pct"/>
                  <w:tcBorders>
                    <w:tl2br w:val="nil"/>
                    <w:tr2bl w:val="nil"/>
                  </w:tcBorders>
                  <w:shd w:val="clear" w:color="auto" w:fill="auto"/>
                  <w:noWrap w:val="0"/>
                  <w:vAlign w:val="center"/>
                </w:tcPr>
                <w:p w14:paraId="340E531F">
                  <w:pPr>
                    <w:widowControl/>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8.44</w:t>
                  </w:r>
                </w:p>
              </w:tc>
              <w:tc>
                <w:tcPr>
                  <w:tcW w:w="540" w:type="pct"/>
                  <w:vMerge w:val="continue"/>
                  <w:tcBorders>
                    <w:tl2br w:val="nil"/>
                    <w:tr2bl w:val="nil"/>
                  </w:tcBorders>
                  <w:noWrap w:val="0"/>
                  <w:vAlign w:val="center"/>
                </w:tcPr>
                <w:p w14:paraId="56E907F6">
                  <w:pPr>
                    <w:adjustRightInd w:val="0"/>
                    <w:snapToGrid w:val="0"/>
                    <w:jc w:val="center"/>
                    <w:rPr>
                      <w:rFonts w:hint="default" w:ascii="Times New Roman" w:hAnsi="Times New Roman" w:eastAsia="宋体" w:cs="Times New Roman"/>
                      <w:color w:val="auto"/>
                      <w:kern w:val="0"/>
                      <w:sz w:val="21"/>
                      <w:szCs w:val="21"/>
                      <w:lang w:val="en-US" w:eastAsia="zh-CN" w:bidi="ar"/>
                    </w:rPr>
                  </w:pPr>
                </w:p>
              </w:tc>
              <w:tc>
                <w:tcPr>
                  <w:tcW w:w="935" w:type="pct"/>
                  <w:vMerge w:val="continue"/>
                  <w:tcBorders>
                    <w:tl2br w:val="nil"/>
                    <w:tr2bl w:val="nil"/>
                  </w:tcBorders>
                  <w:noWrap w:val="0"/>
                  <w:vAlign w:val="center"/>
                </w:tcPr>
                <w:p w14:paraId="3C6BECC2">
                  <w:pPr>
                    <w:adjustRightInd w:val="0"/>
                    <w:snapToGrid w:val="0"/>
                    <w:jc w:val="center"/>
                    <w:rPr>
                      <w:rFonts w:hint="default" w:ascii="Times New Roman" w:hAnsi="Times New Roman" w:eastAsia="宋体" w:cs="Times New Roman"/>
                      <w:color w:val="auto"/>
                      <w:kern w:val="0"/>
                      <w:sz w:val="21"/>
                      <w:szCs w:val="21"/>
                      <w:lang w:val="en-US" w:eastAsia="zh-CN" w:bidi="ar"/>
                    </w:rPr>
                  </w:pPr>
                </w:p>
              </w:tc>
              <w:tc>
                <w:tcPr>
                  <w:tcW w:w="1040" w:type="pct"/>
                  <w:vMerge w:val="continue"/>
                  <w:tcBorders>
                    <w:tl2br w:val="nil"/>
                    <w:tr2bl w:val="nil"/>
                  </w:tcBorders>
                  <w:noWrap w:val="0"/>
                  <w:vAlign w:val="center"/>
                </w:tcPr>
                <w:p w14:paraId="10B1BE8C">
                  <w:pPr>
                    <w:adjustRightInd w:val="0"/>
                    <w:snapToGrid w:val="0"/>
                    <w:jc w:val="center"/>
                    <w:rPr>
                      <w:rFonts w:hint="default" w:ascii="Times New Roman" w:hAnsi="Times New Roman" w:eastAsia="宋体" w:cs="Times New Roman"/>
                      <w:color w:val="auto"/>
                      <w:kern w:val="0"/>
                      <w:sz w:val="21"/>
                      <w:szCs w:val="21"/>
                      <w:lang w:val="en-US" w:eastAsia="zh-CN" w:bidi="ar"/>
                    </w:rPr>
                  </w:pPr>
                </w:p>
              </w:tc>
            </w:tr>
            <w:tr w14:paraId="09A1B0E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2" w:hRule="atLeast"/>
                <w:jc w:val="center"/>
              </w:trPr>
              <w:tc>
                <w:tcPr>
                  <w:tcW w:w="673" w:type="pct"/>
                  <w:tcBorders>
                    <w:tl2br w:val="nil"/>
                    <w:tr2bl w:val="nil"/>
                  </w:tcBorders>
                  <w:shd w:val="clear" w:color="auto" w:fill="auto"/>
                  <w:noWrap w:val="0"/>
                  <w:vAlign w:val="center"/>
                </w:tcPr>
                <w:p w14:paraId="706BED5B">
                  <w:pPr>
                    <w:widowControl/>
                    <w:jc w:val="center"/>
                    <w:rPr>
                      <w:rFonts w:hint="default" w:ascii="Times New Roman" w:hAnsi="Times New Roman" w:eastAsia="宋体" w:cs="Times New Roman"/>
                      <w:bCs/>
                      <w:snapToGrid w:val="0"/>
                      <w:color w:val="auto"/>
                      <w:spacing w:val="6"/>
                      <w:kern w:val="2"/>
                      <w:sz w:val="21"/>
                      <w:szCs w:val="21"/>
                      <w:lang w:val="en-US" w:eastAsia="zh-CN" w:bidi="ar"/>
                    </w:rPr>
                  </w:pPr>
                  <w:r>
                    <w:rPr>
                      <w:rFonts w:hint="default" w:ascii="Times New Roman" w:hAnsi="Times New Roman" w:eastAsia="宋体" w:cs="Times New Roman"/>
                      <w:bCs/>
                      <w:snapToGrid w:val="0"/>
                      <w:color w:val="auto"/>
                      <w:spacing w:val="6"/>
                      <w:kern w:val="2"/>
                      <w:sz w:val="21"/>
                      <w:szCs w:val="21"/>
                      <w:lang w:val="en-US" w:eastAsia="zh-CN" w:bidi="ar"/>
                    </w:rPr>
                    <w:t>过滤材料</w:t>
                  </w:r>
                </w:p>
              </w:tc>
              <w:tc>
                <w:tcPr>
                  <w:tcW w:w="527" w:type="pct"/>
                  <w:tcBorders>
                    <w:tl2br w:val="nil"/>
                    <w:tr2bl w:val="nil"/>
                  </w:tcBorders>
                  <w:shd w:val="clear" w:color="auto" w:fill="auto"/>
                  <w:noWrap w:val="0"/>
                  <w:vAlign w:val="center"/>
                </w:tcPr>
                <w:p w14:paraId="1D099323">
                  <w:pPr>
                    <w:pStyle w:val="22"/>
                    <w:widowControl w:val="0"/>
                    <w:snapToGrid w:val="0"/>
                    <w:spacing w:before="0" w:beforeAutospacing="0" w:after="0" w:afterAutospacing="0"/>
                    <w:jc w:val="center"/>
                    <w:rPr>
                      <w:rFonts w:hint="default" w:ascii="宋体" w:hAnsi="宋体" w:eastAsia="宋体" w:cs="Times New Roman"/>
                      <w:color w:val="auto"/>
                      <w:kern w:val="0"/>
                      <w:sz w:val="21"/>
                      <w:szCs w:val="21"/>
                      <w:lang w:val="en-US" w:eastAsia="zh-CN" w:bidi="ar-SA"/>
                    </w:rPr>
                  </w:pPr>
                  <w:r>
                    <w:rPr>
                      <w:rFonts w:ascii="Times New Roman" w:hAnsi="Times New Roman"/>
                      <w:bCs/>
                      <w:color w:val="auto"/>
                      <w:sz w:val="21"/>
                      <w:szCs w:val="21"/>
                    </w:rPr>
                    <w:t>HW49</w:t>
                  </w:r>
                </w:p>
              </w:tc>
              <w:tc>
                <w:tcPr>
                  <w:tcW w:w="751" w:type="pct"/>
                  <w:tcBorders>
                    <w:tl2br w:val="nil"/>
                    <w:tr2bl w:val="nil"/>
                  </w:tcBorders>
                  <w:shd w:val="clear" w:color="auto" w:fill="auto"/>
                  <w:noWrap w:val="0"/>
                  <w:vAlign w:val="center"/>
                </w:tcPr>
                <w:p w14:paraId="5D50380E">
                  <w:pPr>
                    <w:pStyle w:val="22"/>
                    <w:widowControl w:val="0"/>
                    <w:snapToGrid w:val="0"/>
                    <w:spacing w:before="0" w:beforeAutospacing="0" w:after="0" w:afterAutospacing="0"/>
                    <w:jc w:val="center"/>
                    <w:rPr>
                      <w:rFonts w:hint="default" w:ascii="宋体" w:hAnsi="宋体" w:eastAsia="宋体" w:cs="Times New Roman"/>
                      <w:color w:val="auto"/>
                      <w:kern w:val="0"/>
                      <w:sz w:val="21"/>
                      <w:szCs w:val="21"/>
                      <w:lang w:val="en-US" w:eastAsia="zh-CN" w:bidi="ar-SA"/>
                    </w:rPr>
                  </w:pPr>
                  <w:r>
                    <w:rPr>
                      <w:rFonts w:ascii="Times New Roman" w:hAnsi="Times New Roman"/>
                      <w:bCs/>
                      <w:color w:val="auto"/>
                      <w:sz w:val="21"/>
                      <w:szCs w:val="21"/>
                    </w:rPr>
                    <w:t>900-041-49</w:t>
                  </w:r>
                </w:p>
              </w:tc>
              <w:tc>
                <w:tcPr>
                  <w:tcW w:w="530" w:type="pct"/>
                  <w:tcBorders>
                    <w:tl2br w:val="nil"/>
                    <w:tr2bl w:val="nil"/>
                  </w:tcBorders>
                  <w:shd w:val="clear" w:color="auto" w:fill="auto"/>
                  <w:noWrap w:val="0"/>
                  <w:vAlign w:val="center"/>
                </w:tcPr>
                <w:p w14:paraId="6715ABE6">
                  <w:pPr>
                    <w:widowControl/>
                    <w:jc w:val="center"/>
                    <w:rPr>
                      <w:rFonts w:hint="default" w:ascii="Times New Roman" w:hAnsi="Times New Roman" w:eastAsia="宋体" w:cs="Times New Roman"/>
                      <w:color w:val="auto"/>
                      <w:kern w:val="2"/>
                      <w:sz w:val="21"/>
                      <w:szCs w:val="21"/>
                      <w:lang w:val="en-US" w:eastAsia="zh-CN" w:bidi="ar-SA"/>
                    </w:rPr>
                  </w:pPr>
                  <w:r>
                    <w:rPr>
                      <w:rFonts w:hint="eastAsia"/>
                      <w:bCs/>
                      <w:color w:val="auto"/>
                      <w:sz w:val="21"/>
                      <w:szCs w:val="21"/>
                      <w:lang w:val="en-US" w:eastAsia="zh-CN"/>
                    </w:rPr>
                    <w:t>0.5t/2a</w:t>
                  </w:r>
                </w:p>
              </w:tc>
              <w:tc>
                <w:tcPr>
                  <w:tcW w:w="540" w:type="pct"/>
                  <w:vMerge w:val="continue"/>
                  <w:tcBorders>
                    <w:tl2br w:val="nil"/>
                    <w:tr2bl w:val="nil"/>
                  </w:tcBorders>
                  <w:noWrap w:val="0"/>
                  <w:vAlign w:val="center"/>
                </w:tcPr>
                <w:p w14:paraId="0A718F37">
                  <w:pPr>
                    <w:adjustRightInd w:val="0"/>
                    <w:snapToGrid w:val="0"/>
                    <w:jc w:val="center"/>
                    <w:rPr>
                      <w:rFonts w:hint="default" w:ascii="Times New Roman" w:hAnsi="Times New Roman" w:eastAsia="宋体" w:cs="Times New Roman"/>
                      <w:color w:val="auto"/>
                      <w:kern w:val="0"/>
                      <w:sz w:val="21"/>
                      <w:szCs w:val="21"/>
                      <w:lang w:val="en-US" w:eastAsia="zh-CN" w:bidi="ar"/>
                    </w:rPr>
                  </w:pPr>
                </w:p>
              </w:tc>
              <w:tc>
                <w:tcPr>
                  <w:tcW w:w="935" w:type="pct"/>
                  <w:vMerge w:val="continue"/>
                  <w:tcBorders>
                    <w:tl2br w:val="nil"/>
                    <w:tr2bl w:val="nil"/>
                  </w:tcBorders>
                  <w:noWrap w:val="0"/>
                  <w:vAlign w:val="center"/>
                </w:tcPr>
                <w:p w14:paraId="39D686C5">
                  <w:pPr>
                    <w:adjustRightInd w:val="0"/>
                    <w:snapToGrid w:val="0"/>
                    <w:jc w:val="center"/>
                    <w:rPr>
                      <w:rFonts w:hint="default" w:ascii="Times New Roman" w:hAnsi="Times New Roman" w:eastAsia="宋体" w:cs="Times New Roman"/>
                      <w:color w:val="auto"/>
                      <w:kern w:val="0"/>
                      <w:sz w:val="21"/>
                      <w:szCs w:val="21"/>
                      <w:lang w:val="en-US" w:eastAsia="zh-CN" w:bidi="ar"/>
                    </w:rPr>
                  </w:pPr>
                </w:p>
              </w:tc>
              <w:tc>
                <w:tcPr>
                  <w:tcW w:w="1040" w:type="pct"/>
                  <w:vMerge w:val="continue"/>
                  <w:tcBorders>
                    <w:tl2br w:val="nil"/>
                    <w:tr2bl w:val="nil"/>
                  </w:tcBorders>
                  <w:noWrap w:val="0"/>
                  <w:vAlign w:val="center"/>
                </w:tcPr>
                <w:p w14:paraId="6A67A9A7">
                  <w:pPr>
                    <w:adjustRightInd w:val="0"/>
                    <w:snapToGrid w:val="0"/>
                    <w:jc w:val="center"/>
                    <w:rPr>
                      <w:rFonts w:hint="default" w:ascii="Times New Roman" w:hAnsi="Times New Roman" w:eastAsia="宋体" w:cs="Times New Roman"/>
                      <w:color w:val="auto"/>
                      <w:kern w:val="0"/>
                      <w:sz w:val="21"/>
                      <w:szCs w:val="21"/>
                      <w:lang w:val="en-US" w:eastAsia="zh-CN" w:bidi="ar"/>
                    </w:rPr>
                  </w:pPr>
                </w:p>
              </w:tc>
            </w:tr>
            <w:tr w14:paraId="50426D0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673" w:type="pct"/>
                  <w:tcBorders>
                    <w:tl2br w:val="nil"/>
                    <w:tr2bl w:val="nil"/>
                  </w:tcBorders>
                  <w:shd w:val="clear" w:color="auto" w:fill="auto"/>
                  <w:noWrap w:val="0"/>
                  <w:vAlign w:val="center"/>
                </w:tcPr>
                <w:p w14:paraId="49A5CF1C">
                  <w:pPr>
                    <w:widowControl/>
                    <w:jc w:val="center"/>
                    <w:rPr>
                      <w:rFonts w:hint="default" w:ascii="Times New Roman" w:hAnsi="Times New Roman" w:eastAsia="宋体" w:cs="Times New Roman"/>
                      <w:bCs/>
                      <w:snapToGrid w:val="0"/>
                      <w:color w:val="auto"/>
                      <w:spacing w:val="6"/>
                      <w:kern w:val="2"/>
                      <w:sz w:val="21"/>
                      <w:szCs w:val="21"/>
                      <w:lang w:val="en-US" w:eastAsia="zh-CN" w:bidi="ar"/>
                    </w:rPr>
                  </w:pPr>
                  <w:r>
                    <w:rPr>
                      <w:rFonts w:hint="eastAsia"/>
                      <w:bCs/>
                      <w:snapToGrid w:val="0"/>
                      <w:color w:val="auto"/>
                      <w:spacing w:val="6"/>
                    </w:rPr>
                    <w:t>空压机含油废水</w:t>
                  </w:r>
                </w:p>
              </w:tc>
              <w:tc>
                <w:tcPr>
                  <w:tcW w:w="527" w:type="pct"/>
                  <w:tcBorders>
                    <w:tl2br w:val="nil"/>
                    <w:tr2bl w:val="nil"/>
                  </w:tcBorders>
                  <w:shd w:val="clear" w:color="auto" w:fill="auto"/>
                  <w:noWrap w:val="0"/>
                  <w:vAlign w:val="center"/>
                </w:tcPr>
                <w:p w14:paraId="25E3AC55">
                  <w:pPr>
                    <w:adjustRightInd w:val="0"/>
                    <w:snapToGrid w:val="0"/>
                    <w:jc w:val="center"/>
                    <w:rPr>
                      <w:rFonts w:hint="default" w:ascii="Times New Roman" w:hAnsi="Times New Roman" w:eastAsia="宋体" w:cs="Times New Roman"/>
                      <w:color w:val="auto"/>
                      <w:kern w:val="2"/>
                      <w:sz w:val="21"/>
                      <w:szCs w:val="21"/>
                      <w:highlight w:val="none"/>
                      <w:lang w:val="en-US" w:eastAsia="zh-CN" w:bidi="ar"/>
                    </w:rPr>
                  </w:pPr>
                  <w:r>
                    <w:rPr>
                      <w:rFonts w:hint="eastAsia"/>
                      <w:color w:val="auto"/>
                      <w:sz w:val="21"/>
                      <w:szCs w:val="21"/>
                      <w:highlight w:val="none"/>
                      <w:lang w:val="en-US" w:eastAsia="zh-CN" w:bidi="ar"/>
                    </w:rPr>
                    <w:t>HW09</w:t>
                  </w:r>
                </w:p>
              </w:tc>
              <w:tc>
                <w:tcPr>
                  <w:tcW w:w="751" w:type="pct"/>
                  <w:tcBorders>
                    <w:tl2br w:val="nil"/>
                    <w:tr2bl w:val="nil"/>
                  </w:tcBorders>
                  <w:shd w:val="clear" w:color="auto" w:fill="auto"/>
                  <w:noWrap w:val="0"/>
                  <w:vAlign w:val="center"/>
                </w:tcPr>
                <w:p w14:paraId="42D026AE">
                  <w:pPr>
                    <w:adjustRightInd w:val="0"/>
                    <w:snapToGrid w:val="0"/>
                    <w:jc w:val="center"/>
                    <w:rPr>
                      <w:rFonts w:hint="default" w:ascii="Times New Roman" w:hAnsi="Times New Roman" w:eastAsia="宋体" w:cs="Times New Roman"/>
                      <w:color w:val="auto"/>
                      <w:kern w:val="2"/>
                      <w:sz w:val="21"/>
                      <w:szCs w:val="21"/>
                      <w:highlight w:val="none"/>
                      <w:lang w:val="en-US" w:eastAsia="zh-CN" w:bidi="ar"/>
                    </w:rPr>
                  </w:pPr>
                  <w:r>
                    <w:rPr>
                      <w:rFonts w:hint="default"/>
                      <w:color w:val="auto"/>
                      <w:sz w:val="21"/>
                      <w:szCs w:val="21"/>
                      <w:highlight w:val="none"/>
                      <w:lang w:bidi="ar"/>
                    </w:rPr>
                    <w:t>900-</w:t>
                  </w:r>
                  <w:r>
                    <w:rPr>
                      <w:rFonts w:hint="eastAsia"/>
                      <w:color w:val="auto"/>
                      <w:sz w:val="21"/>
                      <w:szCs w:val="21"/>
                      <w:highlight w:val="none"/>
                      <w:lang w:val="en-US" w:eastAsia="zh-CN" w:bidi="ar"/>
                    </w:rPr>
                    <w:t>007-09</w:t>
                  </w:r>
                </w:p>
              </w:tc>
              <w:tc>
                <w:tcPr>
                  <w:tcW w:w="530" w:type="pct"/>
                  <w:tcBorders>
                    <w:tl2br w:val="nil"/>
                    <w:tr2bl w:val="nil"/>
                  </w:tcBorders>
                  <w:shd w:val="clear" w:color="auto" w:fill="auto"/>
                  <w:noWrap w:val="0"/>
                  <w:vAlign w:val="center"/>
                </w:tcPr>
                <w:p w14:paraId="2A758552">
                  <w:pPr>
                    <w:widowControl/>
                    <w:jc w:val="center"/>
                    <w:rPr>
                      <w:rFonts w:hint="default" w:ascii="Times New Roman" w:hAnsi="Times New Roman" w:eastAsia="宋体" w:cs="Times New Roman"/>
                      <w:bCs/>
                      <w:snapToGrid w:val="0"/>
                      <w:color w:val="auto"/>
                      <w:spacing w:val="6"/>
                      <w:kern w:val="2"/>
                      <w:sz w:val="21"/>
                      <w:szCs w:val="21"/>
                      <w:lang w:val="en-US" w:eastAsia="zh-CN" w:bidi="ar"/>
                    </w:rPr>
                  </w:pPr>
                  <w:r>
                    <w:rPr>
                      <w:rFonts w:hint="eastAsia" w:cs="Times New Roman"/>
                      <w:bCs/>
                      <w:snapToGrid w:val="0"/>
                      <w:color w:val="auto"/>
                      <w:spacing w:val="6"/>
                      <w:kern w:val="2"/>
                      <w:sz w:val="21"/>
                      <w:szCs w:val="21"/>
                      <w:lang w:val="en-US" w:eastAsia="zh-CN" w:bidi="ar"/>
                    </w:rPr>
                    <w:t>0.1</w:t>
                  </w:r>
                </w:p>
              </w:tc>
              <w:tc>
                <w:tcPr>
                  <w:tcW w:w="540" w:type="pct"/>
                  <w:vMerge w:val="continue"/>
                  <w:tcBorders>
                    <w:tl2br w:val="nil"/>
                    <w:tr2bl w:val="nil"/>
                  </w:tcBorders>
                  <w:noWrap w:val="0"/>
                  <w:vAlign w:val="center"/>
                </w:tcPr>
                <w:p w14:paraId="01182153">
                  <w:pPr>
                    <w:adjustRightInd w:val="0"/>
                    <w:snapToGrid w:val="0"/>
                    <w:jc w:val="center"/>
                    <w:rPr>
                      <w:rFonts w:hint="default" w:ascii="Times New Roman" w:hAnsi="Times New Roman" w:eastAsia="宋体" w:cs="Times New Roman"/>
                      <w:color w:val="auto"/>
                      <w:kern w:val="0"/>
                      <w:sz w:val="21"/>
                      <w:szCs w:val="21"/>
                      <w:lang w:val="en-US" w:eastAsia="zh-CN" w:bidi="ar"/>
                    </w:rPr>
                  </w:pPr>
                </w:p>
              </w:tc>
              <w:tc>
                <w:tcPr>
                  <w:tcW w:w="935" w:type="pct"/>
                  <w:vMerge w:val="continue"/>
                  <w:tcBorders>
                    <w:tl2br w:val="nil"/>
                    <w:tr2bl w:val="nil"/>
                  </w:tcBorders>
                  <w:noWrap w:val="0"/>
                  <w:vAlign w:val="center"/>
                </w:tcPr>
                <w:p w14:paraId="3BDCDC11">
                  <w:pPr>
                    <w:adjustRightInd w:val="0"/>
                    <w:snapToGrid w:val="0"/>
                    <w:jc w:val="center"/>
                    <w:rPr>
                      <w:rFonts w:hint="default" w:ascii="Times New Roman" w:hAnsi="Times New Roman" w:eastAsia="宋体" w:cs="Times New Roman"/>
                      <w:color w:val="auto"/>
                      <w:kern w:val="0"/>
                      <w:sz w:val="21"/>
                      <w:szCs w:val="21"/>
                      <w:lang w:val="en-US" w:eastAsia="zh-CN" w:bidi="ar"/>
                    </w:rPr>
                  </w:pPr>
                </w:p>
              </w:tc>
              <w:tc>
                <w:tcPr>
                  <w:tcW w:w="1040" w:type="pct"/>
                  <w:vMerge w:val="continue"/>
                  <w:tcBorders>
                    <w:tl2br w:val="nil"/>
                    <w:tr2bl w:val="nil"/>
                  </w:tcBorders>
                  <w:noWrap w:val="0"/>
                  <w:vAlign w:val="center"/>
                </w:tcPr>
                <w:p w14:paraId="346E08F9">
                  <w:pPr>
                    <w:adjustRightInd w:val="0"/>
                    <w:snapToGrid w:val="0"/>
                    <w:jc w:val="center"/>
                    <w:rPr>
                      <w:rFonts w:hint="default" w:ascii="Times New Roman" w:hAnsi="Times New Roman" w:eastAsia="宋体" w:cs="Times New Roman"/>
                      <w:color w:val="auto"/>
                      <w:kern w:val="0"/>
                      <w:sz w:val="21"/>
                      <w:szCs w:val="21"/>
                      <w:lang w:val="en-US" w:eastAsia="zh-CN" w:bidi="ar"/>
                    </w:rPr>
                  </w:pPr>
                </w:p>
              </w:tc>
            </w:tr>
            <w:tr w14:paraId="2FEE641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2" w:hRule="atLeast"/>
                <w:jc w:val="center"/>
              </w:trPr>
              <w:tc>
                <w:tcPr>
                  <w:tcW w:w="673" w:type="pct"/>
                  <w:tcBorders>
                    <w:tl2br w:val="nil"/>
                    <w:tr2bl w:val="nil"/>
                  </w:tcBorders>
                  <w:shd w:val="clear" w:color="auto" w:fill="auto"/>
                  <w:noWrap w:val="0"/>
                  <w:vAlign w:val="center"/>
                </w:tcPr>
                <w:p w14:paraId="4997B8C7">
                  <w:pPr>
                    <w:widowControl/>
                    <w:jc w:val="center"/>
                    <w:rPr>
                      <w:rFonts w:hint="default" w:ascii="Times New Roman" w:hAnsi="Times New Roman" w:eastAsia="宋体" w:cs="Times New Roman"/>
                      <w:bCs/>
                      <w:snapToGrid w:val="0"/>
                      <w:color w:val="auto"/>
                      <w:spacing w:val="6"/>
                      <w:kern w:val="2"/>
                      <w:sz w:val="21"/>
                      <w:szCs w:val="21"/>
                      <w:lang w:val="en-US" w:eastAsia="zh-CN" w:bidi="ar"/>
                    </w:rPr>
                  </w:pPr>
                  <w:r>
                    <w:rPr>
                      <w:rFonts w:hint="default" w:ascii="Times New Roman" w:hAnsi="Times New Roman" w:eastAsia="宋体" w:cs="Times New Roman"/>
                      <w:bCs/>
                      <w:snapToGrid w:val="0"/>
                      <w:color w:val="auto"/>
                      <w:spacing w:val="6"/>
                      <w:sz w:val="21"/>
                      <w:szCs w:val="21"/>
                    </w:rPr>
                    <w:t>抛光废料</w:t>
                  </w:r>
                </w:p>
              </w:tc>
              <w:tc>
                <w:tcPr>
                  <w:tcW w:w="527" w:type="pct"/>
                  <w:tcBorders>
                    <w:tl2br w:val="nil"/>
                    <w:tr2bl w:val="nil"/>
                  </w:tcBorders>
                  <w:shd w:val="clear" w:color="auto" w:fill="auto"/>
                  <w:noWrap w:val="0"/>
                  <w:vAlign w:val="center"/>
                </w:tcPr>
                <w:p w14:paraId="487BB83B">
                  <w:pPr>
                    <w:pStyle w:val="2"/>
                    <w:spacing w:before="0" w:after="0" w:line="240" w:lineRule="auto"/>
                    <w:jc w:val="center"/>
                    <w:rPr>
                      <w:rFonts w:hint="default" w:ascii="Times New Roman" w:hAnsi="Times New Roman" w:eastAsia="宋体" w:cs="Times New Roman"/>
                      <w:b w:val="0"/>
                      <w:bCs w:val="0"/>
                      <w:color w:val="auto"/>
                      <w:kern w:val="2"/>
                      <w:sz w:val="21"/>
                      <w:szCs w:val="21"/>
                      <w:lang w:val="en-US" w:eastAsia="zh-CN" w:bidi="ar"/>
                    </w:rPr>
                  </w:pPr>
                  <w:r>
                    <w:rPr>
                      <w:rFonts w:hint="default" w:ascii="Times New Roman" w:hAnsi="Times New Roman" w:eastAsia="宋体" w:cs="Times New Roman"/>
                      <w:b w:val="0"/>
                      <w:bCs w:val="0"/>
                      <w:color w:val="auto"/>
                      <w:kern w:val="2"/>
                      <w:sz w:val="21"/>
                      <w:szCs w:val="21"/>
                      <w:lang w:val="en-US" w:eastAsia="zh-CN" w:bidi="ar"/>
                    </w:rPr>
                    <w:t>HW08</w:t>
                  </w:r>
                </w:p>
              </w:tc>
              <w:tc>
                <w:tcPr>
                  <w:tcW w:w="751" w:type="pct"/>
                  <w:tcBorders>
                    <w:tl2br w:val="nil"/>
                    <w:tr2bl w:val="nil"/>
                  </w:tcBorders>
                  <w:shd w:val="clear" w:color="auto" w:fill="auto"/>
                  <w:noWrap w:val="0"/>
                  <w:vAlign w:val="center"/>
                </w:tcPr>
                <w:p w14:paraId="4908BF79">
                  <w:pPr>
                    <w:pStyle w:val="2"/>
                    <w:spacing w:before="0" w:after="0" w:line="240" w:lineRule="auto"/>
                    <w:jc w:val="center"/>
                    <w:rPr>
                      <w:rFonts w:hint="default" w:ascii="Times New Roman" w:hAnsi="Times New Roman" w:eastAsia="宋体" w:cs="Times New Roman"/>
                      <w:b w:val="0"/>
                      <w:bCs w:val="0"/>
                      <w:color w:val="auto"/>
                      <w:kern w:val="2"/>
                      <w:sz w:val="21"/>
                      <w:szCs w:val="21"/>
                      <w:lang w:val="en-US" w:eastAsia="zh-CN" w:bidi="ar"/>
                    </w:rPr>
                  </w:pPr>
                  <w:r>
                    <w:rPr>
                      <w:rFonts w:hint="default" w:ascii="Times New Roman" w:hAnsi="Times New Roman" w:eastAsia="宋体" w:cs="Times New Roman"/>
                      <w:b w:val="0"/>
                      <w:bCs w:val="0"/>
                      <w:color w:val="auto"/>
                      <w:kern w:val="2"/>
                      <w:sz w:val="21"/>
                      <w:szCs w:val="21"/>
                      <w:lang w:val="en-US" w:eastAsia="zh-CN" w:bidi="ar"/>
                    </w:rPr>
                    <w:t>900-249-08</w:t>
                  </w:r>
                </w:p>
              </w:tc>
              <w:tc>
                <w:tcPr>
                  <w:tcW w:w="530" w:type="pct"/>
                  <w:tcBorders>
                    <w:tl2br w:val="nil"/>
                    <w:tr2bl w:val="nil"/>
                  </w:tcBorders>
                  <w:shd w:val="clear" w:color="auto" w:fill="auto"/>
                  <w:noWrap w:val="0"/>
                  <w:vAlign w:val="center"/>
                </w:tcPr>
                <w:p w14:paraId="3E0D7F4B">
                  <w:pPr>
                    <w:widowControl/>
                    <w:jc w:val="center"/>
                    <w:rPr>
                      <w:rFonts w:hint="default" w:ascii="Times New Roman" w:hAnsi="Times New Roman" w:eastAsia="宋体" w:cs="Times New Roman"/>
                      <w:bCs/>
                      <w:snapToGrid w:val="0"/>
                      <w:color w:val="auto"/>
                      <w:spacing w:val="6"/>
                      <w:kern w:val="2"/>
                      <w:sz w:val="21"/>
                      <w:szCs w:val="21"/>
                      <w:lang w:val="en-US" w:eastAsia="zh-CN" w:bidi="ar"/>
                    </w:rPr>
                  </w:pPr>
                  <w:r>
                    <w:rPr>
                      <w:rFonts w:hint="eastAsia" w:ascii="Times New Roman" w:hAnsi="Times New Roman" w:eastAsia="宋体" w:cs="Times New Roman"/>
                      <w:bCs/>
                      <w:snapToGrid w:val="0"/>
                      <w:color w:val="auto"/>
                      <w:spacing w:val="6"/>
                      <w:kern w:val="2"/>
                      <w:sz w:val="21"/>
                      <w:szCs w:val="21"/>
                      <w:lang w:val="en-US" w:eastAsia="zh-CN" w:bidi="ar"/>
                    </w:rPr>
                    <w:t>14.3</w:t>
                  </w:r>
                </w:p>
              </w:tc>
              <w:tc>
                <w:tcPr>
                  <w:tcW w:w="540" w:type="pct"/>
                  <w:vMerge w:val="continue"/>
                  <w:tcBorders>
                    <w:tl2br w:val="nil"/>
                    <w:tr2bl w:val="nil"/>
                  </w:tcBorders>
                  <w:noWrap w:val="0"/>
                  <w:vAlign w:val="center"/>
                </w:tcPr>
                <w:p w14:paraId="212CF2C3">
                  <w:pPr>
                    <w:widowControl/>
                    <w:jc w:val="center"/>
                    <w:rPr>
                      <w:rFonts w:hint="default" w:ascii="Times New Roman" w:hAnsi="Times New Roman" w:eastAsia="宋体" w:cs="Times New Roman"/>
                      <w:bCs/>
                      <w:snapToGrid w:val="0"/>
                      <w:color w:val="auto"/>
                      <w:spacing w:val="6"/>
                      <w:kern w:val="2"/>
                      <w:sz w:val="21"/>
                      <w:szCs w:val="21"/>
                      <w:lang w:val="en-US" w:eastAsia="zh-CN" w:bidi="ar"/>
                    </w:rPr>
                  </w:pPr>
                </w:p>
              </w:tc>
              <w:tc>
                <w:tcPr>
                  <w:tcW w:w="935" w:type="pct"/>
                  <w:vMerge w:val="continue"/>
                  <w:tcBorders>
                    <w:tl2br w:val="nil"/>
                    <w:tr2bl w:val="nil"/>
                  </w:tcBorders>
                  <w:noWrap w:val="0"/>
                  <w:vAlign w:val="center"/>
                </w:tcPr>
                <w:p w14:paraId="494BDF16">
                  <w:pPr>
                    <w:widowControl/>
                    <w:jc w:val="center"/>
                    <w:rPr>
                      <w:rFonts w:hint="default" w:ascii="Times New Roman" w:hAnsi="Times New Roman" w:eastAsia="宋体" w:cs="Times New Roman"/>
                      <w:bCs/>
                      <w:snapToGrid w:val="0"/>
                      <w:color w:val="auto"/>
                      <w:spacing w:val="6"/>
                      <w:kern w:val="2"/>
                      <w:sz w:val="21"/>
                      <w:szCs w:val="21"/>
                      <w:lang w:val="en-US" w:eastAsia="zh-CN" w:bidi="ar"/>
                    </w:rPr>
                  </w:pPr>
                </w:p>
              </w:tc>
              <w:tc>
                <w:tcPr>
                  <w:tcW w:w="1040" w:type="pct"/>
                  <w:vMerge w:val="continue"/>
                  <w:tcBorders>
                    <w:tl2br w:val="nil"/>
                    <w:tr2bl w:val="nil"/>
                  </w:tcBorders>
                  <w:noWrap w:val="0"/>
                  <w:vAlign w:val="center"/>
                </w:tcPr>
                <w:p w14:paraId="24EF3478">
                  <w:pPr>
                    <w:widowControl/>
                    <w:jc w:val="center"/>
                    <w:rPr>
                      <w:rFonts w:hint="default" w:ascii="Times New Roman" w:hAnsi="Times New Roman" w:eastAsia="宋体" w:cs="Times New Roman"/>
                      <w:bCs/>
                      <w:snapToGrid w:val="0"/>
                      <w:color w:val="auto"/>
                      <w:spacing w:val="6"/>
                      <w:kern w:val="2"/>
                      <w:sz w:val="21"/>
                      <w:szCs w:val="21"/>
                      <w:lang w:val="en-US" w:eastAsia="zh-CN" w:bidi="ar"/>
                    </w:rPr>
                  </w:pPr>
                </w:p>
              </w:tc>
            </w:tr>
            <w:tr w14:paraId="0D5F406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2" w:hRule="atLeast"/>
                <w:jc w:val="center"/>
              </w:trPr>
              <w:tc>
                <w:tcPr>
                  <w:tcW w:w="673" w:type="pct"/>
                  <w:tcBorders>
                    <w:tl2br w:val="nil"/>
                    <w:tr2bl w:val="nil"/>
                  </w:tcBorders>
                  <w:shd w:val="clear" w:color="auto" w:fill="auto"/>
                  <w:noWrap w:val="0"/>
                  <w:vAlign w:val="center"/>
                </w:tcPr>
                <w:p w14:paraId="69957E22">
                  <w:pPr>
                    <w:widowControl/>
                    <w:jc w:val="center"/>
                    <w:rPr>
                      <w:rFonts w:hint="eastAsia" w:ascii="Times New Roman" w:hAnsi="Times New Roman" w:eastAsia="宋体" w:cs="Times New Roman"/>
                      <w:bCs/>
                      <w:snapToGrid w:val="0"/>
                      <w:color w:val="auto"/>
                      <w:spacing w:val="6"/>
                      <w:kern w:val="2"/>
                      <w:sz w:val="21"/>
                      <w:szCs w:val="21"/>
                      <w:lang w:val="en-US" w:eastAsia="zh-CN" w:bidi="ar"/>
                    </w:rPr>
                  </w:pPr>
                  <w:r>
                    <w:rPr>
                      <w:rFonts w:hint="eastAsia"/>
                      <w:bCs/>
                      <w:snapToGrid w:val="0"/>
                      <w:color w:val="auto"/>
                      <w:spacing w:val="6"/>
                    </w:rPr>
                    <w:t>废电池</w:t>
                  </w:r>
                </w:p>
              </w:tc>
              <w:tc>
                <w:tcPr>
                  <w:tcW w:w="527" w:type="pct"/>
                  <w:tcBorders>
                    <w:tl2br w:val="nil"/>
                    <w:tr2bl w:val="nil"/>
                  </w:tcBorders>
                  <w:shd w:val="clear" w:color="auto" w:fill="auto"/>
                  <w:noWrap w:val="0"/>
                  <w:vAlign w:val="center"/>
                </w:tcPr>
                <w:p w14:paraId="761AAB4B">
                  <w:pPr>
                    <w:pStyle w:val="22"/>
                    <w:widowControl w:val="0"/>
                    <w:snapToGrid w:val="0"/>
                    <w:spacing w:before="0" w:beforeAutospacing="0" w:after="0" w:afterAutospacing="0"/>
                    <w:jc w:val="center"/>
                    <w:rPr>
                      <w:rFonts w:hint="eastAsia" w:ascii="Times New Roman" w:hAnsi="Times New Roman" w:eastAsia="宋体" w:cs="Times New Roman"/>
                      <w:bCs/>
                      <w:color w:val="auto"/>
                      <w:kern w:val="0"/>
                      <w:sz w:val="21"/>
                      <w:szCs w:val="21"/>
                      <w:lang w:val="en-US" w:eastAsia="zh-CN" w:bidi="ar"/>
                    </w:rPr>
                  </w:pPr>
                  <w:r>
                    <w:rPr>
                      <w:rFonts w:hint="eastAsia" w:ascii="Times New Roman" w:hAnsi="Times New Roman"/>
                      <w:bCs/>
                      <w:color w:val="auto"/>
                      <w:sz w:val="21"/>
                      <w:szCs w:val="21"/>
                    </w:rPr>
                    <w:t>HW31</w:t>
                  </w:r>
                </w:p>
              </w:tc>
              <w:tc>
                <w:tcPr>
                  <w:tcW w:w="751" w:type="pct"/>
                  <w:tcBorders>
                    <w:tl2br w:val="nil"/>
                    <w:tr2bl w:val="nil"/>
                  </w:tcBorders>
                  <w:shd w:val="clear" w:color="auto" w:fill="auto"/>
                  <w:noWrap w:val="0"/>
                  <w:vAlign w:val="center"/>
                </w:tcPr>
                <w:p w14:paraId="384F7339">
                  <w:pPr>
                    <w:pStyle w:val="22"/>
                    <w:widowControl w:val="0"/>
                    <w:snapToGrid w:val="0"/>
                    <w:spacing w:before="0" w:beforeAutospacing="0" w:after="0" w:afterAutospacing="0"/>
                    <w:jc w:val="center"/>
                    <w:rPr>
                      <w:rFonts w:hint="default" w:ascii="Times New Roman" w:hAnsi="Times New Roman" w:eastAsia="宋体" w:cs="Times New Roman"/>
                      <w:bCs/>
                      <w:color w:val="auto"/>
                      <w:kern w:val="0"/>
                      <w:sz w:val="21"/>
                      <w:szCs w:val="21"/>
                      <w:lang w:val="en-US" w:eastAsia="zh-CN" w:bidi="ar"/>
                    </w:rPr>
                  </w:pPr>
                  <w:r>
                    <w:rPr>
                      <w:rFonts w:hint="eastAsia" w:ascii="Times New Roman" w:hAnsi="Times New Roman"/>
                      <w:bCs/>
                      <w:color w:val="auto"/>
                      <w:sz w:val="21"/>
                      <w:szCs w:val="21"/>
                    </w:rPr>
                    <w:t>900-052-31</w:t>
                  </w:r>
                </w:p>
              </w:tc>
              <w:tc>
                <w:tcPr>
                  <w:tcW w:w="530" w:type="pct"/>
                  <w:tcBorders>
                    <w:tl2br w:val="nil"/>
                    <w:tr2bl w:val="nil"/>
                  </w:tcBorders>
                  <w:shd w:val="clear" w:color="auto" w:fill="auto"/>
                  <w:noWrap w:val="0"/>
                  <w:vAlign w:val="center"/>
                </w:tcPr>
                <w:p w14:paraId="65E9350A">
                  <w:pPr>
                    <w:widowControl/>
                    <w:jc w:val="center"/>
                    <w:rPr>
                      <w:rFonts w:hint="default" w:ascii="Times New Roman" w:hAnsi="Times New Roman" w:eastAsia="宋体" w:cs="Times New Roman"/>
                      <w:bCs/>
                      <w:snapToGrid w:val="0"/>
                      <w:color w:val="auto"/>
                      <w:spacing w:val="6"/>
                      <w:kern w:val="2"/>
                      <w:sz w:val="21"/>
                      <w:szCs w:val="21"/>
                      <w:lang w:val="en-US" w:eastAsia="zh-CN" w:bidi="ar"/>
                    </w:rPr>
                  </w:pPr>
                  <w:r>
                    <w:rPr>
                      <w:rFonts w:hint="eastAsia" w:ascii="Times New Roman" w:hAnsi="Times New Roman" w:eastAsia="宋体" w:cs="Times New Roman"/>
                      <w:bCs/>
                      <w:snapToGrid w:val="0"/>
                      <w:color w:val="auto"/>
                      <w:spacing w:val="6"/>
                      <w:kern w:val="2"/>
                      <w:sz w:val="21"/>
                      <w:szCs w:val="21"/>
                      <w:lang w:val="en-US" w:eastAsia="zh-CN" w:bidi="ar"/>
                    </w:rPr>
                    <w:t>0.25t/3a</w:t>
                  </w:r>
                </w:p>
              </w:tc>
              <w:tc>
                <w:tcPr>
                  <w:tcW w:w="540" w:type="pct"/>
                  <w:vMerge w:val="continue"/>
                  <w:tcBorders>
                    <w:tl2br w:val="nil"/>
                    <w:tr2bl w:val="nil"/>
                  </w:tcBorders>
                  <w:noWrap w:val="0"/>
                  <w:vAlign w:val="center"/>
                </w:tcPr>
                <w:p w14:paraId="07FCFE9E">
                  <w:pPr>
                    <w:widowControl/>
                    <w:jc w:val="center"/>
                    <w:rPr>
                      <w:rFonts w:hint="default" w:ascii="Times New Roman" w:hAnsi="Times New Roman" w:eastAsia="宋体" w:cs="Times New Roman"/>
                      <w:bCs/>
                      <w:snapToGrid w:val="0"/>
                      <w:color w:val="auto"/>
                      <w:spacing w:val="6"/>
                      <w:kern w:val="2"/>
                      <w:sz w:val="21"/>
                      <w:szCs w:val="21"/>
                      <w:lang w:val="en-US" w:eastAsia="zh-CN" w:bidi="ar"/>
                    </w:rPr>
                  </w:pPr>
                </w:p>
              </w:tc>
              <w:tc>
                <w:tcPr>
                  <w:tcW w:w="935" w:type="pct"/>
                  <w:vMerge w:val="continue"/>
                  <w:tcBorders>
                    <w:tl2br w:val="nil"/>
                    <w:tr2bl w:val="nil"/>
                  </w:tcBorders>
                  <w:noWrap w:val="0"/>
                  <w:vAlign w:val="center"/>
                </w:tcPr>
                <w:p w14:paraId="355BDDDD">
                  <w:pPr>
                    <w:widowControl/>
                    <w:jc w:val="center"/>
                    <w:rPr>
                      <w:rFonts w:hint="default" w:ascii="Times New Roman" w:hAnsi="Times New Roman" w:eastAsia="宋体" w:cs="Times New Roman"/>
                      <w:bCs/>
                      <w:snapToGrid w:val="0"/>
                      <w:color w:val="auto"/>
                      <w:spacing w:val="6"/>
                      <w:kern w:val="2"/>
                      <w:sz w:val="21"/>
                      <w:szCs w:val="21"/>
                      <w:lang w:val="en-US" w:eastAsia="zh-CN" w:bidi="ar"/>
                    </w:rPr>
                  </w:pPr>
                </w:p>
              </w:tc>
              <w:tc>
                <w:tcPr>
                  <w:tcW w:w="1040" w:type="pct"/>
                  <w:vMerge w:val="continue"/>
                  <w:tcBorders>
                    <w:tl2br w:val="nil"/>
                    <w:tr2bl w:val="nil"/>
                  </w:tcBorders>
                  <w:noWrap w:val="0"/>
                  <w:vAlign w:val="center"/>
                </w:tcPr>
                <w:p w14:paraId="16471F4F">
                  <w:pPr>
                    <w:widowControl/>
                    <w:jc w:val="center"/>
                    <w:rPr>
                      <w:rFonts w:hint="default" w:ascii="Times New Roman" w:hAnsi="Times New Roman" w:eastAsia="宋体" w:cs="Times New Roman"/>
                      <w:bCs/>
                      <w:snapToGrid w:val="0"/>
                      <w:color w:val="auto"/>
                      <w:spacing w:val="6"/>
                      <w:kern w:val="2"/>
                      <w:sz w:val="21"/>
                      <w:szCs w:val="21"/>
                      <w:lang w:val="en-US" w:eastAsia="zh-CN" w:bidi="ar"/>
                    </w:rPr>
                  </w:pPr>
                </w:p>
              </w:tc>
            </w:tr>
            <w:tr w14:paraId="7D96B18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2" w:hRule="atLeast"/>
                <w:jc w:val="center"/>
              </w:trPr>
              <w:tc>
                <w:tcPr>
                  <w:tcW w:w="673" w:type="pct"/>
                  <w:tcBorders>
                    <w:tl2br w:val="nil"/>
                    <w:tr2bl w:val="nil"/>
                  </w:tcBorders>
                  <w:shd w:val="clear" w:color="auto" w:fill="auto"/>
                  <w:noWrap w:val="0"/>
                  <w:vAlign w:val="center"/>
                </w:tcPr>
                <w:p w14:paraId="4302E885">
                  <w:pPr>
                    <w:widowControl/>
                    <w:jc w:val="center"/>
                    <w:rPr>
                      <w:rFonts w:hint="default" w:ascii="Times New Roman" w:hAnsi="Times New Roman" w:eastAsia="宋体" w:cs="Times New Roman"/>
                      <w:bCs/>
                      <w:snapToGrid w:val="0"/>
                      <w:color w:val="auto"/>
                      <w:spacing w:val="6"/>
                      <w:kern w:val="2"/>
                      <w:sz w:val="21"/>
                      <w:szCs w:val="21"/>
                      <w:lang w:val="en-US" w:eastAsia="zh-CN" w:bidi="ar"/>
                    </w:rPr>
                  </w:pPr>
                  <w:r>
                    <w:rPr>
                      <w:rFonts w:hint="eastAsia" w:ascii="Times New Roman" w:hAnsi="Times New Roman" w:eastAsia="宋体" w:cs="Times New Roman"/>
                      <w:bCs/>
                      <w:snapToGrid w:val="0"/>
                      <w:color w:val="auto"/>
                      <w:spacing w:val="6"/>
                      <w:kern w:val="2"/>
                      <w:sz w:val="21"/>
                      <w:szCs w:val="21"/>
                      <w:lang w:val="en-US" w:eastAsia="zh-CN" w:bidi="ar"/>
                    </w:rPr>
                    <w:t>废油</w:t>
                  </w:r>
                </w:p>
              </w:tc>
              <w:tc>
                <w:tcPr>
                  <w:tcW w:w="527" w:type="pct"/>
                  <w:tcBorders>
                    <w:tl2br w:val="nil"/>
                    <w:tr2bl w:val="nil"/>
                  </w:tcBorders>
                  <w:shd w:val="clear" w:color="auto" w:fill="auto"/>
                  <w:noWrap w:val="0"/>
                  <w:vAlign w:val="center"/>
                </w:tcPr>
                <w:p w14:paraId="53FAF8C2">
                  <w:pPr>
                    <w:pStyle w:val="2"/>
                    <w:spacing w:before="0" w:after="0" w:line="240" w:lineRule="auto"/>
                    <w:jc w:val="center"/>
                    <w:rPr>
                      <w:rFonts w:hint="default" w:ascii="Times New Roman" w:hAnsi="Times New Roman" w:eastAsia="宋体" w:cs="Times New Roman"/>
                      <w:b w:val="0"/>
                      <w:bCs w:val="0"/>
                      <w:color w:val="auto"/>
                      <w:kern w:val="2"/>
                      <w:sz w:val="21"/>
                      <w:szCs w:val="21"/>
                      <w:lang w:val="en-US" w:eastAsia="zh-CN" w:bidi="ar"/>
                    </w:rPr>
                  </w:pPr>
                  <w:r>
                    <w:rPr>
                      <w:rFonts w:hint="eastAsia" w:ascii="Times New Roman" w:hAnsi="Times New Roman" w:eastAsia="宋体" w:cs="Times New Roman"/>
                      <w:b w:val="0"/>
                      <w:bCs w:val="0"/>
                      <w:color w:val="auto"/>
                      <w:kern w:val="2"/>
                      <w:sz w:val="21"/>
                      <w:szCs w:val="21"/>
                      <w:lang w:val="en-US" w:eastAsia="zh-CN" w:bidi="ar"/>
                    </w:rPr>
                    <w:t>HW09</w:t>
                  </w:r>
                </w:p>
              </w:tc>
              <w:tc>
                <w:tcPr>
                  <w:tcW w:w="751" w:type="pct"/>
                  <w:tcBorders>
                    <w:tl2br w:val="nil"/>
                    <w:tr2bl w:val="nil"/>
                  </w:tcBorders>
                  <w:shd w:val="clear" w:color="auto" w:fill="auto"/>
                  <w:noWrap w:val="0"/>
                  <w:vAlign w:val="center"/>
                </w:tcPr>
                <w:p w14:paraId="22728686">
                  <w:pPr>
                    <w:pStyle w:val="2"/>
                    <w:spacing w:before="0" w:after="0" w:line="240" w:lineRule="auto"/>
                    <w:jc w:val="center"/>
                    <w:rPr>
                      <w:rFonts w:hint="default" w:ascii="Times New Roman" w:hAnsi="Times New Roman" w:eastAsia="宋体" w:cs="Times New Roman"/>
                      <w:b w:val="0"/>
                      <w:bCs w:val="0"/>
                      <w:color w:val="auto"/>
                      <w:kern w:val="2"/>
                      <w:sz w:val="21"/>
                      <w:szCs w:val="21"/>
                      <w:lang w:val="en-US" w:eastAsia="zh-CN" w:bidi="ar"/>
                    </w:rPr>
                  </w:pPr>
                  <w:r>
                    <w:rPr>
                      <w:rFonts w:hint="default" w:ascii="Times New Roman" w:hAnsi="Times New Roman" w:eastAsia="宋体" w:cs="Times New Roman"/>
                      <w:b w:val="0"/>
                      <w:bCs w:val="0"/>
                      <w:color w:val="auto"/>
                      <w:kern w:val="2"/>
                      <w:sz w:val="21"/>
                      <w:szCs w:val="21"/>
                      <w:lang w:val="en-US" w:eastAsia="zh-CN" w:bidi="ar"/>
                    </w:rPr>
                    <w:t>900-007-09</w:t>
                  </w:r>
                </w:p>
              </w:tc>
              <w:tc>
                <w:tcPr>
                  <w:tcW w:w="530" w:type="pct"/>
                  <w:tcBorders>
                    <w:tl2br w:val="nil"/>
                    <w:tr2bl w:val="nil"/>
                  </w:tcBorders>
                  <w:shd w:val="clear" w:color="auto" w:fill="auto"/>
                  <w:noWrap w:val="0"/>
                  <w:vAlign w:val="center"/>
                </w:tcPr>
                <w:p w14:paraId="75CA3D73">
                  <w:pPr>
                    <w:pStyle w:val="2"/>
                    <w:spacing w:before="0" w:after="0" w:line="240" w:lineRule="auto"/>
                    <w:jc w:val="center"/>
                    <w:rPr>
                      <w:rFonts w:hint="default" w:ascii="Times New Roman" w:hAnsi="Times New Roman" w:eastAsia="宋体" w:cs="Times New Roman"/>
                      <w:b w:val="0"/>
                      <w:bCs w:val="0"/>
                      <w:color w:val="auto"/>
                      <w:kern w:val="2"/>
                      <w:sz w:val="21"/>
                      <w:szCs w:val="21"/>
                      <w:lang w:val="en-US" w:eastAsia="zh-CN" w:bidi="ar"/>
                    </w:rPr>
                  </w:pPr>
                  <w:r>
                    <w:rPr>
                      <w:rFonts w:hint="default" w:ascii="Times New Roman" w:hAnsi="Times New Roman" w:eastAsia="宋体" w:cs="Times New Roman"/>
                      <w:b w:val="0"/>
                      <w:bCs w:val="0"/>
                      <w:color w:val="auto"/>
                      <w:kern w:val="2"/>
                      <w:sz w:val="21"/>
                      <w:szCs w:val="21"/>
                      <w:lang w:val="en-US" w:eastAsia="zh-CN" w:bidi="ar"/>
                    </w:rPr>
                    <w:t>9.996</w:t>
                  </w:r>
                </w:p>
              </w:tc>
              <w:tc>
                <w:tcPr>
                  <w:tcW w:w="540" w:type="pct"/>
                  <w:vMerge w:val="continue"/>
                  <w:tcBorders>
                    <w:tl2br w:val="nil"/>
                    <w:tr2bl w:val="nil"/>
                  </w:tcBorders>
                  <w:noWrap w:val="0"/>
                  <w:vAlign w:val="center"/>
                </w:tcPr>
                <w:p w14:paraId="74EA07DA">
                  <w:pPr>
                    <w:widowControl/>
                    <w:jc w:val="center"/>
                    <w:rPr>
                      <w:rFonts w:hint="default" w:ascii="Times New Roman" w:hAnsi="Times New Roman" w:eastAsia="宋体" w:cs="Times New Roman"/>
                      <w:bCs/>
                      <w:snapToGrid w:val="0"/>
                      <w:color w:val="auto"/>
                      <w:spacing w:val="6"/>
                      <w:kern w:val="2"/>
                      <w:sz w:val="21"/>
                      <w:szCs w:val="21"/>
                      <w:lang w:val="en-US" w:eastAsia="zh-CN" w:bidi="ar"/>
                    </w:rPr>
                  </w:pPr>
                </w:p>
              </w:tc>
              <w:tc>
                <w:tcPr>
                  <w:tcW w:w="935" w:type="pct"/>
                  <w:vMerge w:val="continue"/>
                  <w:tcBorders>
                    <w:tl2br w:val="nil"/>
                    <w:tr2bl w:val="nil"/>
                  </w:tcBorders>
                  <w:noWrap w:val="0"/>
                  <w:vAlign w:val="center"/>
                </w:tcPr>
                <w:p w14:paraId="064FCDA0">
                  <w:pPr>
                    <w:widowControl/>
                    <w:jc w:val="center"/>
                    <w:rPr>
                      <w:rFonts w:hint="default" w:ascii="Times New Roman" w:hAnsi="Times New Roman" w:eastAsia="宋体" w:cs="Times New Roman"/>
                      <w:bCs/>
                      <w:snapToGrid w:val="0"/>
                      <w:color w:val="auto"/>
                      <w:spacing w:val="6"/>
                      <w:kern w:val="2"/>
                      <w:sz w:val="21"/>
                      <w:szCs w:val="21"/>
                      <w:lang w:val="en-US" w:eastAsia="zh-CN" w:bidi="ar"/>
                    </w:rPr>
                  </w:pPr>
                </w:p>
              </w:tc>
              <w:tc>
                <w:tcPr>
                  <w:tcW w:w="1040" w:type="pct"/>
                  <w:vMerge w:val="continue"/>
                  <w:tcBorders>
                    <w:tl2br w:val="nil"/>
                    <w:tr2bl w:val="nil"/>
                  </w:tcBorders>
                  <w:noWrap w:val="0"/>
                  <w:vAlign w:val="center"/>
                </w:tcPr>
                <w:p w14:paraId="65B5A6B4">
                  <w:pPr>
                    <w:widowControl/>
                    <w:jc w:val="center"/>
                    <w:rPr>
                      <w:rFonts w:hint="default" w:ascii="Times New Roman" w:hAnsi="Times New Roman" w:eastAsia="宋体" w:cs="Times New Roman"/>
                      <w:bCs/>
                      <w:snapToGrid w:val="0"/>
                      <w:color w:val="auto"/>
                      <w:spacing w:val="6"/>
                      <w:kern w:val="2"/>
                      <w:sz w:val="21"/>
                      <w:szCs w:val="21"/>
                      <w:lang w:val="en-US" w:eastAsia="zh-CN" w:bidi="ar"/>
                    </w:rPr>
                  </w:pPr>
                </w:p>
              </w:tc>
            </w:tr>
            <w:tr w14:paraId="5717B0D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2" w:hRule="atLeast"/>
                <w:jc w:val="center"/>
              </w:trPr>
              <w:tc>
                <w:tcPr>
                  <w:tcW w:w="673" w:type="pct"/>
                  <w:tcBorders>
                    <w:tl2br w:val="nil"/>
                    <w:tr2bl w:val="nil"/>
                  </w:tcBorders>
                  <w:shd w:val="clear" w:color="auto" w:fill="auto"/>
                  <w:noWrap w:val="0"/>
                  <w:vAlign w:val="center"/>
                </w:tcPr>
                <w:p w14:paraId="137A9E4E">
                  <w:pPr>
                    <w:widowControl/>
                    <w:jc w:val="center"/>
                    <w:rPr>
                      <w:rFonts w:hint="default" w:ascii="Times New Roman" w:hAnsi="Times New Roman" w:eastAsia="宋体" w:cs="Times New Roman"/>
                      <w:bCs/>
                      <w:snapToGrid w:val="0"/>
                      <w:color w:val="auto"/>
                      <w:spacing w:val="6"/>
                      <w:kern w:val="2"/>
                      <w:sz w:val="21"/>
                      <w:szCs w:val="21"/>
                      <w:lang w:val="en-US" w:eastAsia="zh-CN" w:bidi="ar"/>
                    </w:rPr>
                  </w:pPr>
                  <w:r>
                    <w:rPr>
                      <w:rFonts w:hint="eastAsia"/>
                      <w:bCs/>
                      <w:snapToGrid w:val="0"/>
                      <w:color w:val="auto"/>
                      <w:spacing w:val="6"/>
                    </w:rPr>
                    <w:t>金属屑</w:t>
                  </w:r>
                </w:p>
              </w:tc>
              <w:tc>
                <w:tcPr>
                  <w:tcW w:w="527" w:type="pct"/>
                  <w:tcBorders>
                    <w:tl2br w:val="nil"/>
                    <w:tr2bl w:val="nil"/>
                  </w:tcBorders>
                  <w:shd w:val="clear" w:color="auto" w:fill="auto"/>
                  <w:noWrap w:val="0"/>
                  <w:vAlign w:val="center"/>
                </w:tcPr>
                <w:p w14:paraId="06F67197">
                  <w:pPr>
                    <w:pStyle w:val="22"/>
                    <w:keepNext w:val="0"/>
                    <w:keepLines w:val="0"/>
                    <w:widowControl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
                    </w:rPr>
                    <w:t>待</w:t>
                  </w:r>
                  <w:r>
                    <w:rPr>
                      <w:rFonts w:hint="eastAsia" w:ascii="Times New Roman" w:hAnsi="Times New Roman" w:cs="Times New Roman"/>
                      <w:color w:val="auto"/>
                      <w:kern w:val="2"/>
                      <w:sz w:val="21"/>
                      <w:szCs w:val="21"/>
                      <w:lang w:val="en-US" w:eastAsia="zh-CN" w:bidi="ar"/>
                    </w:rPr>
                    <w:t>鉴别</w:t>
                  </w:r>
                </w:p>
              </w:tc>
              <w:tc>
                <w:tcPr>
                  <w:tcW w:w="751" w:type="pct"/>
                  <w:tcBorders>
                    <w:tl2br w:val="nil"/>
                    <w:tr2bl w:val="nil"/>
                  </w:tcBorders>
                  <w:shd w:val="clear" w:color="auto" w:fill="auto"/>
                  <w:noWrap w:val="0"/>
                  <w:vAlign w:val="center"/>
                </w:tcPr>
                <w:p w14:paraId="23C112CF">
                  <w:pPr>
                    <w:pStyle w:val="22"/>
                    <w:keepNext w:val="0"/>
                    <w:keepLines w:val="0"/>
                    <w:widowControl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
                    </w:rPr>
                    <w:t>待</w:t>
                  </w:r>
                  <w:r>
                    <w:rPr>
                      <w:rFonts w:hint="eastAsia" w:ascii="Times New Roman" w:hAnsi="Times New Roman" w:cs="Times New Roman"/>
                      <w:color w:val="auto"/>
                      <w:kern w:val="2"/>
                      <w:sz w:val="21"/>
                      <w:szCs w:val="21"/>
                      <w:lang w:val="en-US" w:eastAsia="zh-CN" w:bidi="ar"/>
                    </w:rPr>
                    <w:t>鉴别</w:t>
                  </w:r>
                </w:p>
              </w:tc>
              <w:tc>
                <w:tcPr>
                  <w:tcW w:w="530" w:type="pct"/>
                  <w:tcBorders>
                    <w:tl2br w:val="nil"/>
                    <w:tr2bl w:val="nil"/>
                  </w:tcBorders>
                  <w:shd w:val="clear" w:color="auto" w:fill="auto"/>
                  <w:noWrap w:val="0"/>
                  <w:vAlign w:val="center"/>
                </w:tcPr>
                <w:p w14:paraId="20DB99F9">
                  <w:pPr>
                    <w:widowControl/>
                    <w:jc w:val="center"/>
                    <w:rPr>
                      <w:rFonts w:hint="default" w:ascii="Times New Roman" w:hAnsi="Times New Roman" w:eastAsia="宋体" w:cs="Times New Roman"/>
                      <w:bCs/>
                      <w:snapToGrid w:val="0"/>
                      <w:color w:val="auto"/>
                      <w:spacing w:val="6"/>
                      <w:kern w:val="2"/>
                      <w:sz w:val="21"/>
                      <w:szCs w:val="21"/>
                      <w:lang w:val="en-US" w:eastAsia="zh-CN" w:bidi="ar"/>
                    </w:rPr>
                  </w:pPr>
                  <w:r>
                    <w:rPr>
                      <w:rFonts w:hint="default" w:ascii="Times New Roman" w:hAnsi="Times New Roman" w:eastAsia="宋体" w:cs="Times New Roman"/>
                      <w:bCs/>
                      <w:snapToGrid w:val="0"/>
                      <w:color w:val="auto"/>
                      <w:spacing w:val="6"/>
                      <w:kern w:val="2"/>
                      <w:sz w:val="21"/>
                      <w:szCs w:val="21"/>
                      <w:lang w:val="en-US" w:eastAsia="zh-CN" w:bidi="ar"/>
                    </w:rPr>
                    <w:t>650</w:t>
                  </w:r>
                </w:p>
              </w:tc>
              <w:tc>
                <w:tcPr>
                  <w:tcW w:w="540" w:type="pct"/>
                  <w:vMerge w:val="continue"/>
                  <w:tcBorders>
                    <w:tl2br w:val="nil"/>
                    <w:tr2bl w:val="nil"/>
                  </w:tcBorders>
                  <w:noWrap w:val="0"/>
                  <w:vAlign w:val="center"/>
                </w:tcPr>
                <w:p w14:paraId="071D9D2A">
                  <w:pPr>
                    <w:widowControl/>
                    <w:jc w:val="center"/>
                    <w:rPr>
                      <w:rFonts w:hint="default" w:ascii="Times New Roman" w:hAnsi="Times New Roman" w:eastAsia="宋体" w:cs="Times New Roman"/>
                      <w:bCs/>
                      <w:snapToGrid w:val="0"/>
                      <w:color w:val="auto"/>
                      <w:spacing w:val="6"/>
                      <w:kern w:val="2"/>
                      <w:sz w:val="21"/>
                      <w:szCs w:val="21"/>
                      <w:lang w:val="en-US" w:eastAsia="zh-CN" w:bidi="ar"/>
                    </w:rPr>
                  </w:pPr>
                </w:p>
              </w:tc>
              <w:tc>
                <w:tcPr>
                  <w:tcW w:w="935" w:type="pct"/>
                  <w:vMerge w:val="continue"/>
                  <w:tcBorders>
                    <w:tl2br w:val="nil"/>
                    <w:tr2bl w:val="nil"/>
                  </w:tcBorders>
                  <w:noWrap w:val="0"/>
                  <w:vAlign w:val="center"/>
                </w:tcPr>
                <w:p w14:paraId="6E96E262">
                  <w:pPr>
                    <w:widowControl/>
                    <w:jc w:val="center"/>
                    <w:rPr>
                      <w:rFonts w:hint="default" w:ascii="Times New Roman" w:hAnsi="Times New Roman" w:eastAsia="宋体" w:cs="Times New Roman"/>
                      <w:bCs/>
                      <w:snapToGrid w:val="0"/>
                      <w:color w:val="auto"/>
                      <w:spacing w:val="6"/>
                      <w:kern w:val="2"/>
                      <w:sz w:val="21"/>
                      <w:szCs w:val="21"/>
                      <w:lang w:val="en-US" w:eastAsia="zh-CN" w:bidi="ar"/>
                    </w:rPr>
                  </w:pPr>
                </w:p>
              </w:tc>
              <w:tc>
                <w:tcPr>
                  <w:tcW w:w="1040" w:type="pct"/>
                  <w:vMerge w:val="continue"/>
                  <w:tcBorders>
                    <w:tl2br w:val="nil"/>
                    <w:tr2bl w:val="nil"/>
                  </w:tcBorders>
                  <w:noWrap w:val="0"/>
                  <w:vAlign w:val="center"/>
                </w:tcPr>
                <w:p w14:paraId="73E2E769">
                  <w:pPr>
                    <w:widowControl/>
                    <w:jc w:val="center"/>
                    <w:rPr>
                      <w:rFonts w:hint="default" w:ascii="Times New Roman" w:hAnsi="Times New Roman" w:eastAsia="宋体" w:cs="Times New Roman"/>
                      <w:bCs/>
                      <w:snapToGrid w:val="0"/>
                      <w:color w:val="auto"/>
                      <w:spacing w:val="6"/>
                      <w:kern w:val="2"/>
                      <w:sz w:val="21"/>
                      <w:szCs w:val="21"/>
                      <w:lang w:val="en-US" w:eastAsia="zh-CN" w:bidi="ar"/>
                    </w:rPr>
                  </w:pPr>
                </w:p>
              </w:tc>
            </w:tr>
          </w:tbl>
          <w:p w14:paraId="0AE0054D">
            <w:pPr>
              <w:keepNext w:val="0"/>
              <w:keepLines w:val="0"/>
              <w:widowControl w:val="0"/>
              <w:suppressLineNumbers w:val="0"/>
              <w:adjustRightInd w:val="0"/>
              <w:snapToGrid w:val="0"/>
              <w:spacing w:before="0" w:beforeAutospacing="0" w:after="0" w:afterAutospacing="0" w:line="360" w:lineRule="auto"/>
              <w:ind w:left="0" w:right="0" w:firstLine="480" w:firstLineChars="200"/>
              <w:jc w:val="both"/>
              <w:rPr>
                <w:rFonts w:hint="default" w:ascii="Times New Roman" w:hAnsi="Times New Roman" w:eastAsia="宋体" w:cs="Times New Roman"/>
                <w:color w:val="auto"/>
                <w:kern w:val="0"/>
                <w:sz w:val="24"/>
                <w:szCs w:val="24"/>
                <w:highlight w:val="none"/>
                <w:lang w:val="en-US" w:eastAsia="zh-CN" w:bidi="ar-SA"/>
              </w:rPr>
            </w:pPr>
            <w:r>
              <w:rPr>
                <w:rFonts w:hint="default" w:ascii="Times New Roman" w:hAnsi="Times New Roman" w:eastAsia="宋体" w:cs="Times New Roman"/>
                <w:color w:val="auto"/>
                <w:kern w:val="0"/>
                <w:sz w:val="24"/>
                <w:szCs w:val="24"/>
                <w:highlight w:val="none"/>
                <w:lang w:val="en-US" w:eastAsia="zh-CN" w:bidi="ar-SA"/>
              </w:rPr>
              <w:t>由上表可知，项目产生的危险固废可交由上述等单位进行处置，项目建设后危废处置可落实，因此，对周边环境影响较小。</w:t>
            </w:r>
          </w:p>
          <w:p w14:paraId="096F6486">
            <w:pPr>
              <w:keepNext w:val="0"/>
              <w:keepLines w:val="0"/>
              <w:widowControl w:val="0"/>
              <w:suppressLineNumbers w:val="0"/>
              <w:adjustRightInd w:val="0"/>
              <w:snapToGrid w:val="0"/>
              <w:spacing w:before="0" w:beforeAutospacing="0" w:after="0" w:afterAutospacing="0" w:line="360" w:lineRule="auto"/>
              <w:ind w:left="0" w:right="0" w:firstLine="480" w:firstLineChars="200"/>
              <w:jc w:val="both"/>
              <w:rPr>
                <w:rFonts w:hint="default" w:ascii="Times New Roman" w:hAnsi="Times New Roman" w:eastAsia="宋体" w:cs="Times New Roman"/>
                <w:color w:val="auto"/>
                <w:kern w:val="0"/>
                <w:sz w:val="24"/>
                <w:szCs w:val="24"/>
                <w:highlight w:val="none"/>
                <w:lang w:val="en-US" w:eastAsia="zh-CN" w:bidi="ar-SA"/>
              </w:rPr>
            </w:pPr>
            <w:r>
              <w:rPr>
                <w:rFonts w:hint="default" w:ascii="Times New Roman" w:hAnsi="Times New Roman" w:eastAsia="宋体" w:cs="Times New Roman"/>
                <w:color w:val="auto"/>
                <w:kern w:val="0"/>
                <w:sz w:val="24"/>
                <w:szCs w:val="24"/>
                <w:highlight w:val="none"/>
                <w:lang w:val="en-US" w:eastAsia="zh-CN" w:bidi="ar-SA"/>
              </w:rPr>
              <w:t>（8）危险废物风险防范措施</w:t>
            </w:r>
          </w:p>
          <w:p w14:paraId="66597770">
            <w:pPr>
              <w:keepNext w:val="0"/>
              <w:keepLines w:val="0"/>
              <w:widowControl w:val="0"/>
              <w:suppressLineNumbers w:val="0"/>
              <w:adjustRightInd w:val="0"/>
              <w:snapToGrid w:val="0"/>
              <w:spacing w:before="0" w:beforeAutospacing="0" w:after="0" w:afterAutospacing="0" w:line="360" w:lineRule="auto"/>
              <w:ind w:left="0" w:right="0" w:firstLine="480" w:firstLineChars="200"/>
              <w:jc w:val="both"/>
              <w:rPr>
                <w:rFonts w:hint="default" w:ascii="Times New Roman" w:hAnsi="Times New Roman" w:eastAsia="宋体" w:cs="Times New Roman"/>
                <w:color w:val="auto"/>
                <w:kern w:val="0"/>
                <w:sz w:val="24"/>
                <w:szCs w:val="24"/>
                <w:highlight w:val="none"/>
                <w:lang w:val="en-US" w:eastAsia="zh-CN" w:bidi="ar-SA"/>
              </w:rPr>
            </w:pPr>
            <w:r>
              <w:rPr>
                <w:rFonts w:hint="default" w:ascii="Times New Roman" w:hAnsi="Times New Roman" w:eastAsia="宋体" w:cs="Times New Roman"/>
                <w:color w:val="auto"/>
                <w:kern w:val="0"/>
                <w:sz w:val="24"/>
                <w:szCs w:val="24"/>
                <w:highlight w:val="none"/>
                <w:lang w:val="en-US" w:eastAsia="zh-CN" w:bidi="ar-SA"/>
              </w:rPr>
              <w:t>①加强企业危险废物管理人员的培训，了解危险废物危害性、分类贮存要求以及简单的前期处理措施。</w:t>
            </w:r>
          </w:p>
          <w:p w14:paraId="14C6F50E">
            <w:pPr>
              <w:keepNext w:val="0"/>
              <w:keepLines w:val="0"/>
              <w:widowControl w:val="0"/>
              <w:suppressLineNumbers w:val="0"/>
              <w:adjustRightInd w:val="0"/>
              <w:snapToGrid w:val="0"/>
              <w:spacing w:before="0" w:beforeAutospacing="0" w:after="0" w:afterAutospacing="0" w:line="360" w:lineRule="auto"/>
              <w:ind w:left="0" w:right="0" w:firstLine="480" w:firstLineChars="200"/>
              <w:jc w:val="both"/>
              <w:rPr>
                <w:rFonts w:hint="default" w:ascii="Times New Roman" w:hAnsi="Times New Roman" w:eastAsia="宋体" w:cs="Times New Roman"/>
                <w:color w:val="auto"/>
                <w:kern w:val="0"/>
                <w:sz w:val="24"/>
                <w:szCs w:val="24"/>
                <w:highlight w:val="none"/>
                <w:lang w:val="en-US" w:eastAsia="zh-CN" w:bidi="ar-SA"/>
              </w:rPr>
            </w:pPr>
            <w:r>
              <w:rPr>
                <w:rFonts w:hint="default" w:ascii="Times New Roman" w:hAnsi="Times New Roman" w:eastAsia="宋体" w:cs="Times New Roman"/>
                <w:color w:val="auto"/>
                <w:kern w:val="0"/>
                <w:sz w:val="24"/>
                <w:szCs w:val="24"/>
                <w:highlight w:val="none"/>
                <w:lang w:val="en-US" w:eastAsia="zh-CN" w:bidi="ar-SA"/>
              </w:rPr>
              <w:t>②危废贮存设施内地面必须采取硬化等防渗措施，仓库门口须有围堰（缓坡）或截留沟，防止仓库废物向外泄漏。同时，仓库地面应保持干净整洁。</w:t>
            </w:r>
          </w:p>
          <w:p w14:paraId="487E4170">
            <w:pPr>
              <w:keepNext w:val="0"/>
              <w:keepLines w:val="0"/>
              <w:widowControl w:val="0"/>
              <w:suppressLineNumbers w:val="0"/>
              <w:adjustRightInd w:val="0"/>
              <w:snapToGrid w:val="0"/>
              <w:spacing w:before="0" w:beforeAutospacing="0" w:after="0" w:afterAutospacing="0" w:line="360" w:lineRule="auto"/>
              <w:ind w:left="0" w:right="0" w:firstLine="480" w:firstLineChars="200"/>
              <w:jc w:val="both"/>
              <w:rPr>
                <w:rFonts w:hint="default" w:ascii="Times New Roman" w:hAnsi="Times New Roman" w:eastAsia="宋体" w:cs="Times New Roman"/>
                <w:color w:val="auto"/>
                <w:kern w:val="0"/>
                <w:sz w:val="24"/>
                <w:szCs w:val="24"/>
                <w:highlight w:val="none"/>
                <w:lang w:val="en-US" w:eastAsia="zh-CN" w:bidi="ar-SA"/>
              </w:rPr>
            </w:pPr>
            <w:r>
              <w:rPr>
                <w:rFonts w:hint="default" w:ascii="Times New Roman" w:hAnsi="Times New Roman" w:eastAsia="宋体" w:cs="Times New Roman"/>
                <w:color w:val="auto"/>
                <w:kern w:val="0"/>
                <w:sz w:val="24"/>
                <w:szCs w:val="24"/>
                <w:highlight w:val="none"/>
                <w:lang w:val="en-US" w:eastAsia="zh-CN" w:bidi="ar-SA"/>
              </w:rPr>
              <w:t>③加强对危废贮存设施的巡查，尤其是台风、暴雨等恶劣天气时期，发现问题及时处理。</w:t>
            </w:r>
          </w:p>
          <w:p w14:paraId="73C2B6C5">
            <w:pPr>
              <w:keepNext w:val="0"/>
              <w:keepLines w:val="0"/>
              <w:widowControl w:val="0"/>
              <w:suppressLineNumbers w:val="0"/>
              <w:adjustRightInd w:val="0"/>
              <w:snapToGrid w:val="0"/>
              <w:spacing w:before="0" w:beforeAutospacing="0" w:after="0" w:afterAutospacing="0" w:line="360" w:lineRule="auto"/>
              <w:ind w:left="0" w:right="0" w:firstLine="480" w:firstLineChars="200"/>
              <w:jc w:val="both"/>
              <w:rPr>
                <w:rFonts w:hint="default" w:ascii="Times New Roman" w:hAnsi="Times New Roman" w:eastAsia="宋体" w:cs="Times New Roman"/>
                <w:color w:val="auto"/>
                <w:kern w:val="0"/>
                <w:sz w:val="24"/>
                <w:szCs w:val="24"/>
                <w:highlight w:val="none"/>
                <w:lang w:val="en-US" w:eastAsia="zh-CN" w:bidi="ar-SA"/>
              </w:rPr>
            </w:pPr>
            <w:r>
              <w:rPr>
                <w:rFonts w:hint="default" w:ascii="Times New Roman" w:hAnsi="Times New Roman" w:eastAsia="宋体" w:cs="Times New Roman"/>
                <w:color w:val="auto"/>
                <w:kern w:val="0"/>
                <w:sz w:val="24"/>
                <w:szCs w:val="24"/>
                <w:highlight w:val="none"/>
                <w:lang w:val="en-US" w:eastAsia="zh-CN" w:bidi="ar-SA"/>
              </w:rPr>
              <w:t>（9）危废仓库运行环境管理要求</w:t>
            </w:r>
          </w:p>
          <w:p w14:paraId="51DE0850">
            <w:pPr>
              <w:keepNext w:val="0"/>
              <w:keepLines w:val="0"/>
              <w:widowControl w:val="0"/>
              <w:suppressLineNumbers w:val="0"/>
              <w:adjustRightInd w:val="0"/>
              <w:snapToGrid w:val="0"/>
              <w:spacing w:before="0" w:beforeAutospacing="0" w:after="0" w:afterAutospacing="0" w:line="360" w:lineRule="auto"/>
              <w:ind w:left="0" w:right="0" w:firstLine="480" w:firstLineChars="200"/>
              <w:jc w:val="both"/>
              <w:rPr>
                <w:rFonts w:hint="default" w:ascii="Times New Roman" w:hAnsi="Times New Roman" w:eastAsia="宋体" w:cs="Times New Roman"/>
                <w:color w:val="auto"/>
                <w:kern w:val="0"/>
                <w:sz w:val="24"/>
                <w:szCs w:val="24"/>
                <w:highlight w:val="none"/>
                <w:lang w:val="en-US" w:eastAsia="zh-CN" w:bidi="ar-SA"/>
              </w:rPr>
            </w:pPr>
            <w:r>
              <w:rPr>
                <w:rFonts w:hint="default" w:ascii="Times New Roman" w:hAnsi="Times New Roman" w:eastAsia="宋体" w:cs="Times New Roman"/>
                <w:color w:val="auto"/>
                <w:kern w:val="0"/>
                <w:sz w:val="24"/>
                <w:szCs w:val="24"/>
                <w:highlight w:val="none"/>
                <w:lang w:val="en-US" w:eastAsia="zh-CN" w:bidi="ar-SA"/>
              </w:rPr>
              <w:t>①危险废物存入贮存设施前应对危险废物类别和特性与危险废物标签等危险废物识别标志的一致性进行核验，不一致的或类别、特性不明的不应存入。</w:t>
            </w:r>
          </w:p>
          <w:p w14:paraId="69B38B20">
            <w:pPr>
              <w:keepNext w:val="0"/>
              <w:keepLines w:val="0"/>
              <w:widowControl w:val="0"/>
              <w:suppressLineNumbers w:val="0"/>
              <w:adjustRightInd w:val="0"/>
              <w:snapToGrid w:val="0"/>
              <w:spacing w:before="0" w:beforeAutospacing="0" w:after="0" w:afterAutospacing="0" w:line="360" w:lineRule="auto"/>
              <w:ind w:left="0" w:right="0" w:firstLine="480" w:firstLineChars="200"/>
              <w:jc w:val="both"/>
              <w:rPr>
                <w:rFonts w:hint="default" w:ascii="Times New Roman" w:hAnsi="Times New Roman" w:eastAsia="宋体" w:cs="Times New Roman"/>
                <w:color w:val="auto"/>
                <w:kern w:val="0"/>
                <w:sz w:val="24"/>
                <w:szCs w:val="24"/>
                <w:highlight w:val="none"/>
                <w:lang w:val="en-US" w:eastAsia="zh-CN" w:bidi="ar-SA"/>
              </w:rPr>
            </w:pPr>
            <w:r>
              <w:rPr>
                <w:rFonts w:hint="default" w:ascii="Times New Roman" w:hAnsi="Times New Roman" w:eastAsia="宋体" w:cs="Times New Roman"/>
                <w:color w:val="auto"/>
                <w:kern w:val="0"/>
                <w:sz w:val="24"/>
                <w:szCs w:val="24"/>
                <w:highlight w:val="none"/>
                <w:lang w:val="en-US" w:eastAsia="zh-CN" w:bidi="ar-SA"/>
              </w:rPr>
              <w:t>②应定期检查危险废物的贮存状况，及时清理贮存设施地面，更换破损泄漏的危险废物贮存容器和包装物，保证堆存危险废物的防雨、防风、防扬尘等设施功能完好。</w:t>
            </w:r>
          </w:p>
          <w:p w14:paraId="6D382FF9">
            <w:pPr>
              <w:keepNext w:val="0"/>
              <w:keepLines w:val="0"/>
              <w:widowControl w:val="0"/>
              <w:suppressLineNumbers w:val="0"/>
              <w:adjustRightInd w:val="0"/>
              <w:snapToGrid w:val="0"/>
              <w:spacing w:before="0" w:beforeAutospacing="0" w:after="0" w:afterAutospacing="0" w:line="360" w:lineRule="auto"/>
              <w:ind w:left="0" w:right="0" w:firstLine="480" w:firstLineChars="200"/>
              <w:jc w:val="both"/>
              <w:rPr>
                <w:rFonts w:hint="default" w:ascii="Times New Roman" w:hAnsi="Times New Roman" w:eastAsia="宋体" w:cs="Times New Roman"/>
                <w:color w:val="auto"/>
                <w:kern w:val="0"/>
                <w:sz w:val="24"/>
                <w:szCs w:val="24"/>
                <w:highlight w:val="none"/>
                <w:lang w:val="en-US" w:eastAsia="zh-CN" w:bidi="ar-SA"/>
              </w:rPr>
            </w:pPr>
            <w:r>
              <w:rPr>
                <w:rFonts w:hint="default" w:ascii="Times New Roman" w:hAnsi="Times New Roman" w:eastAsia="宋体" w:cs="Times New Roman"/>
                <w:color w:val="auto"/>
                <w:kern w:val="0"/>
                <w:sz w:val="24"/>
                <w:szCs w:val="24"/>
                <w:highlight w:val="none"/>
                <w:lang w:val="en-US" w:eastAsia="zh-CN" w:bidi="ar-SA"/>
              </w:rPr>
              <w:t>③作业设备及车辆等结束作业离开贮存设施时，应对其残留的危险废物进行清理，清理的废物或清洗废水应收集处理。</w:t>
            </w:r>
          </w:p>
          <w:p w14:paraId="797C2A6F">
            <w:pPr>
              <w:keepNext w:val="0"/>
              <w:keepLines w:val="0"/>
              <w:widowControl w:val="0"/>
              <w:suppressLineNumbers w:val="0"/>
              <w:adjustRightInd w:val="0"/>
              <w:snapToGrid w:val="0"/>
              <w:spacing w:before="0" w:beforeAutospacing="0" w:after="0" w:afterAutospacing="0" w:line="360" w:lineRule="auto"/>
              <w:ind w:left="0" w:right="0" w:firstLine="480" w:firstLineChars="200"/>
              <w:jc w:val="both"/>
              <w:rPr>
                <w:rFonts w:hint="default" w:ascii="Times New Roman" w:hAnsi="Times New Roman" w:eastAsia="宋体" w:cs="Times New Roman"/>
                <w:color w:val="auto"/>
                <w:kern w:val="0"/>
                <w:sz w:val="24"/>
                <w:szCs w:val="24"/>
                <w:highlight w:val="none"/>
                <w:lang w:val="en-US" w:eastAsia="zh-CN" w:bidi="ar-SA"/>
              </w:rPr>
            </w:pPr>
            <w:r>
              <w:rPr>
                <w:rFonts w:hint="default" w:ascii="Times New Roman" w:hAnsi="Times New Roman" w:eastAsia="宋体" w:cs="Times New Roman"/>
                <w:color w:val="auto"/>
                <w:kern w:val="0"/>
                <w:sz w:val="24"/>
                <w:szCs w:val="24"/>
                <w:highlight w:val="none"/>
                <w:lang w:val="en-US" w:eastAsia="zh-CN" w:bidi="ar-SA"/>
              </w:rPr>
              <w:t>④贮存设施运行期间，应按国家有关标准和规定建立危险废物管理台账并保存。</w:t>
            </w:r>
          </w:p>
          <w:p w14:paraId="321FE30E">
            <w:pPr>
              <w:keepNext w:val="0"/>
              <w:keepLines w:val="0"/>
              <w:widowControl w:val="0"/>
              <w:suppressLineNumbers w:val="0"/>
              <w:adjustRightInd w:val="0"/>
              <w:snapToGrid w:val="0"/>
              <w:spacing w:before="0" w:beforeAutospacing="0" w:after="0" w:afterAutospacing="0" w:line="360" w:lineRule="auto"/>
              <w:ind w:left="0" w:right="0" w:firstLine="480" w:firstLineChars="200"/>
              <w:jc w:val="both"/>
              <w:rPr>
                <w:rFonts w:hint="default" w:ascii="Times New Roman" w:hAnsi="Times New Roman" w:eastAsia="宋体" w:cs="Times New Roman"/>
                <w:color w:val="auto"/>
                <w:kern w:val="0"/>
                <w:sz w:val="24"/>
                <w:szCs w:val="24"/>
                <w:highlight w:val="none"/>
                <w:lang w:val="en-US" w:eastAsia="zh-CN" w:bidi="ar-SA"/>
              </w:rPr>
            </w:pPr>
            <w:r>
              <w:rPr>
                <w:rFonts w:hint="default" w:ascii="Times New Roman" w:hAnsi="Times New Roman" w:eastAsia="宋体" w:cs="Times New Roman"/>
                <w:color w:val="auto"/>
                <w:kern w:val="0"/>
                <w:sz w:val="24"/>
                <w:szCs w:val="24"/>
                <w:highlight w:val="none"/>
                <w:lang w:val="en-US" w:eastAsia="zh-CN" w:bidi="ar-SA"/>
              </w:rPr>
              <w:t>⑤贮存设施所有者或运营者应建立贮存设施环境管理制度、管理人员岗位职责制度、设施运行操作制度、人员岗位培训制度等。</w:t>
            </w:r>
          </w:p>
          <w:p w14:paraId="2F22525F">
            <w:pPr>
              <w:keepNext w:val="0"/>
              <w:keepLines w:val="0"/>
              <w:widowControl w:val="0"/>
              <w:suppressLineNumbers w:val="0"/>
              <w:adjustRightInd w:val="0"/>
              <w:snapToGrid w:val="0"/>
              <w:spacing w:before="0" w:beforeAutospacing="0" w:after="0" w:afterAutospacing="0" w:line="360" w:lineRule="auto"/>
              <w:ind w:left="0" w:right="0" w:firstLine="480" w:firstLineChars="200"/>
              <w:jc w:val="both"/>
              <w:rPr>
                <w:rFonts w:hint="default" w:ascii="Times New Roman" w:hAnsi="Times New Roman" w:eastAsia="宋体" w:cs="Times New Roman"/>
                <w:color w:val="auto"/>
                <w:kern w:val="0"/>
                <w:sz w:val="24"/>
                <w:szCs w:val="24"/>
                <w:highlight w:val="none"/>
                <w:lang w:val="en-US" w:eastAsia="zh-CN" w:bidi="ar-SA"/>
              </w:rPr>
            </w:pPr>
            <w:r>
              <w:rPr>
                <w:rFonts w:hint="default" w:ascii="Times New Roman" w:hAnsi="Times New Roman" w:eastAsia="宋体" w:cs="Times New Roman"/>
                <w:color w:val="auto"/>
                <w:kern w:val="0"/>
                <w:sz w:val="24"/>
                <w:szCs w:val="24"/>
                <w:highlight w:val="none"/>
                <w:lang w:val="en-US" w:eastAsia="zh-CN" w:bidi="ar-SA"/>
              </w:rPr>
              <w:t>⑥贮存设施所有者或运营者应依据国家土壤和地下水污染防治的有关规定，结合贮存设施特点建立土壤和地下水污染隐患排查制度，并定期开展隐患排查；发现隐患应及时采取措施消除隐患，并建立档案。</w:t>
            </w:r>
          </w:p>
          <w:p w14:paraId="71986DD9">
            <w:pPr>
              <w:keepNext w:val="0"/>
              <w:keepLines w:val="0"/>
              <w:widowControl w:val="0"/>
              <w:suppressLineNumbers w:val="0"/>
              <w:adjustRightInd w:val="0"/>
              <w:snapToGrid w:val="0"/>
              <w:spacing w:before="0" w:beforeAutospacing="0" w:after="0" w:afterAutospacing="0" w:line="360" w:lineRule="auto"/>
              <w:ind w:left="0" w:right="0" w:firstLine="480" w:firstLineChars="200"/>
              <w:jc w:val="both"/>
              <w:rPr>
                <w:rFonts w:hint="default" w:ascii="Times New Roman" w:hAnsi="Times New Roman" w:eastAsia="宋体" w:cs="Times New Roman"/>
                <w:color w:val="auto"/>
                <w:kern w:val="0"/>
                <w:sz w:val="24"/>
                <w:szCs w:val="24"/>
                <w:highlight w:val="none"/>
                <w:lang w:val="en-US" w:eastAsia="zh-CN" w:bidi="ar-SA"/>
              </w:rPr>
            </w:pPr>
            <w:r>
              <w:rPr>
                <w:rFonts w:hint="default" w:ascii="Times New Roman" w:hAnsi="Times New Roman" w:eastAsia="宋体" w:cs="Times New Roman"/>
                <w:color w:val="auto"/>
                <w:kern w:val="0"/>
                <w:sz w:val="24"/>
                <w:szCs w:val="24"/>
                <w:highlight w:val="none"/>
                <w:lang w:val="en-US" w:eastAsia="zh-CN" w:bidi="ar-SA"/>
              </w:rPr>
              <w:t>⑦贮存设施所有者或运营者应建立贮存设施全部档案，包括设计、施工、验收、运行、监测和环境应急等，应按国家有关档案管理的法律法规进行整理和归档。</w:t>
            </w:r>
          </w:p>
          <w:p w14:paraId="0C9DAE5C">
            <w:pPr>
              <w:adjustRightInd w:val="0"/>
              <w:snapToGrid w:val="0"/>
              <w:spacing w:line="360" w:lineRule="auto"/>
              <w:ind w:firstLine="442" w:firstLineChars="200"/>
              <w:rPr>
                <w:b/>
                <w:color w:val="auto"/>
                <w:spacing w:val="-10"/>
                <w:sz w:val="24"/>
                <w:szCs w:val="24"/>
              </w:rPr>
            </w:pPr>
            <w:r>
              <w:rPr>
                <w:b/>
                <w:color w:val="auto"/>
                <w:spacing w:val="-10"/>
                <w:sz w:val="24"/>
                <w:szCs w:val="24"/>
              </w:rPr>
              <w:t>5</w:t>
            </w:r>
            <w:r>
              <w:rPr>
                <w:rFonts w:hint="eastAsia"/>
                <w:b/>
                <w:color w:val="auto"/>
                <w:spacing w:val="-10"/>
                <w:sz w:val="24"/>
                <w:szCs w:val="24"/>
              </w:rPr>
              <w:t>、</w:t>
            </w:r>
            <w:r>
              <w:rPr>
                <w:b/>
                <w:color w:val="auto"/>
                <w:spacing w:val="-10"/>
                <w:sz w:val="24"/>
                <w:szCs w:val="24"/>
              </w:rPr>
              <w:t>地下水、土壤环境影响及保护措施</w:t>
            </w:r>
          </w:p>
          <w:p w14:paraId="24F75E51">
            <w:pPr>
              <w:spacing w:line="360" w:lineRule="auto"/>
              <w:ind w:firstLine="482" w:firstLineChars="200"/>
              <w:rPr>
                <w:b/>
                <w:bCs/>
                <w:color w:val="auto"/>
                <w:sz w:val="24"/>
                <w:szCs w:val="24"/>
              </w:rPr>
            </w:pPr>
            <w:r>
              <w:rPr>
                <w:b/>
                <w:bCs/>
                <w:color w:val="auto"/>
                <w:sz w:val="24"/>
                <w:szCs w:val="24"/>
              </w:rPr>
              <w:t>5.1地下水、土壤污染类型及途径</w:t>
            </w:r>
          </w:p>
          <w:p w14:paraId="278693DA">
            <w:pPr>
              <w:spacing w:line="360" w:lineRule="auto"/>
              <w:ind w:firstLine="480" w:firstLineChars="200"/>
              <w:rPr>
                <w:color w:val="auto"/>
                <w:sz w:val="24"/>
                <w:szCs w:val="24"/>
              </w:rPr>
            </w:pPr>
            <w:r>
              <w:rPr>
                <w:rFonts w:ascii="宋体" w:hAnsi="宋体" w:eastAsia="宋体" w:cs="宋体"/>
                <w:color w:val="auto"/>
                <w:sz w:val="24"/>
                <w:szCs w:val="24"/>
              </w:rPr>
              <w:t>针对企业生产过程中物料的贮存、使用环节，以及</w:t>
            </w:r>
            <w:r>
              <w:rPr>
                <w:color w:val="auto"/>
                <w:sz w:val="24"/>
                <w:szCs w:val="24"/>
              </w:rPr>
              <w:t>废气、废水及固体废物产生、输送和处理过程，采取合理有效的工程措施可防止污染物对土壤、地下水的污染。</w:t>
            </w:r>
          </w:p>
          <w:p w14:paraId="3B30B5F2">
            <w:pPr>
              <w:spacing w:line="360" w:lineRule="auto"/>
              <w:ind w:firstLine="482" w:firstLineChars="200"/>
              <w:rPr>
                <w:b/>
                <w:bCs/>
                <w:color w:val="auto"/>
                <w:sz w:val="24"/>
                <w:szCs w:val="24"/>
              </w:rPr>
            </w:pPr>
            <w:r>
              <w:rPr>
                <w:b/>
                <w:bCs/>
                <w:color w:val="auto"/>
                <w:sz w:val="24"/>
                <w:szCs w:val="24"/>
              </w:rPr>
              <w:t>5.2地下</w:t>
            </w:r>
            <w:r>
              <w:rPr>
                <w:rFonts w:hint="eastAsia"/>
                <w:b/>
                <w:bCs/>
                <w:color w:val="auto"/>
                <w:sz w:val="24"/>
                <w:szCs w:val="24"/>
                <w:lang w:val="en-US" w:eastAsia="zh-CN"/>
              </w:rPr>
              <w:t>水</w:t>
            </w:r>
            <w:r>
              <w:rPr>
                <w:b/>
                <w:bCs/>
                <w:color w:val="auto"/>
                <w:sz w:val="24"/>
                <w:szCs w:val="24"/>
              </w:rPr>
              <w:t>、土壤分区防控措施</w:t>
            </w:r>
          </w:p>
          <w:p w14:paraId="3F497D0E">
            <w:pPr>
              <w:spacing w:line="360" w:lineRule="auto"/>
              <w:ind w:firstLine="480" w:firstLineChars="200"/>
              <w:rPr>
                <w:rFonts w:hint="default"/>
                <w:color w:val="auto"/>
                <w:sz w:val="24"/>
                <w:szCs w:val="24"/>
                <w:lang w:bidi="ar-SA"/>
              </w:rPr>
            </w:pPr>
            <w:r>
              <w:rPr>
                <w:rFonts w:hint="default"/>
                <w:color w:val="auto"/>
                <w:sz w:val="24"/>
                <w:szCs w:val="24"/>
                <w:lang w:bidi="ar-SA"/>
              </w:rPr>
              <w:t>为了更好</w:t>
            </w:r>
            <w:r>
              <w:rPr>
                <w:rFonts w:hint="eastAsia"/>
                <w:color w:val="auto"/>
                <w:sz w:val="24"/>
                <w:szCs w:val="24"/>
                <w:lang w:val="en-US" w:eastAsia="zh-CN" w:bidi="ar-SA"/>
              </w:rPr>
              <w:t>地</w:t>
            </w:r>
            <w:r>
              <w:rPr>
                <w:rFonts w:hint="default"/>
                <w:color w:val="auto"/>
                <w:sz w:val="24"/>
                <w:szCs w:val="24"/>
                <w:lang w:bidi="ar-SA"/>
              </w:rPr>
              <w:t>保护地下水和土壤资源，将拟建项目对地下水和土壤的影响降至最低限度，建议采取分区防控措施</w:t>
            </w:r>
            <w:r>
              <w:rPr>
                <w:rFonts w:hint="eastAsia"/>
                <w:color w:val="auto"/>
                <w:sz w:val="24"/>
                <w:szCs w:val="24"/>
                <w:lang w:bidi="ar-SA"/>
              </w:rPr>
              <w:t>，厂区均采用混凝土硬化</w:t>
            </w:r>
            <w:r>
              <w:rPr>
                <w:rFonts w:hint="default"/>
                <w:color w:val="auto"/>
                <w:sz w:val="24"/>
                <w:szCs w:val="24"/>
                <w:lang w:bidi="ar-SA"/>
              </w:rPr>
              <w:t>。主要包括厂内污染区地面的防渗措施和泄漏、渗漏污染物收集措施，即在污染区地面进行防渗处理，防止洒落地面的污染物渗入地下，并把滞留在地面的污染物收集起来集中处理，从而避免对环境的污染。结合项目各生产设备、贮存等因素，根据项目场地天然包气带防污性能、污染控制难易程度和污染物特性对全厂进行分区防控，分区防渗区划见</w:t>
            </w:r>
            <w:r>
              <w:rPr>
                <w:rFonts w:hint="eastAsia"/>
                <w:color w:val="auto"/>
                <w:sz w:val="24"/>
                <w:szCs w:val="24"/>
                <w:lang w:bidi="ar-SA"/>
              </w:rPr>
              <w:t>下表。</w:t>
            </w:r>
          </w:p>
          <w:p w14:paraId="225F8188">
            <w:pPr>
              <w:jc w:val="center"/>
              <w:rPr>
                <w:rFonts w:hint="default"/>
                <w:b/>
                <w:bCs/>
                <w:color w:val="auto"/>
                <w:sz w:val="24"/>
                <w:szCs w:val="24"/>
                <w:lang w:bidi="ar-SA"/>
              </w:rPr>
            </w:pPr>
            <w:r>
              <w:rPr>
                <w:rFonts w:hint="default"/>
                <w:b/>
                <w:bCs/>
                <w:color w:val="auto"/>
                <w:sz w:val="24"/>
                <w:szCs w:val="24"/>
                <w:lang w:bidi="ar-SA"/>
              </w:rPr>
              <w:t>表4-</w:t>
            </w:r>
            <w:r>
              <w:rPr>
                <w:rFonts w:hint="eastAsia"/>
                <w:b/>
                <w:bCs/>
                <w:color w:val="auto"/>
                <w:sz w:val="24"/>
                <w:szCs w:val="24"/>
                <w:lang w:val="en-US" w:eastAsia="zh-CN" w:bidi="ar-SA"/>
              </w:rPr>
              <w:t>30</w:t>
            </w:r>
            <w:r>
              <w:rPr>
                <w:rFonts w:hint="default"/>
                <w:b/>
                <w:bCs/>
                <w:color w:val="auto"/>
                <w:sz w:val="24"/>
                <w:szCs w:val="24"/>
                <w:lang w:bidi="ar-SA"/>
              </w:rPr>
              <w:t xml:space="preserve"> </w:t>
            </w:r>
            <w:r>
              <w:rPr>
                <w:rFonts w:hint="eastAsia"/>
                <w:b/>
                <w:bCs/>
                <w:color w:val="auto"/>
                <w:sz w:val="24"/>
                <w:szCs w:val="24"/>
                <w:lang w:bidi="ar-SA"/>
              </w:rPr>
              <w:t>全厂</w:t>
            </w:r>
            <w:r>
              <w:rPr>
                <w:rFonts w:hint="default"/>
                <w:b/>
                <w:bCs/>
                <w:color w:val="auto"/>
                <w:sz w:val="24"/>
                <w:szCs w:val="24"/>
                <w:lang w:bidi="ar-SA"/>
              </w:rPr>
              <w:t>分区防渗方案及防渗措施表</w:t>
            </w:r>
          </w:p>
          <w:tbl>
            <w:tblPr>
              <w:tblStyle w:val="26"/>
              <w:tblW w:w="8156"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57" w:type="dxa"/>
                <w:bottom w:w="0" w:type="dxa"/>
                <w:right w:w="57" w:type="dxa"/>
              </w:tblCellMar>
            </w:tblPr>
            <w:tblGrid>
              <w:gridCol w:w="405"/>
              <w:gridCol w:w="1309"/>
              <w:gridCol w:w="733"/>
              <w:gridCol w:w="933"/>
              <w:gridCol w:w="725"/>
              <w:gridCol w:w="584"/>
              <w:gridCol w:w="3467"/>
            </w:tblGrid>
            <w:tr w14:paraId="135B129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731" w:hRule="atLeast"/>
                <w:jc w:val="center"/>
              </w:trPr>
              <w:tc>
                <w:tcPr>
                  <w:tcW w:w="405" w:type="dxa"/>
                  <w:tcBorders>
                    <w:tl2br w:val="nil"/>
                    <w:tr2bl w:val="nil"/>
                  </w:tcBorders>
                  <w:vAlign w:val="center"/>
                </w:tcPr>
                <w:p w14:paraId="0EDE4748">
                  <w:pPr>
                    <w:widowControl w:val="0"/>
                    <w:adjustRightInd w:val="0"/>
                    <w:snapToGrid w:val="0"/>
                    <w:spacing w:before="0" w:beforeLines="0" w:after="0" w:afterLines="0" w:line="240" w:lineRule="auto"/>
                    <w:ind w:firstLine="0" w:firstLineChars="0"/>
                    <w:jc w:val="center"/>
                    <w:textAlignment w:val="baseline"/>
                    <w:rPr>
                      <w:rFonts w:ascii="Times New Roman" w:hAnsi="宋体" w:eastAsia="宋体" w:cs="Times New Roman"/>
                      <w:b/>
                      <w:color w:val="auto"/>
                      <w:spacing w:val="-10"/>
                      <w:kern w:val="0"/>
                      <w:sz w:val="21"/>
                      <w:szCs w:val="21"/>
                      <w:lang w:val="en-US" w:eastAsia="zh-CN" w:bidi="ar-SA"/>
                    </w:rPr>
                  </w:pPr>
                  <w:r>
                    <w:rPr>
                      <w:rFonts w:hint="eastAsia" w:ascii="Times New Roman" w:hAnsi="宋体" w:eastAsia="宋体" w:cs="Times New Roman"/>
                      <w:b/>
                      <w:color w:val="auto"/>
                      <w:spacing w:val="-10"/>
                      <w:kern w:val="0"/>
                      <w:sz w:val="21"/>
                      <w:szCs w:val="21"/>
                      <w:lang w:val="en-US" w:eastAsia="zh-CN" w:bidi="ar-SA"/>
                    </w:rPr>
                    <w:t>序号</w:t>
                  </w:r>
                </w:p>
              </w:tc>
              <w:tc>
                <w:tcPr>
                  <w:tcW w:w="1309" w:type="dxa"/>
                  <w:tcBorders>
                    <w:tl2br w:val="nil"/>
                    <w:tr2bl w:val="nil"/>
                  </w:tcBorders>
                  <w:vAlign w:val="center"/>
                </w:tcPr>
                <w:p w14:paraId="0BDB45F4">
                  <w:pPr>
                    <w:widowControl w:val="0"/>
                    <w:adjustRightInd w:val="0"/>
                    <w:snapToGrid w:val="0"/>
                    <w:spacing w:before="0" w:beforeLines="0" w:after="0" w:afterLines="0" w:line="240" w:lineRule="auto"/>
                    <w:ind w:firstLine="0" w:firstLineChars="0"/>
                    <w:jc w:val="center"/>
                    <w:textAlignment w:val="baseline"/>
                    <w:rPr>
                      <w:rFonts w:ascii="Times New Roman" w:hAnsi="宋体" w:eastAsia="宋体" w:cs="Times New Roman"/>
                      <w:b/>
                      <w:color w:val="auto"/>
                      <w:spacing w:val="-10"/>
                      <w:kern w:val="0"/>
                      <w:sz w:val="21"/>
                      <w:szCs w:val="21"/>
                      <w:lang w:val="en-US" w:eastAsia="zh-CN" w:bidi="ar-SA"/>
                    </w:rPr>
                  </w:pPr>
                  <w:r>
                    <w:rPr>
                      <w:rFonts w:hint="eastAsia" w:ascii="Times New Roman" w:hAnsi="宋体" w:eastAsia="宋体" w:cs="Times New Roman"/>
                      <w:b/>
                      <w:color w:val="auto"/>
                      <w:spacing w:val="-10"/>
                      <w:kern w:val="0"/>
                      <w:sz w:val="21"/>
                      <w:szCs w:val="21"/>
                      <w:lang w:val="en-US" w:eastAsia="zh-CN" w:bidi="ar-SA"/>
                    </w:rPr>
                    <w:t>分区位置</w:t>
                  </w:r>
                </w:p>
              </w:tc>
              <w:tc>
                <w:tcPr>
                  <w:tcW w:w="733" w:type="dxa"/>
                  <w:tcBorders>
                    <w:tl2br w:val="nil"/>
                    <w:tr2bl w:val="nil"/>
                  </w:tcBorders>
                  <w:vAlign w:val="center"/>
                </w:tcPr>
                <w:p w14:paraId="783C2244">
                  <w:pPr>
                    <w:widowControl w:val="0"/>
                    <w:adjustRightInd w:val="0"/>
                    <w:snapToGrid w:val="0"/>
                    <w:spacing w:before="0" w:beforeLines="0" w:after="0" w:afterLines="0" w:line="240" w:lineRule="auto"/>
                    <w:ind w:firstLine="0" w:firstLineChars="0"/>
                    <w:jc w:val="center"/>
                    <w:textAlignment w:val="baseline"/>
                    <w:rPr>
                      <w:rFonts w:ascii="Times New Roman" w:hAnsi="宋体" w:eastAsia="宋体" w:cs="Times New Roman"/>
                      <w:b/>
                      <w:color w:val="auto"/>
                      <w:spacing w:val="-10"/>
                      <w:kern w:val="0"/>
                      <w:sz w:val="21"/>
                      <w:szCs w:val="21"/>
                      <w:lang w:val="en-US" w:eastAsia="zh-CN" w:bidi="ar-SA"/>
                    </w:rPr>
                  </w:pPr>
                  <w:r>
                    <w:rPr>
                      <w:rFonts w:hint="eastAsia" w:ascii="Times New Roman" w:hAnsi="宋体" w:eastAsia="宋体" w:cs="Times New Roman"/>
                      <w:b/>
                      <w:color w:val="auto"/>
                      <w:spacing w:val="-10"/>
                      <w:kern w:val="0"/>
                      <w:sz w:val="21"/>
                      <w:szCs w:val="21"/>
                      <w:lang w:val="en-US" w:eastAsia="zh-CN" w:bidi="ar-SA"/>
                    </w:rPr>
                    <w:t>污染控制难易程度</w:t>
                  </w:r>
                </w:p>
              </w:tc>
              <w:tc>
                <w:tcPr>
                  <w:tcW w:w="933" w:type="dxa"/>
                  <w:tcBorders>
                    <w:tl2br w:val="nil"/>
                    <w:tr2bl w:val="nil"/>
                  </w:tcBorders>
                  <w:vAlign w:val="center"/>
                </w:tcPr>
                <w:p w14:paraId="7B10F3E5">
                  <w:pPr>
                    <w:widowControl w:val="0"/>
                    <w:adjustRightInd w:val="0"/>
                    <w:snapToGrid w:val="0"/>
                    <w:spacing w:before="0" w:beforeLines="0" w:after="0" w:afterLines="0" w:line="240" w:lineRule="auto"/>
                    <w:ind w:firstLine="0" w:firstLineChars="0"/>
                    <w:jc w:val="center"/>
                    <w:textAlignment w:val="baseline"/>
                    <w:rPr>
                      <w:rFonts w:ascii="Times New Roman" w:hAnsi="宋体" w:eastAsia="宋体" w:cs="Times New Roman"/>
                      <w:b/>
                      <w:color w:val="auto"/>
                      <w:spacing w:val="-10"/>
                      <w:kern w:val="0"/>
                      <w:sz w:val="21"/>
                      <w:szCs w:val="21"/>
                      <w:lang w:val="en-US" w:eastAsia="zh-CN" w:bidi="ar-SA"/>
                    </w:rPr>
                  </w:pPr>
                  <w:r>
                    <w:rPr>
                      <w:rFonts w:hint="eastAsia" w:ascii="Times New Roman" w:hAnsi="宋体" w:eastAsia="宋体" w:cs="Times New Roman"/>
                      <w:b/>
                      <w:color w:val="auto"/>
                      <w:spacing w:val="-10"/>
                      <w:kern w:val="0"/>
                      <w:sz w:val="21"/>
                      <w:szCs w:val="21"/>
                      <w:lang w:val="en-US" w:eastAsia="zh-CN" w:bidi="ar-SA"/>
                    </w:rPr>
                    <w:t>天然包气带防污性能分级</w:t>
                  </w:r>
                </w:p>
              </w:tc>
              <w:tc>
                <w:tcPr>
                  <w:tcW w:w="725" w:type="dxa"/>
                  <w:tcBorders>
                    <w:tl2br w:val="nil"/>
                    <w:tr2bl w:val="nil"/>
                  </w:tcBorders>
                  <w:vAlign w:val="center"/>
                </w:tcPr>
                <w:p w14:paraId="344E7A47">
                  <w:pPr>
                    <w:widowControl w:val="0"/>
                    <w:adjustRightInd w:val="0"/>
                    <w:snapToGrid w:val="0"/>
                    <w:spacing w:before="0" w:beforeLines="0" w:after="0" w:afterLines="0" w:line="240" w:lineRule="auto"/>
                    <w:ind w:firstLine="0" w:firstLineChars="0"/>
                    <w:jc w:val="center"/>
                    <w:textAlignment w:val="baseline"/>
                    <w:rPr>
                      <w:rFonts w:ascii="Times New Roman" w:hAnsi="宋体" w:eastAsia="宋体" w:cs="Times New Roman"/>
                      <w:b/>
                      <w:color w:val="auto"/>
                      <w:spacing w:val="-10"/>
                      <w:kern w:val="0"/>
                      <w:sz w:val="21"/>
                      <w:szCs w:val="21"/>
                      <w:lang w:val="en-US" w:eastAsia="zh-CN" w:bidi="ar-SA"/>
                    </w:rPr>
                  </w:pPr>
                  <w:r>
                    <w:rPr>
                      <w:rFonts w:hint="eastAsia" w:ascii="Times New Roman" w:hAnsi="宋体" w:eastAsia="宋体" w:cs="Times New Roman"/>
                      <w:b/>
                      <w:color w:val="auto"/>
                      <w:spacing w:val="-10"/>
                      <w:kern w:val="0"/>
                      <w:sz w:val="21"/>
                      <w:szCs w:val="21"/>
                      <w:lang w:val="en-US" w:eastAsia="zh-CN" w:bidi="ar-SA"/>
                    </w:rPr>
                    <w:t>污染物类型</w:t>
                  </w:r>
                </w:p>
              </w:tc>
              <w:tc>
                <w:tcPr>
                  <w:tcW w:w="584" w:type="dxa"/>
                  <w:tcBorders>
                    <w:tl2br w:val="nil"/>
                    <w:tr2bl w:val="nil"/>
                  </w:tcBorders>
                  <w:vAlign w:val="center"/>
                </w:tcPr>
                <w:p w14:paraId="00208C29">
                  <w:pPr>
                    <w:widowControl w:val="0"/>
                    <w:adjustRightInd w:val="0"/>
                    <w:snapToGrid w:val="0"/>
                    <w:spacing w:before="0" w:beforeLines="0" w:after="0" w:afterLines="0" w:line="240" w:lineRule="auto"/>
                    <w:ind w:firstLine="0" w:firstLineChars="0"/>
                    <w:jc w:val="center"/>
                    <w:textAlignment w:val="baseline"/>
                    <w:rPr>
                      <w:rFonts w:ascii="Times New Roman" w:hAnsi="宋体" w:eastAsia="宋体" w:cs="Times New Roman"/>
                      <w:b/>
                      <w:color w:val="auto"/>
                      <w:spacing w:val="-10"/>
                      <w:kern w:val="0"/>
                      <w:sz w:val="21"/>
                      <w:szCs w:val="21"/>
                      <w:lang w:val="en-US" w:eastAsia="zh-CN" w:bidi="ar-SA"/>
                    </w:rPr>
                  </w:pPr>
                  <w:r>
                    <w:rPr>
                      <w:rFonts w:hint="eastAsia" w:ascii="Times New Roman" w:hAnsi="宋体" w:eastAsia="宋体" w:cs="Times New Roman"/>
                      <w:b/>
                      <w:color w:val="auto"/>
                      <w:spacing w:val="-10"/>
                      <w:kern w:val="0"/>
                      <w:sz w:val="21"/>
                      <w:szCs w:val="21"/>
                      <w:lang w:val="en-US" w:eastAsia="zh-CN" w:bidi="ar-SA"/>
                    </w:rPr>
                    <w:t>防渗分区</w:t>
                  </w:r>
                </w:p>
              </w:tc>
              <w:tc>
                <w:tcPr>
                  <w:tcW w:w="3467" w:type="dxa"/>
                  <w:tcBorders>
                    <w:tl2br w:val="nil"/>
                    <w:tr2bl w:val="nil"/>
                  </w:tcBorders>
                  <w:vAlign w:val="center"/>
                </w:tcPr>
                <w:p w14:paraId="76ACE5D5">
                  <w:pPr>
                    <w:widowControl w:val="0"/>
                    <w:adjustRightInd w:val="0"/>
                    <w:snapToGrid w:val="0"/>
                    <w:spacing w:before="0" w:beforeLines="0" w:after="0" w:afterLines="0" w:line="240" w:lineRule="auto"/>
                    <w:ind w:firstLine="0" w:firstLineChars="0"/>
                    <w:jc w:val="center"/>
                    <w:textAlignment w:val="baseline"/>
                    <w:rPr>
                      <w:rFonts w:ascii="Times New Roman" w:hAnsi="宋体" w:eastAsia="宋体" w:cs="Times New Roman"/>
                      <w:b/>
                      <w:color w:val="auto"/>
                      <w:spacing w:val="-10"/>
                      <w:kern w:val="0"/>
                      <w:sz w:val="21"/>
                      <w:szCs w:val="21"/>
                      <w:lang w:val="en-US" w:eastAsia="zh-CN" w:bidi="ar-SA"/>
                    </w:rPr>
                  </w:pPr>
                  <w:r>
                    <w:rPr>
                      <w:rFonts w:hint="eastAsia" w:ascii="Times New Roman" w:hAnsi="宋体" w:eastAsia="宋体" w:cs="Times New Roman"/>
                      <w:b/>
                      <w:color w:val="auto"/>
                      <w:spacing w:val="-10"/>
                      <w:kern w:val="0"/>
                      <w:sz w:val="21"/>
                      <w:szCs w:val="21"/>
                      <w:lang w:val="en-US" w:eastAsia="zh-CN" w:bidi="ar-SA"/>
                    </w:rPr>
                    <w:t>防渗技术要求</w:t>
                  </w:r>
                </w:p>
              </w:tc>
            </w:tr>
            <w:tr w14:paraId="172FC34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281" w:hRule="atLeast"/>
                <w:jc w:val="center"/>
              </w:trPr>
              <w:tc>
                <w:tcPr>
                  <w:tcW w:w="405" w:type="dxa"/>
                  <w:tcBorders>
                    <w:tl2br w:val="nil"/>
                    <w:tr2bl w:val="nil"/>
                  </w:tcBorders>
                  <w:shd w:val="clear" w:color="auto" w:fill="auto"/>
                  <w:vAlign w:val="center"/>
                </w:tcPr>
                <w:p w14:paraId="56D7E136">
                  <w:pPr>
                    <w:widowControl w:val="0"/>
                    <w:adjustRightInd w:val="0"/>
                    <w:snapToGrid w:val="0"/>
                    <w:spacing w:before="24" w:beforeLines="10" w:after="24" w:afterLines="10" w:line="259" w:lineRule="auto"/>
                    <w:ind w:firstLine="0" w:firstLineChars="0"/>
                    <w:jc w:val="center"/>
                    <w:textAlignment w:val="baseline"/>
                    <w:rPr>
                      <w:rFonts w:hint="eastAsia" w:ascii="Times New Roman" w:hAnsi="宋体" w:eastAsia="宋体" w:cs="Times New Roman"/>
                      <w:bCs/>
                      <w:snapToGrid w:val="0"/>
                      <w:color w:val="auto"/>
                      <w:spacing w:val="-10"/>
                      <w:kern w:val="0"/>
                      <w:sz w:val="21"/>
                      <w:szCs w:val="21"/>
                      <w:lang w:val="en-US" w:eastAsia="zh-CN" w:bidi="ar-SA"/>
                    </w:rPr>
                  </w:pPr>
                  <w:r>
                    <w:rPr>
                      <w:rFonts w:hint="eastAsia" w:hAnsi="宋体" w:cs="Times New Roman"/>
                      <w:bCs/>
                      <w:snapToGrid w:val="0"/>
                      <w:color w:val="auto"/>
                      <w:spacing w:val="-10"/>
                      <w:kern w:val="0"/>
                      <w:sz w:val="21"/>
                      <w:szCs w:val="21"/>
                      <w:lang w:val="en-US" w:eastAsia="zh-CN" w:bidi="ar-SA"/>
                    </w:rPr>
                    <w:t>1</w:t>
                  </w:r>
                </w:p>
              </w:tc>
              <w:tc>
                <w:tcPr>
                  <w:tcW w:w="1309" w:type="dxa"/>
                  <w:tcBorders>
                    <w:tl2br w:val="nil"/>
                    <w:tr2bl w:val="nil"/>
                  </w:tcBorders>
                  <w:vAlign w:val="center"/>
                </w:tcPr>
                <w:p w14:paraId="710F025B">
                  <w:pPr>
                    <w:widowControl w:val="0"/>
                    <w:adjustRightInd w:val="0"/>
                    <w:snapToGrid w:val="0"/>
                    <w:spacing w:before="24" w:beforeLines="10" w:after="24" w:afterLines="10" w:line="259" w:lineRule="auto"/>
                    <w:ind w:firstLine="0" w:firstLineChars="0"/>
                    <w:jc w:val="center"/>
                    <w:textAlignment w:val="baseline"/>
                    <w:rPr>
                      <w:rFonts w:hint="eastAsia" w:ascii="Times New Roman" w:hAnsi="Times New Roman" w:eastAsia="宋体" w:cs="Times New Roman"/>
                      <w:color w:val="auto"/>
                      <w:spacing w:val="-10"/>
                      <w:kern w:val="0"/>
                      <w:sz w:val="21"/>
                      <w:szCs w:val="21"/>
                      <w:lang w:val="en-US" w:eastAsia="zh-CN" w:bidi="ar-SA"/>
                    </w:rPr>
                  </w:pPr>
                  <w:r>
                    <w:rPr>
                      <w:rFonts w:hint="eastAsia" w:ascii="Times New Roman" w:hAnsi="Times New Roman" w:eastAsia="宋体" w:cs="Times New Roman"/>
                      <w:color w:val="auto"/>
                      <w:spacing w:val="-10"/>
                      <w:kern w:val="0"/>
                      <w:sz w:val="21"/>
                      <w:szCs w:val="21"/>
                      <w:lang w:val="en-US" w:eastAsia="zh-CN" w:bidi="ar-SA"/>
                    </w:rPr>
                    <w:t>事故应急池</w:t>
                  </w:r>
                </w:p>
              </w:tc>
              <w:tc>
                <w:tcPr>
                  <w:tcW w:w="2391" w:type="dxa"/>
                  <w:gridSpan w:val="3"/>
                  <w:tcBorders>
                    <w:tl2br w:val="nil"/>
                    <w:tr2bl w:val="nil"/>
                  </w:tcBorders>
                  <w:vAlign w:val="center"/>
                </w:tcPr>
                <w:p w14:paraId="7D4CF033">
                  <w:pPr>
                    <w:spacing w:before="24" w:after="24"/>
                    <w:jc w:val="center"/>
                    <w:rPr>
                      <w:rFonts w:hint="eastAsia" w:ascii="Times New Roman" w:hAnsi="Times New Roman" w:eastAsia="宋体" w:cs="Times New Roman"/>
                      <w:color w:val="auto"/>
                      <w:spacing w:val="4"/>
                      <w:kern w:val="2"/>
                      <w:sz w:val="21"/>
                      <w:szCs w:val="21"/>
                      <w:lang w:val="en-US" w:eastAsia="zh-CN" w:bidi="ar-SA"/>
                    </w:rPr>
                  </w:pPr>
                  <w:r>
                    <w:rPr>
                      <w:rFonts w:hint="eastAsia"/>
                      <w:color w:val="auto"/>
                      <w:spacing w:val="4"/>
                      <w:sz w:val="21"/>
                      <w:szCs w:val="21"/>
                      <w:lang w:bidi="ar-SA"/>
                    </w:rPr>
                    <w:t>/</w:t>
                  </w:r>
                </w:p>
              </w:tc>
              <w:tc>
                <w:tcPr>
                  <w:tcW w:w="584" w:type="dxa"/>
                  <w:vMerge w:val="restart"/>
                  <w:tcBorders>
                    <w:tl2br w:val="nil"/>
                    <w:tr2bl w:val="nil"/>
                  </w:tcBorders>
                  <w:vAlign w:val="center"/>
                </w:tcPr>
                <w:p w14:paraId="2B21CFAE">
                  <w:pPr>
                    <w:widowControl w:val="0"/>
                    <w:adjustRightInd w:val="0"/>
                    <w:snapToGrid w:val="0"/>
                    <w:spacing w:before="0" w:beforeLines="0" w:after="0" w:afterLines="0" w:line="240" w:lineRule="auto"/>
                    <w:ind w:firstLine="0" w:firstLineChars="0"/>
                    <w:jc w:val="center"/>
                    <w:textAlignment w:val="baseline"/>
                    <w:rPr>
                      <w:rFonts w:ascii="Times New Roman" w:hAnsi="宋体" w:eastAsia="宋体" w:cs="Times New Roman"/>
                      <w:color w:val="auto"/>
                      <w:spacing w:val="4"/>
                      <w:kern w:val="0"/>
                      <w:sz w:val="21"/>
                      <w:szCs w:val="21"/>
                      <w:lang w:val="en-US" w:eastAsia="zh-CN" w:bidi="ar-SA"/>
                    </w:rPr>
                  </w:pPr>
                  <w:r>
                    <w:rPr>
                      <w:rFonts w:hint="eastAsia" w:ascii="Times New Roman" w:hAnsi="宋体" w:eastAsia="宋体" w:cs="Times New Roman"/>
                      <w:color w:val="auto"/>
                      <w:spacing w:val="4"/>
                      <w:kern w:val="0"/>
                      <w:sz w:val="21"/>
                      <w:szCs w:val="21"/>
                      <w:lang w:val="en-US" w:eastAsia="zh-CN" w:bidi="ar-SA"/>
                    </w:rPr>
                    <w:t>一般防渗区</w:t>
                  </w:r>
                </w:p>
              </w:tc>
              <w:tc>
                <w:tcPr>
                  <w:tcW w:w="3467" w:type="dxa"/>
                  <w:tcBorders>
                    <w:tl2br w:val="nil"/>
                    <w:tr2bl w:val="nil"/>
                  </w:tcBorders>
                  <w:vAlign w:val="center"/>
                </w:tcPr>
                <w:p w14:paraId="0E7B1EEC">
                  <w:pPr>
                    <w:widowControl w:val="0"/>
                    <w:adjustRightInd w:val="0"/>
                    <w:snapToGrid w:val="0"/>
                    <w:spacing w:before="24" w:beforeLines="10" w:after="24" w:afterLines="10" w:line="259" w:lineRule="auto"/>
                    <w:ind w:firstLine="0" w:firstLineChars="0"/>
                    <w:jc w:val="center"/>
                    <w:textAlignment w:val="baseline"/>
                    <w:rPr>
                      <w:rFonts w:hint="eastAsia" w:ascii="Times New Roman" w:hAnsi="宋体" w:eastAsia="宋体" w:cs="Times New Roman"/>
                      <w:color w:val="auto"/>
                      <w:spacing w:val="0"/>
                      <w:kern w:val="0"/>
                      <w:sz w:val="21"/>
                      <w:szCs w:val="21"/>
                      <w:lang w:val="en-US" w:eastAsia="zh-CN" w:bidi="ar-SA"/>
                    </w:rPr>
                  </w:pPr>
                  <w:r>
                    <w:rPr>
                      <w:rFonts w:hint="eastAsia" w:ascii="Times New Roman" w:hAnsi="宋体" w:eastAsia="宋体" w:cs="Times New Roman"/>
                      <w:color w:val="auto"/>
                      <w:spacing w:val="0"/>
                      <w:kern w:val="0"/>
                      <w:sz w:val="21"/>
                      <w:szCs w:val="21"/>
                      <w:lang w:val="en-US" w:eastAsia="zh-CN" w:bidi="ar-SA"/>
                    </w:rPr>
                    <w:t>对废水收集沟渠、管网、阀门严格质量管理，如发现问题，应及时解决。管沟、污水渠与污水集水井相连，并设计不低于5‰的排水坡度，便于废水排至集水井统一处理。要做好沿途污水管网的防渗工作。工程管道DN500及以上管道采用钢筋混凝土管，管径小于DN500的管道采用HDPE管。两种管材防水性均较好。</w:t>
                  </w:r>
                </w:p>
              </w:tc>
            </w:tr>
            <w:tr w14:paraId="45DC63F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543" w:hRule="atLeast"/>
                <w:jc w:val="center"/>
              </w:trPr>
              <w:tc>
                <w:tcPr>
                  <w:tcW w:w="405" w:type="dxa"/>
                  <w:tcBorders>
                    <w:tl2br w:val="nil"/>
                    <w:tr2bl w:val="nil"/>
                  </w:tcBorders>
                  <w:shd w:val="clear" w:color="auto" w:fill="auto"/>
                  <w:vAlign w:val="center"/>
                </w:tcPr>
                <w:p w14:paraId="17DAD7D9">
                  <w:pPr>
                    <w:widowControl w:val="0"/>
                    <w:adjustRightInd w:val="0"/>
                    <w:snapToGrid w:val="0"/>
                    <w:spacing w:before="0" w:beforeLines="0" w:after="0" w:afterLines="0" w:line="240" w:lineRule="auto"/>
                    <w:ind w:firstLine="0" w:firstLineChars="0"/>
                    <w:jc w:val="center"/>
                    <w:textAlignment w:val="baseline"/>
                    <w:rPr>
                      <w:rFonts w:hint="eastAsia" w:ascii="Times New Roman" w:hAnsi="宋体" w:eastAsia="宋体" w:cs="Times New Roman"/>
                      <w:bCs/>
                      <w:snapToGrid w:val="0"/>
                      <w:color w:val="auto"/>
                      <w:spacing w:val="-10"/>
                      <w:kern w:val="0"/>
                      <w:sz w:val="21"/>
                      <w:szCs w:val="21"/>
                      <w:lang w:val="en-US" w:eastAsia="zh-CN" w:bidi="ar-SA"/>
                    </w:rPr>
                  </w:pPr>
                  <w:r>
                    <w:rPr>
                      <w:rFonts w:hint="eastAsia" w:hAnsi="宋体" w:cs="Times New Roman"/>
                      <w:bCs/>
                      <w:snapToGrid w:val="0"/>
                      <w:color w:val="auto"/>
                      <w:spacing w:val="-10"/>
                      <w:kern w:val="0"/>
                      <w:sz w:val="21"/>
                      <w:szCs w:val="21"/>
                      <w:lang w:val="en-US" w:eastAsia="zh-CN" w:bidi="ar-SA"/>
                    </w:rPr>
                    <w:t>2</w:t>
                  </w:r>
                </w:p>
              </w:tc>
              <w:tc>
                <w:tcPr>
                  <w:tcW w:w="1309" w:type="dxa"/>
                  <w:tcBorders>
                    <w:tl2br w:val="nil"/>
                    <w:tr2bl w:val="nil"/>
                  </w:tcBorders>
                  <w:vAlign w:val="center"/>
                </w:tcPr>
                <w:p w14:paraId="1E9270B9">
                  <w:pPr>
                    <w:widowControl w:val="0"/>
                    <w:adjustRightInd w:val="0"/>
                    <w:snapToGrid w:val="0"/>
                    <w:spacing w:before="24" w:beforeLines="10" w:after="24" w:afterLines="10" w:line="259" w:lineRule="auto"/>
                    <w:ind w:firstLine="0" w:firstLineChars="0"/>
                    <w:jc w:val="center"/>
                    <w:textAlignment w:val="baseline"/>
                    <w:rPr>
                      <w:rFonts w:hint="eastAsia" w:ascii="Times New Roman" w:hAnsi="Times New Roman" w:eastAsia="宋体" w:cs="Times New Roman"/>
                      <w:color w:val="auto"/>
                      <w:spacing w:val="-10"/>
                      <w:kern w:val="0"/>
                      <w:sz w:val="21"/>
                      <w:szCs w:val="21"/>
                      <w:lang w:val="en-US" w:eastAsia="zh-CN" w:bidi="ar-SA"/>
                    </w:rPr>
                  </w:pPr>
                  <w:r>
                    <w:rPr>
                      <w:rFonts w:hint="eastAsia" w:ascii="Times New Roman" w:hAnsi="Times New Roman" w:eastAsia="宋体" w:cs="Times New Roman"/>
                      <w:color w:val="auto"/>
                      <w:spacing w:val="-10"/>
                      <w:kern w:val="0"/>
                      <w:sz w:val="21"/>
                      <w:szCs w:val="21"/>
                      <w:lang w:val="en-US" w:eastAsia="zh-CN" w:bidi="ar-SA"/>
                    </w:rPr>
                    <w:t>危废</w:t>
                  </w:r>
                  <w:r>
                    <w:rPr>
                      <w:rFonts w:hint="eastAsia" w:cs="Times New Roman"/>
                      <w:color w:val="auto"/>
                      <w:spacing w:val="-10"/>
                      <w:kern w:val="0"/>
                      <w:sz w:val="21"/>
                      <w:szCs w:val="21"/>
                      <w:lang w:val="en-US" w:eastAsia="zh-CN" w:bidi="ar-SA"/>
                    </w:rPr>
                    <w:t>仓库</w:t>
                  </w:r>
                </w:p>
              </w:tc>
              <w:tc>
                <w:tcPr>
                  <w:tcW w:w="2391" w:type="dxa"/>
                  <w:gridSpan w:val="3"/>
                  <w:tcBorders>
                    <w:tl2br w:val="nil"/>
                    <w:tr2bl w:val="nil"/>
                  </w:tcBorders>
                  <w:vAlign w:val="center"/>
                </w:tcPr>
                <w:p w14:paraId="5AF52993">
                  <w:pPr>
                    <w:spacing w:before="24" w:after="24"/>
                    <w:jc w:val="center"/>
                    <w:rPr>
                      <w:rFonts w:hint="eastAsia"/>
                      <w:color w:val="auto"/>
                      <w:spacing w:val="4"/>
                      <w:sz w:val="21"/>
                      <w:szCs w:val="21"/>
                      <w:lang w:bidi="ar-SA"/>
                    </w:rPr>
                  </w:pPr>
                  <w:r>
                    <w:rPr>
                      <w:rFonts w:hint="eastAsia"/>
                      <w:color w:val="auto"/>
                      <w:spacing w:val="4"/>
                      <w:sz w:val="21"/>
                      <w:szCs w:val="21"/>
                      <w:lang w:bidi="ar-SA"/>
                    </w:rPr>
                    <w:t>/</w:t>
                  </w:r>
                </w:p>
              </w:tc>
              <w:tc>
                <w:tcPr>
                  <w:tcW w:w="584" w:type="dxa"/>
                  <w:vMerge w:val="continue"/>
                  <w:tcBorders>
                    <w:tl2br w:val="nil"/>
                    <w:tr2bl w:val="nil"/>
                  </w:tcBorders>
                  <w:vAlign w:val="center"/>
                </w:tcPr>
                <w:p w14:paraId="442D55E6">
                  <w:pPr>
                    <w:widowControl w:val="0"/>
                    <w:adjustRightInd w:val="0"/>
                    <w:snapToGrid w:val="0"/>
                    <w:spacing w:before="24" w:beforeLines="10" w:after="24" w:afterLines="10" w:line="259" w:lineRule="auto"/>
                    <w:ind w:firstLine="0" w:firstLineChars="0"/>
                    <w:jc w:val="center"/>
                    <w:textAlignment w:val="baseline"/>
                    <w:rPr>
                      <w:rFonts w:hint="eastAsia" w:ascii="Times New Roman" w:hAnsi="宋体" w:eastAsia="宋体" w:cs="Times New Roman"/>
                      <w:color w:val="auto"/>
                      <w:spacing w:val="4"/>
                      <w:kern w:val="0"/>
                      <w:sz w:val="21"/>
                      <w:szCs w:val="21"/>
                      <w:highlight w:val="none"/>
                      <w:lang w:val="en-US" w:eastAsia="zh-CN" w:bidi="ar-SA"/>
                    </w:rPr>
                  </w:pPr>
                </w:p>
              </w:tc>
              <w:tc>
                <w:tcPr>
                  <w:tcW w:w="3467" w:type="dxa"/>
                  <w:tcBorders>
                    <w:tl2br w:val="nil"/>
                    <w:tr2bl w:val="nil"/>
                  </w:tcBorders>
                  <w:vAlign w:val="center"/>
                </w:tcPr>
                <w:p w14:paraId="3AC7C65B">
                  <w:pPr>
                    <w:widowControl w:val="0"/>
                    <w:adjustRightInd w:val="0"/>
                    <w:snapToGrid w:val="0"/>
                    <w:spacing w:before="24" w:beforeLines="10" w:after="24" w:afterLines="10" w:line="259" w:lineRule="auto"/>
                    <w:ind w:firstLine="0" w:firstLineChars="0"/>
                    <w:jc w:val="both"/>
                    <w:textAlignment w:val="baseline"/>
                    <w:rPr>
                      <w:rFonts w:hint="eastAsia" w:ascii="Times New Roman" w:hAnsi="宋体" w:eastAsia="宋体" w:cs="Times New Roman"/>
                      <w:color w:val="auto"/>
                      <w:spacing w:val="4"/>
                      <w:kern w:val="0"/>
                      <w:sz w:val="21"/>
                      <w:szCs w:val="21"/>
                      <w:highlight w:val="none"/>
                      <w:lang w:val="en-US" w:eastAsia="zh-CN" w:bidi="ar-SA"/>
                    </w:rPr>
                  </w:pPr>
                  <w:r>
                    <w:rPr>
                      <w:rFonts w:hint="default" w:ascii="Times New Roman" w:hAnsi="Times New Roman" w:eastAsia="宋体" w:cs="Times New Roman"/>
                      <w:color w:val="auto"/>
                      <w:spacing w:val="4"/>
                      <w:sz w:val="21"/>
                      <w:szCs w:val="21"/>
                    </w:rPr>
                    <w:t>贮存设施地面与裙脚应采取表面防渗措施；表面防渗材料应与所接触的物料或污染物相容，可采用抗渗混凝土、高密度聚乙烯膜、钠基膨润土防水毯或其他防渗性能等效的材料</w:t>
                  </w:r>
                  <w:r>
                    <w:rPr>
                      <w:rFonts w:hint="eastAsia" w:cs="Times New Roman"/>
                      <w:color w:val="auto"/>
                      <w:spacing w:val="4"/>
                      <w:sz w:val="21"/>
                      <w:szCs w:val="21"/>
                      <w:lang w:eastAsia="zh-CN"/>
                    </w:rPr>
                    <w:t>。</w:t>
                  </w:r>
                </w:p>
              </w:tc>
            </w:tr>
            <w:tr w14:paraId="099B5A2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418" w:hRule="atLeast"/>
                <w:jc w:val="center"/>
              </w:trPr>
              <w:tc>
                <w:tcPr>
                  <w:tcW w:w="405" w:type="dxa"/>
                  <w:tcBorders>
                    <w:tl2br w:val="nil"/>
                    <w:tr2bl w:val="nil"/>
                  </w:tcBorders>
                  <w:shd w:val="clear" w:color="auto" w:fill="auto"/>
                  <w:vAlign w:val="center"/>
                </w:tcPr>
                <w:p w14:paraId="7BDB2E92">
                  <w:pPr>
                    <w:widowControl w:val="0"/>
                    <w:adjustRightInd w:val="0"/>
                    <w:snapToGrid w:val="0"/>
                    <w:spacing w:before="0" w:beforeLines="0" w:after="0" w:afterLines="0" w:line="240" w:lineRule="auto"/>
                    <w:ind w:firstLine="0" w:firstLineChars="0"/>
                    <w:jc w:val="center"/>
                    <w:textAlignment w:val="baseline"/>
                    <w:rPr>
                      <w:rFonts w:hint="eastAsia" w:ascii="Times New Roman" w:hAnsi="宋体" w:eastAsia="宋体" w:cs="Times New Roman"/>
                      <w:bCs/>
                      <w:snapToGrid w:val="0"/>
                      <w:color w:val="auto"/>
                      <w:spacing w:val="-10"/>
                      <w:kern w:val="0"/>
                      <w:sz w:val="21"/>
                      <w:szCs w:val="21"/>
                      <w:lang w:val="en-US" w:eastAsia="zh-CN" w:bidi="ar-SA"/>
                    </w:rPr>
                  </w:pPr>
                  <w:r>
                    <w:rPr>
                      <w:rFonts w:hint="eastAsia" w:hAnsi="宋体" w:cs="Times New Roman"/>
                      <w:bCs/>
                      <w:snapToGrid w:val="0"/>
                      <w:color w:val="auto"/>
                      <w:spacing w:val="-10"/>
                      <w:kern w:val="0"/>
                      <w:sz w:val="21"/>
                      <w:szCs w:val="21"/>
                      <w:lang w:val="en-US" w:eastAsia="zh-CN" w:bidi="ar-SA"/>
                    </w:rPr>
                    <w:t>3</w:t>
                  </w:r>
                </w:p>
              </w:tc>
              <w:tc>
                <w:tcPr>
                  <w:tcW w:w="1309" w:type="dxa"/>
                  <w:tcBorders>
                    <w:tl2br w:val="nil"/>
                    <w:tr2bl w:val="nil"/>
                  </w:tcBorders>
                  <w:vAlign w:val="center"/>
                </w:tcPr>
                <w:p w14:paraId="36FE70BE">
                  <w:pPr>
                    <w:widowControl w:val="0"/>
                    <w:adjustRightInd w:val="0"/>
                    <w:snapToGrid w:val="0"/>
                    <w:spacing w:before="0" w:beforeLines="0" w:after="0" w:afterLines="0" w:line="240" w:lineRule="auto"/>
                    <w:ind w:firstLine="0" w:firstLineChars="0"/>
                    <w:jc w:val="center"/>
                    <w:textAlignment w:val="baseline"/>
                    <w:rPr>
                      <w:rFonts w:ascii="Times New Roman" w:hAnsi="宋体" w:eastAsia="宋体" w:cs="Times New Roman"/>
                      <w:color w:val="auto"/>
                      <w:spacing w:val="-10"/>
                      <w:kern w:val="0"/>
                      <w:sz w:val="21"/>
                      <w:szCs w:val="21"/>
                      <w:lang w:val="en-US" w:eastAsia="zh-CN" w:bidi="ar-SA"/>
                    </w:rPr>
                  </w:pPr>
                  <w:r>
                    <w:rPr>
                      <w:rFonts w:hint="eastAsia" w:hAnsi="宋体" w:cs="Times New Roman"/>
                      <w:color w:val="auto"/>
                      <w:spacing w:val="0"/>
                      <w:kern w:val="18"/>
                      <w:sz w:val="21"/>
                      <w:szCs w:val="21"/>
                      <w:lang w:val="en-US" w:eastAsia="zh-CN" w:bidi="ar-SA"/>
                    </w:rPr>
                    <w:t>废水处理站、清洗区、</w:t>
                  </w:r>
                  <w:r>
                    <w:rPr>
                      <w:rFonts w:hint="eastAsia" w:ascii="Times New Roman" w:hAnsi="宋体" w:eastAsia="宋体" w:cs="Times New Roman"/>
                      <w:color w:val="auto"/>
                      <w:spacing w:val="0"/>
                      <w:kern w:val="18"/>
                      <w:sz w:val="21"/>
                      <w:szCs w:val="21"/>
                      <w:lang w:val="en-US" w:eastAsia="zh-CN" w:bidi="ar-SA"/>
                    </w:rPr>
                    <w:t>化粪池、污水输送、收集管道</w:t>
                  </w:r>
                </w:p>
              </w:tc>
              <w:tc>
                <w:tcPr>
                  <w:tcW w:w="733" w:type="dxa"/>
                  <w:tcBorders>
                    <w:tl2br w:val="nil"/>
                    <w:tr2bl w:val="nil"/>
                  </w:tcBorders>
                  <w:vAlign w:val="center"/>
                </w:tcPr>
                <w:p w14:paraId="27BCF43B">
                  <w:pPr>
                    <w:widowControl w:val="0"/>
                    <w:adjustRightInd w:val="0"/>
                    <w:snapToGrid w:val="0"/>
                    <w:spacing w:before="0" w:beforeLines="0" w:after="0" w:afterLines="0" w:line="240" w:lineRule="auto"/>
                    <w:ind w:firstLine="0" w:firstLineChars="0"/>
                    <w:jc w:val="center"/>
                    <w:textAlignment w:val="baseline"/>
                    <w:rPr>
                      <w:rFonts w:ascii="Times New Roman" w:hAnsi="宋体" w:eastAsia="宋体" w:cs="Times New Roman"/>
                      <w:color w:val="auto"/>
                      <w:spacing w:val="4"/>
                      <w:kern w:val="0"/>
                      <w:sz w:val="21"/>
                      <w:szCs w:val="21"/>
                      <w:lang w:val="en-US" w:eastAsia="zh-CN" w:bidi="ar-SA"/>
                    </w:rPr>
                  </w:pPr>
                  <w:r>
                    <w:rPr>
                      <w:rFonts w:hint="eastAsia" w:ascii="Times New Roman" w:hAnsi="宋体" w:eastAsia="宋体" w:cs="Times New Roman"/>
                      <w:color w:val="auto"/>
                      <w:spacing w:val="4"/>
                      <w:kern w:val="0"/>
                      <w:sz w:val="21"/>
                      <w:szCs w:val="21"/>
                      <w:lang w:val="en-US" w:eastAsia="zh-CN" w:bidi="ar-SA"/>
                    </w:rPr>
                    <w:t>难</w:t>
                  </w:r>
                </w:p>
              </w:tc>
              <w:tc>
                <w:tcPr>
                  <w:tcW w:w="933" w:type="dxa"/>
                  <w:tcBorders>
                    <w:tl2br w:val="nil"/>
                    <w:tr2bl w:val="nil"/>
                  </w:tcBorders>
                  <w:vAlign w:val="center"/>
                </w:tcPr>
                <w:p w14:paraId="29A0F7F7">
                  <w:pPr>
                    <w:widowControl w:val="0"/>
                    <w:adjustRightInd w:val="0"/>
                    <w:snapToGrid w:val="0"/>
                    <w:spacing w:before="0" w:beforeLines="0" w:after="0" w:afterLines="0" w:line="240" w:lineRule="auto"/>
                    <w:ind w:firstLine="0" w:firstLineChars="0"/>
                    <w:jc w:val="center"/>
                    <w:textAlignment w:val="baseline"/>
                    <w:rPr>
                      <w:rFonts w:ascii="Times New Roman" w:hAnsi="宋体" w:eastAsia="宋体" w:cs="Times New Roman"/>
                      <w:color w:val="auto"/>
                      <w:spacing w:val="4"/>
                      <w:kern w:val="0"/>
                      <w:sz w:val="21"/>
                      <w:szCs w:val="21"/>
                      <w:lang w:val="en-US" w:eastAsia="zh-CN" w:bidi="ar-SA"/>
                    </w:rPr>
                  </w:pPr>
                  <w:r>
                    <w:rPr>
                      <w:rFonts w:hint="eastAsia" w:ascii="Times New Roman" w:hAnsi="宋体" w:eastAsia="宋体" w:cs="Times New Roman"/>
                      <w:color w:val="auto"/>
                      <w:spacing w:val="4"/>
                      <w:kern w:val="0"/>
                      <w:sz w:val="21"/>
                      <w:szCs w:val="21"/>
                      <w:lang w:val="en-US" w:eastAsia="zh-CN" w:bidi="ar-SA"/>
                    </w:rPr>
                    <w:t>中</w:t>
                  </w:r>
                </w:p>
              </w:tc>
              <w:tc>
                <w:tcPr>
                  <w:tcW w:w="725" w:type="dxa"/>
                  <w:tcBorders>
                    <w:tl2br w:val="nil"/>
                    <w:tr2bl w:val="nil"/>
                  </w:tcBorders>
                  <w:vAlign w:val="center"/>
                </w:tcPr>
                <w:p w14:paraId="5F8654FA">
                  <w:pPr>
                    <w:widowControl w:val="0"/>
                    <w:adjustRightInd w:val="0"/>
                    <w:snapToGrid w:val="0"/>
                    <w:spacing w:before="0" w:beforeLines="0" w:after="0" w:afterLines="0" w:line="240" w:lineRule="auto"/>
                    <w:ind w:firstLine="0" w:firstLineChars="0"/>
                    <w:jc w:val="center"/>
                    <w:textAlignment w:val="baseline"/>
                    <w:rPr>
                      <w:rFonts w:ascii="Times New Roman" w:hAnsi="宋体" w:eastAsia="宋体" w:cs="Times New Roman"/>
                      <w:color w:val="auto"/>
                      <w:spacing w:val="4"/>
                      <w:kern w:val="0"/>
                      <w:sz w:val="21"/>
                      <w:szCs w:val="21"/>
                      <w:lang w:val="en-US" w:eastAsia="zh-CN" w:bidi="ar-SA"/>
                    </w:rPr>
                  </w:pPr>
                  <w:r>
                    <w:rPr>
                      <w:rFonts w:hint="eastAsia" w:ascii="Times New Roman" w:hAnsi="宋体" w:eastAsia="宋体" w:cs="Times New Roman"/>
                      <w:color w:val="auto"/>
                      <w:spacing w:val="-10"/>
                      <w:kern w:val="0"/>
                      <w:sz w:val="21"/>
                      <w:szCs w:val="21"/>
                      <w:lang w:val="en-US" w:eastAsia="zh-CN" w:bidi="ar-SA"/>
                    </w:rPr>
                    <w:t>其他类型</w:t>
                  </w:r>
                </w:p>
              </w:tc>
              <w:tc>
                <w:tcPr>
                  <w:tcW w:w="584" w:type="dxa"/>
                  <w:vMerge w:val="continue"/>
                  <w:tcBorders>
                    <w:tl2br w:val="nil"/>
                    <w:tr2bl w:val="nil"/>
                  </w:tcBorders>
                  <w:vAlign w:val="center"/>
                </w:tcPr>
                <w:p w14:paraId="5407EFB4">
                  <w:pPr>
                    <w:widowControl w:val="0"/>
                    <w:adjustRightInd w:val="0"/>
                    <w:snapToGrid w:val="0"/>
                    <w:spacing w:before="0" w:beforeLines="0" w:after="0" w:afterLines="0" w:line="240" w:lineRule="auto"/>
                    <w:ind w:firstLine="0" w:firstLineChars="0"/>
                    <w:jc w:val="center"/>
                    <w:textAlignment w:val="baseline"/>
                    <w:rPr>
                      <w:rFonts w:ascii="Times New Roman" w:hAnsi="宋体" w:eastAsia="宋体" w:cs="Times New Roman"/>
                      <w:color w:val="auto"/>
                      <w:spacing w:val="4"/>
                      <w:kern w:val="0"/>
                      <w:sz w:val="21"/>
                      <w:szCs w:val="21"/>
                      <w:lang w:val="en-US" w:eastAsia="zh-CN" w:bidi="ar-SA"/>
                    </w:rPr>
                  </w:pPr>
                </w:p>
              </w:tc>
              <w:tc>
                <w:tcPr>
                  <w:tcW w:w="3467" w:type="dxa"/>
                  <w:tcBorders>
                    <w:tl2br w:val="nil"/>
                    <w:tr2bl w:val="nil"/>
                  </w:tcBorders>
                  <w:vAlign w:val="center"/>
                </w:tcPr>
                <w:p w14:paraId="4716A5F4">
                  <w:pPr>
                    <w:widowControl w:val="0"/>
                    <w:adjustRightInd w:val="0"/>
                    <w:snapToGrid w:val="0"/>
                    <w:spacing w:before="0" w:beforeLines="0" w:after="0" w:afterLines="0" w:line="240" w:lineRule="auto"/>
                    <w:ind w:firstLine="0" w:firstLineChars="0"/>
                    <w:jc w:val="center"/>
                    <w:textAlignment w:val="baseline"/>
                    <w:rPr>
                      <w:rFonts w:ascii="Times New Roman" w:hAnsi="宋体" w:eastAsia="宋体" w:cs="Times New Roman"/>
                      <w:color w:val="auto"/>
                      <w:spacing w:val="4"/>
                      <w:kern w:val="0"/>
                      <w:sz w:val="21"/>
                      <w:szCs w:val="21"/>
                      <w:lang w:val="en-US" w:eastAsia="zh-CN" w:bidi="ar-SA"/>
                    </w:rPr>
                  </w:pPr>
                  <w:r>
                    <w:rPr>
                      <w:rFonts w:ascii="Times New Roman" w:hAnsi="宋体" w:eastAsia="宋体" w:cs="Times New Roman"/>
                      <w:color w:val="auto"/>
                      <w:spacing w:val="4"/>
                      <w:kern w:val="0"/>
                      <w:sz w:val="21"/>
                      <w:szCs w:val="21"/>
                      <w:lang w:val="en-US" w:eastAsia="zh-CN" w:bidi="ar-SA"/>
                    </w:rPr>
                    <w:t>等效黏土防渗层Mb≥</w:t>
                  </w:r>
                  <w:r>
                    <w:rPr>
                      <w:rFonts w:hint="eastAsia" w:ascii="Times New Roman" w:hAnsi="宋体" w:eastAsia="宋体" w:cs="Times New Roman"/>
                      <w:color w:val="auto"/>
                      <w:spacing w:val="4"/>
                      <w:kern w:val="0"/>
                      <w:sz w:val="21"/>
                      <w:szCs w:val="21"/>
                      <w:lang w:val="en-US" w:eastAsia="zh-CN" w:bidi="ar-SA"/>
                    </w:rPr>
                    <w:t>1.5</w:t>
                  </w:r>
                  <w:r>
                    <w:rPr>
                      <w:rFonts w:ascii="Times New Roman" w:hAnsi="宋体" w:eastAsia="宋体" w:cs="Times New Roman"/>
                      <w:color w:val="auto"/>
                      <w:spacing w:val="4"/>
                      <w:kern w:val="0"/>
                      <w:sz w:val="21"/>
                      <w:szCs w:val="21"/>
                      <w:lang w:val="en-US" w:eastAsia="zh-CN" w:bidi="ar-SA"/>
                    </w:rPr>
                    <w:t>m</w:t>
                  </w:r>
                  <w:r>
                    <w:rPr>
                      <w:rFonts w:hint="eastAsia" w:ascii="Times New Roman" w:hAnsi="宋体" w:eastAsia="宋体" w:cs="Times New Roman"/>
                      <w:color w:val="auto"/>
                      <w:spacing w:val="4"/>
                      <w:kern w:val="0"/>
                      <w:sz w:val="21"/>
                      <w:szCs w:val="21"/>
                      <w:lang w:val="en-US" w:eastAsia="zh-CN" w:bidi="ar-SA"/>
                    </w:rPr>
                    <w:t>，</w:t>
                  </w:r>
                </w:p>
                <w:p w14:paraId="59818FE2">
                  <w:pPr>
                    <w:widowControl w:val="0"/>
                    <w:adjustRightInd w:val="0"/>
                    <w:snapToGrid w:val="0"/>
                    <w:spacing w:before="0" w:beforeLines="0" w:after="0" w:afterLines="0" w:line="240" w:lineRule="auto"/>
                    <w:ind w:firstLine="0" w:firstLineChars="0"/>
                    <w:jc w:val="center"/>
                    <w:textAlignment w:val="baseline"/>
                    <w:rPr>
                      <w:rFonts w:ascii="Times New Roman" w:hAnsi="宋体" w:eastAsia="宋体" w:cs="Times New Roman"/>
                      <w:color w:val="auto"/>
                      <w:spacing w:val="4"/>
                      <w:kern w:val="0"/>
                      <w:sz w:val="21"/>
                      <w:szCs w:val="21"/>
                      <w:lang w:val="en-US" w:eastAsia="zh-CN" w:bidi="ar-SA"/>
                    </w:rPr>
                  </w:pPr>
                  <w:r>
                    <w:rPr>
                      <w:rFonts w:hint="eastAsia" w:ascii="Times New Roman" w:hAnsi="宋体" w:eastAsia="宋体" w:cs="Times New Roman"/>
                      <w:color w:val="auto"/>
                      <w:spacing w:val="4"/>
                      <w:kern w:val="0"/>
                      <w:sz w:val="21"/>
                      <w:szCs w:val="21"/>
                      <w:lang w:val="en-US" w:eastAsia="zh-CN" w:bidi="ar-SA"/>
                    </w:rPr>
                    <w:t>K≤</w:t>
                  </w:r>
                  <w:r>
                    <w:rPr>
                      <w:rFonts w:ascii="Times New Roman" w:hAnsi="宋体" w:eastAsia="宋体" w:cs="Times New Roman"/>
                      <w:color w:val="auto"/>
                      <w:spacing w:val="4"/>
                      <w:kern w:val="0"/>
                      <w:sz w:val="21"/>
                      <w:szCs w:val="21"/>
                      <w:lang w:val="en-US" w:eastAsia="zh-CN" w:bidi="ar-SA"/>
                    </w:rPr>
                    <w:t>1.0×10</w:t>
                  </w:r>
                  <w:r>
                    <w:rPr>
                      <w:rFonts w:ascii="Times New Roman" w:hAnsi="宋体" w:eastAsia="宋体" w:cs="Times New Roman"/>
                      <w:color w:val="auto"/>
                      <w:spacing w:val="4"/>
                      <w:kern w:val="0"/>
                      <w:sz w:val="21"/>
                      <w:szCs w:val="21"/>
                      <w:vertAlign w:val="superscript"/>
                      <w:lang w:val="en-US" w:eastAsia="zh-CN" w:bidi="ar-SA"/>
                    </w:rPr>
                    <w:t>-7</w:t>
                  </w:r>
                  <w:r>
                    <w:rPr>
                      <w:rFonts w:ascii="Times New Roman" w:hAnsi="宋体" w:eastAsia="宋体" w:cs="Times New Roman"/>
                      <w:color w:val="auto"/>
                      <w:spacing w:val="4"/>
                      <w:kern w:val="0"/>
                      <w:sz w:val="21"/>
                      <w:szCs w:val="21"/>
                      <w:lang w:val="en-US" w:eastAsia="zh-CN" w:bidi="ar-SA"/>
                    </w:rPr>
                    <w:t>cm/s</w:t>
                  </w:r>
                </w:p>
              </w:tc>
            </w:tr>
            <w:tr w14:paraId="2E8A2D0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591" w:hRule="atLeast"/>
                <w:jc w:val="center"/>
              </w:trPr>
              <w:tc>
                <w:tcPr>
                  <w:tcW w:w="405" w:type="dxa"/>
                  <w:tcBorders>
                    <w:tl2br w:val="nil"/>
                    <w:tr2bl w:val="nil"/>
                  </w:tcBorders>
                  <w:vAlign w:val="center"/>
                </w:tcPr>
                <w:p w14:paraId="3D405E1C">
                  <w:pPr>
                    <w:widowControl w:val="0"/>
                    <w:adjustRightInd w:val="0"/>
                    <w:snapToGrid w:val="0"/>
                    <w:spacing w:before="0" w:beforeLines="0" w:after="0" w:afterLines="0" w:line="240" w:lineRule="auto"/>
                    <w:ind w:firstLine="0" w:firstLineChars="0"/>
                    <w:jc w:val="center"/>
                    <w:textAlignment w:val="baseline"/>
                    <w:rPr>
                      <w:rFonts w:hint="default" w:ascii="Times New Roman" w:hAnsi="宋体" w:eastAsia="宋体" w:cs="Times New Roman"/>
                      <w:bCs/>
                      <w:snapToGrid w:val="0"/>
                      <w:color w:val="auto"/>
                      <w:spacing w:val="-10"/>
                      <w:kern w:val="0"/>
                      <w:sz w:val="21"/>
                      <w:szCs w:val="21"/>
                      <w:lang w:val="en-US" w:eastAsia="zh-CN" w:bidi="ar-SA"/>
                    </w:rPr>
                  </w:pPr>
                  <w:r>
                    <w:rPr>
                      <w:rFonts w:hint="eastAsia" w:hAnsi="宋体" w:cs="Times New Roman"/>
                      <w:bCs/>
                      <w:snapToGrid w:val="0"/>
                      <w:color w:val="auto"/>
                      <w:spacing w:val="-10"/>
                      <w:kern w:val="0"/>
                      <w:sz w:val="21"/>
                      <w:szCs w:val="21"/>
                      <w:lang w:val="en-US" w:eastAsia="zh-CN" w:bidi="ar-SA"/>
                    </w:rPr>
                    <w:t>4</w:t>
                  </w:r>
                </w:p>
              </w:tc>
              <w:tc>
                <w:tcPr>
                  <w:tcW w:w="1309" w:type="dxa"/>
                  <w:tcBorders>
                    <w:tl2br w:val="nil"/>
                    <w:tr2bl w:val="nil"/>
                  </w:tcBorders>
                  <w:vAlign w:val="center"/>
                </w:tcPr>
                <w:p w14:paraId="64F66729">
                  <w:pPr>
                    <w:widowControl w:val="0"/>
                    <w:adjustRightInd w:val="0"/>
                    <w:snapToGrid w:val="0"/>
                    <w:spacing w:before="0" w:beforeLines="0" w:after="0" w:afterLines="0" w:line="240" w:lineRule="auto"/>
                    <w:ind w:firstLine="0" w:firstLineChars="0"/>
                    <w:jc w:val="center"/>
                    <w:textAlignment w:val="baseline"/>
                    <w:rPr>
                      <w:rFonts w:ascii="Times New Roman" w:hAnsi="宋体" w:eastAsia="宋体" w:cs="Times New Roman"/>
                      <w:color w:val="auto"/>
                      <w:spacing w:val="-10"/>
                      <w:kern w:val="0"/>
                      <w:sz w:val="21"/>
                      <w:szCs w:val="21"/>
                      <w:lang w:val="en-US" w:eastAsia="zh-CN" w:bidi="ar-SA"/>
                    </w:rPr>
                  </w:pPr>
                  <w:r>
                    <w:rPr>
                      <w:rFonts w:hint="eastAsia" w:ascii="Times New Roman" w:hAnsi="宋体" w:eastAsia="宋体" w:cs="Times New Roman"/>
                      <w:color w:val="auto"/>
                      <w:spacing w:val="-10"/>
                      <w:kern w:val="0"/>
                      <w:sz w:val="21"/>
                      <w:szCs w:val="21"/>
                      <w:lang w:val="en-US" w:eastAsia="zh-CN" w:bidi="ar-SA"/>
                    </w:rPr>
                    <w:t>生产厂房、一般固废仓库、仓库</w:t>
                  </w:r>
                </w:p>
              </w:tc>
              <w:tc>
                <w:tcPr>
                  <w:tcW w:w="733" w:type="dxa"/>
                  <w:tcBorders>
                    <w:tl2br w:val="nil"/>
                    <w:tr2bl w:val="nil"/>
                  </w:tcBorders>
                  <w:vAlign w:val="center"/>
                </w:tcPr>
                <w:p w14:paraId="1E5B0573">
                  <w:pPr>
                    <w:widowControl w:val="0"/>
                    <w:adjustRightInd w:val="0"/>
                    <w:snapToGrid w:val="0"/>
                    <w:spacing w:before="0" w:beforeLines="0" w:after="0" w:afterLines="0" w:line="240" w:lineRule="auto"/>
                    <w:ind w:firstLine="0" w:firstLineChars="0"/>
                    <w:jc w:val="center"/>
                    <w:textAlignment w:val="baseline"/>
                    <w:rPr>
                      <w:rFonts w:ascii="Times New Roman" w:hAnsi="宋体" w:eastAsia="宋体" w:cs="Times New Roman"/>
                      <w:color w:val="auto"/>
                      <w:spacing w:val="-10"/>
                      <w:kern w:val="0"/>
                      <w:sz w:val="21"/>
                      <w:szCs w:val="21"/>
                      <w:lang w:val="en-US" w:eastAsia="zh-CN" w:bidi="ar-SA"/>
                    </w:rPr>
                  </w:pPr>
                  <w:r>
                    <w:rPr>
                      <w:rFonts w:hint="eastAsia" w:ascii="Times New Roman" w:hAnsi="宋体" w:eastAsia="宋体" w:cs="Times New Roman"/>
                      <w:color w:val="auto"/>
                      <w:spacing w:val="-10"/>
                      <w:kern w:val="0"/>
                      <w:sz w:val="21"/>
                      <w:szCs w:val="21"/>
                      <w:lang w:val="en-US" w:eastAsia="zh-CN" w:bidi="ar-SA"/>
                    </w:rPr>
                    <w:t>易</w:t>
                  </w:r>
                </w:p>
              </w:tc>
              <w:tc>
                <w:tcPr>
                  <w:tcW w:w="933" w:type="dxa"/>
                  <w:tcBorders>
                    <w:tl2br w:val="nil"/>
                    <w:tr2bl w:val="nil"/>
                  </w:tcBorders>
                  <w:vAlign w:val="center"/>
                </w:tcPr>
                <w:p w14:paraId="43529170">
                  <w:pPr>
                    <w:widowControl w:val="0"/>
                    <w:adjustRightInd w:val="0"/>
                    <w:snapToGrid w:val="0"/>
                    <w:spacing w:before="0" w:beforeLines="0" w:after="0" w:afterLines="0" w:line="240" w:lineRule="auto"/>
                    <w:ind w:firstLine="0" w:firstLineChars="0"/>
                    <w:jc w:val="center"/>
                    <w:textAlignment w:val="baseline"/>
                    <w:rPr>
                      <w:rFonts w:ascii="Times New Roman" w:hAnsi="宋体" w:eastAsia="宋体" w:cs="Times New Roman"/>
                      <w:color w:val="auto"/>
                      <w:spacing w:val="-10"/>
                      <w:kern w:val="0"/>
                      <w:sz w:val="21"/>
                      <w:szCs w:val="21"/>
                      <w:lang w:val="en-US" w:eastAsia="zh-CN" w:bidi="ar-SA"/>
                    </w:rPr>
                  </w:pPr>
                  <w:r>
                    <w:rPr>
                      <w:rFonts w:hint="eastAsia" w:ascii="Times New Roman" w:hAnsi="宋体" w:eastAsia="宋体" w:cs="Times New Roman"/>
                      <w:color w:val="auto"/>
                      <w:spacing w:val="-10"/>
                      <w:kern w:val="0"/>
                      <w:sz w:val="21"/>
                      <w:szCs w:val="21"/>
                      <w:lang w:val="en-US" w:eastAsia="zh-CN" w:bidi="ar-SA"/>
                    </w:rPr>
                    <w:t>中</w:t>
                  </w:r>
                </w:p>
              </w:tc>
              <w:tc>
                <w:tcPr>
                  <w:tcW w:w="725" w:type="dxa"/>
                  <w:tcBorders>
                    <w:tl2br w:val="nil"/>
                    <w:tr2bl w:val="nil"/>
                  </w:tcBorders>
                  <w:vAlign w:val="center"/>
                </w:tcPr>
                <w:p w14:paraId="28DE2819">
                  <w:pPr>
                    <w:widowControl w:val="0"/>
                    <w:adjustRightInd w:val="0"/>
                    <w:snapToGrid w:val="0"/>
                    <w:spacing w:before="0" w:beforeLines="0" w:after="0" w:afterLines="0" w:line="240" w:lineRule="auto"/>
                    <w:ind w:firstLine="0" w:firstLineChars="0"/>
                    <w:jc w:val="center"/>
                    <w:textAlignment w:val="baseline"/>
                    <w:rPr>
                      <w:rFonts w:ascii="Times New Roman" w:hAnsi="宋体" w:eastAsia="宋体" w:cs="Times New Roman"/>
                      <w:color w:val="auto"/>
                      <w:spacing w:val="-10"/>
                      <w:kern w:val="0"/>
                      <w:sz w:val="21"/>
                      <w:szCs w:val="21"/>
                      <w:lang w:val="en-US" w:eastAsia="zh-CN" w:bidi="ar-SA"/>
                    </w:rPr>
                  </w:pPr>
                  <w:r>
                    <w:rPr>
                      <w:rFonts w:hint="eastAsia" w:ascii="Times New Roman" w:hAnsi="宋体" w:eastAsia="宋体" w:cs="Times New Roman"/>
                      <w:color w:val="auto"/>
                      <w:spacing w:val="-10"/>
                      <w:kern w:val="0"/>
                      <w:sz w:val="21"/>
                      <w:szCs w:val="21"/>
                      <w:lang w:val="en-US" w:eastAsia="zh-CN" w:bidi="ar-SA"/>
                    </w:rPr>
                    <w:t>其他类型</w:t>
                  </w:r>
                </w:p>
              </w:tc>
              <w:tc>
                <w:tcPr>
                  <w:tcW w:w="584" w:type="dxa"/>
                  <w:tcBorders>
                    <w:tl2br w:val="nil"/>
                    <w:tr2bl w:val="nil"/>
                  </w:tcBorders>
                  <w:vAlign w:val="center"/>
                </w:tcPr>
                <w:p w14:paraId="5149E4D5">
                  <w:pPr>
                    <w:widowControl w:val="0"/>
                    <w:adjustRightInd w:val="0"/>
                    <w:snapToGrid w:val="0"/>
                    <w:spacing w:before="0" w:beforeLines="0" w:after="0" w:afterLines="0" w:line="240" w:lineRule="auto"/>
                    <w:ind w:firstLine="0" w:firstLineChars="0"/>
                    <w:jc w:val="center"/>
                    <w:textAlignment w:val="baseline"/>
                    <w:rPr>
                      <w:rFonts w:ascii="Times New Roman" w:hAnsi="宋体" w:eastAsia="宋体" w:cs="Times New Roman"/>
                      <w:color w:val="auto"/>
                      <w:spacing w:val="-10"/>
                      <w:kern w:val="0"/>
                      <w:sz w:val="21"/>
                      <w:szCs w:val="21"/>
                      <w:lang w:val="en-US" w:eastAsia="zh-CN" w:bidi="ar-SA"/>
                    </w:rPr>
                  </w:pPr>
                  <w:r>
                    <w:rPr>
                      <w:rFonts w:hint="eastAsia" w:ascii="Times New Roman" w:hAnsi="宋体" w:eastAsia="宋体" w:cs="Times New Roman"/>
                      <w:color w:val="auto"/>
                      <w:spacing w:val="-10"/>
                      <w:kern w:val="0"/>
                      <w:sz w:val="21"/>
                      <w:szCs w:val="21"/>
                      <w:lang w:val="en-US" w:eastAsia="zh-CN" w:bidi="ar-SA"/>
                    </w:rPr>
                    <w:t>简单防渗区</w:t>
                  </w:r>
                </w:p>
              </w:tc>
              <w:tc>
                <w:tcPr>
                  <w:tcW w:w="3467" w:type="dxa"/>
                  <w:tcBorders>
                    <w:tl2br w:val="nil"/>
                    <w:tr2bl w:val="nil"/>
                  </w:tcBorders>
                  <w:vAlign w:val="center"/>
                </w:tcPr>
                <w:p w14:paraId="63ACD8AF">
                  <w:pPr>
                    <w:widowControl w:val="0"/>
                    <w:adjustRightInd w:val="0"/>
                    <w:snapToGrid w:val="0"/>
                    <w:spacing w:before="0" w:beforeLines="0" w:after="0" w:afterLines="0" w:line="240" w:lineRule="auto"/>
                    <w:ind w:firstLine="0" w:firstLineChars="0"/>
                    <w:jc w:val="center"/>
                    <w:textAlignment w:val="baseline"/>
                    <w:rPr>
                      <w:rFonts w:ascii="Times New Roman" w:hAnsi="宋体" w:eastAsia="宋体" w:cs="Times New Roman"/>
                      <w:color w:val="auto"/>
                      <w:spacing w:val="-10"/>
                      <w:kern w:val="0"/>
                      <w:sz w:val="21"/>
                      <w:szCs w:val="21"/>
                      <w:lang w:val="en-US" w:eastAsia="zh-CN" w:bidi="ar-SA"/>
                    </w:rPr>
                  </w:pPr>
                  <w:r>
                    <w:rPr>
                      <w:rFonts w:hint="eastAsia" w:ascii="Times New Roman" w:hAnsi="宋体" w:eastAsia="宋体" w:cs="Times New Roman"/>
                      <w:color w:val="auto"/>
                      <w:spacing w:val="-10"/>
                      <w:kern w:val="0"/>
                      <w:sz w:val="21"/>
                      <w:szCs w:val="21"/>
                      <w:lang w:val="en-US" w:eastAsia="zh-CN" w:bidi="ar-SA"/>
                    </w:rPr>
                    <w:t>一般地面硬化</w:t>
                  </w:r>
                </w:p>
              </w:tc>
            </w:tr>
          </w:tbl>
          <w:p w14:paraId="0E953789">
            <w:pPr>
              <w:adjustRightInd w:val="0"/>
              <w:snapToGrid w:val="0"/>
              <w:spacing w:line="360" w:lineRule="auto"/>
              <w:ind w:firstLine="442" w:firstLineChars="200"/>
              <w:rPr>
                <w:b/>
                <w:color w:val="auto"/>
                <w:spacing w:val="-10"/>
                <w:sz w:val="24"/>
                <w:szCs w:val="24"/>
              </w:rPr>
            </w:pPr>
            <w:r>
              <w:rPr>
                <w:rFonts w:hint="eastAsia"/>
                <w:b/>
                <w:color w:val="auto"/>
                <w:spacing w:val="-10"/>
                <w:sz w:val="24"/>
                <w:szCs w:val="24"/>
              </w:rPr>
              <w:t>5.3</w:t>
            </w:r>
            <w:r>
              <w:rPr>
                <w:b/>
                <w:color w:val="auto"/>
                <w:spacing w:val="-10"/>
                <w:sz w:val="24"/>
                <w:szCs w:val="24"/>
              </w:rPr>
              <w:t>跟踪监测</w:t>
            </w:r>
          </w:p>
          <w:p w14:paraId="6FEE5C16">
            <w:pPr>
              <w:pStyle w:val="7"/>
              <w:spacing w:line="360" w:lineRule="auto"/>
              <w:ind w:firstLine="420"/>
              <w:rPr>
                <w:bCs/>
                <w:color w:val="auto"/>
                <w:spacing w:val="-10"/>
                <w:sz w:val="24"/>
                <w:szCs w:val="24"/>
              </w:rPr>
            </w:pPr>
            <w:r>
              <w:rPr>
                <w:rFonts w:hint="eastAsia"/>
                <w:bCs/>
                <w:color w:val="auto"/>
                <w:spacing w:val="-10"/>
                <w:sz w:val="24"/>
                <w:szCs w:val="24"/>
              </w:rPr>
              <w:t>根据分析，在采取各项防渗措施的前提下，本项目对土壤和地下水影响较小，</w:t>
            </w:r>
            <w:r>
              <w:rPr>
                <w:rFonts w:hint="eastAsia"/>
                <w:bCs/>
                <w:color w:val="auto"/>
                <w:spacing w:val="-10"/>
                <w:sz w:val="24"/>
                <w:szCs w:val="24"/>
                <w:lang w:val="en-US" w:eastAsia="zh-CN"/>
              </w:rPr>
              <w:t>故</w:t>
            </w:r>
            <w:r>
              <w:rPr>
                <w:rFonts w:hint="eastAsia"/>
                <w:bCs/>
                <w:color w:val="auto"/>
                <w:spacing w:val="-10"/>
                <w:sz w:val="24"/>
                <w:szCs w:val="24"/>
              </w:rPr>
              <w:t>无</w:t>
            </w:r>
            <w:r>
              <w:rPr>
                <w:rFonts w:hint="eastAsia"/>
                <w:bCs/>
                <w:color w:val="auto"/>
                <w:spacing w:val="-10"/>
                <w:sz w:val="24"/>
                <w:szCs w:val="24"/>
                <w:lang w:val="en-US" w:eastAsia="zh-CN"/>
              </w:rPr>
              <w:t>需</w:t>
            </w:r>
            <w:r>
              <w:rPr>
                <w:rFonts w:hint="eastAsia"/>
                <w:bCs/>
                <w:color w:val="auto"/>
                <w:spacing w:val="-10"/>
                <w:sz w:val="24"/>
                <w:szCs w:val="24"/>
              </w:rPr>
              <w:t>进行跟踪监测。</w:t>
            </w:r>
          </w:p>
          <w:p w14:paraId="6FFC5868">
            <w:pPr>
              <w:adjustRightInd w:val="0"/>
              <w:snapToGrid w:val="0"/>
              <w:spacing w:line="360" w:lineRule="auto"/>
              <w:ind w:firstLine="442" w:firstLineChars="200"/>
              <w:rPr>
                <w:b/>
                <w:color w:val="auto"/>
                <w:spacing w:val="-10"/>
                <w:sz w:val="24"/>
                <w:szCs w:val="24"/>
              </w:rPr>
            </w:pPr>
            <w:r>
              <w:rPr>
                <w:b/>
                <w:color w:val="auto"/>
                <w:spacing w:val="-10"/>
                <w:sz w:val="24"/>
                <w:szCs w:val="24"/>
              </w:rPr>
              <w:t>6</w:t>
            </w:r>
            <w:r>
              <w:rPr>
                <w:rFonts w:hint="eastAsia"/>
                <w:b/>
                <w:color w:val="auto"/>
                <w:spacing w:val="-10"/>
                <w:sz w:val="24"/>
                <w:szCs w:val="24"/>
              </w:rPr>
              <w:t>、</w:t>
            </w:r>
            <w:r>
              <w:rPr>
                <w:b/>
                <w:color w:val="auto"/>
                <w:spacing w:val="-10"/>
                <w:sz w:val="24"/>
                <w:szCs w:val="24"/>
              </w:rPr>
              <w:t>生态环境影响及保护措施</w:t>
            </w:r>
          </w:p>
          <w:p w14:paraId="1C18B52D">
            <w:pPr>
              <w:adjustRightInd w:val="0"/>
              <w:snapToGrid w:val="0"/>
              <w:spacing w:line="360" w:lineRule="auto"/>
              <w:ind w:firstLine="480" w:firstLineChars="200"/>
              <w:rPr>
                <w:bCs/>
                <w:color w:val="auto"/>
                <w:sz w:val="24"/>
                <w:szCs w:val="24"/>
              </w:rPr>
            </w:pPr>
            <w:r>
              <w:rPr>
                <w:bCs/>
                <w:color w:val="auto"/>
                <w:sz w:val="24"/>
                <w:szCs w:val="24"/>
              </w:rPr>
              <w:t>本项目位于</w:t>
            </w:r>
            <w:r>
              <w:rPr>
                <w:rFonts w:hint="default" w:eastAsia="宋体"/>
                <w:color w:val="auto"/>
                <w:sz w:val="24"/>
                <w:szCs w:val="24"/>
                <w:lang w:val="en-US" w:eastAsia="zh-CN"/>
              </w:rPr>
              <w:t>江苏省</w:t>
            </w:r>
            <w:r>
              <w:rPr>
                <w:rFonts w:hint="eastAsia"/>
                <w:color w:val="auto"/>
                <w:sz w:val="24"/>
                <w:szCs w:val="24"/>
                <w:lang w:val="en-US" w:eastAsia="zh-CN"/>
              </w:rPr>
              <w:t>海安高新技术产业开发区田庄村18组</w:t>
            </w:r>
            <w:r>
              <w:rPr>
                <w:rFonts w:hint="eastAsia" w:ascii="宋体" w:hAnsi="宋体"/>
                <w:color w:val="auto"/>
                <w:sz w:val="24"/>
                <w:szCs w:val="24"/>
              </w:rPr>
              <w:t>，</w:t>
            </w:r>
            <w:r>
              <w:rPr>
                <w:rFonts w:hint="eastAsia"/>
                <w:bCs/>
                <w:color w:val="auto"/>
                <w:sz w:val="24"/>
                <w:szCs w:val="24"/>
              </w:rPr>
              <w:t>在规划工业用地范围内进行建设，且用地范围内不涉及生态环境保护目标，无</w:t>
            </w:r>
            <w:r>
              <w:rPr>
                <w:rFonts w:hint="eastAsia"/>
                <w:bCs/>
                <w:color w:val="auto"/>
                <w:spacing w:val="-10"/>
                <w:sz w:val="24"/>
                <w:szCs w:val="24"/>
                <w:lang w:val="en-US" w:eastAsia="zh-CN"/>
              </w:rPr>
              <w:t>需</w:t>
            </w:r>
            <w:r>
              <w:rPr>
                <w:rFonts w:hint="eastAsia"/>
                <w:bCs/>
                <w:color w:val="auto"/>
                <w:sz w:val="24"/>
                <w:szCs w:val="24"/>
              </w:rPr>
              <w:t>设置生态环境保护措施。</w:t>
            </w:r>
          </w:p>
          <w:p w14:paraId="200AFE58">
            <w:pPr>
              <w:adjustRightInd w:val="0"/>
              <w:snapToGrid w:val="0"/>
              <w:spacing w:line="360" w:lineRule="auto"/>
              <w:ind w:firstLine="442" w:firstLineChars="200"/>
              <w:rPr>
                <w:b/>
                <w:color w:val="auto"/>
                <w:spacing w:val="-10"/>
                <w:sz w:val="24"/>
                <w:szCs w:val="24"/>
              </w:rPr>
            </w:pPr>
            <w:r>
              <w:rPr>
                <w:b/>
                <w:color w:val="auto"/>
                <w:spacing w:val="-10"/>
                <w:sz w:val="24"/>
                <w:szCs w:val="24"/>
              </w:rPr>
              <w:t>7</w:t>
            </w:r>
            <w:r>
              <w:rPr>
                <w:rFonts w:hint="eastAsia"/>
                <w:b/>
                <w:color w:val="auto"/>
                <w:spacing w:val="-10"/>
                <w:sz w:val="24"/>
                <w:szCs w:val="24"/>
              </w:rPr>
              <w:t>、</w:t>
            </w:r>
            <w:r>
              <w:rPr>
                <w:b/>
                <w:color w:val="auto"/>
                <w:spacing w:val="-10"/>
                <w:sz w:val="24"/>
                <w:szCs w:val="24"/>
              </w:rPr>
              <w:t>环境风险影响及保护措施</w:t>
            </w:r>
          </w:p>
          <w:p w14:paraId="7C7AD33E">
            <w:pPr>
              <w:adjustRightInd w:val="0"/>
              <w:snapToGrid w:val="0"/>
              <w:spacing w:line="360" w:lineRule="auto"/>
              <w:ind w:firstLine="442" w:firstLineChars="200"/>
              <w:rPr>
                <w:b/>
                <w:color w:val="auto"/>
                <w:spacing w:val="-10"/>
                <w:sz w:val="24"/>
                <w:szCs w:val="24"/>
              </w:rPr>
            </w:pPr>
            <w:r>
              <w:rPr>
                <w:b/>
                <w:color w:val="auto"/>
                <w:spacing w:val="-10"/>
                <w:sz w:val="24"/>
                <w:szCs w:val="24"/>
              </w:rPr>
              <w:t>7.1风险源识别</w:t>
            </w:r>
          </w:p>
          <w:p w14:paraId="376FCD55">
            <w:pPr>
              <w:numPr>
                <w:ilvl w:val="0"/>
                <w:numId w:val="17"/>
              </w:numPr>
              <w:adjustRightInd w:val="0"/>
              <w:snapToGrid w:val="0"/>
              <w:spacing w:line="360" w:lineRule="auto"/>
              <w:ind w:firstLine="480" w:firstLineChars="200"/>
              <w:rPr>
                <w:color w:val="auto"/>
                <w:sz w:val="24"/>
                <w:szCs w:val="24"/>
              </w:rPr>
            </w:pPr>
            <w:r>
              <w:rPr>
                <w:color w:val="auto"/>
                <w:sz w:val="24"/>
                <w:szCs w:val="24"/>
              </w:rPr>
              <w:t>对照</w:t>
            </w:r>
            <w:r>
              <w:rPr>
                <w:rFonts w:hint="eastAsia"/>
                <w:color w:val="auto"/>
                <w:sz w:val="24"/>
                <w:szCs w:val="24"/>
              </w:rPr>
              <w:t>《危险化学品目录（2022调整版）》</w:t>
            </w:r>
            <w:r>
              <w:rPr>
                <w:color w:val="auto"/>
                <w:sz w:val="24"/>
                <w:szCs w:val="24"/>
              </w:rPr>
              <w:t>及《建设项目环境风险评价技术导则》（HJ 169-2018）附录B中表B.1突发环境事件风险物质及临界量表，</w:t>
            </w:r>
            <w:r>
              <w:rPr>
                <w:rFonts w:hint="eastAsia"/>
                <w:color w:val="auto"/>
                <w:sz w:val="24"/>
                <w:szCs w:val="24"/>
              </w:rPr>
              <w:t>企业全厂涉及的</w:t>
            </w:r>
            <w:r>
              <w:rPr>
                <w:color w:val="auto"/>
                <w:sz w:val="24"/>
                <w:szCs w:val="24"/>
              </w:rPr>
              <w:t>含有害物质的</w:t>
            </w:r>
            <w:r>
              <w:rPr>
                <w:rFonts w:hint="eastAsia"/>
                <w:color w:val="auto"/>
                <w:sz w:val="24"/>
                <w:szCs w:val="24"/>
                <w:lang w:val="en-US" w:eastAsia="zh-CN"/>
              </w:rPr>
              <w:t>物料</w:t>
            </w:r>
            <w:r>
              <w:rPr>
                <w:color w:val="auto"/>
                <w:sz w:val="24"/>
                <w:szCs w:val="24"/>
              </w:rPr>
              <w:t>最大储存量及分布位置见下表。</w:t>
            </w:r>
          </w:p>
          <w:p w14:paraId="38DCAE2C">
            <w:pPr>
              <w:jc w:val="center"/>
              <w:rPr>
                <w:rFonts w:hint="eastAsia"/>
                <w:b/>
                <w:bCs/>
                <w:color w:val="auto"/>
                <w:sz w:val="24"/>
                <w:szCs w:val="24"/>
              </w:rPr>
            </w:pPr>
            <w:r>
              <w:rPr>
                <w:rFonts w:hint="eastAsia"/>
                <w:b/>
                <w:bCs/>
                <w:color w:val="auto"/>
                <w:sz w:val="24"/>
                <w:szCs w:val="24"/>
              </w:rPr>
              <w:t>表4-</w:t>
            </w:r>
            <w:r>
              <w:rPr>
                <w:rFonts w:hint="eastAsia"/>
                <w:b/>
                <w:bCs/>
                <w:color w:val="auto"/>
                <w:sz w:val="24"/>
                <w:szCs w:val="24"/>
                <w:lang w:val="en-US" w:eastAsia="zh-CN"/>
              </w:rPr>
              <w:t>31</w:t>
            </w:r>
            <w:r>
              <w:rPr>
                <w:rFonts w:hint="eastAsia"/>
                <w:b/>
                <w:bCs/>
                <w:color w:val="auto"/>
                <w:sz w:val="24"/>
                <w:szCs w:val="24"/>
              </w:rPr>
              <w:t xml:space="preserve"> 企业全厂</w:t>
            </w:r>
            <w:r>
              <w:rPr>
                <w:b/>
                <w:bCs/>
                <w:color w:val="auto"/>
                <w:sz w:val="24"/>
                <w:szCs w:val="24"/>
              </w:rPr>
              <w:t>涉及的危险物料最大</w:t>
            </w:r>
            <w:r>
              <w:rPr>
                <w:rFonts w:hint="eastAsia"/>
                <w:b/>
                <w:bCs/>
                <w:color w:val="auto"/>
                <w:sz w:val="24"/>
                <w:szCs w:val="24"/>
              </w:rPr>
              <w:t>储存</w:t>
            </w:r>
            <w:r>
              <w:rPr>
                <w:b/>
                <w:bCs/>
                <w:color w:val="auto"/>
                <w:sz w:val="24"/>
                <w:szCs w:val="24"/>
              </w:rPr>
              <w:t>量及分布</w:t>
            </w:r>
            <w:r>
              <w:rPr>
                <w:rFonts w:hint="eastAsia"/>
                <w:b/>
                <w:bCs/>
                <w:color w:val="auto"/>
                <w:sz w:val="24"/>
                <w:szCs w:val="24"/>
              </w:rPr>
              <w:t>位置</w:t>
            </w:r>
          </w:p>
          <w:tbl>
            <w:tblPr>
              <w:tblStyle w:val="26"/>
              <w:tblW w:w="8112"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978"/>
              <w:gridCol w:w="945"/>
              <w:gridCol w:w="945"/>
              <w:gridCol w:w="947"/>
              <w:gridCol w:w="1100"/>
              <w:gridCol w:w="1613"/>
              <w:gridCol w:w="1584"/>
            </w:tblGrid>
            <w:tr w14:paraId="25DC428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78" w:type="dxa"/>
                  <w:vAlign w:val="center"/>
                </w:tcPr>
                <w:p w14:paraId="0EF4B249">
                  <w:pPr>
                    <w:adjustRightInd w:val="0"/>
                    <w:snapToGrid w:val="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序号</w:t>
                  </w:r>
                </w:p>
              </w:tc>
              <w:tc>
                <w:tcPr>
                  <w:tcW w:w="945" w:type="dxa"/>
                  <w:vAlign w:val="center"/>
                </w:tcPr>
                <w:p w14:paraId="7DD990E9">
                  <w:pPr>
                    <w:adjustRightInd w:val="0"/>
                    <w:snapToGrid w:val="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名称</w:t>
                  </w:r>
                </w:p>
              </w:tc>
              <w:tc>
                <w:tcPr>
                  <w:tcW w:w="945" w:type="dxa"/>
                  <w:shd w:val="clear" w:color="auto" w:fill="auto"/>
                  <w:vAlign w:val="center"/>
                </w:tcPr>
                <w:p w14:paraId="2CFE8FCC">
                  <w:pPr>
                    <w:adjustRightInd w:val="0"/>
                    <w:snapToGrid w:val="0"/>
                    <w:jc w:val="center"/>
                    <w:rPr>
                      <w:rFonts w:hint="default" w:ascii="Times New Roman" w:hAnsi="Times New Roman" w:eastAsia="宋体" w:cs="Times New Roman"/>
                      <w:b/>
                      <w:color w:val="auto"/>
                      <w:kern w:val="2"/>
                      <w:sz w:val="21"/>
                      <w:szCs w:val="21"/>
                      <w:lang w:val="en-US" w:eastAsia="zh-CN" w:bidi="ar"/>
                    </w:rPr>
                  </w:pPr>
                  <w:r>
                    <w:rPr>
                      <w:rFonts w:hint="default" w:ascii="Times New Roman" w:hAnsi="Times New Roman" w:eastAsia="宋体" w:cs="Times New Roman"/>
                      <w:b/>
                      <w:color w:val="auto"/>
                      <w:sz w:val="21"/>
                      <w:szCs w:val="21"/>
                    </w:rPr>
                    <w:t>最大</w:t>
                  </w:r>
                  <w:r>
                    <w:rPr>
                      <w:rFonts w:hint="eastAsia" w:cs="Times New Roman"/>
                      <w:b/>
                      <w:color w:val="auto"/>
                      <w:sz w:val="21"/>
                      <w:szCs w:val="21"/>
                      <w:lang w:val="en-US" w:eastAsia="zh-CN"/>
                    </w:rPr>
                    <w:t>存储</w:t>
                  </w:r>
                  <w:r>
                    <w:rPr>
                      <w:rFonts w:hint="default" w:ascii="Times New Roman" w:hAnsi="Times New Roman" w:eastAsia="宋体" w:cs="Times New Roman"/>
                      <w:b/>
                      <w:color w:val="auto"/>
                      <w:sz w:val="21"/>
                      <w:szCs w:val="21"/>
                    </w:rPr>
                    <w:t>量（t）</w:t>
                  </w:r>
                </w:p>
              </w:tc>
              <w:tc>
                <w:tcPr>
                  <w:tcW w:w="947" w:type="dxa"/>
                  <w:shd w:val="clear" w:color="auto" w:fill="auto"/>
                  <w:vAlign w:val="center"/>
                </w:tcPr>
                <w:p w14:paraId="6984B9AF">
                  <w:pPr>
                    <w:adjustRightInd w:val="0"/>
                    <w:snapToGrid w:val="0"/>
                    <w:jc w:val="center"/>
                    <w:rPr>
                      <w:rFonts w:hint="default" w:ascii="Times New Roman" w:hAnsi="Times New Roman" w:eastAsia="宋体" w:cs="Times New Roman"/>
                      <w:b/>
                      <w:color w:val="auto"/>
                      <w:kern w:val="2"/>
                      <w:sz w:val="21"/>
                      <w:szCs w:val="21"/>
                      <w:lang w:val="en-US" w:eastAsia="zh-CN" w:bidi="ar"/>
                    </w:rPr>
                  </w:pPr>
                  <w:r>
                    <w:rPr>
                      <w:rFonts w:hint="eastAsia" w:cs="Times New Roman"/>
                      <w:b/>
                      <w:color w:val="auto"/>
                      <w:sz w:val="21"/>
                      <w:szCs w:val="21"/>
                      <w:lang w:val="en-US" w:eastAsia="zh-CN"/>
                    </w:rPr>
                    <w:t>车间在线量</w:t>
                  </w:r>
                  <w:r>
                    <w:rPr>
                      <w:rFonts w:hint="default" w:ascii="Times New Roman" w:hAnsi="Times New Roman" w:eastAsia="宋体" w:cs="Times New Roman"/>
                      <w:b/>
                      <w:color w:val="auto"/>
                      <w:sz w:val="21"/>
                      <w:szCs w:val="21"/>
                    </w:rPr>
                    <w:t>（t）</w:t>
                  </w:r>
                </w:p>
              </w:tc>
              <w:tc>
                <w:tcPr>
                  <w:tcW w:w="1100" w:type="dxa"/>
                  <w:vAlign w:val="center"/>
                </w:tcPr>
                <w:p w14:paraId="210950C3">
                  <w:pPr>
                    <w:adjustRightInd w:val="0"/>
                    <w:snapToGrid w:val="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最大存在量（t）</w:t>
                  </w:r>
                </w:p>
              </w:tc>
              <w:tc>
                <w:tcPr>
                  <w:tcW w:w="1613" w:type="dxa"/>
                  <w:vAlign w:val="center"/>
                </w:tcPr>
                <w:p w14:paraId="263A90AF">
                  <w:pPr>
                    <w:adjustRightInd w:val="0"/>
                    <w:snapToGrid w:val="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储存方式</w:t>
                  </w:r>
                </w:p>
              </w:tc>
              <w:tc>
                <w:tcPr>
                  <w:tcW w:w="1584" w:type="dxa"/>
                  <w:vAlign w:val="center"/>
                </w:tcPr>
                <w:p w14:paraId="729C412F">
                  <w:pPr>
                    <w:adjustRightInd w:val="0"/>
                    <w:snapToGrid w:val="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分布位置</w:t>
                  </w:r>
                </w:p>
              </w:tc>
            </w:tr>
            <w:tr w14:paraId="4E4C4AA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78" w:type="dxa"/>
                  <w:vAlign w:val="center"/>
                </w:tcPr>
                <w:p w14:paraId="70D03830">
                  <w:pPr>
                    <w:numPr>
                      <w:ilvl w:val="0"/>
                      <w:numId w:val="18"/>
                    </w:numPr>
                    <w:adjustRightInd w:val="0"/>
                    <w:snapToGrid w:val="0"/>
                    <w:ind w:left="0" w:leftChars="0" w:firstLine="0" w:firstLineChars="0"/>
                    <w:jc w:val="center"/>
                    <w:rPr>
                      <w:rFonts w:hint="default" w:ascii="Times New Roman" w:hAnsi="Times New Roman" w:eastAsia="宋体" w:cs="Times New Roman"/>
                      <w:color w:val="auto"/>
                      <w:sz w:val="21"/>
                      <w:szCs w:val="21"/>
                      <w:lang w:val="en-US" w:eastAsia="zh-CN"/>
                    </w:rPr>
                  </w:pPr>
                </w:p>
              </w:tc>
              <w:tc>
                <w:tcPr>
                  <w:tcW w:w="945" w:type="dxa"/>
                  <w:shd w:val="clear" w:color="auto" w:fill="auto"/>
                  <w:vAlign w:val="center"/>
                </w:tcPr>
                <w:p w14:paraId="5DCD2D1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eastAsia="宋体" w:cs="Times New Roman"/>
                      <w:color w:val="auto"/>
                      <w:kern w:val="2"/>
                      <w:sz w:val="21"/>
                      <w:szCs w:val="21"/>
                      <w:highlight w:val="none"/>
                      <w:vertAlign w:val="baseline"/>
                      <w:lang w:val="en-US" w:eastAsia="zh-CN" w:bidi="ar-SA"/>
                    </w:rPr>
                    <w:t>氮气</w:t>
                  </w:r>
                </w:p>
              </w:tc>
              <w:tc>
                <w:tcPr>
                  <w:tcW w:w="945" w:type="dxa"/>
                  <w:shd w:val="clear" w:color="auto" w:fill="auto"/>
                  <w:vAlign w:val="center"/>
                </w:tcPr>
                <w:p w14:paraId="1B5368F3">
                  <w:pPr>
                    <w:widowControl/>
                    <w:jc w:val="center"/>
                    <w:rPr>
                      <w:rFonts w:hint="default" w:ascii="Times New Roman" w:hAnsi="Times New Roman" w:eastAsia="宋体" w:cs="Times New Roman"/>
                      <w:color w:val="auto"/>
                      <w:kern w:val="2"/>
                      <w:sz w:val="21"/>
                      <w:szCs w:val="21"/>
                      <w:lang w:val="en-US" w:eastAsia="zh-CN" w:bidi="ar"/>
                    </w:rPr>
                  </w:pPr>
                  <w:r>
                    <w:rPr>
                      <w:rFonts w:hint="eastAsia" w:cs="Times New Roman"/>
                      <w:color w:val="auto"/>
                      <w:kern w:val="2"/>
                      <w:sz w:val="21"/>
                      <w:szCs w:val="21"/>
                      <w:lang w:val="en-US" w:eastAsia="zh-CN" w:bidi="ar"/>
                    </w:rPr>
                    <w:t>3</w:t>
                  </w:r>
                </w:p>
              </w:tc>
              <w:tc>
                <w:tcPr>
                  <w:tcW w:w="947" w:type="dxa"/>
                  <w:shd w:val="clear" w:color="auto" w:fill="auto"/>
                  <w:vAlign w:val="center"/>
                </w:tcPr>
                <w:p w14:paraId="1443B9E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eastAsia" w:cs="Times New Roman"/>
                      <w:color w:val="auto"/>
                      <w:kern w:val="2"/>
                      <w:sz w:val="21"/>
                      <w:szCs w:val="21"/>
                      <w:highlight w:val="none"/>
                      <w:vertAlign w:val="baseline"/>
                      <w:lang w:val="en-US" w:eastAsia="zh-CN" w:bidi="ar-SA"/>
                    </w:rPr>
                    <w:t>0.3</w:t>
                  </w:r>
                </w:p>
              </w:tc>
              <w:tc>
                <w:tcPr>
                  <w:tcW w:w="1100" w:type="dxa"/>
                  <w:shd w:val="clear" w:color="auto" w:fill="auto"/>
                  <w:vAlign w:val="center"/>
                </w:tcPr>
                <w:p w14:paraId="55686B1F">
                  <w:pPr>
                    <w:widowControl/>
                    <w:jc w:val="center"/>
                    <w:rPr>
                      <w:rFonts w:hint="default" w:ascii="Times New Roman" w:hAnsi="Times New Roman" w:eastAsia="宋体" w:cs="Times New Roman"/>
                      <w:color w:val="auto"/>
                      <w:kern w:val="2"/>
                      <w:sz w:val="21"/>
                      <w:szCs w:val="21"/>
                      <w:lang w:val="en-US" w:eastAsia="zh-CN" w:bidi="ar"/>
                    </w:rPr>
                  </w:pPr>
                  <w:r>
                    <w:rPr>
                      <w:rFonts w:hint="eastAsia" w:cs="Times New Roman"/>
                      <w:color w:val="auto"/>
                      <w:kern w:val="2"/>
                      <w:sz w:val="21"/>
                      <w:szCs w:val="21"/>
                      <w:lang w:val="en-US" w:eastAsia="zh-CN" w:bidi="ar"/>
                    </w:rPr>
                    <w:t>3.3</w:t>
                  </w:r>
                </w:p>
              </w:tc>
              <w:tc>
                <w:tcPr>
                  <w:tcW w:w="1613" w:type="dxa"/>
                  <w:vAlign w:val="center"/>
                </w:tcPr>
                <w:p w14:paraId="1FA0B49F">
                  <w:pPr>
                    <w:topLinePunct/>
                    <w:jc w:val="center"/>
                    <w:rPr>
                      <w:rFonts w:hint="default" w:ascii="Times New Roman" w:hAnsi="Times New Roman" w:eastAsia="宋体" w:cs="Times New Roman"/>
                      <w:bCs/>
                      <w:color w:val="auto"/>
                      <w:sz w:val="21"/>
                      <w:szCs w:val="21"/>
                      <w:lang w:val="en-US" w:eastAsia="zh-CN"/>
                    </w:rPr>
                  </w:pPr>
                  <w:r>
                    <w:rPr>
                      <w:rFonts w:hint="eastAsia" w:cs="Times New Roman"/>
                      <w:bCs/>
                      <w:color w:val="auto"/>
                      <w:sz w:val="21"/>
                      <w:szCs w:val="21"/>
                      <w:lang w:val="en-US" w:eastAsia="zh-CN"/>
                    </w:rPr>
                    <w:t>罐</w:t>
                  </w:r>
                  <w:r>
                    <w:rPr>
                      <w:rFonts w:hint="default" w:ascii="Times New Roman" w:hAnsi="Times New Roman" w:eastAsia="宋体" w:cs="Times New Roman"/>
                      <w:bCs/>
                      <w:color w:val="auto"/>
                      <w:sz w:val="21"/>
                      <w:szCs w:val="21"/>
                      <w:lang w:val="en-US" w:eastAsia="zh-CN"/>
                    </w:rPr>
                    <w:t>装</w:t>
                  </w:r>
                </w:p>
              </w:tc>
              <w:tc>
                <w:tcPr>
                  <w:tcW w:w="1584" w:type="dxa"/>
                  <w:vMerge w:val="restart"/>
                  <w:vAlign w:val="center"/>
                </w:tcPr>
                <w:p w14:paraId="452337B6">
                  <w:pPr>
                    <w:adjustRightInd w:val="0"/>
                    <w:snapToGrid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原辅料仓库</w:t>
                  </w:r>
                  <w:r>
                    <w:rPr>
                      <w:rFonts w:hint="eastAsia" w:cs="Times New Roman"/>
                      <w:color w:val="auto"/>
                      <w:sz w:val="21"/>
                      <w:szCs w:val="21"/>
                      <w:lang w:val="en-US" w:eastAsia="zh-CN"/>
                    </w:rPr>
                    <w:t>、车间</w:t>
                  </w:r>
                </w:p>
              </w:tc>
            </w:tr>
            <w:tr w14:paraId="40E13FE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78" w:type="dxa"/>
                  <w:vAlign w:val="center"/>
                </w:tcPr>
                <w:p w14:paraId="60224971">
                  <w:pPr>
                    <w:numPr>
                      <w:ilvl w:val="0"/>
                      <w:numId w:val="18"/>
                    </w:numPr>
                    <w:adjustRightInd w:val="0"/>
                    <w:snapToGrid w:val="0"/>
                    <w:ind w:left="0" w:leftChars="0" w:firstLine="0" w:firstLineChars="0"/>
                    <w:jc w:val="center"/>
                    <w:rPr>
                      <w:rFonts w:hint="default" w:ascii="Times New Roman" w:hAnsi="Times New Roman" w:eastAsia="宋体" w:cs="Times New Roman"/>
                      <w:color w:val="auto"/>
                      <w:sz w:val="21"/>
                      <w:szCs w:val="21"/>
                      <w:lang w:val="en-US" w:eastAsia="zh-CN"/>
                    </w:rPr>
                  </w:pPr>
                </w:p>
              </w:tc>
              <w:tc>
                <w:tcPr>
                  <w:tcW w:w="945" w:type="dxa"/>
                  <w:shd w:val="clear" w:color="auto" w:fill="auto"/>
                  <w:vAlign w:val="center"/>
                </w:tcPr>
                <w:p w14:paraId="7A7DACB9">
                  <w:pPr>
                    <w:widowControl/>
                    <w:spacing w:line="240" w:lineRule="auto"/>
                    <w:jc w:val="center"/>
                    <w:rPr>
                      <w:rFonts w:hint="default" w:ascii="Times New Roman" w:hAnsi="Times New Roman" w:eastAsia="宋体" w:cs="Times New Roman"/>
                      <w:color w:val="auto"/>
                      <w:kern w:val="2"/>
                      <w:sz w:val="21"/>
                      <w:szCs w:val="21"/>
                      <w:lang w:val="en-US" w:eastAsia="zh-CN" w:bidi="ar"/>
                    </w:rPr>
                  </w:pPr>
                  <w:r>
                    <w:rPr>
                      <w:rFonts w:hint="eastAsia"/>
                      <w:color w:val="auto"/>
                      <w:sz w:val="21"/>
                      <w:szCs w:val="21"/>
                    </w:rPr>
                    <w:t>防锈油</w:t>
                  </w:r>
                </w:p>
              </w:tc>
              <w:tc>
                <w:tcPr>
                  <w:tcW w:w="945" w:type="dxa"/>
                  <w:shd w:val="clear" w:color="auto" w:fill="auto"/>
                  <w:vAlign w:val="center"/>
                </w:tcPr>
                <w:p w14:paraId="368BFFE2">
                  <w:pPr>
                    <w:widowControl/>
                    <w:spacing w:line="240" w:lineRule="auto"/>
                    <w:jc w:val="center"/>
                    <w:rPr>
                      <w:rFonts w:hint="eastAsia" w:ascii="Times New Roman" w:hAnsi="Times New Roman" w:eastAsia="宋体" w:cs="Times New Roman"/>
                      <w:color w:val="auto"/>
                      <w:kern w:val="2"/>
                      <w:sz w:val="21"/>
                      <w:szCs w:val="21"/>
                      <w:lang w:val="en-US" w:eastAsia="zh-CN" w:bidi="ar"/>
                    </w:rPr>
                  </w:pPr>
                  <w:r>
                    <w:rPr>
                      <w:rFonts w:hint="eastAsia"/>
                      <w:color w:val="auto"/>
                      <w:sz w:val="21"/>
                      <w:szCs w:val="21"/>
                      <w:lang w:val="en-US" w:eastAsia="zh-CN"/>
                    </w:rPr>
                    <w:t>0.5</w:t>
                  </w:r>
                </w:p>
              </w:tc>
              <w:tc>
                <w:tcPr>
                  <w:tcW w:w="947" w:type="dxa"/>
                  <w:shd w:val="clear" w:color="auto" w:fill="auto"/>
                  <w:vAlign w:val="center"/>
                </w:tcPr>
                <w:p w14:paraId="2DBF634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eastAsia" w:cs="Times New Roman"/>
                      <w:color w:val="auto"/>
                      <w:kern w:val="2"/>
                      <w:sz w:val="21"/>
                      <w:szCs w:val="21"/>
                      <w:highlight w:val="none"/>
                      <w:vertAlign w:val="baseline"/>
                      <w:lang w:val="en-US" w:eastAsia="zh-CN" w:bidi="ar-SA"/>
                    </w:rPr>
                    <w:t>0.05</w:t>
                  </w:r>
                </w:p>
              </w:tc>
              <w:tc>
                <w:tcPr>
                  <w:tcW w:w="1100" w:type="dxa"/>
                  <w:shd w:val="clear" w:color="auto" w:fill="auto"/>
                  <w:vAlign w:val="center"/>
                </w:tcPr>
                <w:p w14:paraId="34E0C72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eastAsia" w:cs="Times New Roman"/>
                      <w:color w:val="auto"/>
                      <w:kern w:val="2"/>
                      <w:sz w:val="21"/>
                      <w:szCs w:val="21"/>
                      <w:highlight w:val="none"/>
                      <w:vertAlign w:val="baseline"/>
                      <w:lang w:val="en-US" w:eastAsia="zh-CN" w:bidi="ar-SA"/>
                    </w:rPr>
                    <w:t>0.55</w:t>
                  </w:r>
                </w:p>
              </w:tc>
              <w:tc>
                <w:tcPr>
                  <w:tcW w:w="1613" w:type="dxa"/>
                  <w:vAlign w:val="center"/>
                </w:tcPr>
                <w:p w14:paraId="166735F6">
                  <w:pPr>
                    <w:topLinePunct/>
                    <w:jc w:val="center"/>
                    <w:rPr>
                      <w:rFonts w:hint="default" w:ascii="Times New Roman" w:hAnsi="Times New Roman" w:eastAsia="宋体" w:cs="Times New Roman"/>
                      <w:bCs/>
                      <w:color w:val="auto"/>
                      <w:sz w:val="21"/>
                      <w:szCs w:val="21"/>
                      <w:lang w:val="en-US" w:eastAsia="zh-CN"/>
                    </w:rPr>
                  </w:pPr>
                  <w:r>
                    <w:rPr>
                      <w:rFonts w:hint="eastAsia" w:cs="Times New Roman"/>
                      <w:bCs/>
                      <w:color w:val="auto"/>
                      <w:sz w:val="21"/>
                      <w:szCs w:val="21"/>
                      <w:lang w:val="en-US" w:eastAsia="zh-CN"/>
                    </w:rPr>
                    <w:t>桶装</w:t>
                  </w:r>
                </w:p>
              </w:tc>
              <w:tc>
                <w:tcPr>
                  <w:tcW w:w="1584" w:type="dxa"/>
                  <w:vMerge w:val="continue"/>
                  <w:vAlign w:val="center"/>
                </w:tcPr>
                <w:p w14:paraId="0EBCF1EB">
                  <w:pPr>
                    <w:adjustRightInd w:val="0"/>
                    <w:snapToGrid w:val="0"/>
                    <w:jc w:val="center"/>
                    <w:rPr>
                      <w:rFonts w:hint="default" w:ascii="Times New Roman" w:hAnsi="Times New Roman" w:eastAsia="宋体" w:cs="Times New Roman"/>
                      <w:color w:val="auto"/>
                      <w:sz w:val="21"/>
                      <w:szCs w:val="21"/>
                      <w:lang w:val="en-US" w:eastAsia="zh-CN"/>
                    </w:rPr>
                  </w:pPr>
                </w:p>
              </w:tc>
            </w:tr>
            <w:tr w14:paraId="6E1446B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78" w:type="dxa"/>
                  <w:vAlign w:val="center"/>
                </w:tcPr>
                <w:p w14:paraId="66EC4EB9">
                  <w:pPr>
                    <w:numPr>
                      <w:ilvl w:val="0"/>
                      <w:numId w:val="18"/>
                    </w:numPr>
                    <w:adjustRightInd w:val="0"/>
                    <w:snapToGrid w:val="0"/>
                    <w:ind w:left="0" w:leftChars="0" w:firstLine="0" w:firstLineChars="0"/>
                    <w:jc w:val="center"/>
                    <w:rPr>
                      <w:rFonts w:hint="default" w:ascii="Times New Roman" w:hAnsi="Times New Roman" w:eastAsia="宋体" w:cs="Times New Roman"/>
                      <w:color w:val="auto"/>
                      <w:sz w:val="21"/>
                      <w:szCs w:val="21"/>
                      <w:lang w:val="en-US" w:eastAsia="zh-CN"/>
                    </w:rPr>
                  </w:pPr>
                </w:p>
              </w:tc>
              <w:tc>
                <w:tcPr>
                  <w:tcW w:w="945" w:type="dxa"/>
                  <w:shd w:val="clear" w:color="auto" w:fill="auto"/>
                  <w:vAlign w:val="center"/>
                </w:tcPr>
                <w:p w14:paraId="441CB32C">
                  <w:pPr>
                    <w:widowControl/>
                    <w:spacing w:line="240" w:lineRule="auto"/>
                    <w:jc w:val="center"/>
                    <w:rPr>
                      <w:rFonts w:hint="default" w:ascii="Times New Roman" w:hAnsi="Times New Roman" w:eastAsia="宋体" w:cs="Times New Roman"/>
                      <w:bCs/>
                      <w:color w:val="auto"/>
                      <w:kern w:val="2"/>
                      <w:sz w:val="21"/>
                      <w:szCs w:val="21"/>
                      <w:lang w:val="en-US" w:eastAsia="zh-CN" w:bidi="ar"/>
                    </w:rPr>
                  </w:pPr>
                  <w:r>
                    <w:rPr>
                      <w:rFonts w:hint="eastAsia"/>
                      <w:color w:val="auto"/>
                      <w:sz w:val="21"/>
                      <w:szCs w:val="21"/>
                    </w:rPr>
                    <w:t>液压油</w:t>
                  </w:r>
                </w:p>
              </w:tc>
              <w:tc>
                <w:tcPr>
                  <w:tcW w:w="945" w:type="dxa"/>
                  <w:shd w:val="clear" w:color="auto" w:fill="auto"/>
                  <w:vAlign w:val="center"/>
                </w:tcPr>
                <w:p w14:paraId="1AF68F78">
                  <w:pPr>
                    <w:widowControl/>
                    <w:spacing w:line="240" w:lineRule="auto"/>
                    <w:jc w:val="center"/>
                    <w:rPr>
                      <w:rFonts w:hint="default" w:ascii="Times New Roman" w:hAnsi="Times New Roman" w:eastAsia="宋体" w:cs="Times New Roman"/>
                      <w:color w:val="auto"/>
                      <w:kern w:val="2"/>
                      <w:sz w:val="21"/>
                      <w:szCs w:val="21"/>
                      <w:lang w:val="en-US" w:eastAsia="zh-CN" w:bidi="ar"/>
                    </w:rPr>
                  </w:pPr>
                  <w:r>
                    <w:rPr>
                      <w:rFonts w:hint="eastAsia"/>
                      <w:color w:val="auto"/>
                      <w:sz w:val="21"/>
                      <w:szCs w:val="21"/>
                      <w:lang w:val="en-US" w:eastAsia="zh-CN"/>
                    </w:rPr>
                    <w:t>0.5</w:t>
                  </w:r>
                </w:p>
              </w:tc>
              <w:tc>
                <w:tcPr>
                  <w:tcW w:w="947" w:type="dxa"/>
                  <w:shd w:val="clear" w:color="auto" w:fill="auto"/>
                  <w:vAlign w:val="center"/>
                </w:tcPr>
                <w:p w14:paraId="29C082F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eastAsia" w:cs="Times New Roman"/>
                      <w:color w:val="auto"/>
                      <w:kern w:val="2"/>
                      <w:sz w:val="21"/>
                      <w:szCs w:val="21"/>
                      <w:highlight w:val="none"/>
                      <w:vertAlign w:val="baseline"/>
                      <w:lang w:val="en-US" w:eastAsia="zh-CN" w:bidi="ar-SA"/>
                    </w:rPr>
                    <w:t>0.25</w:t>
                  </w:r>
                </w:p>
              </w:tc>
              <w:tc>
                <w:tcPr>
                  <w:tcW w:w="1100" w:type="dxa"/>
                  <w:shd w:val="clear" w:color="auto" w:fill="auto"/>
                  <w:vAlign w:val="center"/>
                </w:tcPr>
                <w:p w14:paraId="5F084AFF">
                  <w:pPr>
                    <w:widowControl/>
                    <w:jc w:val="center"/>
                    <w:rPr>
                      <w:rFonts w:hint="default" w:ascii="Times New Roman" w:hAnsi="Times New Roman" w:eastAsia="宋体" w:cs="Times New Roman"/>
                      <w:color w:val="auto"/>
                      <w:kern w:val="2"/>
                      <w:sz w:val="21"/>
                      <w:szCs w:val="21"/>
                      <w:lang w:val="en-US" w:eastAsia="zh-CN" w:bidi="ar"/>
                    </w:rPr>
                  </w:pPr>
                  <w:r>
                    <w:rPr>
                      <w:rFonts w:hint="eastAsia" w:cs="Times New Roman"/>
                      <w:color w:val="auto"/>
                      <w:kern w:val="2"/>
                      <w:sz w:val="21"/>
                      <w:szCs w:val="21"/>
                      <w:highlight w:val="none"/>
                      <w:vertAlign w:val="baseline"/>
                      <w:lang w:val="en-US" w:eastAsia="zh-CN" w:bidi="ar-SA"/>
                    </w:rPr>
                    <w:t>0.75</w:t>
                  </w:r>
                </w:p>
              </w:tc>
              <w:tc>
                <w:tcPr>
                  <w:tcW w:w="1613" w:type="dxa"/>
                  <w:vAlign w:val="center"/>
                </w:tcPr>
                <w:p w14:paraId="4CAFB4FC">
                  <w:pPr>
                    <w:topLinePunct/>
                    <w:jc w:val="center"/>
                    <w:rPr>
                      <w:rFonts w:hint="default" w:ascii="Times New Roman" w:hAnsi="Times New Roman" w:eastAsia="宋体" w:cs="Times New Roman"/>
                      <w:bCs/>
                      <w:color w:val="auto"/>
                      <w:sz w:val="21"/>
                      <w:szCs w:val="21"/>
                      <w:lang w:val="en-US" w:eastAsia="zh-CN"/>
                    </w:rPr>
                  </w:pPr>
                  <w:r>
                    <w:rPr>
                      <w:rFonts w:hint="eastAsia" w:cs="Times New Roman"/>
                      <w:bCs/>
                      <w:color w:val="auto"/>
                      <w:sz w:val="21"/>
                      <w:szCs w:val="21"/>
                      <w:lang w:val="en-US" w:eastAsia="zh-CN"/>
                    </w:rPr>
                    <w:t>桶装</w:t>
                  </w:r>
                </w:p>
              </w:tc>
              <w:tc>
                <w:tcPr>
                  <w:tcW w:w="1584" w:type="dxa"/>
                  <w:vMerge w:val="continue"/>
                  <w:vAlign w:val="center"/>
                </w:tcPr>
                <w:p w14:paraId="4E18D89A">
                  <w:pPr>
                    <w:adjustRightInd w:val="0"/>
                    <w:snapToGrid w:val="0"/>
                    <w:jc w:val="center"/>
                    <w:rPr>
                      <w:rFonts w:hint="default" w:ascii="Times New Roman" w:hAnsi="Times New Roman" w:eastAsia="宋体" w:cs="Times New Roman"/>
                      <w:color w:val="auto"/>
                      <w:sz w:val="21"/>
                      <w:szCs w:val="21"/>
                      <w:lang w:val="en-US" w:eastAsia="zh-CN"/>
                    </w:rPr>
                  </w:pPr>
                </w:p>
              </w:tc>
            </w:tr>
            <w:tr w14:paraId="5200E4A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78" w:type="dxa"/>
                  <w:vAlign w:val="center"/>
                </w:tcPr>
                <w:p w14:paraId="1CE81A4B">
                  <w:pPr>
                    <w:numPr>
                      <w:ilvl w:val="0"/>
                      <w:numId w:val="18"/>
                    </w:numPr>
                    <w:adjustRightInd w:val="0"/>
                    <w:snapToGrid w:val="0"/>
                    <w:ind w:left="0" w:leftChars="0" w:firstLine="0" w:firstLineChars="0"/>
                    <w:jc w:val="center"/>
                    <w:rPr>
                      <w:rFonts w:hint="default" w:ascii="Times New Roman" w:hAnsi="Times New Roman" w:eastAsia="宋体" w:cs="Times New Roman"/>
                      <w:color w:val="auto"/>
                      <w:sz w:val="21"/>
                      <w:szCs w:val="21"/>
                      <w:lang w:val="en-US" w:eastAsia="zh-CN"/>
                    </w:rPr>
                  </w:pPr>
                </w:p>
              </w:tc>
              <w:tc>
                <w:tcPr>
                  <w:tcW w:w="945" w:type="dxa"/>
                  <w:shd w:val="clear" w:color="auto" w:fill="auto"/>
                  <w:vAlign w:val="center"/>
                </w:tcPr>
                <w:p w14:paraId="5773C1A1">
                  <w:pPr>
                    <w:widowControl/>
                    <w:spacing w:line="240" w:lineRule="auto"/>
                    <w:jc w:val="center"/>
                    <w:rPr>
                      <w:rFonts w:hint="default" w:ascii="Times New Roman" w:hAnsi="Times New Roman" w:eastAsia="宋体" w:cs="Times New Roman"/>
                      <w:bCs/>
                      <w:color w:val="auto"/>
                      <w:kern w:val="2"/>
                      <w:sz w:val="21"/>
                      <w:szCs w:val="21"/>
                      <w:lang w:val="en-US" w:eastAsia="zh-CN" w:bidi="ar"/>
                    </w:rPr>
                  </w:pPr>
                  <w:r>
                    <w:rPr>
                      <w:rFonts w:hint="eastAsia"/>
                      <w:color w:val="auto"/>
                      <w:sz w:val="21"/>
                      <w:szCs w:val="21"/>
                    </w:rPr>
                    <w:t>深孔钻油</w:t>
                  </w:r>
                </w:p>
              </w:tc>
              <w:tc>
                <w:tcPr>
                  <w:tcW w:w="945" w:type="dxa"/>
                  <w:shd w:val="clear" w:color="auto" w:fill="auto"/>
                  <w:vAlign w:val="center"/>
                </w:tcPr>
                <w:p w14:paraId="08FCAC9F">
                  <w:pPr>
                    <w:widowControl/>
                    <w:spacing w:line="240" w:lineRule="auto"/>
                    <w:jc w:val="center"/>
                    <w:rPr>
                      <w:rFonts w:hint="eastAsia" w:ascii="Times New Roman" w:hAnsi="Times New Roman" w:eastAsia="宋体" w:cs="Times New Roman"/>
                      <w:color w:val="auto"/>
                      <w:kern w:val="2"/>
                      <w:sz w:val="21"/>
                      <w:szCs w:val="21"/>
                      <w:lang w:val="en-US" w:eastAsia="zh-CN" w:bidi="ar"/>
                    </w:rPr>
                  </w:pPr>
                  <w:r>
                    <w:rPr>
                      <w:rFonts w:hint="eastAsia"/>
                      <w:color w:val="auto"/>
                      <w:sz w:val="21"/>
                      <w:szCs w:val="21"/>
                      <w:lang w:val="en-US" w:eastAsia="zh-CN"/>
                    </w:rPr>
                    <w:t>1</w:t>
                  </w:r>
                </w:p>
              </w:tc>
              <w:tc>
                <w:tcPr>
                  <w:tcW w:w="947" w:type="dxa"/>
                  <w:shd w:val="clear" w:color="auto" w:fill="auto"/>
                  <w:vAlign w:val="center"/>
                </w:tcPr>
                <w:p w14:paraId="1920842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s="Times New Roman"/>
                      <w:color w:val="auto"/>
                      <w:kern w:val="2"/>
                      <w:sz w:val="21"/>
                      <w:szCs w:val="21"/>
                      <w:highlight w:val="none"/>
                      <w:vertAlign w:val="baseline"/>
                      <w:lang w:val="en-US" w:eastAsia="zh-CN" w:bidi="ar-SA"/>
                    </w:rPr>
                  </w:pPr>
                  <w:r>
                    <w:rPr>
                      <w:rFonts w:hint="eastAsia" w:cs="Times New Roman"/>
                      <w:color w:val="auto"/>
                      <w:kern w:val="2"/>
                      <w:sz w:val="21"/>
                      <w:szCs w:val="21"/>
                      <w:highlight w:val="none"/>
                      <w:vertAlign w:val="baseline"/>
                      <w:lang w:val="en-US" w:eastAsia="zh-CN" w:bidi="ar-SA"/>
                    </w:rPr>
                    <w:t>0.2</w:t>
                  </w:r>
                </w:p>
              </w:tc>
              <w:tc>
                <w:tcPr>
                  <w:tcW w:w="1100" w:type="dxa"/>
                  <w:shd w:val="clear" w:color="auto" w:fill="auto"/>
                  <w:vAlign w:val="center"/>
                </w:tcPr>
                <w:p w14:paraId="1A36D254">
                  <w:pPr>
                    <w:widowControl/>
                    <w:jc w:val="center"/>
                    <w:rPr>
                      <w:rFonts w:hint="default" w:ascii="Times New Roman" w:hAnsi="Times New Roman" w:eastAsia="宋体" w:cs="Times New Roman"/>
                      <w:color w:val="auto"/>
                      <w:kern w:val="2"/>
                      <w:sz w:val="21"/>
                      <w:szCs w:val="21"/>
                      <w:lang w:val="en-US" w:eastAsia="zh-CN" w:bidi="ar"/>
                    </w:rPr>
                  </w:pPr>
                  <w:r>
                    <w:rPr>
                      <w:rFonts w:hint="eastAsia" w:cs="Times New Roman"/>
                      <w:color w:val="auto"/>
                      <w:kern w:val="2"/>
                      <w:sz w:val="21"/>
                      <w:szCs w:val="21"/>
                      <w:lang w:val="en-US" w:eastAsia="zh-CN" w:bidi="ar"/>
                    </w:rPr>
                    <w:t>1.2</w:t>
                  </w:r>
                </w:p>
              </w:tc>
              <w:tc>
                <w:tcPr>
                  <w:tcW w:w="1613" w:type="dxa"/>
                  <w:vAlign w:val="center"/>
                </w:tcPr>
                <w:p w14:paraId="0086C373">
                  <w:pPr>
                    <w:topLinePunct/>
                    <w:jc w:val="center"/>
                    <w:rPr>
                      <w:rFonts w:hint="default" w:ascii="Times New Roman" w:hAnsi="Times New Roman" w:eastAsia="宋体" w:cs="Times New Roman"/>
                      <w:bCs/>
                      <w:color w:val="auto"/>
                      <w:sz w:val="21"/>
                      <w:szCs w:val="21"/>
                      <w:lang w:val="en-US" w:eastAsia="zh-CN"/>
                    </w:rPr>
                  </w:pPr>
                  <w:r>
                    <w:rPr>
                      <w:rFonts w:hint="eastAsia" w:cs="Times New Roman"/>
                      <w:bCs/>
                      <w:color w:val="auto"/>
                      <w:sz w:val="21"/>
                      <w:szCs w:val="21"/>
                      <w:lang w:val="en-US" w:eastAsia="zh-CN"/>
                    </w:rPr>
                    <w:t>桶装</w:t>
                  </w:r>
                </w:p>
              </w:tc>
              <w:tc>
                <w:tcPr>
                  <w:tcW w:w="1584" w:type="dxa"/>
                  <w:vMerge w:val="continue"/>
                  <w:vAlign w:val="center"/>
                </w:tcPr>
                <w:p w14:paraId="2D1E1174">
                  <w:pPr>
                    <w:adjustRightInd w:val="0"/>
                    <w:snapToGrid w:val="0"/>
                    <w:jc w:val="center"/>
                    <w:rPr>
                      <w:rFonts w:hint="default" w:ascii="Times New Roman" w:hAnsi="Times New Roman" w:eastAsia="宋体" w:cs="Times New Roman"/>
                      <w:color w:val="auto"/>
                      <w:sz w:val="21"/>
                      <w:szCs w:val="21"/>
                      <w:lang w:val="en-US" w:eastAsia="zh-CN"/>
                    </w:rPr>
                  </w:pPr>
                </w:p>
              </w:tc>
            </w:tr>
            <w:tr w14:paraId="680365A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5" w:hRule="atLeast"/>
                <w:jc w:val="center"/>
              </w:trPr>
              <w:tc>
                <w:tcPr>
                  <w:tcW w:w="978" w:type="dxa"/>
                  <w:vAlign w:val="center"/>
                </w:tcPr>
                <w:p w14:paraId="18BF01EA">
                  <w:pPr>
                    <w:numPr>
                      <w:ilvl w:val="0"/>
                      <w:numId w:val="18"/>
                    </w:numPr>
                    <w:adjustRightInd w:val="0"/>
                    <w:snapToGrid w:val="0"/>
                    <w:ind w:left="0" w:leftChars="0" w:firstLine="0" w:firstLineChars="0"/>
                    <w:jc w:val="center"/>
                    <w:rPr>
                      <w:rFonts w:hint="default" w:ascii="Times New Roman" w:hAnsi="Times New Roman" w:eastAsia="宋体" w:cs="Times New Roman"/>
                      <w:color w:val="auto"/>
                      <w:sz w:val="21"/>
                      <w:szCs w:val="21"/>
                    </w:rPr>
                  </w:pPr>
                </w:p>
              </w:tc>
              <w:tc>
                <w:tcPr>
                  <w:tcW w:w="945" w:type="dxa"/>
                  <w:shd w:val="clear" w:color="auto" w:fill="auto"/>
                  <w:vAlign w:val="center"/>
                </w:tcPr>
                <w:p w14:paraId="0E128D16">
                  <w:pPr>
                    <w:widowControl/>
                    <w:spacing w:line="240" w:lineRule="auto"/>
                    <w:jc w:val="center"/>
                    <w:rPr>
                      <w:rFonts w:hint="default" w:ascii="Times New Roman" w:hAnsi="Times New Roman" w:eastAsia="宋体" w:cs="Times New Roman"/>
                      <w:bCs/>
                      <w:color w:val="auto"/>
                      <w:kern w:val="2"/>
                      <w:sz w:val="21"/>
                      <w:szCs w:val="21"/>
                      <w:lang w:val="en-US" w:eastAsia="zh-CN" w:bidi="ar"/>
                    </w:rPr>
                  </w:pPr>
                  <w:r>
                    <w:rPr>
                      <w:rFonts w:hint="eastAsia"/>
                      <w:color w:val="auto"/>
                      <w:sz w:val="21"/>
                      <w:szCs w:val="21"/>
                    </w:rPr>
                    <w:t>润滑油</w:t>
                  </w:r>
                </w:p>
              </w:tc>
              <w:tc>
                <w:tcPr>
                  <w:tcW w:w="945" w:type="dxa"/>
                  <w:shd w:val="clear" w:color="auto" w:fill="auto"/>
                  <w:vAlign w:val="center"/>
                </w:tcPr>
                <w:p w14:paraId="7C0BA2DB">
                  <w:pPr>
                    <w:widowControl/>
                    <w:spacing w:line="240" w:lineRule="auto"/>
                    <w:jc w:val="center"/>
                    <w:rPr>
                      <w:rFonts w:hint="default" w:ascii="Times New Roman" w:hAnsi="Times New Roman" w:eastAsia="宋体" w:cs="Times New Roman"/>
                      <w:color w:val="auto"/>
                      <w:kern w:val="2"/>
                      <w:sz w:val="21"/>
                      <w:szCs w:val="21"/>
                      <w:lang w:val="en-US" w:eastAsia="zh-CN" w:bidi="ar"/>
                    </w:rPr>
                  </w:pPr>
                  <w:r>
                    <w:rPr>
                      <w:rFonts w:hint="eastAsia"/>
                      <w:color w:val="auto"/>
                      <w:sz w:val="21"/>
                      <w:szCs w:val="21"/>
                      <w:lang w:val="en-US" w:eastAsia="zh-CN"/>
                    </w:rPr>
                    <w:t>0.6</w:t>
                  </w:r>
                </w:p>
              </w:tc>
              <w:tc>
                <w:tcPr>
                  <w:tcW w:w="947" w:type="dxa"/>
                  <w:shd w:val="clear" w:color="auto" w:fill="auto"/>
                  <w:vAlign w:val="center"/>
                </w:tcPr>
                <w:p w14:paraId="171F561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eastAsia" w:cs="Times New Roman"/>
                      <w:color w:val="auto"/>
                      <w:kern w:val="2"/>
                      <w:sz w:val="21"/>
                      <w:szCs w:val="21"/>
                      <w:highlight w:val="none"/>
                      <w:vertAlign w:val="baseline"/>
                      <w:lang w:val="en-US" w:eastAsia="zh-CN" w:bidi="ar-SA"/>
                    </w:rPr>
                    <w:t>0.2</w:t>
                  </w:r>
                </w:p>
              </w:tc>
              <w:tc>
                <w:tcPr>
                  <w:tcW w:w="1100" w:type="dxa"/>
                  <w:shd w:val="clear" w:color="auto" w:fill="auto"/>
                  <w:vAlign w:val="center"/>
                </w:tcPr>
                <w:p w14:paraId="560B8609">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0.8</w:t>
                  </w:r>
                </w:p>
              </w:tc>
              <w:tc>
                <w:tcPr>
                  <w:tcW w:w="1613" w:type="dxa"/>
                  <w:vAlign w:val="center"/>
                </w:tcPr>
                <w:p w14:paraId="44647CD9">
                  <w:pPr>
                    <w:topLinePunct/>
                    <w:jc w:val="center"/>
                    <w:rPr>
                      <w:rFonts w:hint="default" w:ascii="Times New Roman" w:hAnsi="Times New Roman" w:eastAsia="宋体" w:cs="Times New Roman"/>
                      <w:color w:val="auto"/>
                      <w:kern w:val="2"/>
                      <w:sz w:val="21"/>
                      <w:szCs w:val="21"/>
                      <w:lang w:val="en-US" w:eastAsia="zh-CN" w:bidi="ar-SA"/>
                    </w:rPr>
                  </w:pPr>
                  <w:r>
                    <w:rPr>
                      <w:rFonts w:hint="eastAsia" w:cs="Times New Roman"/>
                      <w:bCs/>
                      <w:color w:val="auto"/>
                      <w:sz w:val="21"/>
                      <w:szCs w:val="21"/>
                      <w:lang w:val="en-US" w:eastAsia="zh-CN"/>
                    </w:rPr>
                    <w:t>桶装</w:t>
                  </w:r>
                </w:p>
              </w:tc>
              <w:tc>
                <w:tcPr>
                  <w:tcW w:w="1584" w:type="dxa"/>
                  <w:vMerge w:val="continue"/>
                  <w:vAlign w:val="center"/>
                </w:tcPr>
                <w:p w14:paraId="719C3A12">
                  <w:pPr>
                    <w:adjustRightInd w:val="0"/>
                    <w:snapToGrid w:val="0"/>
                    <w:jc w:val="center"/>
                    <w:rPr>
                      <w:rFonts w:hint="eastAsia" w:ascii="Times New Roman" w:hAnsi="Times New Roman" w:eastAsia="宋体" w:cs="Times New Roman"/>
                      <w:color w:val="auto"/>
                      <w:sz w:val="21"/>
                      <w:szCs w:val="21"/>
                      <w:lang w:val="en-US" w:eastAsia="zh-CN"/>
                    </w:rPr>
                  </w:pPr>
                </w:p>
              </w:tc>
            </w:tr>
            <w:tr w14:paraId="131F9AA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5" w:hRule="atLeast"/>
                <w:jc w:val="center"/>
              </w:trPr>
              <w:tc>
                <w:tcPr>
                  <w:tcW w:w="978" w:type="dxa"/>
                  <w:vAlign w:val="center"/>
                </w:tcPr>
                <w:p w14:paraId="41499F4A">
                  <w:pPr>
                    <w:numPr>
                      <w:ilvl w:val="0"/>
                      <w:numId w:val="18"/>
                    </w:numPr>
                    <w:adjustRightInd w:val="0"/>
                    <w:snapToGrid w:val="0"/>
                    <w:ind w:left="0" w:leftChars="0" w:firstLine="0" w:firstLineChars="0"/>
                    <w:jc w:val="center"/>
                    <w:rPr>
                      <w:rFonts w:hint="default" w:ascii="Times New Roman" w:hAnsi="Times New Roman" w:eastAsia="宋体" w:cs="Times New Roman"/>
                      <w:color w:val="auto"/>
                      <w:sz w:val="21"/>
                      <w:szCs w:val="21"/>
                    </w:rPr>
                  </w:pPr>
                </w:p>
              </w:tc>
              <w:tc>
                <w:tcPr>
                  <w:tcW w:w="945" w:type="dxa"/>
                  <w:shd w:val="clear" w:color="auto" w:fill="auto"/>
                  <w:vAlign w:val="center"/>
                </w:tcPr>
                <w:p w14:paraId="2C2BBC58">
                  <w:pPr>
                    <w:widowControl/>
                    <w:spacing w:line="240" w:lineRule="auto"/>
                    <w:jc w:val="center"/>
                    <w:rPr>
                      <w:rFonts w:hint="default" w:ascii="Times New Roman" w:hAnsi="Times New Roman" w:eastAsia="宋体" w:cs="Times New Roman"/>
                      <w:bCs/>
                      <w:color w:val="auto"/>
                      <w:kern w:val="2"/>
                      <w:sz w:val="21"/>
                      <w:szCs w:val="21"/>
                      <w:lang w:val="en-US" w:eastAsia="zh-CN" w:bidi="ar"/>
                    </w:rPr>
                  </w:pPr>
                  <w:r>
                    <w:rPr>
                      <w:rFonts w:hint="eastAsia"/>
                      <w:color w:val="auto"/>
                      <w:sz w:val="21"/>
                      <w:szCs w:val="21"/>
                    </w:rPr>
                    <w:t>切削液</w:t>
                  </w:r>
                </w:p>
              </w:tc>
              <w:tc>
                <w:tcPr>
                  <w:tcW w:w="945" w:type="dxa"/>
                  <w:shd w:val="clear" w:color="auto" w:fill="auto"/>
                  <w:vAlign w:val="center"/>
                </w:tcPr>
                <w:p w14:paraId="4A1BAAAC">
                  <w:pPr>
                    <w:widowControl/>
                    <w:spacing w:line="240" w:lineRule="auto"/>
                    <w:jc w:val="center"/>
                    <w:rPr>
                      <w:rFonts w:hint="eastAsia" w:ascii="Times New Roman" w:hAnsi="Times New Roman" w:eastAsia="宋体" w:cs="Times New Roman"/>
                      <w:color w:val="auto"/>
                      <w:kern w:val="2"/>
                      <w:sz w:val="21"/>
                      <w:szCs w:val="21"/>
                      <w:lang w:val="en-US" w:eastAsia="zh-CN" w:bidi="ar"/>
                    </w:rPr>
                  </w:pPr>
                  <w:r>
                    <w:rPr>
                      <w:rFonts w:hint="eastAsia"/>
                      <w:color w:val="auto"/>
                      <w:sz w:val="21"/>
                      <w:szCs w:val="21"/>
                      <w:lang w:val="en-US" w:eastAsia="zh-CN"/>
                    </w:rPr>
                    <w:t>0.6</w:t>
                  </w:r>
                </w:p>
              </w:tc>
              <w:tc>
                <w:tcPr>
                  <w:tcW w:w="947" w:type="dxa"/>
                  <w:shd w:val="clear" w:color="auto" w:fill="auto"/>
                  <w:vAlign w:val="center"/>
                </w:tcPr>
                <w:p w14:paraId="34E5A1D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eastAsia" w:cs="Times New Roman"/>
                      <w:color w:val="auto"/>
                      <w:kern w:val="2"/>
                      <w:sz w:val="21"/>
                      <w:szCs w:val="21"/>
                      <w:highlight w:val="none"/>
                      <w:vertAlign w:val="baseline"/>
                      <w:lang w:val="en-US" w:eastAsia="zh-CN" w:bidi="ar-SA"/>
                    </w:rPr>
                    <w:t>0.2</w:t>
                  </w:r>
                </w:p>
              </w:tc>
              <w:tc>
                <w:tcPr>
                  <w:tcW w:w="1100" w:type="dxa"/>
                  <w:shd w:val="clear" w:color="auto" w:fill="auto"/>
                  <w:vAlign w:val="center"/>
                </w:tcPr>
                <w:p w14:paraId="07C20E42">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0.8</w:t>
                  </w:r>
                </w:p>
              </w:tc>
              <w:tc>
                <w:tcPr>
                  <w:tcW w:w="1613" w:type="dxa"/>
                  <w:shd w:val="clear" w:color="auto" w:fill="auto"/>
                  <w:vAlign w:val="center"/>
                </w:tcPr>
                <w:p w14:paraId="545A7C55">
                  <w:pPr>
                    <w:topLinePunct/>
                    <w:jc w:val="center"/>
                    <w:rPr>
                      <w:rFonts w:hint="default" w:ascii="Times New Roman" w:hAnsi="Times New Roman" w:eastAsia="宋体" w:cs="Times New Roman"/>
                      <w:color w:val="auto"/>
                      <w:kern w:val="2"/>
                      <w:sz w:val="21"/>
                      <w:szCs w:val="21"/>
                      <w:lang w:val="en-US" w:eastAsia="zh-CN" w:bidi="ar-SA"/>
                    </w:rPr>
                  </w:pPr>
                  <w:r>
                    <w:rPr>
                      <w:rFonts w:hint="eastAsia" w:cs="Times New Roman"/>
                      <w:bCs/>
                      <w:color w:val="auto"/>
                      <w:sz w:val="21"/>
                      <w:szCs w:val="21"/>
                      <w:lang w:val="en-US" w:eastAsia="zh-CN"/>
                    </w:rPr>
                    <w:t>桶装</w:t>
                  </w:r>
                </w:p>
              </w:tc>
              <w:tc>
                <w:tcPr>
                  <w:tcW w:w="1584" w:type="dxa"/>
                  <w:vMerge w:val="continue"/>
                  <w:vAlign w:val="center"/>
                </w:tcPr>
                <w:p w14:paraId="3E6CBF2D">
                  <w:pPr>
                    <w:adjustRightInd w:val="0"/>
                    <w:snapToGrid w:val="0"/>
                    <w:jc w:val="center"/>
                    <w:rPr>
                      <w:rFonts w:hint="default" w:ascii="Times New Roman" w:hAnsi="Times New Roman" w:eastAsia="宋体" w:cs="Times New Roman"/>
                      <w:color w:val="auto"/>
                      <w:sz w:val="21"/>
                      <w:szCs w:val="21"/>
                    </w:rPr>
                  </w:pPr>
                </w:p>
              </w:tc>
            </w:tr>
            <w:tr w14:paraId="6F9D920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5" w:hRule="atLeast"/>
                <w:jc w:val="center"/>
              </w:trPr>
              <w:tc>
                <w:tcPr>
                  <w:tcW w:w="978" w:type="dxa"/>
                  <w:vAlign w:val="center"/>
                </w:tcPr>
                <w:p w14:paraId="4E27B379">
                  <w:pPr>
                    <w:numPr>
                      <w:ilvl w:val="0"/>
                      <w:numId w:val="18"/>
                    </w:numPr>
                    <w:adjustRightInd w:val="0"/>
                    <w:snapToGrid w:val="0"/>
                    <w:ind w:left="0" w:leftChars="0" w:firstLine="0" w:firstLineChars="0"/>
                    <w:jc w:val="center"/>
                    <w:rPr>
                      <w:rFonts w:hint="default" w:ascii="Times New Roman" w:hAnsi="Times New Roman" w:eastAsia="宋体" w:cs="Times New Roman"/>
                      <w:color w:val="auto"/>
                      <w:sz w:val="21"/>
                      <w:szCs w:val="21"/>
                    </w:rPr>
                  </w:pPr>
                </w:p>
              </w:tc>
              <w:tc>
                <w:tcPr>
                  <w:tcW w:w="945" w:type="dxa"/>
                  <w:shd w:val="clear" w:color="auto" w:fill="auto"/>
                  <w:vAlign w:val="center"/>
                </w:tcPr>
                <w:p w14:paraId="452DC1EE">
                  <w:pPr>
                    <w:widowControl/>
                    <w:spacing w:line="240" w:lineRule="auto"/>
                    <w:jc w:val="center"/>
                    <w:rPr>
                      <w:rFonts w:hint="default" w:ascii="Times New Roman" w:hAnsi="Times New Roman" w:eastAsia="宋体" w:cs="Times New Roman"/>
                      <w:color w:val="auto"/>
                      <w:kern w:val="2"/>
                      <w:sz w:val="21"/>
                      <w:szCs w:val="21"/>
                      <w:lang w:val="en-US" w:eastAsia="zh-CN" w:bidi="ar"/>
                    </w:rPr>
                  </w:pPr>
                  <w:r>
                    <w:rPr>
                      <w:rFonts w:hint="eastAsia"/>
                      <w:color w:val="auto"/>
                      <w:sz w:val="21"/>
                      <w:szCs w:val="21"/>
                    </w:rPr>
                    <w:t>清洗剂</w:t>
                  </w:r>
                </w:p>
              </w:tc>
              <w:tc>
                <w:tcPr>
                  <w:tcW w:w="945" w:type="dxa"/>
                  <w:shd w:val="clear" w:color="auto" w:fill="auto"/>
                  <w:vAlign w:val="center"/>
                </w:tcPr>
                <w:p w14:paraId="1CCB1AFB">
                  <w:pPr>
                    <w:widowControl/>
                    <w:spacing w:line="240" w:lineRule="auto"/>
                    <w:jc w:val="center"/>
                    <w:rPr>
                      <w:rFonts w:hint="eastAsia" w:ascii="Times New Roman" w:hAnsi="Times New Roman" w:eastAsia="宋体" w:cs="Times New Roman"/>
                      <w:color w:val="auto"/>
                      <w:kern w:val="2"/>
                      <w:sz w:val="21"/>
                      <w:szCs w:val="21"/>
                      <w:lang w:val="en-US" w:eastAsia="zh-CN" w:bidi="ar"/>
                    </w:rPr>
                  </w:pPr>
                  <w:r>
                    <w:rPr>
                      <w:rFonts w:hint="eastAsia"/>
                      <w:color w:val="auto"/>
                      <w:sz w:val="21"/>
                      <w:szCs w:val="21"/>
                      <w:lang w:val="en-US" w:eastAsia="zh-CN"/>
                    </w:rPr>
                    <w:t>0.2</w:t>
                  </w:r>
                </w:p>
              </w:tc>
              <w:tc>
                <w:tcPr>
                  <w:tcW w:w="947" w:type="dxa"/>
                  <w:shd w:val="clear" w:color="auto" w:fill="auto"/>
                  <w:vAlign w:val="center"/>
                </w:tcPr>
                <w:p w14:paraId="489F8F3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s="Times New Roman"/>
                      <w:color w:val="auto"/>
                      <w:kern w:val="2"/>
                      <w:sz w:val="21"/>
                      <w:szCs w:val="21"/>
                      <w:highlight w:val="none"/>
                      <w:vertAlign w:val="baseline"/>
                      <w:lang w:val="en-US" w:eastAsia="zh-CN" w:bidi="ar-SA"/>
                    </w:rPr>
                  </w:pPr>
                  <w:r>
                    <w:rPr>
                      <w:rFonts w:hint="eastAsia" w:cs="Times New Roman"/>
                      <w:color w:val="auto"/>
                      <w:kern w:val="2"/>
                      <w:sz w:val="21"/>
                      <w:szCs w:val="21"/>
                      <w:highlight w:val="none"/>
                      <w:vertAlign w:val="baseline"/>
                      <w:lang w:val="en-US" w:eastAsia="zh-CN" w:bidi="ar-SA"/>
                    </w:rPr>
                    <w:t>0.2</w:t>
                  </w:r>
                </w:p>
              </w:tc>
              <w:tc>
                <w:tcPr>
                  <w:tcW w:w="1100" w:type="dxa"/>
                  <w:shd w:val="clear" w:color="auto" w:fill="auto"/>
                  <w:vAlign w:val="center"/>
                </w:tcPr>
                <w:p w14:paraId="16C0D182">
                  <w:pPr>
                    <w:widowControl/>
                    <w:jc w:val="center"/>
                    <w:rPr>
                      <w:rFonts w:hint="default" w:ascii="Times New Roman" w:hAnsi="Times New Roman" w:eastAsia="宋体" w:cs="Times New Roman"/>
                      <w:color w:val="auto"/>
                      <w:kern w:val="2"/>
                      <w:sz w:val="21"/>
                      <w:szCs w:val="21"/>
                      <w:lang w:val="en-US" w:eastAsia="zh-CN" w:bidi="ar"/>
                    </w:rPr>
                  </w:pPr>
                  <w:r>
                    <w:rPr>
                      <w:rFonts w:hint="eastAsia" w:cs="Times New Roman"/>
                      <w:color w:val="auto"/>
                      <w:kern w:val="2"/>
                      <w:sz w:val="21"/>
                      <w:szCs w:val="21"/>
                      <w:lang w:val="en-US" w:eastAsia="zh-CN" w:bidi="ar"/>
                    </w:rPr>
                    <w:t>0.4</w:t>
                  </w:r>
                </w:p>
              </w:tc>
              <w:tc>
                <w:tcPr>
                  <w:tcW w:w="1613" w:type="dxa"/>
                  <w:vAlign w:val="center"/>
                </w:tcPr>
                <w:p w14:paraId="202896B1">
                  <w:pPr>
                    <w:topLinePunct/>
                    <w:jc w:val="center"/>
                    <w:rPr>
                      <w:rFonts w:hint="default" w:cs="Times New Roman"/>
                      <w:bCs/>
                      <w:color w:val="auto"/>
                      <w:sz w:val="21"/>
                      <w:szCs w:val="21"/>
                      <w:lang w:val="en-US" w:eastAsia="zh-CN"/>
                    </w:rPr>
                  </w:pPr>
                  <w:r>
                    <w:rPr>
                      <w:rFonts w:hint="eastAsia" w:cs="Times New Roman"/>
                      <w:bCs/>
                      <w:color w:val="auto"/>
                      <w:sz w:val="21"/>
                      <w:szCs w:val="21"/>
                      <w:lang w:val="en-US" w:eastAsia="zh-CN"/>
                    </w:rPr>
                    <w:t>桶装</w:t>
                  </w:r>
                </w:p>
              </w:tc>
              <w:tc>
                <w:tcPr>
                  <w:tcW w:w="1584" w:type="dxa"/>
                  <w:vMerge w:val="continue"/>
                  <w:vAlign w:val="center"/>
                </w:tcPr>
                <w:p w14:paraId="6E570CF3">
                  <w:pPr>
                    <w:adjustRightInd w:val="0"/>
                    <w:snapToGrid w:val="0"/>
                    <w:jc w:val="center"/>
                    <w:rPr>
                      <w:rFonts w:hint="default" w:ascii="Times New Roman" w:hAnsi="Times New Roman" w:eastAsia="宋体" w:cs="Times New Roman"/>
                      <w:color w:val="auto"/>
                      <w:sz w:val="21"/>
                      <w:szCs w:val="21"/>
                    </w:rPr>
                  </w:pPr>
                </w:p>
              </w:tc>
            </w:tr>
            <w:tr w14:paraId="13EE07C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5" w:hRule="atLeast"/>
                <w:jc w:val="center"/>
              </w:trPr>
              <w:tc>
                <w:tcPr>
                  <w:tcW w:w="978" w:type="dxa"/>
                  <w:vAlign w:val="center"/>
                </w:tcPr>
                <w:p w14:paraId="648095F6">
                  <w:pPr>
                    <w:numPr>
                      <w:ilvl w:val="0"/>
                      <w:numId w:val="18"/>
                    </w:numPr>
                    <w:adjustRightInd w:val="0"/>
                    <w:snapToGrid w:val="0"/>
                    <w:ind w:left="0" w:leftChars="0" w:firstLine="0" w:firstLineChars="0"/>
                    <w:jc w:val="center"/>
                    <w:rPr>
                      <w:rFonts w:hint="default" w:ascii="Times New Roman" w:hAnsi="Times New Roman" w:eastAsia="宋体" w:cs="Times New Roman"/>
                      <w:color w:val="auto"/>
                      <w:sz w:val="21"/>
                      <w:szCs w:val="21"/>
                    </w:rPr>
                  </w:pPr>
                </w:p>
              </w:tc>
              <w:tc>
                <w:tcPr>
                  <w:tcW w:w="945" w:type="dxa"/>
                  <w:shd w:val="clear" w:color="auto" w:fill="auto"/>
                  <w:vAlign w:val="center"/>
                </w:tcPr>
                <w:p w14:paraId="0467FBBF">
                  <w:pPr>
                    <w:widowControl/>
                    <w:spacing w:line="240" w:lineRule="auto"/>
                    <w:jc w:val="center"/>
                    <w:rPr>
                      <w:rFonts w:hint="default" w:ascii="Times New Roman" w:hAnsi="Times New Roman" w:eastAsia="宋体" w:cs="Times New Roman"/>
                      <w:color w:val="auto"/>
                      <w:kern w:val="2"/>
                      <w:sz w:val="21"/>
                      <w:szCs w:val="21"/>
                      <w:lang w:val="en-US" w:eastAsia="zh-CN" w:bidi="ar"/>
                    </w:rPr>
                  </w:pPr>
                  <w:r>
                    <w:rPr>
                      <w:rFonts w:hint="eastAsia"/>
                      <w:color w:val="auto"/>
                      <w:sz w:val="21"/>
                      <w:szCs w:val="21"/>
                    </w:rPr>
                    <w:t>防锈剂</w:t>
                  </w:r>
                </w:p>
              </w:tc>
              <w:tc>
                <w:tcPr>
                  <w:tcW w:w="945" w:type="dxa"/>
                  <w:shd w:val="clear" w:color="auto" w:fill="auto"/>
                  <w:vAlign w:val="center"/>
                </w:tcPr>
                <w:p w14:paraId="605EE044">
                  <w:pPr>
                    <w:widowControl/>
                    <w:spacing w:line="240" w:lineRule="auto"/>
                    <w:jc w:val="center"/>
                    <w:rPr>
                      <w:rFonts w:hint="eastAsia" w:ascii="Times New Roman" w:hAnsi="Times New Roman" w:eastAsia="宋体" w:cs="Times New Roman"/>
                      <w:color w:val="auto"/>
                      <w:kern w:val="2"/>
                      <w:sz w:val="21"/>
                      <w:szCs w:val="21"/>
                      <w:lang w:val="en-US" w:eastAsia="zh-CN" w:bidi="ar"/>
                    </w:rPr>
                  </w:pPr>
                  <w:r>
                    <w:rPr>
                      <w:rFonts w:hint="eastAsia"/>
                      <w:color w:val="auto"/>
                      <w:sz w:val="21"/>
                      <w:szCs w:val="21"/>
                      <w:lang w:val="en-US" w:eastAsia="zh-CN"/>
                    </w:rPr>
                    <w:t>0.2</w:t>
                  </w:r>
                </w:p>
              </w:tc>
              <w:tc>
                <w:tcPr>
                  <w:tcW w:w="947" w:type="dxa"/>
                  <w:shd w:val="clear" w:color="auto" w:fill="auto"/>
                  <w:vAlign w:val="center"/>
                </w:tcPr>
                <w:p w14:paraId="0856AE9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s="Times New Roman"/>
                      <w:color w:val="auto"/>
                      <w:kern w:val="2"/>
                      <w:sz w:val="21"/>
                      <w:szCs w:val="21"/>
                      <w:highlight w:val="none"/>
                      <w:vertAlign w:val="baseline"/>
                      <w:lang w:val="en-US" w:eastAsia="zh-CN" w:bidi="ar-SA"/>
                    </w:rPr>
                  </w:pPr>
                  <w:r>
                    <w:rPr>
                      <w:rFonts w:hint="eastAsia" w:cs="Times New Roman"/>
                      <w:color w:val="auto"/>
                      <w:kern w:val="2"/>
                      <w:sz w:val="21"/>
                      <w:szCs w:val="21"/>
                      <w:highlight w:val="none"/>
                      <w:vertAlign w:val="baseline"/>
                      <w:lang w:val="en-US" w:eastAsia="zh-CN" w:bidi="ar-SA"/>
                    </w:rPr>
                    <w:t>0.2</w:t>
                  </w:r>
                </w:p>
              </w:tc>
              <w:tc>
                <w:tcPr>
                  <w:tcW w:w="1100" w:type="dxa"/>
                  <w:shd w:val="clear" w:color="auto" w:fill="auto"/>
                  <w:vAlign w:val="center"/>
                </w:tcPr>
                <w:p w14:paraId="71D09E7F">
                  <w:pPr>
                    <w:widowControl/>
                    <w:jc w:val="center"/>
                    <w:rPr>
                      <w:rFonts w:hint="default" w:ascii="Times New Roman" w:hAnsi="Times New Roman" w:eastAsia="宋体" w:cs="Times New Roman"/>
                      <w:color w:val="auto"/>
                      <w:kern w:val="2"/>
                      <w:sz w:val="21"/>
                      <w:szCs w:val="21"/>
                      <w:lang w:val="en-US" w:eastAsia="zh-CN" w:bidi="ar"/>
                    </w:rPr>
                  </w:pPr>
                  <w:r>
                    <w:rPr>
                      <w:rFonts w:hint="eastAsia" w:cs="Times New Roman"/>
                      <w:color w:val="auto"/>
                      <w:kern w:val="2"/>
                      <w:sz w:val="21"/>
                      <w:szCs w:val="21"/>
                      <w:lang w:val="en-US" w:eastAsia="zh-CN" w:bidi="ar"/>
                    </w:rPr>
                    <w:t>0.4</w:t>
                  </w:r>
                </w:p>
              </w:tc>
              <w:tc>
                <w:tcPr>
                  <w:tcW w:w="1613" w:type="dxa"/>
                  <w:shd w:val="clear" w:color="auto" w:fill="auto"/>
                  <w:vAlign w:val="center"/>
                </w:tcPr>
                <w:p w14:paraId="1257A7FB">
                  <w:pPr>
                    <w:topLinePunct/>
                    <w:jc w:val="center"/>
                    <w:rPr>
                      <w:rFonts w:hint="default" w:ascii="Times New Roman" w:hAnsi="Times New Roman" w:eastAsia="宋体" w:cs="Times New Roman"/>
                      <w:bCs/>
                      <w:color w:val="auto"/>
                      <w:kern w:val="2"/>
                      <w:sz w:val="21"/>
                      <w:szCs w:val="21"/>
                      <w:lang w:val="en-US" w:eastAsia="zh-CN" w:bidi="ar"/>
                    </w:rPr>
                  </w:pPr>
                  <w:r>
                    <w:rPr>
                      <w:rFonts w:hint="eastAsia" w:cs="Times New Roman"/>
                      <w:bCs/>
                      <w:color w:val="auto"/>
                      <w:sz w:val="21"/>
                      <w:szCs w:val="21"/>
                      <w:lang w:val="en-US" w:eastAsia="zh-CN"/>
                    </w:rPr>
                    <w:t>桶装</w:t>
                  </w:r>
                </w:p>
              </w:tc>
              <w:tc>
                <w:tcPr>
                  <w:tcW w:w="1584" w:type="dxa"/>
                  <w:vMerge w:val="continue"/>
                  <w:vAlign w:val="center"/>
                </w:tcPr>
                <w:p w14:paraId="61A28244">
                  <w:pPr>
                    <w:adjustRightInd w:val="0"/>
                    <w:snapToGrid w:val="0"/>
                    <w:jc w:val="center"/>
                    <w:rPr>
                      <w:rFonts w:hint="default" w:ascii="Times New Roman" w:hAnsi="Times New Roman" w:eastAsia="宋体" w:cs="Times New Roman"/>
                      <w:color w:val="auto"/>
                      <w:sz w:val="21"/>
                      <w:szCs w:val="21"/>
                    </w:rPr>
                  </w:pPr>
                </w:p>
              </w:tc>
            </w:tr>
            <w:tr w14:paraId="7243E9C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5" w:hRule="atLeast"/>
                <w:jc w:val="center"/>
              </w:trPr>
              <w:tc>
                <w:tcPr>
                  <w:tcW w:w="978" w:type="dxa"/>
                  <w:vAlign w:val="center"/>
                </w:tcPr>
                <w:p w14:paraId="7F9C996B">
                  <w:pPr>
                    <w:numPr>
                      <w:ilvl w:val="0"/>
                      <w:numId w:val="18"/>
                    </w:numPr>
                    <w:adjustRightInd w:val="0"/>
                    <w:snapToGrid w:val="0"/>
                    <w:ind w:left="0" w:leftChars="0" w:firstLine="0" w:firstLineChars="0"/>
                    <w:jc w:val="center"/>
                    <w:rPr>
                      <w:rFonts w:hint="default" w:ascii="Times New Roman" w:hAnsi="Times New Roman" w:eastAsia="宋体" w:cs="Times New Roman"/>
                      <w:color w:val="auto"/>
                      <w:sz w:val="21"/>
                      <w:szCs w:val="21"/>
                    </w:rPr>
                  </w:pPr>
                </w:p>
              </w:tc>
              <w:tc>
                <w:tcPr>
                  <w:tcW w:w="945" w:type="dxa"/>
                  <w:shd w:val="clear" w:color="auto" w:fill="auto"/>
                  <w:vAlign w:val="center"/>
                </w:tcPr>
                <w:p w14:paraId="6DA9BB5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eastAsia="宋体" w:cs="Times New Roman"/>
                      <w:color w:val="auto"/>
                      <w:kern w:val="2"/>
                      <w:sz w:val="21"/>
                      <w:szCs w:val="21"/>
                      <w:highlight w:val="none"/>
                      <w:vertAlign w:val="baseline"/>
                      <w:lang w:val="en-US" w:eastAsia="zh-CN" w:bidi="ar-SA"/>
                    </w:rPr>
                    <w:t>轻质白油</w:t>
                  </w:r>
                </w:p>
              </w:tc>
              <w:tc>
                <w:tcPr>
                  <w:tcW w:w="945" w:type="dxa"/>
                  <w:shd w:val="clear" w:color="auto" w:fill="auto"/>
                  <w:vAlign w:val="center"/>
                </w:tcPr>
                <w:p w14:paraId="171C1B61">
                  <w:pPr>
                    <w:widowControl/>
                    <w:jc w:val="center"/>
                    <w:rPr>
                      <w:rFonts w:hint="eastAsia" w:ascii="Times New Roman" w:hAnsi="Times New Roman" w:eastAsia="宋体" w:cs="Times New Roman"/>
                      <w:color w:val="auto"/>
                      <w:kern w:val="2"/>
                      <w:sz w:val="21"/>
                      <w:szCs w:val="21"/>
                      <w:lang w:val="en-US" w:eastAsia="zh-CN" w:bidi="ar"/>
                    </w:rPr>
                  </w:pPr>
                  <w:r>
                    <w:rPr>
                      <w:rFonts w:hint="eastAsia" w:ascii="Times New Roman" w:hAnsi="Times New Roman" w:eastAsia="宋体" w:cs="Times New Roman"/>
                      <w:color w:val="auto"/>
                      <w:kern w:val="2"/>
                      <w:sz w:val="21"/>
                      <w:szCs w:val="21"/>
                      <w:lang w:val="en-US" w:eastAsia="zh-CN" w:bidi="ar"/>
                    </w:rPr>
                    <w:t>416L</w:t>
                  </w:r>
                </w:p>
              </w:tc>
              <w:tc>
                <w:tcPr>
                  <w:tcW w:w="947" w:type="dxa"/>
                  <w:shd w:val="clear" w:color="auto" w:fill="auto"/>
                  <w:vAlign w:val="center"/>
                </w:tcPr>
                <w:p w14:paraId="798B3BA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s="Times New Roman"/>
                      <w:color w:val="auto"/>
                      <w:kern w:val="2"/>
                      <w:sz w:val="21"/>
                      <w:szCs w:val="21"/>
                      <w:highlight w:val="none"/>
                      <w:vertAlign w:val="baseline"/>
                      <w:lang w:val="en-US" w:eastAsia="zh-CN" w:bidi="ar-SA"/>
                    </w:rPr>
                  </w:pPr>
                  <w:r>
                    <w:rPr>
                      <w:rFonts w:hint="eastAsia" w:cs="Times New Roman"/>
                      <w:color w:val="auto"/>
                      <w:kern w:val="2"/>
                      <w:sz w:val="21"/>
                      <w:szCs w:val="21"/>
                      <w:highlight w:val="none"/>
                      <w:vertAlign w:val="baseline"/>
                      <w:lang w:val="en-US" w:eastAsia="zh-CN" w:bidi="ar-SA"/>
                    </w:rPr>
                    <w:t>208</w:t>
                  </w:r>
                  <w:r>
                    <w:rPr>
                      <w:rFonts w:hint="eastAsia" w:ascii="Times New Roman" w:hAnsi="Times New Roman" w:eastAsia="宋体" w:cs="Times New Roman"/>
                      <w:color w:val="auto"/>
                      <w:kern w:val="2"/>
                      <w:sz w:val="21"/>
                      <w:szCs w:val="21"/>
                      <w:lang w:val="en-US" w:eastAsia="zh-CN" w:bidi="ar"/>
                    </w:rPr>
                    <w:t>L</w:t>
                  </w:r>
                </w:p>
              </w:tc>
              <w:tc>
                <w:tcPr>
                  <w:tcW w:w="1100" w:type="dxa"/>
                  <w:shd w:val="clear" w:color="auto" w:fill="auto"/>
                  <w:vAlign w:val="center"/>
                </w:tcPr>
                <w:p w14:paraId="6B982ABF">
                  <w:pPr>
                    <w:widowControl/>
                    <w:jc w:val="center"/>
                    <w:rPr>
                      <w:rFonts w:hint="default" w:ascii="Times New Roman" w:hAnsi="Times New Roman" w:eastAsia="宋体" w:cs="Times New Roman"/>
                      <w:color w:val="auto"/>
                      <w:kern w:val="2"/>
                      <w:sz w:val="21"/>
                      <w:szCs w:val="21"/>
                      <w:lang w:val="en-US" w:eastAsia="zh-CN" w:bidi="ar"/>
                    </w:rPr>
                  </w:pPr>
                  <w:r>
                    <w:rPr>
                      <w:rFonts w:hint="eastAsia" w:cs="Times New Roman"/>
                      <w:color w:val="auto"/>
                      <w:kern w:val="2"/>
                      <w:sz w:val="21"/>
                      <w:szCs w:val="21"/>
                      <w:lang w:val="en-US" w:eastAsia="zh-CN" w:bidi="ar"/>
                    </w:rPr>
                    <w:t>624</w:t>
                  </w:r>
                  <w:r>
                    <w:rPr>
                      <w:rFonts w:hint="eastAsia" w:ascii="Times New Roman" w:hAnsi="Times New Roman" w:eastAsia="宋体" w:cs="Times New Roman"/>
                      <w:color w:val="auto"/>
                      <w:kern w:val="2"/>
                      <w:sz w:val="21"/>
                      <w:szCs w:val="21"/>
                      <w:lang w:val="en-US" w:eastAsia="zh-CN" w:bidi="ar"/>
                    </w:rPr>
                    <w:t>L</w:t>
                  </w:r>
                </w:p>
              </w:tc>
              <w:tc>
                <w:tcPr>
                  <w:tcW w:w="1613" w:type="dxa"/>
                  <w:vAlign w:val="center"/>
                </w:tcPr>
                <w:p w14:paraId="423D83C8">
                  <w:pPr>
                    <w:topLinePunct/>
                    <w:jc w:val="center"/>
                    <w:rPr>
                      <w:rFonts w:hint="default" w:cs="Times New Roman"/>
                      <w:bCs/>
                      <w:color w:val="auto"/>
                      <w:sz w:val="21"/>
                      <w:szCs w:val="21"/>
                      <w:lang w:val="en-US" w:eastAsia="zh-CN"/>
                    </w:rPr>
                  </w:pPr>
                  <w:r>
                    <w:rPr>
                      <w:rFonts w:hint="eastAsia" w:cs="Times New Roman"/>
                      <w:bCs/>
                      <w:color w:val="auto"/>
                      <w:sz w:val="21"/>
                      <w:szCs w:val="21"/>
                      <w:lang w:val="en-US" w:eastAsia="zh-CN"/>
                    </w:rPr>
                    <w:t>桶装</w:t>
                  </w:r>
                </w:p>
              </w:tc>
              <w:tc>
                <w:tcPr>
                  <w:tcW w:w="1584" w:type="dxa"/>
                  <w:vMerge w:val="continue"/>
                  <w:vAlign w:val="center"/>
                </w:tcPr>
                <w:p w14:paraId="522C300F">
                  <w:pPr>
                    <w:adjustRightInd w:val="0"/>
                    <w:snapToGrid w:val="0"/>
                    <w:jc w:val="center"/>
                    <w:rPr>
                      <w:rFonts w:hint="default" w:ascii="Times New Roman" w:hAnsi="Times New Roman" w:eastAsia="宋体" w:cs="Times New Roman"/>
                      <w:color w:val="auto"/>
                      <w:sz w:val="21"/>
                      <w:szCs w:val="21"/>
                    </w:rPr>
                  </w:pPr>
                </w:p>
              </w:tc>
            </w:tr>
            <w:tr w14:paraId="7695226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5" w:hRule="atLeast"/>
                <w:jc w:val="center"/>
              </w:trPr>
              <w:tc>
                <w:tcPr>
                  <w:tcW w:w="978" w:type="dxa"/>
                  <w:vAlign w:val="center"/>
                </w:tcPr>
                <w:p w14:paraId="049FDA18">
                  <w:pPr>
                    <w:numPr>
                      <w:ilvl w:val="0"/>
                      <w:numId w:val="18"/>
                    </w:numPr>
                    <w:adjustRightInd w:val="0"/>
                    <w:snapToGrid w:val="0"/>
                    <w:ind w:left="0" w:leftChars="0" w:firstLine="0" w:firstLineChars="0"/>
                    <w:jc w:val="center"/>
                    <w:rPr>
                      <w:rFonts w:hint="default" w:ascii="Times New Roman" w:hAnsi="Times New Roman" w:eastAsia="宋体" w:cs="Times New Roman"/>
                      <w:color w:val="auto"/>
                      <w:sz w:val="21"/>
                      <w:szCs w:val="21"/>
                    </w:rPr>
                  </w:pPr>
                </w:p>
              </w:tc>
              <w:tc>
                <w:tcPr>
                  <w:tcW w:w="945" w:type="dxa"/>
                  <w:shd w:val="clear" w:color="auto" w:fill="auto"/>
                  <w:vAlign w:val="center"/>
                </w:tcPr>
                <w:p w14:paraId="192EA82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eastAsia"/>
                      <w:color w:val="auto"/>
                      <w:sz w:val="21"/>
                      <w:szCs w:val="21"/>
                      <w:lang w:val="en-US" w:eastAsia="zh-CN"/>
                    </w:rPr>
                    <w:t>消泡剂</w:t>
                  </w:r>
                </w:p>
              </w:tc>
              <w:tc>
                <w:tcPr>
                  <w:tcW w:w="945" w:type="dxa"/>
                  <w:shd w:val="clear" w:color="auto" w:fill="auto"/>
                  <w:vAlign w:val="center"/>
                </w:tcPr>
                <w:p w14:paraId="060602E0">
                  <w:pPr>
                    <w:widowControl/>
                    <w:jc w:val="center"/>
                    <w:rPr>
                      <w:rFonts w:hint="eastAsia" w:ascii="Times New Roman" w:hAnsi="Times New Roman" w:eastAsia="宋体" w:cs="Times New Roman"/>
                      <w:color w:val="auto"/>
                      <w:kern w:val="2"/>
                      <w:sz w:val="21"/>
                      <w:szCs w:val="21"/>
                      <w:lang w:val="en-US" w:eastAsia="zh-CN" w:bidi="ar"/>
                    </w:rPr>
                  </w:pPr>
                  <w:r>
                    <w:rPr>
                      <w:rFonts w:hint="eastAsia"/>
                      <w:color w:val="auto"/>
                      <w:sz w:val="21"/>
                      <w:szCs w:val="21"/>
                      <w:lang w:val="en-US" w:eastAsia="zh-CN"/>
                    </w:rPr>
                    <w:t>0.1</w:t>
                  </w:r>
                </w:p>
              </w:tc>
              <w:tc>
                <w:tcPr>
                  <w:tcW w:w="947" w:type="dxa"/>
                  <w:shd w:val="clear" w:color="auto" w:fill="auto"/>
                  <w:vAlign w:val="center"/>
                </w:tcPr>
                <w:p w14:paraId="2841C59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s="Times New Roman"/>
                      <w:color w:val="auto"/>
                      <w:kern w:val="2"/>
                      <w:sz w:val="21"/>
                      <w:szCs w:val="21"/>
                      <w:highlight w:val="none"/>
                      <w:vertAlign w:val="baseline"/>
                      <w:lang w:val="en-US" w:eastAsia="zh-CN" w:bidi="ar-SA"/>
                    </w:rPr>
                  </w:pPr>
                  <w:r>
                    <w:rPr>
                      <w:rFonts w:hint="eastAsia" w:cs="Times New Roman"/>
                      <w:color w:val="auto"/>
                      <w:kern w:val="2"/>
                      <w:sz w:val="21"/>
                      <w:szCs w:val="21"/>
                      <w:highlight w:val="none"/>
                      <w:vertAlign w:val="baseline"/>
                      <w:lang w:val="en-US" w:eastAsia="zh-CN" w:bidi="ar-SA"/>
                    </w:rPr>
                    <w:t>0.05</w:t>
                  </w:r>
                </w:p>
              </w:tc>
              <w:tc>
                <w:tcPr>
                  <w:tcW w:w="1100" w:type="dxa"/>
                  <w:shd w:val="clear" w:color="auto" w:fill="auto"/>
                  <w:vAlign w:val="center"/>
                </w:tcPr>
                <w:p w14:paraId="065619C3">
                  <w:pPr>
                    <w:widowControl/>
                    <w:jc w:val="center"/>
                    <w:rPr>
                      <w:rFonts w:hint="default" w:ascii="Times New Roman" w:hAnsi="Times New Roman" w:eastAsia="宋体" w:cs="Times New Roman"/>
                      <w:color w:val="auto"/>
                      <w:kern w:val="2"/>
                      <w:sz w:val="21"/>
                      <w:szCs w:val="21"/>
                      <w:lang w:val="en-US" w:eastAsia="zh-CN" w:bidi="ar"/>
                    </w:rPr>
                  </w:pPr>
                  <w:r>
                    <w:rPr>
                      <w:rFonts w:hint="eastAsia" w:cs="Times New Roman"/>
                      <w:color w:val="auto"/>
                      <w:kern w:val="2"/>
                      <w:sz w:val="21"/>
                      <w:szCs w:val="21"/>
                      <w:lang w:val="en-US" w:eastAsia="zh-CN" w:bidi="ar"/>
                    </w:rPr>
                    <w:t>0.15</w:t>
                  </w:r>
                </w:p>
              </w:tc>
              <w:tc>
                <w:tcPr>
                  <w:tcW w:w="1613" w:type="dxa"/>
                  <w:vAlign w:val="center"/>
                </w:tcPr>
                <w:p w14:paraId="523C7085">
                  <w:pPr>
                    <w:topLinePunct/>
                    <w:jc w:val="center"/>
                    <w:rPr>
                      <w:rFonts w:hint="default" w:cs="Times New Roman"/>
                      <w:bCs/>
                      <w:color w:val="auto"/>
                      <w:sz w:val="21"/>
                      <w:szCs w:val="21"/>
                      <w:lang w:val="en-US" w:eastAsia="zh-CN"/>
                    </w:rPr>
                  </w:pPr>
                  <w:r>
                    <w:rPr>
                      <w:rFonts w:hint="eastAsia" w:cs="Times New Roman"/>
                      <w:bCs/>
                      <w:color w:val="auto"/>
                      <w:sz w:val="21"/>
                      <w:szCs w:val="21"/>
                      <w:lang w:val="en-US" w:eastAsia="zh-CN"/>
                    </w:rPr>
                    <w:t>桶装</w:t>
                  </w:r>
                </w:p>
              </w:tc>
              <w:tc>
                <w:tcPr>
                  <w:tcW w:w="1584" w:type="dxa"/>
                  <w:vMerge w:val="continue"/>
                  <w:vAlign w:val="center"/>
                </w:tcPr>
                <w:p w14:paraId="14EBA3F1">
                  <w:pPr>
                    <w:adjustRightInd w:val="0"/>
                    <w:snapToGrid w:val="0"/>
                    <w:jc w:val="center"/>
                    <w:rPr>
                      <w:rFonts w:hint="default" w:ascii="Times New Roman" w:hAnsi="Times New Roman" w:eastAsia="宋体" w:cs="Times New Roman"/>
                      <w:color w:val="auto"/>
                      <w:sz w:val="21"/>
                      <w:szCs w:val="21"/>
                    </w:rPr>
                  </w:pPr>
                </w:p>
              </w:tc>
            </w:tr>
            <w:tr w14:paraId="2D73FB6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5" w:hRule="atLeast"/>
                <w:jc w:val="center"/>
              </w:trPr>
              <w:tc>
                <w:tcPr>
                  <w:tcW w:w="978" w:type="dxa"/>
                  <w:vAlign w:val="center"/>
                </w:tcPr>
                <w:p w14:paraId="72718B2D">
                  <w:pPr>
                    <w:numPr>
                      <w:ilvl w:val="0"/>
                      <w:numId w:val="18"/>
                    </w:numPr>
                    <w:adjustRightInd w:val="0"/>
                    <w:snapToGrid w:val="0"/>
                    <w:ind w:left="0" w:leftChars="0" w:firstLine="0" w:firstLineChars="0"/>
                    <w:jc w:val="center"/>
                    <w:rPr>
                      <w:rFonts w:hint="default" w:ascii="Times New Roman" w:hAnsi="Times New Roman" w:eastAsia="宋体" w:cs="Times New Roman"/>
                      <w:color w:val="auto"/>
                      <w:sz w:val="21"/>
                      <w:szCs w:val="21"/>
                    </w:rPr>
                  </w:pPr>
                </w:p>
              </w:tc>
              <w:tc>
                <w:tcPr>
                  <w:tcW w:w="2837" w:type="dxa"/>
                  <w:gridSpan w:val="3"/>
                  <w:shd w:val="clear" w:color="auto" w:fill="auto"/>
                  <w:vAlign w:val="center"/>
                </w:tcPr>
                <w:p w14:paraId="55A01862">
                  <w:pPr>
                    <w:widowControl/>
                    <w:jc w:val="center"/>
                    <w:rPr>
                      <w:rFonts w:hint="default" w:ascii="Times New Roman" w:hAnsi="Times New Roman" w:eastAsia="宋体" w:cs="Times New Roman"/>
                      <w:bCs/>
                      <w:snapToGrid w:val="0"/>
                      <w:color w:val="auto"/>
                      <w:spacing w:val="6"/>
                      <w:kern w:val="2"/>
                      <w:sz w:val="21"/>
                      <w:szCs w:val="21"/>
                      <w:lang w:val="en-US" w:eastAsia="zh-CN" w:bidi="ar"/>
                    </w:rPr>
                  </w:pPr>
                  <w:r>
                    <w:rPr>
                      <w:rFonts w:hint="default" w:ascii="Times New Roman" w:hAnsi="Times New Roman" w:eastAsia="宋体" w:cs="Times New Roman"/>
                      <w:bCs/>
                      <w:snapToGrid w:val="0"/>
                      <w:color w:val="auto"/>
                      <w:spacing w:val="6"/>
                      <w:kern w:val="2"/>
                      <w:sz w:val="21"/>
                      <w:szCs w:val="21"/>
                      <w:lang w:val="en-US" w:eastAsia="zh-CN" w:bidi="ar"/>
                    </w:rPr>
                    <w:t>废深孔钻油</w:t>
                  </w:r>
                </w:p>
              </w:tc>
              <w:tc>
                <w:tcPr>
                  <w:tcW w:w="1100" w:type="dxa"/>
                  <w:vAlign w:val="center"/>
                </w:tcPr>
                <w:p w14:paraId="5E2B253A">
                  <w:pPr>
                    <w:widowControl/>
                    <w:jc w:val="center"/>
                    <w:rPr>
                      <w:rFonts w:hint="default" w:ascii="Times New Roman" w:hAnsi="Times New Roman" w:eastAsia="宋体" w:cs="Times New Roman"/>
                      <w:color w:val="auto"/>
                      <w:sz w:val="21"/>
                      <w:szCs w:val="21"/>
                    </w:rPr>
                  </w:pPr>
                  <w:r>
                    <w:rPr>
                      <w:rFonts w:hint="eastAsia" w:cs="Times New Roman"/>
                      <w:color w:val="auto"/>
                      <w:sz w:val="21"/>
                      <w:szCs w:val="21"/>
                      <w:lang w:val="en-US" w:eastAsia="zh-CN" w:bidi="ar"/>
                    </w:rPr>
                    <w:t>2.025</w:t>
                  </w:r>
                </w:p>
              </w:tc>
              <w:tc>
                <w:tcPr>
                  <w:tcW w:w="1613" w:type="dxa"/>
                  <w:vAlign w:val="center"/>
                </w:tcPr>
                <w:p w14:paraId="6890413D">
                  <w:pPr>
                    <w:topLinePunct/>
                    <w:jc w:val="center"/>
                    <w:rPr>
                      <w:rFonts w:hint="default" w:ascii="Times New Roman" w:hAnsi="Times New Roman" w:eastAsia="宋体" w:cs="Times New Roman"/>
                      <w:color w:val="auto"/>
                      <w:kern w:val="2"/>
                      <w:sz w:val="21"/>
                      <w:szCs w:val="21"/>
                      <w:lang w:val="en-US" w:eastAsia="zh-CN" w:bidi="ar-SA"/>
                    </w:rPr>
                  </w:pPr>
                  <w:r>
                    <w:rPr>
                      <w:rFonts w:hint="eastAsia" w:cs="Times New Roman"/>
                      <w:bCs/>
                      <w:color w:val="auto"/>
                      <w:sz w:val="21"/>
                      <w:szCs w:val="21"/>
                      <w:lang w:val="en-US" w:eastAsia="zh-CN"/>
                    </w:rPr>
                    <w:t>桶装</w:t>
                  </w:r>
                </w:p>
              </w:tc>
              <w:tc>
                <w:tcPr>
                  <w:tcW w:w="1584" w:type="dxa"/>
                  <w:vMerge w:val="restart"/>
                  <w:vAlign w:val="center"/>
                </w:tcPr>
                <w:p w14:paraId="3BE1E377">
                  <w:pPr>
                    <w:adjustRightInd w:val="0"/>
                    <w:snapToGrid w:val="0"/>
                    <w:jc w:val="center"/>
                    <w:rPr>
                      <w:rFonts w:hint="default" w:ascii="Times New Roman" w:hAnsi="Times New Roman" w:eastAsia="宋体" w:cs="Times New Roman"/>
                      <w:color w:val="auto"/>
                      <w:sz w:val="21"/>
                      <w:szCs w:val="21"/>
                    </w:rPr>
                  </w:pPr>
                  <w:r>
                    <w:rPr>
                      <w:rFonts w:hint="eastAsia" w:cs="Times New Roman"/>
                      <w:color w:val="auto"/>
                      <w:sz w:val="21"/>
                      <w:szCs w:val="21"/>
                      <w:lang w:val="en-US" w:eastAsia="zh-CN"/>
                    </w:rPr>
                    <w:t>危废仓库</w:t>
                  </w:r>
                </w:p>
              </w:tc>
            </w:tr>
            <w:tr w14:paraId="13066CF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5" w:hRule="atLeast"/>
                <w:jc w:val="center"/>
              </w:trPr>
              <w:tc>
                <w:tcPr>
                  <w:tcW w:w="978" w:type="dxa"/>
                  <w:vAlign w:val="center"/>
                </w:tcPr>
                <w:p w14:paraId="6932580C">
                  <w:pPr>
                    <w:numPr>
                      <w:ilvl w:val="0"/>
                      <w:numId w:val="18"/>
                    </w:numPr>
                    <w:adjustRightInd w:val="0"/>
                    <w:snapToGrid w:val="0"/>
                    <w:ind w:left="0" w:leftChars="0" w:firstLine="0" w:firstLineChars="0"/>
                    <w:jc w:val="center"/>
                    <w:rPr>
                      <w:rFonts w:hint="default" w:ascii="Times New Roman" w:hAnsi="Times New Roman" w:eastAsia="宋体" w:cs="Times New Roman"/>
                      <w:color w:val="auto"/>
                      <w:sz w:val="21"/>
                      <w:szCs w:val="21"/>
                    </w:rPr>
                  </w:pPr>
                </w:p>
              </w:tc>
              <w:tc>
                <w:tcPr>
                  <w:tcW w:w="2837" w:type="dxa"/>
                  <w:gridSpan w:val="3"/>
                  <w:shd w:val="clear" w:color="auto" w:fill="auto"/>
                  <w:vAlign w:val="center"/>
                </w:tcPr>
                <w:p w14:paraId="28DF998F">
                  <w:pPr>
                    <w:widowControl/>
                    <w:jc w:val="center"/>
                    <w:rPr>
                      <w:rFonts w:hint="default" w:ascii="Times New Roman" w:hAnsi="Times New Roman" w:eastAsia="宋体" w:cs="Times New Roman"/>
                      <w:bCs/>
                      <w:snapToGrid w:val="0"/>
                      <w:color w:val="auto"/>
                      <w:spacing w:val="6"/>
                      <w:kern w:val="2"/>
                      <w:sz w:val="21"/>
                      <w:szCs w:val="21"/>
                      <w:lang w:val="en-US" w:eastAsia="zh-CN" w:bidi="ar"/>
                    </w:rPr>
                  </w:pPr>
                  <w:r>
                    <w:rPr>
                      <w:rFonts w:hint="eastAsia" w:cs="Times New Roman"/>
                      <w:color w:val="auto"/>
                      <w:sz w:val="21"/>
                      <w:szCs w:val="21"/>
                      <w:lang w:eastAsia="zh-CN" w:bidi="ar"/>
                    </w:rPr>
                    <w:t>废油桶</w:t>
                  </w:r>
                </w:p>
              </w:tc>
              <w:tc>
                <w:tcPr>
                  <w:tcW w:w="1100" w:type="dxa"/>
                  <w:vAlign w:val="center"/>
                </w:tcPr>
                <w:p w14:paraId="3C4CE819">
                  <w:pPr>
                    <w:widowControl/>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bidi="ar"/>
                    </w:rPr>
                    <w:t>0.119</w:t>
                  </w:r>
                </w:p>
              </w:tc>
              <w:tc>
                <w:tcPr>
                  <w:tcW w:w="1613" w:type="dxa"/>
                  <w:vAlign w:val="center"/>
                </w:tcPr>
                <w:p w14:paraId="7915B083">
                  <w:pPr>
                    <w:topLinePunct/>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加盖密闭</w:t>
                  </w:r>
                </w:p>
              </w:tc>
              <w:tc>
                <w:tcPr>
                  <w:tcW w:w="1584" w:type="dxa"/>
                  <w:vMerge w:val="continue"/>
                  <w:vAlign w:val="center"/>
                </w:tcPr>
                <w:p w14:paraId="2513FC7E">
                  <w:pPr>
                    <w:adjustRightInd w:val="0"/>
                    <w:snapToGrid w:val="0"/>
                    <w:jc w:val="center"/>
                    <w:rPr>
                      <w:rFonts w:hint="default" w:ascii="Times New Roman" w:hAnsi="Times New Roman" w:eastAsia="宋体" w:cs="Times New Roman"/>
                      <w:color w:val="auto"/>
                      <w:sz w:val="21"/>
                      <w:szCs w:val="21"/>
                    </w:rPr>
                  </w:pPr>
                </w:p>
              </w:tc>
            </w:tr>
            <w:tr w14:paraId="2B472C4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5" w:hRule="atLeast"/>
                <w:jc w:val="center"/>
              </w:trPr>
              <w:tc>
                <w:tcPr>
                  <w:tcW w:w="978" w:type="dxa"/>
                  <w:vAlign w:val="center"/>
                </w:tcPr>
                <w:p w14:paraId="306EDA9B">
                  <w:pPr>
                    <w:numPr>
                      <w:ilvl w:val="0"/>
                      <w:numId w:val="18"/>
                    </w:numPr>
                    <w:adjustRightInd w:val="0"/>
                    <w:snapToGrid w:val="0"/>
                    <w:ind w:left="0" w:leftChars="0" w:firstLine="0" w:firstLineChars="0"/>
                    <w:jc w:val="center"/>
                    <w:rPr>
                      <w:rFonts w:hint="default" w:ascii="Times New Roman" w:hAnsi="Times New Roman" w:eastAsia="宋体" w:cs="Times New Roman"/>
                      <w:color w:val="auto"/>
                      <w:sz w:val="21"/>
                      <w:szCs w:val="21"/>
                    </w:rPr>
                  </w:pPr>
                </w:p>
              </w:tc>
              <w:tc>
                <w:tcPr>
                  <w:tcW w:w="2837" w:type="dxa"/>
                  <w:gridSpan w:val="3"/>
                  <w:shd w:val="clear" w:color="auto" w:fill="auto"/>
                  <w:vAlign w:val="center"/>
                </w:tcPr>
                <w:p w14:paraId="30AA7E81">
                  <w:pPr>
                    <w:widowControl/>
                    <w:jc w:val="center"/>
                    <w:rPr>
                      <w:rFonts w:hint="default" w:ascii="Times New Roman" w:hAnsi="Times New Roman" w:eastAsia="宋体" w:cs="Times New Roman"/>
                      <w:bCs/>
                      <w:snapToGrid w:val="0"/>
                      <w:color w:val="auto"/>
                      <w:spacing w:val="6"/>
                      <w:kern w:val="2"/>
                      <w:sz w:val="21"/>
                      <w:szCs w:val="21"/>
                      <w:lang w:val="en-US" w:eastAsia="zh-CN" w:bidi="ar"/>
                    </w:rPr>
                  </w:pPr>
                  <w:r>
                    <w:rPr>
                      <w:rFonts w:hint="eastAsia" w:cs="Times New Roman"/>
                      <w:color w:val="auto"/>
                      <w:sz w:val="21"/>
                      <w:szCs w:val="21"/>
                      <w:lang w:eastAsia="zh-CN" w:bidi="ar"/>
                    </w:rPr>
                    <w:t>废润滑油</w:t>
                  </w:r>
                </w:p>
              </w:tc>
              <w:tc>
                <w:tcPr>
                  <w:tcW w:w="1100" w:type="dxa"/>
                  <w:vAlign w:val="center"/>
                </w:tcPr>
                <w:p w14:paraId="22CAB843">
                  <w:pPr>
                    <w:widowControl/>
                    <w:jc w:val="center"/>
                    <w:rPr>
                      <w:rFonts w:hint="default" w:ascii="Times New Roman" w:hAnsi="Times New Roman" w:eastAsia="宋体" w:cs="Times New Roman"/>
                      <w:color w:val="auto"/>
                      <w:sz w:val="21"/>
                      <w:szCs w:val="21"/>
                    </w:rPr>
                  </w:pPr>
                  <w:r>
                    <w:rPr>
                      <w:rFonts w:hint="eastAsia"/>
                      <w:color w:val="auto"/>
                      <w:sz w:val="21"/>
                      <w:szCs w:val="21"/>
                      <w:lang w:val="en-US" w:eastAsia="zh-CN"/>
                    </w:rPr>
                    <w:t>1</w:t>
                  </w:r>
                </w:p>
              </w:tc>
              <w:tc>
                <w:tcPr>
                  <w:tcW w:w="1613" w:type="dxa"/>
                  <w:vAlign w:val="center"/>
                </w:tcPr>
                <w:p w14:paraId="1CFC690C">
                  <w:pPr>
                    <w:topLinePunct/>
                    <w:jc w:val="center"/>
                    <w:rPr>
                      <w:rFonts w:hint="default" w:ascii="Times New Roman" w:hAnsi="Times New Roman" w:eastAsia="宋体" w:cs="Times New Roman"/>
                      <w:color w:val="auto"/>
                      <w:kern w:val="2"/>
                      <w:sz w:val="21"/>
                      <w:szCs w:val="21"/>
                      <w:lang w:val="en-US" w:eastAsia="zh-CN" w:bidi="ar-SA"/>
                    </w:rPr>
                  </w:pPr>
                  <w:r>
                    <w:rPr>
                      <w:rFonts w:hint="eastAsia" w:cs="Times New Roman"/>
                      <w:bCs/>
                      <w:color w:val="auto"/>
                      <w:sz w:val="21"/>
                      <w:szCs w:val="21"/>
                      <w:lang w:val="en-US" w:eastAsia="zh-CN"/>
                    </w:rPr>
                    <w:t>桶装</w:t>
                  </w:r>
                </w:p>
              </w:tc>
              <w:tc>
                <w:tcPr>
                  <w:tcW w:w="1584" w:type="dxa"/>
                  <w:vMerge w:val="continue"/>
                  <w:vAlign w:val="center"/>
                </w:tcPr>
                <w:p w14:paraId="4AB4727C">
                  <w:pPr>
                    <w:adjustRightInd w:val="0"/>
                    <w:snapToGrid w:val="0"/>
                    <w:jc w:val="center"/>
                    <w:rPr>
                      <w:rFonts w:hint="default" w:ascii="Times New Roman" w:hAnsi="Times New Roman" w:eastAsia="宋体" w:cs="Times New Roman"/>
                      <w:color w:val="auto"/>
                      <w:sz w:val="21"/>
                      <w:szCs w:val="21"/>
                    </w:rPr>
                  </w:pPr>
                </w:p>
              </w:tc>
            </w:tr>
            <w:tr w14:paraId="27EAABC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5" w:hRule="atLeast"/>
                <w:jc w:val="center"/>
              </w:trPr>
              <w:tc>
                <w:tcPr>
                  <w:tcW w:w="978" w:type="dxa"/>
                  <w:vAlign w:val="center"/>
                </w:tcPr>
                <w:p w14:paraId="49760225">
                  <w:pPr>
                    <w:numPr>
                      <w:ilvl w:val="0"/>
                      <w:numId w:val="18"/>
                    </w:numPr>
                    <w:adjustRightInd w:val="0"/>
                    <w:snapToGrid w:val="0"/>
                    <w:ind w:left="0" w:leftChars="0" w:firstLine="0" w:firstLineChars="0"/>
                    <w:jc w:val="center"/>
                    <w:rPr>
                      <w:rFonts w:hint="default" w:ascii="Times New Roman" w:hAnsi="Times New Roman" w:eastAsia="宋体" w:cs="Times New Roman"/>
                      <w:color w:val="auto"/>
                      <w:sz w:val="21"/>
                      <w:szCs w:val="21"/>
                    </w:rPr>
                  </w:pPr>
                </w:p>
              </w:tc>
              <w:tc>
                <w:tcPr>
                  <w:tcW w:w="2837" w:type="dxa"/>
                  <w:gridSpan w:val="3"/>
                  <w:shd w:val="clear" w:color="auto" w:fill="auto"/>
                  <w:vAlign w:val="center"/>
                </w:tcPr>
                <w:p w14:paraId="3C86DD0E">
                  <w:pPr>
                    <w:widowControl/>
                    <w:jc w:val="center"/>
                    <w:rPr>
                      <w:rFonts w:hint="default" w:ascii="Times New Roman" w:hAnsi="Times New Roman" w:eastAsia="宋体" w:cs="Times New Roman"/>
                      <w:bCs/>
                      <w:snapToGrid w:val="0"/>
                      <w:color w:val="auto"/>
                      <w:spacing w:val="6"/>
                      <w:kern w:val="2"/>
                      <w:sz w:val="21"/>
                      <w:szCs w:val="21"/>
                      <w:lang w:val="en-US" w:eastAsia="zh-CN" w:bidi="ar"/>
                    </w:rPr>
                  </w:pPr>
                  <w:r>
                    <w:rPr>
                      <w:rFonts w:hint="eastAsia" w:cs="Times New Roman"/>
                      <w:color w:val="auto"/>
                      <w:sz w:val="21"/>
                      <w:szCs w:val="21"/>
                      <w:lang w:eastAsia="zh-CN" w:bidi="ar"/>
                    </w:rPr>
                    <w:t>废液压油</w:t>
                  </w:r>
                </w:p>
              </w:tc>
              <w:tc>
                <w:tcPr>
                  <w:tcW w:w="1100" w:type="dxa"/>
                  <w:vAlign w:val="center"/>
                </w:tcPr>
                <w:p w14:paraId="5D74FE80">
                  <w:pPr>
                    <w:widowControl/>
                    <w:jc w:val="center"/>
                    <w:rPr>
                      <w:rFonts w:hint="default" w:ascii="Times New Roman" w:hAnsi="Times New Roman" w:eastAsia="宋体" w:cs="Times New Roman"/>
                      <w:color w:val="auto"/>
                      <w:sz w:val="21"/>
                      <w:szCs w:val="21"/>
                    </w:rPr>
                  </w:pPr>
                  <w:r>
                    <w:rPr>
                      <w:rFonts w:hint="eastAsia"/>
                      <w:color w:val="auto"/>
                      <w:sz w:val="21"/>
                      <w:szCs w:val="21"/>
                      <w:lang w:val="en-US" w:eastAsia="zh-CN"/>
                    </w:rPr>
                    <w:t>0.333</w:t>
                  </w:r>
                </w:p>
              </w:tc>
              <w:tc>
                <w:tcPr>
                  <w:tcW w:w="1613" w:type="dxa"/>
                  <w:vAlign w:val="center"/>
                </w:tcPr>
                <w:p w14:paraId="3DABFD6D">
                  <w:pPr>
                    <w:topLinePunct/>
                    <w:jc w:val="center"/>
                    <w:rPr>
                      <w:rFonts w:hint="default" w:ascii="Times New Roman" w:hAnsi="Times New Roman" w:eastAsia="宋体" w:cs="Times New Roman"/>
                      <w:color w:val="auto"/>
                      <w:kern w:val="2"/>
                      <w:sz w:val="21"/>
                      <w:szCs w:val="21"/>
                      <w:lang w:val="en-US" w:eastAsia="zh-CN" w:bidi="ar-SA"/>
                    </w:rPr>
                  </w:pPr>
                  <w:r>
                    <w:rPr>
                      <w:rFonts w:hint="eastAsia" w:cs="Times New Roman"/>
                      <w:bCs/>
                      <w:color w:val="auto"/>
                      <w:sz w:val="21"/>
                      <w:szCs w:val="21"/>
                      <w:lang w:val="en-US" w:eastAsia="zh-CN"/>
                    </w:rPr>
                    <w:t>桶装</w:t>
                  </w:r>
                </w:p>
              </w:tc>
              <w:tc>
                <w:tcPr>
                  <w:tcW w:w="1584" w:type="dxa"/>
                  <w:vMerge w:val="continue"/>
                  <w:vAlign w:val="center"/>
                </w:tcPr>
                <w:p w14:paraId="0D38E3BE">
                  <w:pPr>
                    <w:adjustRightInd w:val="0"/>
                    <w:snapToGrid w:val="0"/>
                    <w:jc w:val="center"/>
                    <w:rPr>
                      <w:rFonts w:hint="default" w:ascii="Times New Roman" w:hAnsi="Times New Roman" w:eastAsia="宋体" w:cs="Times New Roman"/>
                      <w:color w:val="auto"/>
                      <w:sz w:val="21"/>
                      <w:szCs w:val="21"/>
                    </w:rPr>
                  </w:pPr>
                </w:p>
              </w:tc>
            </w:tr>
            <w:tr w14:paraId="26AD2C4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5" w:hRule="atLeast"/>
                <w:jc w:val="center"/>
              </w:trPr>
              <w:tc>
                <w:tcPr>
                  <w:tcW w:w="978" w:type="dxa"/>
                  <w:vAlign w:val="center"/>
                </w:tcPr>
                <w:p w14:paraId="0D1DA41E">
                  <w:pPr>
                    <w:numPr>
                      <w:ilvl w:val="0"/>
                      <w:numId w:val="18"/>
                    </w:numPr>
                    <w:adjustRightInd w:val="0"/>
                    <w:snapToGrid w:val="0"/>
                    <w:ind w:left="0" w:leftChars="0" w:firstLine="0" w:firstLineChars="0"/>
                    <w:jc w:val="center"/>
                    <w:rPr>
                      <w:rFonts w:hint="default" w:ascii="Times New Roman" w:hAnsi="Times New Roman" w:eastAsia="宋体" w:cs="Times New Roman"/>
                      <w:color w:val="auto"/>
                      <w:sz w:val="21"/>
                      <w:szCs w:val="21"/>
                    </w:rPr>
                  </w:pPr>
                </w:p>
              </w:tc>
              <w:tc>
                <w:tcPr>
                  <w:tcW w:w="2837" w:type="dxa"/>
                  <w:gridSpan w:val="3"/>
                  <w:shd w:val="clear" w:color="auto" w:fill="auto"/>
                  <w:vAlign w:val="center"/>
                </w:tcPr>
                <w:p w14:paraId="07AE9CA1">
                  <w:pPr>
                    <w:widowControl/>
                    <w:jc w:val="center"/>
                    <w:rPr>
                      <w:rFonts w:hint="eastAsia" w:cs="Times New Roman"/>
                      <w:color w:val="auto"/>
                      <w:sz w:val="21"/>
                      <w:szCs w:val="21"/>
                      <w:lang w:eastAsia="zh-CN" w:bidi="ar"/>
                    </w:rPr>
                  </w:pPr>
                  <w:r>
                    <w:rPr>
                      <w:rFonts w:hint="eastAsia" w:cs="Times New Roman"/>
                      <w:color w:val="auto"/>
                      <w:sz w:val="21"/>
                      <w:szCs w:val="21"/>
                      <w:lang w:val="en-US" w:eastAsia="zh-CN" w:bidi="ar"/>
                    </w:rPr>
                    <w:t>抛光废料</w:t>
                  </w:r>
                </w:p>
              </w:tc>
              <w:tc>
                <w:tcPr>
                  <w:tcW w:w="1100" w:type="dxa"/>
                  <w:vAlign w:val="center"/>
                </w:tcPr>
                <w:p w14:paraId="62C915B1">
                  <w:pPr>
                    <w:widowControl/>
                    <w:jc w:val="center"/>
                    <w:rPr>
                      <w:rFonts w:hint="eastAsia"/>
                      <w:color w:val="auto"/>
                      <w:sz w:val="21"/>
                      <w:szCs w:val="21"/>
                      <w:lang w:val="en-US" w:eastAsia="zh-CN"/>
                    </w:rPr>
                  </w:pPr>
                  <w:r>
                    <w:rPr>
                      <w:rFonts w:hint="eastAsia"/>
                      <w:color w:val="auto"/>
                      <w:sz w:val="21"/>
                      <w:szCs w:val="21"/>
                      <w:lang w:val="en-US" w:eastAsia="zh-CN"/>
                    </w:rPr>
                    <w:t>2.38</w:t>
                  </w:r>
                </w:p>
              </w:tc>
              <w:tc>
                <w:tcPr>
                  <w:tcW w:w="1613" w:type="dxa"/>
                  <w:vAlign w:val="center"/>
                </w:tcPr>
                <w:p w14:paraId="302BA3F2">
                  <w:pPr>
                    <w:topLinePunct/>
                    <w:jc w:val="center"/>
                    <w:rPr>
                      <w:rFonts w:hint="eastAsia" w:cs="Times New Roman"/>
                      <w:bCs/>
                      <w:color w:val="auto"/>
                      <w:sz w:val="21"/>
                      <w:szCs w:val="21"/>
                      <w:lang w:val="en-US" w:eastAsia="zh-CN"/>
                    </w:rPr>
                  </w:pPr>
                  <w:r>
                    <w:rPr>
                      <w:rFonts w:hint="eastAsia" w:cs="Times New Roman"/>
                      <w:color w:val="auto"/>
                      <w:kern w:val="2"/>
                      <w:sz w:val="21"/>
                      <w:szCs w:val="21"/>
                      <w:lang w:val="en-US" w:eastAsia="zh-CN" w:bidi="ar-SA"/>
                    </w:rPr>
                    <w:t>袋装</w:t>
                  </w:r>
                </w:p>
              </w:tc>
              <w:tc>
                <w:tcPr>
                  <w:tcW w:w="1584" w:type="dxa"/>
                  <w:vMerge w:val="continue"/>
                  <w:vAlign w:val="center"/>
                </w:tcPr>
                <w:p w14:paraId="57047868">
                  <w:pPr>
                    <w:adjustRightInd w:val="0"/>
                    <w:snapToGrid w:val="0"/>
                    <w:jc w:val="center"/>
                    <w:rPr>
                      <w:rFonts w:hint="default" w:ascii="Times New Roman" w:hAnsi="Times New Roman" w:eastAsia="宋体" w:cs="Times New Roman"/>
                      <w:color w:val="auto"/>
                      <w:sz w:val="21"/>
                      <w:szCs w:val="21"/>
                    </w:rPr>
                  </w:pPr>
                </w:p>
              </w:tc>
            </w:tr>
            <w:tr w14:paraId="70E5955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5" w:hRule="atLeast"/>
                <w:jc w:val="center"/>
              </w:trPr>
              <w:tc>
                <w:tcPr>
                  <w:tcW w:w="978" w:type="dxa"/>
                  <w:vAlign w:val="center"/>
                </w:tcPr>
                <w:p w14:paraId="29C05908">
                  <w:pPr>
                    <w:numPr>
                      <w:ilvl w:val="0"/>
                      <w:numId w:val="18"/>
                    </w:numPr>
                    <w:adjustRightInd w:val="0"/>
                    <w:snapToGrid w:val="0"/>
                    <w:ind w:left="0" w:leftChars="0" w:firstLine="0" w:firstLineChars="0"/>
                    <w:jc w:val="center"/>
                    <w:rPr>
                      <w:rFonts w:hint="default" w:ascii="Times New Roman" w:hAnsi="Times New Roman" w:eastAsia="宋体" w:cs="Times New Roman"/>
                      <w:color w:val="auto"/>
                      <w:sz w:val="21"/>
                      <w:szCs w:val="21"/>
                    </w:rPr>
                  </w:pPr>
                </w:p>
              </w:tc>
              <w:tc>
                <w:tcPr>
                  <w:tcW w:w="2837" w:type="dxa"/>
                  <w:gridSpan w:val="3"/>
                  <w:shd w:val="clear" w:color="auto" w:fill="auto"/>
                  <w:vAlign w:val="center"/>
                </w:tcPr>
                <w:p w14:paraId="002DCA23">
                  <w:pPr>
                    <w:widowControl/>
                    <w:jc w:val="center"/>
                    <w:rPr>
                      <w:rFonts w:hint="eastAsia" w:ascii="Times New Roman" w:hAnsi="Times New Roman" w:eastAsia="宋体" w:cs="Times New Roman"/>
                      <w:bCs/>
                      <w:snapToGrid w:val="0"/>
                      <w:color w:val="auto"/>
                      <w:spacing w:val="6"/>
                      <w:sz w:val="21"/>
                      <w:szCs w:val="21"/>
                      <w:lang w:val="en-US" w:eastAsia="zh-CN"/>
                    </w:rPr>
                  </w:pPr>
                  <w:r>
                    <w:rPr>
                      <w:rFonts w:hint="eastAsia" w:cs="Times New Roman"/>
                      <w:color w:val="auto"/>
                      <w:sz w:val="21"/>
                      <w:szCs w:val="21"/>
                      <w:lang w:eastAsia="zh-CN" w:bidi="ar"/>
                    </w:rPr>
                    <w:t>废电池</w:t>
                  </w:r>
                </w:p>
              </w:tc>
              <w:tc>
                <w:tcPr>
                  <w:tcW w:w="1100" w:type="dxa"/>
                  <w:vAlign w:val="center"/>
                </w:tcPr>
                <w:p w14:paraId="49083CAA">
                  <w:pPr>
                    <w:widowControl/>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eastAsia="zh-CN" w:bidi="ar"/>
                    </w:rPr>
                    <w:t>0.25</w:t>
                  </w:r>
                </w:p>
              </w:tc>
              <w:tc>
                <w:tcPr>
                  <w:tcW w:w="1613" w:type="dxa"/>
                  <w:vAlign w:val="center"/>
                </w:tcPr>
                <w:p w14:paraId="29688575">
                  <w:pPr>
                    <w:topLinePunct/>
                    <w:jc w:val="center"/>
                    <w:rPr>
                      <w:rFonts w:hint="default" w:cs="Times New Roman"/>
                      <w:color w:val="auto"/>
                      <w:kern w:val="2"/>
                      <w:sz w:val="21"/>
                      <w:szCs w:val="21"/>
                      <w:lang w:val="en-US" w:eastAsia="zh-CN" w:bidi="ar-SA"/>
                    </w:rPr>
                  </w:pPr>
                  <w:r>
                    <w:rPr>
                      <w:rFonts w:hint="eastAsia" w:cs="Times New Roman"/>
                      <w:color w:val="auto"/>
                      <w:kern w:val="2"/>
                      <w:sz w:val="21"/>
                      <w:szCs w:val="21"/>
                      <w:lang w:val="en-US" w:eastAsia="zh-CN" w:bidi="ar-SA"/>
                    </w:rPr>
                    <w:t>袋装</w:t>
                  </w:r>
                </w:p>
              </w:tc>
              <w:tc>
                <w:tcPr>
                  <w:tcW w:w="1584" w:type="dxa"/>
                  <w:vMerge w:val="continue"/>
                  <w:vAlign w:val="center"/>
                </w:tcPr>
                <w:p w14:paraId="37CEBA7B">
                  <w:pPr>
                    <w:adjustRightInd w:val="0"/>
                    <w:snapToGrid w:val="0"/>
                    <w:jc w:val="center"/>
                    <w:rPr>
                      <w:rFonts w:hint="default" w:ascii="Times New Roman" w:hAnsi="Times New Roman" w:eastAsia="宋体" w:cs="Times New Roman"/>
                      <w:color w:val="auto"/>
                      <w:sz w:val="21"/>
                      <w:szCs w:val="21"/>
                    </w:rPr>
                  </w:pPr>
                </w:p>
              </w:tc>
            </w:tr>
            <w:tr w14:paraId="7AF093E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5" w:hRule="atLeast"/>
                <w:jc w:val="center"/>
              </w:trPr>
              <w:tc>
                <w:tcPr>
                  <w:tcW w:w="978" w:type="dxa"/>
                  <w:vAlign w:val="center"/>
                </w:tcPr>
                <w:p w14:paraId="127E8B27">
                  <w:pPr>
                    <w:numPr>
                      <w:ilvl w:val="0"/>
                      <w:numId w:val="18"/>
                    </w:numPr>
                    <w:adjustRightInd w:val="0"/>
                    <w:snapToGrid w:val="0"/>
                    <w:ind w:left="0" w:leftChars="0" w:firstLine="0" w:firstLineChars="0"/>
                    <w:jc w:val="center"/>
                    <w:rPr>
                      <w:rFonts w:hint="default" w:ascii="Times New Roman" w:hAnsi="Times New Roman" w:eastAsia="宋体" w:cs="Times New Roman"/>
                      <w:color w:val="auto"/>
                      <w:sz w:val="21"/>
                      <w:szCs w:val="21"/>
                    </w:rPr>
                  </w:pPr>
                </w:p>
              </w:tc>
              <w:tc>
                <w:tcPr>
                  <w:tcW w:w="2837" w:type="dxa"/>
                  <w:gridSpan w:val="3"/>
                  <w:shd w:val="clear" w:color="auto" w:fill="auto"/>
                  <w:vAlign w:val="center"/>
                </w:tcPr>
                <w:p w14:paraId="6B65CFF1">
                  <w:pPr>
                    <w:widowControl/>
                    <w:jc w:val="center"/>
                    <w:rPr>
                      <w:rFonts w:hint="eastAsia" w:cs="Times New Roman"/>
                      <w:color w:val="auto"/>
                      <w:sz w:val="21"/>
                      <w:szCs w:val="21"/>
                      <w:lang w:eastAsia="zh-CN" w:bidi="ar"/>
                    </w:rPr>
                  </w:pPr>
                  <w:r>
                    <w:rPr>
                      <w:rFonts w:hint="eastAsia" w:cs="Times New Roman"/>
                      <w:color w:val="auto"/>
                      <w:sz w:val="21"/>
                      <w:szCs w:val="21"/>
                      <w:lang w:val="en-US" w:eastAsia="zh-CN" w:bidi="ar"/>
                    </w:rPr>
                    <w:t>废油</w:t>
                  </w:r>
                </w:p>
              </w:tc>
              <w:tc>
                <w:tcPr>
                  <w:tcW w:w="1100" w:type="dxa"/>
                  <w:vAlign w:val="center"/>
                </w:tcPr>
                <w:p w14:paraId="2C5B3B33">
                  <w:pPr>
                    <w:widowControl/>
                    <w:jc w:val="center"/>
                    <w:rPr>
                      <w:rFonts w:hint="eastAsia" w:cs="Times New Roman"/>
                      <w:color w:val="auto"/>
                      <w:sz w:val="21"/>
                      <w:szCs w:val="21"/>
                      <w:lang w:eastAsia="zh-CN" w:bidi="ar"/>
                    </w:rPr>
                  </w:pPr>
                  <w:r>
                    <w:rPr>
                      <w:rFonts w:hint="eastAsia"/>
                      <w:color w:val="auto"/>
                      <w:sz w:val="21"/>
                      <w:szCs w:val="21"/>
                      <w:lang w:val="en-US" w:eastAsia="zh-CN"/>
                    </w:rPr>
                    <w:t>1.666</w:t>
                  </w:r>
                </w:p>
              </w:tc>
              <w:tc>
                <w:tcPr>
                  <w:tcW w:w="1613" w:type="dxa"/>
                  <w:vAlign w:val="center"/>
                </w:tcPr>
                <w:p w14:paraId="481CA790">
                  <w:pPr>
                    <w:topLinePunct/>
                    <w:jc w:val="center"/>
                    <w:rPr>
                      <w:rFonts w:hint="eastAsia" w:cs="Times New Roman"/>
                      <w:color w:val="auto"/>
                      <w:kern w:val="2"/>
                      <w:sz w:val="21"/>
                      <w:szCs w:val="21"/>
                      <w:lang w:val="en-US" w:eastAsia="zh-CN" w:bidi="ar-SA"/>
                    </w:rPr>
                  </w:pPr>
                  <w:r>
                    <w:rPr>
                      <w:rFonts w:hint="eastAsia" w:cs="Times New Roman"/>
                      <w:bCs/>
                      <w:color w:val="auto"/>
                      <w:sz w:val="21"/>
                      <w:szCs w:val="21"/>
                      <w:lang w:val="en-US" w:eastAsia="zh-CN"/>
                    </w:rPr>
                    <w:t>桶装</w:t>
                  </w:r>
                </w:p>
              </w:tc>
              <w:tc>
                <w:tcPr>
                  <w:tcW w:w="1584" w:type="dxa"/>
                  <w:vMerge w:val="continue"/>
                  <w:vAlign w:val="center"/>
                </w:tcPr>
                <w:p w14:paraId="30B8643E">
                  <w:pPr>
                    <w:adjustRightInd w:val="0"/>
                    <w:snapToGrid w:val="0"/>
                    <w:jc w:val="center"/>
                    <w:rPr>
                      <w:rFonts w:hint="default" w:ascii="Times New Roman" w:hAnsi="Times New Roman" w:eastAsia="宋体" w:cs="Times New Roman"/>
                      <w:color w:val="auto"/>
                      <w:sz w:val="21"/>
                      <w:szCs w:val="21"/>
                    </w:rPr>
                  </w:pPr>
                </w:p>
              </w:tc>
            </w:tr>
            <w:tr w14:paraId="09A7E96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5" w:hRule="atLeast"/>
                <w:jc w:val="center"/>
              </w:trPr>
              <w:tc>
                <w:tcPr>
                  <w:tcW w:w="978" w:type="dxa"/>
                  <w:vAlign w:val="center"/>
                </w:tcPr>
                <w:p w14:paraId="50D7C7B4">
                  <w:pPr>
                    <w:numPr>
                      <w:ilvl w:val="0"/>
                      <w:numId w:val="18"/>
                    </w:numPr>
                    <w:adjustRightInd w:val="0"/>
                    <w:snapToGrid w:val="0"/>
                    <w:ind w:left="0" w:leftChars="0" w:firstLine="0" w:firstLineChars="0"/>
                    <w:jc w:val="center"/>
                    <w:rPr>
                      <w:rFonts w:hint="default" w:ascii="Times New Roman" w:hAnsi="Times New Roman" w:eastAsia="宋体" w:cs="Times New Roman"/>
                      <w:color w:val="auto"/>
                      <w:sz w:val="21"/>
                      <w:szCs w:val="21"/>
                    </w:rPr>
                  </w:pPr>
                </w:p>
              </w:tc>
              <w:tc>
                <w:tcPr>
                  <w:tcW w:w="2837" w:type="dxa"/>
                  <w:gridSpan w:val="3"/>
                  <w:shd w:val="clear" w:color="auto" w:fill="auto"/>
                  <w:vAlign w:val="center"/>
                </w:tcPr>
                <w:p w14:paraId="1CDBC394">
                  <w:pPr>
                    <w:widowControl/>
                    <w:jc w:val="center"/>
                    <w:rPr>
                      <w:rFonts w:hint="eastAsia" w:ascii="Times New Roman" w:hAnsi="Times New Roman" w:eastAsia="宋体" w:cs="Times New Roman"/>
                      <w:bCs/>
                      <w:snapToGrid w:val="0"/>
                      <w:color w:val="auto"/>
                      <w:spacing w:val="6"/>
                      <w:sz w:val="21"/>
                      <w:szCs w:val="21"/>
                      <w:lang w:val="en-US" w:eastAsia="zh-CN"/>
                    </w:rPr>
                  </w:pPr>
                  <w:r>
                    <w:rPr>
                      <w:rFonts w:hint="eastAsia" w:cs="Times New Roman"/>
                      <w:color w:val="auto"/>
                      <w:sz w:val="21"/>
                      <w:szCs w:val="21"/>
                      <w:lang w:val="en-US" w:eastAsia="zh-CN" w:bidi="ar"/>
                    </w:rPr>
                    <w:t>废切削液</w:t>
                  </w:r>
                </w:p>
              </w:tc>
              <w:tc>
                <w:tcPr>
                  <w:tcW w:w="1100" w:type="dxa"/>
                  <w:vAlign w:val="center"/>
                </w:tcPr>
                <w:p w14:paraId="51B3CFE4">
                  <w:pPr>
                    <w:widowControl/>
                    <w:jc w:val="center"/>
                    <w:rPr>
                      <w:rFonts w:hint="default" w:ascii="Times New Roman" w:hAnsi="Times New Roman" w:eastAsia="宋体" w:cs="Times New Roman"/>
                      <w:color w:val="auto"/>
                      <w:sz w:val="21"/>
                      <w:szCs w:val="21"/>
                      <w:lang w:val="en-US" w:eastAsia="zh-CN"/>
                    </w:rPr>
                  </w:pPr>
                  <w:r>
                    <w:rPr>
                      <w:rFonts w:hint="eastAsia"/>
                      <w:color w:val="auto"/>
                      <w:sz w:val="21"/>
                      <w:szCs w:val="21"/>
                      <w:lang w:val="en-US" w:eastAsia="zh-CN"/>
                    </w:rPr>
                    <w:t>2.62</w:t>
                  </w:r>
                </w:p>
              </w:tc>
              <w:tc>
                <w:tcPr>
                  <w:tcW w:w="1613" w:type="dxa"/>
                  <w:vAlign w:val="center"/>
                </w:tcPr>
                <w:p w14:paraId="7FC78C9E">
                  <w:pPr>
                    <w:topLinePunct/>
                    <w:jc w:val="center"/>
                    <w:rPr>
                      <w:rFonts w:hint="default" w:cs="Times New Roman"/>
                      <w:color w:val="auto"/>
                      <w:kern w:val="2"/>
                      <w:sz w:val="21"/>
                      <w:szCs w:val="21"/>
                      <w:lang w:val="en-US" w:eastAsia="zh-CN" w:bidi="ar-SA"/>
                    </w:rPr>
                  </w:pPr>
                  <w:r>
                    <w:rPr>
                      <w:rFonts w:hint="eastAsia" w:cs="Times New Roman"/>
                      <w:bCs/>
                      <w:color w:val="auto"/>
                      <w:sz w:val="21"/>
                      <w:szCs w:val="21"/>
                      <w:lang w:val="en-US" w:eastAsia="zh-CN"/>
                    </w:rPr>
                    <w:t>桶装</w:t>
                  </w:r>
                </w:p>
              </w:tc>
              <w:tc>
                <w:tcPr>
                  <w:tcW w:w="1584" w:type="dxa"/>
                  <w:vMerge w:val="continue"/>
                  <w:vAlign w:val="center"/>
                </w:tcPr>
                <w:p w14:paraId="453682E4">
                  <w:pPr>
                    <w:adjustRightInd w:val="0"/>
                    <w:snapToGrid w:val="0"/>
                    <w:jc w:val="center"/>
                    <w:rPr>
                      <w:rFonts w:hint="default" w:ascii="Times New Roman" w:hAnsi="Times New Roman" w:eastAsia="宋体" w:cs="Times New Roman"/>
                      <w:color w:val="auto"/>
                      <w:sz w:val="21"/>
                      <w:szCs w:val="21"/>
                    </w:rPr>
                  </w:pPr>
                </w:p>
              </w:tc>
            </w:tr>
            <w:tr w14:paraId="5CE9765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5" w:hRule="atLeast"/>
                <w:jc w:val="center"/>
              </w:trPr>
              <w:tc>
                <w:tcPr>
                  <w:tcW w:w="978" w:type="dxa"/>
                  <w:vAlign w:val="center"/>
                </w:tcPr>
                <w:p w14:paraId="2D6066D1">
                  <w:pPr>
                    <w:numPr>
                      <w:ilvl w:val="0"/>
                      <w:numId w:val="18"/>
                    </w:numPr>
                    <w:adjustRightInd w:val="0"/>
                    <w:snapToGrid w:val="0"/>
                    <w:ind w:left="0" w:leftChars="0" w:firstLine="0" w:firstLineChars="0"/>
                    <w:jc w:val="center"/>
                    <w:rPr>
                      <w:rFonts w:hint="default" w:ascii="Times New Roman" w:hAnsi="Times New Roman" w:eastAsia="宋体" w:cs="Times New Roman"/>
                      <w:color w:val="auto"/>
                      <w:sz w:val="21"/>
                      <w:szCs w:val="21"/>
                    </w:rPr>
                  </w:pPr>
                </w:p>
              </w:tc>
              <w:tc>
                <w:tcPr>
                  <w:tcW w:w="2837" w:type="dxa"/>
                  <w:gridSpan w:val="3"/>
                  <w:shd w:val="clear" w:color="auto" w:fill="auto"/>
                  <w:vAlign w:val="center"/>
                </w:tcPr>
                <w:p w14:paraId="3D61F9D1">
                  <w:pPr>
                    <w:widowControl/>
                    <w:jc w:val="center"/>
                    <w:rPr>
                      <w:rFonts w:hint="eastAsia" w:ascii="Times New Roman" w:hAnsi="Times New Roman" w:eastAsia="宋体" w:cs="Times New Roman"/>
                      <w:bCs/>
                      <w:snapToGrid w:val="0"/>
                      <w:color w:val="auto"/>
                      <w:spacing w:val="6"/>
                      <w:sz w:val="21"/>
                      <w:szCs w:val="21"/>
                      <w:lang w:val="en-US" w:eastAsia="zh-CN"/>
                    </w:rPr>
                  </w:pPr>
                  <w:r>
                    <w:rPr>
                      <w:rFonts w:hint="eastAsia" w:cs="Times New Roman"/>
                      <w:color w:val="auto"/>
                      <w:sz w:val="21"/>
                      <w:szCs w:val="21"/>
                      <w:lang w:val="en-US" w:eastAsia="zh-CN" w:bidi="ar"/>
                    </w:rPr>
                    <w:t>废刷子</w:t>
                  </w:r>
                </w:p>
              </w:tc>
              <w:tc>
                <w:tcPr>
                  <w:tcW w:w="1100" w:type="dxa"/>
                  <w:vAlign w:val="center"/>
                </w:tcPr>
                <w:p w14:paraId="6B3C6C47">
                  <w:pPr>
                    <w:widowControl/>
                    <w:jc w:val="center"/>
                    <w:rPr>
                      <w:rFonts w:hint="default" w:ascii="Times New Roman" w:hAnsi="Times New Roman" w:eastAsia="宋体" w:cs="Times New Roman"/>
                      <w:color w:val="auto"/>
                      <w:sz w:val="21"/>
                      <w:szCs w:val="21"/>
                      <w:lang w:val="en-US" w:eastAsia="zh-CN"/>
                    </w:rPr>
                  </w:pPr>
                  <w:r>
                    <w:rPr>
                      <w:rFonts w:hint="eastAsia"/>
                      <w:color w:val="auto"/>
                      <w:sz w:val="21"/>
                      <w:szCs w:val="21"/>
                      <w:lang w:val="en-US" w:eastAsia="zh-CN"/>
                    </w:rPr>
                    <w:t>0.075</w:t>
                  </w:r>
                </w:p>
              </w:tc>
              <w:tc>
                <w:tcPr>
                  <w:tcW w:w="1613" w:type="dxa"/>
                  <w:vAlign w:val="center"/>
                </w:tcPr>
                <w:p w14:paraId="099C8CA1">
                  <w:pPr>
                    <w:topLinePunct/>
                    <w:jc w:val="center"/>
                    <w:rPr>
                      <w:rFonts w:hint="default" w:cs="Times New Roman"/>
                      <w:color w:val="auto"/>
                      <w:kern w:val="2"/>
                      <w:sz w:val="21"/>
                      <w:szCs w:val="21"/>
                      <w:lang w:val="en-US" w:eastAsia="zh-CN" w:bidi="ar-SA"/>
                    </w:rPr>
                  </w:pPr>
                  <w:r>
                    <w:rPr>
                      <w:rFonts w:hint="eastAsia" w:cs="Times New Roman"/>
                      <w:color w:val="auto"/>
                      <w:kern w:val="2"/>
                      <w:sz w:val="21"/>
                      <w:szCs w:val="21"/>
                      <w:lang w:val="en-US" w:eastAsia="zh-CN" w:bidi="ar-SA"/>
                    </w:rPr>
                    <w:t>袋装</w:t>
                  </w:r>
                </w:p>
              </w:tc>
              <w:tc>
                <w:tcPr>
                  <w:tcW w:w="1584" w:type="dxa"/>
                  <w:vMerge w:val="continue"/>
                  <w:vAlign w:val="center"/>
                </w:tcPr>
                <w:p w14:paraId="568124A0">
                  <w:pPr>
                    <w:adjustRightInd w:val="0"/>
                    <w:snapToGrid w:val="0"/>
                    <w:jc w:val="center"/>
                    <w:rPr>
                      <w:rFonts w:hint="default" w:ascii="Times New Roman" w:hAnsi="Times New Roman" w:eastAsia="宋体" w:cs="Times New Roman"/>
                      <w:color w:val="auto"/>
                      <w:sz w:val="21"/>
                      <w:szCs w:val="21"/>
                    </w:rPr>
                  </w:pPr>
                </w:p>
              </w:tc>
            </w:tr>
            <w:tr w14:paraId="26C60C2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5" w:hRule="atLeast"/>
                <w:jc w:val="center"/>
              </w:trPr>
              <w:tc>
                <w:tcPr>
                  <w:tcW w:w="978" w:type="dxa"/>
                  <w:vAlign w:val="center"/>
                </w:tcPr>
                <w:p w14:paraId="68D0B757">
                  <w:pPr>
                    <w:numPr>
                      <w:ilvl w:val="0"/>
                      <w:numId w:val="18"/>
                    </w:numPr>
                    <w:adjustRightInd w:val="0"/>
                    <w:snapToGrid w:val="0"/>
                    <w:ind w:left="0" w:leftChars="0" w:firstLine="0" w:firstLineChars="0"/>
                    <w:jc w:val="center"/>
                    <w:rPr>
                      <w:rFonts w:hint="default" w:ascii="Times New Roman" w:hAnsi="Times New Roman" w:eastAsia="宋体" w:cs="Times New Roman"/>
                      <w:color w:val="auto"/>
                      <w:sz w:val="21"/>
                      <w:szCs w:val="21"/>
                    </w:rPr>
                  </w:pPr>
                </w:p>
              </w:tc>
              <w:tc>
                <w:tcPr>
                  <w:tcW w:w="2837" w:type="dxa"/>
                  <w:gridSpan w:val="3"/>
                  <w:shd w:val="clear" w:color="auto" w:fill="auto"/>
                  <w:vAlign w:val="center"/>
                </w:tcPr>
                <w:p w14:paraId="3AD6E6AA">
                  <w:pPr>
                    <w:widowControl/>
                    <w:jc w:val="center"/>
                    <w:rPr>
                      <w:rFonts w:hint="eastAsia" w:ascii="Times New Roman" w:hAnsi="Times New Roman" w:eastAsia="宋体" w:cs="Times New Roman"/>
                      <w:bCs/>
                      <w:snapToGrid w:val="0"/>
                      <w:color w:val="auto"/>
                      <w:spacing w:val="6"/>
                      <w:sz w:val="21"/>
                      <w:szCs w:val="21"/>
                      <w:lang w:val="en-US" w:eastAsia="zh-CN"/>
                    </w:rPr>
                  </w:pPr>
                  <w:r>
                    <w:rPr>
                      <w:rFonts w:hint="eastAsia" w:cs="Times New Roman"/>
                      <w:color w:val="auto"/>
                      <w:sz w:val="21"/>
                      <w:szCs w:val="21"/>
                      <w:lang w:val="en-US" w:eastAsia="zh-CN" w:bidi="ar"/>
                    </w:rPr>
                    <w:t>废抹布及手套</w:t>
                  </w:r>
                </w:p>
              </w:tc>
              <w:tc>
                <w:tcPr>
                  <w:tcW w:w="1100" w:type="dxa"/>
                  <w:vAlign w:val="center"/>
                </w:tcPr>
                <w:p w14:paraId="136DC5DF">
                  <w:pPr>
                    <w:widowControl/>
                    <w:jc w:val="center"/>
                    <w:rPr>
                      <w:rFonts w:hint="default" w:ascii="Times New Roman" w:hAnsi="Times New Roman" w:eastAsia="宋体" w:cs="Times New Roman"/>
                      <w:color w:val="auto"/>
                      <w:sz w:val="21"/>
                      <w:szCs w:val="21"/>
                      <w:lang w:val="en-US" w:eastAsia="zh-CN"/>
                    </w:rPr>
                  </w:pPr>
                  <w:r>
                    <w:rPr>
                      <w:rFonts w:hint="eastAsia"/>
                      <w:color w:val="auto"/>
                      <w:sz w:val="21"/>
                      <w:szCs w:val="21"/>
                      <w:lang w:val="en-US" w:eastAsia="zh-CN"/>
                    </w:rPr>
                    <w:t>0.015</w:t>
                  </w:r>
                </w:p>
              </w:tc>
              <w:tc>
                <w:tcPr>
                  <w:tcW w:w="1613" w:type="dxa"/>
                  <w:vAlign w:val="center"/>
                </w:tcPr>
                <w:p w14:paraId="5E6FE4A8">
                  <w:pPr>
                    <w:topLinePunct/>
                    <w:jc w:val="center"/>
                    <w:rPr>
                      <w:rFonts w:hint="default" w:cs="Times New Roman"/>
                      <w:color w:val="auto"/>
                      <w:kern w:val="2"/>
                      <w:sz w:val="21"/>
                      <w:szCs w:val="21"/>
                      <w:lang w:val="en-US" w:eastAsia="zh-CN" w:bidi="ar-SA"/>
                    </w:rPr>
                  </w:pPr>
                  <w:r>
                    <w:rPr>
                      <w:rFonts w:hint="eastAsia" w:cs="Times New Roman"/>
                      <w:color w:val="auto"/>
                      <w:kern w:val="2"/>
                      <w:sz w:val="21"/>
                      <w:szCs w:val="21"/>
                      <w:lang w:val="en-US" w:eastAsia="zh-CN" w:bidi="ar-SA"/>
                    </w:rPr>
                    <w:t>袋装</w:t>
                  </w:r>
                </w:p>
              </w:tc>
              <w:tc>
                <w:tcPr>
                  <w:tcW w:w="1584" w:type="dxa"/>
                  <w:vMerge w:val="continue"/>
                  <w:vAlign w:val="center"/>
                </w:tcPr>
                <w:p w14:paraId="78FE8ACE">
                  <w:pPr>
                    <w:adjustRightInd w:val="0"/>
                    <w:snapToGrid w:val="0"/>
                    <w:jc w:val="center"/>
                    <w:rPr>
                      <w:rFonts w:hint="default" w:ascii="Times New Roman" w:hAnsi="Times New Roman" w:eastAsia="宋体" w:cs="Times New Roman"/>
                      <w:color w:val="auto"/>
                      <w:sz w:val="21"/>
                      <w:szCs w:val="21"/>
                    </w:rPr>
                  </w:pPr>
                </w:p>
              </w:tc>
            </w:tr>
            <w:tr w14:paraId="45D2CC9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5" w:hRule="atLeast"/>
                <w:jc w:val="center"/>
              </w:trPr>
              <w:tc>
                <w:tcPr>
                  <w:tcW w:w="978" w:type="dxa"/>
                  <w:vAlign w:val="center"/>
                </w:tcPr>
                <w:p w14:paraId="71EE6C9C">
                  <w:pPr>
                    <w:numPr>
                      <w:ilvl w:val="0"/>
                      <w:numId w:val="18"/>
                    </w:numPr>
                    <w:adjustRightInd w:val="0"/>
                    <w:snapToGrid w:val="0"/>
                    <w:ind w:left="0" w:leftChars="0" w:firstLine="0" w:firstLineChars="0"/>
                    <w:jc w:val="center"/>
                    <w:rPr>
                      <w:rFonts w:hint="default" w:ascii="Times New Roman" w:hAnsi="Times New Roman" w:eastAsia="宋体" w:cs="Times New Roman"/>
                      <w:color w:val="auto"/>
                      <w:sz w:val="21"/>
                      <w:szCs w:val="21"/>
                    </w:rPr>
                  </w:pPr>
                </w:p>
              </w:tc>
              <w:tc>
                <w:tcPr>
                  <w:tcW w:w="2837" w:type="dxa"/>
                  <w:gridSpan w:val="3"/>
                  <w:shd w:val="clear" w:color="auto" w:fill="auto"/>
                  <w:vAlign w:val="center"/>
                </w:tcPr>
                <w:p w14:paraId="581B5528">
                  <w:pPr>
                    <w:widowControl/>
                    <w:jc w:val="center"/>
                    <w:rPr>
                      <w:rFonts w:hint="eastAsia" w:cs="Times New Roman"/>
                      <w:color w:val="auto"/>
                      <w:sz w:val="21"/>
                      <w:szCs w:val="21"/>
                      <w:lang w:val="en-US" w:eastAsia="zh-CN" w:bidi="ar"/>
                    </w:rPr>
                  </w:pPr>
                  <w:r>
                    <w:rPr>
                      <w:rFonts w:hint="eastAsia" w:cs="Times New Roman"/>
                      <w:color w:val="auto"/>
                      <w:sz w:val="21"/>
                      <w:szCs w:val="21"/>
                      <w:lang w:val="en-US" w:eastAsia="zh-CN" w:bidi="ar"/>
                    </w:rPr>
                    <w:t>废包装桶</w:t>
                  </w:r>
                </w:p>
              </w:tc>
              <w:tc>
                <w:tcPr>
                  <w:tcW w:w="1100" w:type="dxa"/>
                  <w:vAlign w:val="center"/>
                </w:tcPr>
                <w:p w14:paraId="43A85911">
                  <w:pPr>
                    <w:widowControl/>
                    <w:jc w:val="center"/>
                    <w:rPr>
                      <w:rFonts w:hint="eastAsia"/>
                      <w:color w:val="auto"/>
                      <w:sz w:val="21"/>
                      <w:szCs w:val="21"/>
                      <w:lang w:val="en-US" w:eastAsia="zh-CN"/>
                    </w:rPr>
                  </w:pPr>
                  <w:r>
                    <w:rPr>
                      <w:rFonts w:hint="eastAsia" w:ascii="Times New Roman" w:hAnsi="Times New Roman" w:eastAsia="宋体" w:cs="Times New Roman"/>
                      <w:color w:val="auto"/>
                      <w:sz w:val="21"/>
                      <w:szCs w:val="21"/>
                      <w:lang w:val="en-US" w:eastAsia="zh-CN" w:bidi="ar"/>
                    </w:rPr>
                    <w:t>0.055</w:t>
                  </w:r>
                </w:p>
              </w:tc>
              <w:tc>
                <w:tcPr>
                  <w:tcW w:w="1613" w:type="dxa"/>
                  <w:vAlign w:val="center"/>
                </w:tcPr>
                <w:p w14:paraId="3152AED6">
                  <w:pPr>
                    <w:topLinePunct/>
                    <w:jc w:val="center"/>
                    <w:rPr>
                      <w:rFonts w:hint="default" w:cs="Times New Roman"/>
                      <w:color w:val="auto"/>
                      <w:kern w:val="2"/>
                      <w:sz w:val="21"/>
                      <w:szCs w:val="21"/>
                      <w:lang w:val="en-US" w:eastAsia="zh-CN" w:bidi="ar-SA"/>
                    </w:rPr>
                  </w:pPr>
                  <w:r>
                    <w:rPr>
                      <w:rFonts w:hint="eastAsia" w:cs="Times New Roman"/>
                      <w:color w:val="auto"/>
                      <w:kern w:val="2"/>
                      <w:sz w:val="21"/>
                      <w:szCs w:val="21"/>
                      <w:lang w:val="en-US" w:eastAsia="zh-CN" w:bidi="ar-SA"/>
                    </w:rPr>
                    <w:t>加盖密闭</w:t>
                  </w:r>
                </w:p>
              </w:tc>
              <w:tc>
                <w:tcPr>
                  <w:tcW w:w="1584" w:type="dxa"/>
                  <w:vMerge w:val="continue"/>
                  <w:vAlign w:val="center"/>
                </w:tcPr>
                <w:p w14:paraId="128AA330">
                  <w:pPr>
                    <w:adjustRightInd w:val="0"/>
                    <w:snapToGrid w:val="0"/>
                    <w:jc w:val="center"/>
                    <w:rPr>
                      <w:rFonts w:hint="default" w:ascii="Times New Roman" w:hAnsi="Times New Roman" w:eastAsia="宋体" w:cs="Times New Roman"/>
                      <w:color w:val="auto"/>
                      <w:sz w:val="21"/>
                      <w:szCs w:val="21"/>
                    </w:rPr>
                  </w:pPr>
                </w:p>
              </w:tc>
            </w:tr>
            <w:tr w14:paraId="6E88AEA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5" w:hRule="atLeast"/>
                <w:jc w:val="center"/>
              </w:trPr>
              <w:tc>
                <w:tcPr>
                  <w:tcW w:w="978" w:type="dxa"/>
                  <w:vAlign w:val="center"/>
                </w:tcPr>
                <w:p w14:paraId="0A1EA32F">
                  <w:pPr>
                    <w:numPr>
                      <w:ilvl w:val="0"/>
                      <w:numId w:val="18"/>
                    </w:numPr>
                    <w:adjustRightInd w:val="0"/>
                    <w:snapToGrid w:val="0"/>
                    <w:ind w:left="0" w:leftChars="0" w:firstLine="0" w:firstLineChars="0"/>
                    <w:jc w:val="center"/>
                    <w:rPr>
                      <w:rFonts w:hint="default" w:ascii="Times New Roman" w:hAnsi="Times New Roman" w:eastAsia="宋体" w:cs="Times New Roman"/>
                      <w:color w:val="auto"/>
                      <w:sz w:val="21"/>
                      <w:szCs w:val="21"/>
                    </w:rPr>
                  </w:pPr>
                </w:p>
              </w:tc>
              <w:tc>
                <w:tcPr>
                  <w:tcW w:w="2837" w:type="dxa"/>
                  <w:gridSpan w:val="3"/>
                  <w:shd w:val="clear" w:color="auto" w:fill="auto"/>
                  <w:vAlign w:val="center"/>
                </w:tcPr>
                <w:p w14:paraId="73F8FA66">
                  <w:pPr>
                    <w:widowControl/>
                    <w:jc w:val="center"/>
                    <w:rPr>
                      <w:rFonts w:hint="eastAsia" w:cs="Times New Roman"/>
                      <w:color w:val="auto"/>
                      <w:sz w:val="21"/>
                      <w:szCs w:val="21"/>
                      <w:lang w:val="en-US" w:eastAsia="zh-CN" w:bidi="ar"/>
                    </w:rPr>
                  </w:pPr>
                  <w:r>
                    <w:rPr>
                      <w:rFonts w:hint="eastAsia" w:cs="Times New Roman"/>
                      <w:color w:val="auto"/>
                      <w:sz w:val="21"/>
                      <w:szCs w:val="21"/>
                      <w:lang w:val="en-US" w:eastAsia="zh-CN" w:bidi="ar"/>
                    </w:rPr>
                    <w:t>浓液</w:t>
                  </w:r>
                </w:p>
              </w:tc>
              <w:tc>
                <w:tcPr>
                  <w:tcW w:w="1100" w:type="dxa"/>
                  <w:vAlign w:val="center"/>
                </w:tcPr>
                <w:p w14:paraId="0EE36826">
                  <w:pPr>
                    <w:widowControl/>
                    <w:jc w:val="center"/>
                    <w:rPr>
                      <w:rFonts w:hint="eastAsia"/>
                      <w:color w:val="auto"/>
                      <w:sz w:val="21"/>
                      <w:szCs w:val="21"/>
                      <w:lang w:val="en-US" w:eastAsia="zh-CN"/>
                    </w:rPr>
                  </w:pPr>
                  <w:r>
                    <w:rPr>
                      <w:rFonts w:hint="eastAsia"/>
                      <w:color w:val="auto"/>
                      <w:sz w:val="21"/>
                      <w:szCs w:val="21"/>
                      <w:lang w:val="en-US" w:eastAsia="zh-CN"/>
                    </w:rPr>
                    <w:t>2.11</w:t>
                  </w:r>
                </w:p>
              </w:tc>
              <w:tc>
                <w:tcPr>
                  <w:tcW w:w="1613" w:type="dxa"/>
                  <w:vAlign w:val="center"/>
                </w:tcPr>
                <w:p w14:paraId="77042BA4">
                  <w:pPr>
                    <w:topLinePunct/>
                    <w:jc w:val="center"/>
                    <w:rPr>
                      <w:rFonts w:hint="default" w:cs="Times New Roman"/>
                      <w:color w:val="auto"/>
                      <w:kern w:val="2"/>
                      <w:sz w:val="21"/>
                      <w:szCs w:val="21"/>
                      <w:lang w:val="en-US" w:eastAsia="zh-CN" w:bidi="ar-SA"/>
                    </w:rPr>
                  </w:pPr>
                  <w:r>
                    <w:rPr>
                      <w:rFonts w:hint="eastAsia" w:cs="Times New Roman"/>
                      <w:color w:val="auto"/>
                      <w:kern w:val="2"/>
                      <w:sz w:val="21"/>
                      <w:szCs w:val="21"/>
                      <w:lang w:val="en-US" w:eastAsia="zh-CN" w:bidi="ar-SA"/>
                    </w:rPr>
                    <w:t>桶装</w:t>
                  </w:r>
                </w:p>
              </w:tc>
              <w:tc>
                <w:tcPr>
                  <w:tcW w:w="1584" w:type="dxa"/>
                  <w:vMerge w:val="continue"/>
                  <w:vAlign w:val="center"/>
                </w:tcPr>
                <w:p w14:paraId="5443F8C2">
                  <w:pPr>
                    <w:adjustRightInd w:val="0"/>
                    <w:snapToGrid w:val="0"/>
                    <w:jc w:val="center"/>
                    <w:rPr>
                      <w:rFonts w:hint="default" w:ascii="Times New Roman" w:hAnsi="Times New Roman" w:eastAsia="宋体" w:cs="Times New Roman"/>
                      <w:color w:val="auto"/>
                      <w:sz w:val="21"/>
                      <w:szCs w:val="21"/>
                    </w:rPr>
                  </w:pPr>
                </w:p>
              </w:tc>
            </w:tr>
            <w:tr w14:paraId="0476195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5" w:hRule="atLeast"/>
                <w:jc w:val="center"/>
              </w:trPr>
              <w:tc>
                <w:tcPr>
                  <w:tcW w:w="978" w:type="dxa"/>
                  <w:vAlign w:val="center"/>
                </w:tcPr>
                <w:p w14:paraId="357B5F72">
                  <w:pPr>
                    <w:numPr>
                      <w:ilvl w:val="0"/>
                      <w:numId w:val="18"/>
                    </w:numPr>
                    <w:adjustRightInd w:val="0"/>
                    <w:snapToGrid w:val="0"/>
                    <w:ind w:left="0" w:leftChars="0" w:firstLine="0" w:firstLineChars="0"/>
                    <w:jc w:val="center"/>
                    <w:rPr>
                      <w:rFonts w:hint="default" w:ascii="Times New Roman" w:hAnsi="Times New Roman" w:eastAsia="宋体" w:cs="Times New Roman"/>
                      <w:color w:val="auto"/>
                      <w:sz w:val="21"/>
                      <w:szCs w:val="21"/>
                    </w:rPr>
                  </w:pPr>
                </w:p>
              </w:tc>
              <w:tc>
                <w:tcPr>
                  <w:tcW w:w="2837" w:type="dxa"/>
                  <w:gridSpan w:val="3"/>
                  <w:shd w:val="clear" w:color="auto" w:fill="auto"/>
                  <w:vAlign w:val="center"/>
                </w:tcPr>
                <w:p w14:paraId="7859EEC7">
                  <w:pPr>
                    <w:widowControl/>
                    <w:jc w:val="center"/>
                    <w:rPr>
                      <w:rFonts w:hint="eastAsia" w:cs="Times New Roman"/>
                      <w:color w:val="auto"/>
                      <w:sz w:val="21"/>
                      <w:szCs w:val="21"/>
                      <w:lang w:val="en-US" w:eastAsia="zh-CN" w:bidi="ar"/>
                    </w:rPr>
                  </w:pPr>
                  <w:r>
                    <w:rPr>
                      <w:rFonts w:hint="eastAsia" w:cs="Times New Roman"/>
                      <w:color w:val="auto"/>
                      <w:sz w:val="21"/>
                      <w:szCs w:val="21"/>
                      <w:lang w:eastAsia="zh-CN" w:bidi="ar"/>
                    </w:rPr>
                    <w:t>过滤材料</w:t>
                  </w:r>
                </w:p>
              </w:tc>
              <w:tc>
                <w:tcPr>
                  <w:tcW w:w="1100" w:type="dxa"/>
                  <w:vAlign w:val="center"/>
                </w:tcPr>
                <w:p w14:paraId="2F748FB2">
                  <w:pPr>
                    <w:widowControl/>
                    <w:jc w:val="center"/>
                    <w:rPr>
                      <w:rFonts w:hint="eastAsia"/>
                      <w:color w:val="auto"/>
                      <w:sz w:val="21"/>
                      <w:szCs w:val="21"/>
                      <w:lang w:val="en-US" w:eastAsia="zh-CN"/>
                    </w:rPr>
                  </w:pPr>
                  <w:r>
                    <w:rPr>
                      <w:rFonts w:hint="eastAsia"/>
                      <w:color w:val="auto"/>
                      <w:sz w:val="21"/>
                      <w:szCs w:val="21"/>
                      <w:lang w:val="en-US" w:eastAsia="zh-CN"/>
                    </w:rPr>
                    <w:t>0.5</w:t>
                  </w:r>
                </w:p>
              </w:tc>
              <w:tc>
                <w:tcPr>
                  <w:tcW w:w="1613" w:type="dxa"/>
                  <w:vAlign w:val="center"/>
                </w:tcPr>
                <w:p w14:paraId="62819898">
                  <w:pPr>
                    <w:topLinePunct/>
                    <w:jc w:val="center"/>
                    <w:rPr>
                      <w:rFonts w:hint="default" w:cs="Times New Roman"/>
                      <w:color w:val="auto"/>
                      <w:kern w:val="2"/>
                      <w:sz w:val="21"/>
                      <w:szCs w:val="21"/>
                      <w:lang w:val="en-US" w:eastAsia="zh-CN" w:bidi="ar-SA"/>
                    </w:rPr>
                  </w:pPr>
                  <w:r>
                    <w:rPr>
                      <w:rFonts w:hint="eastAsia" w:cs="Times New Roman"/>
                      <w:color w:val="auto"/>
                      <w:kern w:val="2"/>
                      <w:sz w:val="21"/>
                      <w:szCs w:val="21"/>
                      <w:lang w:val="en-US" w:eastAsia="zh-CN" w:bidi="ar-SA"/>
                    </w:rPr>
                    <w:t>袋装</w:t>
                  </w:r>
                </w:p>
              </w:tc>
              <w:tc>
                <w:tcPr>
                  <w:tcW w:w="1584" w:type="dxa"/>
                  <w:vMerge w:val="continue"/>
                  <w:vAlign w:val="center"/>
                </w:tcPr>
                <w:p w14:paraId="7C53BC7D">
                  <w:pPr>
                    <w:adjustRightInd w:val="0"/>
                    <w:snapToGrid w:val="0"/>
                    <w:jc w:val="center"/>
                    <w:rPr>
                      <w:rFonts w:hint="default" w:ascii="Times New Roman" w:hAnsi="Times New Roman" w:eastAsia="宋体" w:cs="Times New Roman"/>
                      <w:color w:val="auto"/>
                      <w:sz w:val="21"/>
                      <w:szCs w:val="21"/>
                    </w:rPr>
                  </w:pPr>
                </w:p>
              </w:tc>
            </w:tr>
            <w:tr w14:paraId="6C50817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5" w:hRule="atLeast"/>
                <w:jc w:val="center"/>
              </w:trPr>
              <w:tc>
                <w:tcPr>
                  <w:tcW w:w="978" w:type="dxa"/>
                  <w:vAlign w:val="center"/>
                </w:tcPr>
                <w:p w14:paraId="25F6957C">
                  <w:pPr>
                    <w:numPr>
                      <w:ilvl w:val="0"/>
                      <w:numId w:val="18"/>
                    </w:numPr>
                    <w:adjustRightInd w:val="0"/>
                    <w:snapToGrid w:val="0"/>
                    <w:ind w:left="0" w:leftChars="0" w:firstLine="0" w:firstLineChars="0"/>
                    <w:jc w:val="center"/>
                    <w:rPr>
                      <w:rFonts w:hint="default" w:ascii="Times New Roman" w:hAnsi="Times New Roman" w:eastAsia="宋体" w:cs="Times New Roman"/>
                      <w:color w:val="auto"/>
                      <w:sz w:val="21"/>
                      <w:szCs w:val="21"/>
                    </w:rPr>
                  </w:pPr>
                </w:p>
              </w:tc>
              <w:tc>
                <w:tcPr>
                  <w:tcW w:w="2837" w:type="dxa"/>
                  <w:gridSpan w:val="3"/>
                  <w:shd w:val="clear" w:color="auto" w:fill="auto"/>
                  <w:vAlign w:val="center"/>
                </w:tcPr>
                <w:p w14:paraId="0E9E025F">
                  <w:pPr>
                    <w:widowControl/>
                    <w:jc w:val="center"/>
                    <w:rPr>
                      <w:rFonts w:hint="eastAsia" w:cs="Times New Roman"/>
                      <w:color w:val="auto"/>
                      <w:sz w:val="21"/>
                      <w:szCs w:val="21"/>
                      <w:lang w:eastAsia="zh-CN" w:bidi="ar"/>
                    </w:rPr>
                  </w:pPr>
                  <w:r>
                    <w:rPr>
                      <w:rFonts w:hint="eastAsia"/>
                      <w:bCs/>
                      <w:snapToGrid w:val="0"/>
                      <w:color w:val="auto"/>
                      <w:spacing w:val="6"/>
                      <w:sz w:val="21"/>
                      <w:szCs w:val="21"/>
                    </w:rPr>
                    <w:t>空压机含油废水</w:t>
                  </w:r>
                </w:p>
              </w:tc>
              <w:tc>
                <w:tcPr>
                  <w:tcW w:w="1100" w:type="dxa"/>
                  <w:vAlign w:val="center"/>
                </w:tcPr>
                <w:p w14:paraId="000653A3">
                  <w:pPr>
                    <w:widowControl/>
                    <w:jc w:val="center"/>
                    <w:rPr>
                      <w:rFonts w:hint="default"/>
                      <w:color w:val="auto"/>
                      <w:sz w:val="21"/>
                      <w:szCs w:val="21"/>
                      <w:lang w:val="en-US" w:eastAsia="zh-CN"/>
                    </w:rPr>
                  </w:pPr>
                  <w:r>
                    <w:rPr>
                      <w:rFonts w:hint="eastAsia"/>
                      <w:color w:val="auto"/>
                      <w:sz w:val="21"/>
                      <w:szCs w:val="21"/>
                      <w:lang w:val="en-US" w:eastAsia="zh-CN"/>
                    </w:rPr>
                    <w:t>0.05</w:t>
                  </w:r>
                </w:p>
              </w:tc>
              <w:tc>
                <w:tcPr>
                  <w:tcW w:w="1613" w:type="dxa"/>
                  <w:vAlign w:val="center"/>
                </w:tcPr>
                <w:p w14:paraId="27D9C461">
                  <w:pPr>
                    <w:topLinePunct/>
                    <w:jc w:val="center"/>
                    <w:rPr>
                      <w:rFonts w:hint="eastAsia" w:cs="Times New Roman"/>
                      <w:color w:val="auto"/>
                      <w:kern w:val="2"/>
                      <w:sz w:val="21"/>
                      <w:szCs w:val="21"/>
                      <w:lang w:val="en-US" w:eastAsia="zh-CN" w:bidi="ar-SA"/>
                    </w:rPr>
                  </w:pPr>
                  <w:r>
                    <w:rPr>
                      <w:rFonts w:hint="eastAsia" w:cs="Times New Roman"/>
                      <w:color w:val="auto"/>
                      <w:kern w:val="2"/>
                      <w:sz w:val="21"/>
                      <w:szCs w:val="21"/>
                      <w:lang w:val="en-US" w:eastAsia="zh-CN" w:bidi="ar-SA"/>
                    </w:rPr>
                    <w:t>桶装</w:t>
                  </w:r>
                </w:p>
              </w:tc>
              <w:tc>
                <w:tcPr>
                  <w:tcW w:w="1584" w:type="dxa"/>
                  <w:vMerge w:val="continue"/>
                  <w:vAlign w:val="center"/>
                </w:tcPr>
                <w:p w14:paraId="2A194FAF">
                  <w:pPr>
                    <w:adjustRightInd w:val="0"/>
                    <w:snapToGrid w:val="0"/>
                    <w:jc w:val="center"/>
                    <w:rPr>
                      <w:rFonts w:hint="default" w:ascii="Times New Roman" w:hAnsi="Times New Roman" w:eastAsia="宋体" w:cs="Times New Roman"/>
                      <w:color w:val="auto"/>
                      <w:sz w:val="21"/>
                      <w:szCs w:val="21"/>
                    </w:rPr>
                  </w:pPr>
                </w:p>
              </w:tc>
            </w:tr>
            <w:tr w14:paraId="530D849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5" w:hRule="atLeast"/>
                <w:jc w:val="center"/>
              </w:trPr>
              <w:tc>
                <w:tcPr>
                  <w:tcW w:w="978" w:type="dxa"/>
                  <w:vAlign w:val="center"/>
                </w:tcPr>
                <w:p w14:paraId="22735D23">
                  <w:pPr>
                    <w:numPr>
                      <w:ilvl w:val="0"/>
                      <w:numId w:val="18"/>
                    </w:numPr>
                    <w:adjustRightInd w:val="0"/>
                    <w:snapToGrid w:val="0"/>
                    <w:ind w:left="0" w:leftChars="0" w:firstLine="0" w:firstLineChars="0"/>
                    <w:jc w:val="center"/>
                    <w:rPr>
                      <w:rFonts w:hint="default" w:ascii="Times New Roman" w:hAnsi="Times New Roman" w:eastAsia="宋体" w:cs="Times New Roman"/>
                      <w:color w:val="auto"/>
                      <w:sz w:val="21"/>
                      <w:szCs w:val="21"/>
                    </w:rPr>
                  </w:pPr>
                </w:p>
              </w:tc>
              <w:tc>
                <w:tcPr>
                  <w:tcW w:w="2837" w:type="dxa"/>
                  <w:gridSpan w:val="3"/>
                  <w:shd w:val="clear" w:color="auto" w:fill="auto"/>
                  <w:vAlign w:val="center"/>
                </w:tcPr>
                <w:p w14:paraId="7B0853EE">
                  <w:pPr>
                    <w:widowControl/>
                    <w:jc w:val="center"/>
                    <w:rPr>
                      <w:rFonts w:hint="eastAsia"/>
                      <w:bCs/>
                      <w:snapToGrid w:val="0"/>
                      <w:color w:val="auto"/>
                      <w:spacing w:val="6"/>
                      <w:sz w:val="21"/>
                      <w:szCs w:val="21"/>
                    </w:rPr>
                  </w:pPr>
                  <w:r>
                    <w:rPr>
                      <w:rFonts w:hint="eastAsia" w:cs="Times New Roman"/>
                      <w:color w:val="auto"/>
                      <w:sz w:val="21"/>
                      <w:szCs w:val="21"/>
                      <w:lang w:val="en-US" w:eastAsia="zh-CN" w:bidi="ar"/>
                    </w:rPr>
                    <w:t>金属屑</w:t>
                  </w:r>
                </w:p>
              </w:tc>
              <w:tc>
                <w:tcPr>
                  <w:tcW w:w="1100" w:type="dxa"/>
                  <w:vAlign w:val="center"/>
                </w:tcPr>
                <w:p w14:paraId="6D40BE14">
                  <w:pPr>
                    <w:widowControl/>
                    <w:jc w:val="center"/>
                    <w:rPr>
                      <w:rFonts w:hint="eastAsia"/>
                      <w:color w:val="auto"/>
                      <w:sz w:val="21"/>
                      <w:szCs w:val="21"/>
                      <w:lang w:val="en-US" w:eastAsia="zh-CN"/>
                    </w:rPr>
                  </w:pPr>
                  <w:r>
                    <w:rPr>
                      <w:rFonts w:hint="eastAsia"/>
                      <w:color w:val="auto"/>
                      <w:sz w:val="21"/>
                      <w:szCs w:val="21"/>
                      <w:lang w:val="en-US" w:eastAsia="zh-CN"/>
                    </w:rPr>
                    <w:t>27.1</w:t>
                  </w:r>
                </w:p>
              </w:tc>
              <w:tc>
                <w:tcPr>
                  <w:tcW w:w="1613" w:type="dxa"/>
                  <w:vAlign w:val="center"/>
                </w:tcPr>
                <w:p w14:paraId="4341CEC3">
                  <w:pPr>
                    <w:topLinePunct/>
                    <w:jc w:val="center"/>
                    <w:rPr>
                      <w:rFonts w:hint="eastAsia" w:cs="Times New Roman"/>
                      <w:color w:val="auto"/>
                      <w:kern w:val="2"/>
                      <w:sz w:val="21"/>
                      <w:szCs w:val="21"/>
                      <w:lang w:val="en-US" w:eastAsia="zh-CN" w:bidi="ar-SA"/>
                    </w:rPr>
                  </w:pPr>
                  <w:r>
                    <w:rPr>
                      <w:rFonts w:hint="eastAsia" w:cs="Times New Roman"/>
                      <w:color w:val="auto"/>
                      <w:kern w:val="2"/>
                      <w:sz w:val="21"/>
                      <w:szCs w:val="21"/>
                      <w:lang w:val="en-US" w:eastAsia="zh-CN" w:bidi="ar-SA"/>
                    </w:rPr>
                    <w:t>桶装</w:t>
                  </w:r>
                </w:p>
              </w:tc>
              <w:tc>
                <w:tcPr>
                  <w:tcW w:w="1584" w:type="dxa"/>
                  <w:vMerge w:val="continue"/>
                  <w:vAlign w:val="center"/>
                </w:tcPr>
                <w:p w14:paraId="50968E95">
                  <w:pPr>
                    <w:adjustRightInd w:val="0"/>
                    <w:snapToGrid w:val="0"/>
                    <w:jc w:val="center"/>
                    <w:rPr>
                      <w:rFonts w:hint="default" w:ascii="Times New Roman" w:hAnsi="Times New Roman" w:eastAsia="宋体" w:cs="Times New Roman"/>
                      <w:color w:val="auto"/>
                      <w:sz w:val="21"/>
                      <w:szCs w:val="21"/>
                    </w:rPr>
                  </w:pPr>
                </w:p>
              </w:tc>
            </w:tr>
            <w:tr w14:paraId="76A85DC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5" w:hRule="atLeast"/>
                <w:jc w:val="center"/>
              </w:trPr>
              <w:tc>
                <w:tcPr>
                  <w:tcW w:w="978" w:type="dxa"/>
                  <w:vAlign w:val="center"/>
                </w:tcPr>
                <w:p w14:paraId="2E4E13F5">
                  <w:pPr>
                    <w:numPr>
                      <w:ilvl w:val="0"/>
                      <w:numId w:val="18"/>
                    </w:numPr>
                    <w:adjustRightInd w:val="0"/>
                    <w:snapToGrid w:val="0"/>
                    <w:ind w:left="0" w:leftChars="0" w:firstLine="0" w:firstLineChars="0"/>
                    <w:jc w:val="center"/>
                    <w:rPr>
                      <w:rFonts w:hint="default" w:ascii="Times New Roman" w:hAnsi="Times New Roman" w:eastAsia="宋体" w:cs="Times New Roman"/>
                      <w:color w:val="auto"/>
                      <w:sz w:val="21"/>
                      <w:szCs w:val="21"/>
                    </w:rPr>
                  </w:pPr>
                </w:p>
              </w:tc>
              <w:tc>
                <w:tcPr>
                  <w:tcW w:w="2837" w:type="dxa"/>
                  <w:gridSpan w:val="3"/>
                  <w:shd w:val="clear" w:color="auto" w:fill="auto"/>
                  <w:vAlign w:val="center"/>
                </w:tcPr>
                <w:p w14:paraId="00E2858F">
                  <w:pPr>
                    <w:widowControl/>
                    <w:jc w:val="center"/>
                    <w:rPr>
                      <w:rFonts w:hint="default" w:cs="Times New Roman"/>
                      <w:color w:val="auto"/>
                      <w:sz w:val="21"/>
                      <w:szCs w:val="21"/>
                      <w:lang w:val="en-US" w:eastAsia="zh-CN" w:bidi="ar"/>
                    </w:rPr>
                  </w:pPr>
                  <w:r>
                    <w:rPr>
                      <w:rFonts w:hint="eastAsia" w:cs="Times New Roman"/>
                      <w:color w:val="auto"/>
                      <w:sz w:val="21"/>
                      <w:szCs w:val="21"/>
                      <w:lang w:val="en-US" w:eastAsia="zh-CN" w:bidi="ar"/>
                    </w:rPr>
                    <w:t>清洗废水</w:t>
                  </w:r>
                </w:p>
              </w:tc>
              <w:tc>
                <w:tcPr>
                  <w:tcW w:w="1100" w:type="dxa"/>
                  <w:vAlign w:val="center"/>
                </w:tcPr>
                <w:p w14:paraId="7C5AE3E6">
                  <w:pPr>
                    <w:widowControl/>
                    <w:jc w:val="center"/>
                    <w:rPr>
                      <w:rFonts w:hint="default"/>
                      <w:color w:val="auto"/>
                      <w:sz w:val="21"/>
                      <w:szCs w:val="21"/>
                      <w:lang w:val="en-US" w:eastAsia="zh-CN"/>
                    </w:rPr>
                  </w:pPr>
                  <w:r>
                    <w:rPr>
                      <w:rFonts w:hint="eastAsia"/>
                      <w:color w:val="auto"/>
                      <w:sz w:val="21"/>
                      <w:szCs w:val="21"/>
                      <w:lang w:val="en-US" w:eastAsia="zh-CN"/>
                    </w:rPr>
                    <w:t>0.8</w:t>
                  </w:r>
                </w:p>
              </w:tc>
              <w:tc>
                <w:tcPr>
                  <w:tcW w:w="1613" w:type="dxa"/>
                  <w:vAlign w:val="center"/>
                </w:tcPr>
                <w:p w14:paraId="167A6EAA">
                  <w:pPr>
                    <w:topLinePunct/>
                    <w:jc w:val="center"/>
                    <w:rPr>
                      <w:rFonts w:hint="default" w:cs="Times New Roman"/>
                      <w:color w:val="auto"/>
                      <w:kern w:val="2"/>
                      <w:sz w:val="21"/>
                      <w:szCs w:val="21"/>
                      <w:lang w:val="en-US" w:eastAsia="zh-CN" w:bidi="ar-SA"/>
                    </w:rPr>
                  </w:pPr>
                  <w:r>
                    <w:rPr>
                      <w:rFonts w:hint="eastAsia" w:cs="Times New Roman"/>
                      <w:color w:val="auto"/>
                      <w:kern w:val="2"/>
                      <w:sz w:val="21"/>
                      <w:szCs w:val="21"/>
                      <w:lang w:val="en-US" w:eastAsia="zh-CN" w:bidi="ar-SA"/>
                    </w:rPr>
                    <w:t>废水处理设施</w:t>
                  </w:r>
                </w:p>
              </w:tc>
              <w:tc>
                <w:tcPr>
                  <w:tcW w:w="1584" w:type="dxa"/>
                  <w:vAlign w:val="center"/>
                </w:tcPr>
                <w:p w14:paraId="2C313235">
                  <w:pPr>
                    <w:adjustRightInd w:val="0"/>
                    <w:snapToGrid w:val="0"/>
                    <w:jc w:val="center"/>
                    <w:rPr>
                      <w:rFonts w:hint="default" w:ascii="Times New Roman" w:hAnsi="Times New Roman" w:eastAsia="宋体" w:cs="Times New Roman"/>
                      <w:color w:val="auto"/>
                      <w:sz w:val="21"/>
                      <w:szCs w:val="21"/>
                    </w:rPr>
                  </w:pPr>
                  <w:r>
                    <w:rPr>
                      <w:rFonts w:hint="eastAsia" w:cs="Times New Roman"/>
                      <w:color w:val="auto"/>
                      <w:kern w:val="2"/>
                      <w:sz w:val="21"/>
                      <w:szCs w:val="21"/>
                      <w:lang w:val="en-US" w:eastAsia="zh-CN" w:bidi="ar-SA"/>
                    </w:rPr>
                    <w:t>废水处理设施</w:t>
                  </w:r>
                </w:p>
              </w:tc>
            </w:tr>
            <w:tr w14:paraId="1A661E3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5" w:hRule="atLeast"/>
                <w:jc w:val="center"/>
              </w:trPr>
              <w:tc>
                <w:tcPr>
                  <w:tcW w:w="978" w:type="dxa"/>
                  <w:vAlign w:val="center"/>
                </w:tcPr>
                <w:p w14:paraId="0EA8D1A2">
                  <w:pPr>
                    <w:numPr>
                      <w:ilvl w:val="0"/>
                      <w:numId w:val="18"/>
                    </w:numPr>
                    <w:adjustRightInd w:val="0"/>
                    <w:snapToGrid w:val="0"/>
                    <w:ind w:left="0" w:leftChars="0" w:firstLine="0" w:firstLineChars="0"/>
                    <w:jc w:val="center"/>
                    <w:rPr>
                      <w:rFonts w:hint="default" w:ascii="Times New Roman" w:hAnsi="Times New Roman" w:eastAsia="宋体" w:cs="Times New Roman"/>
                      <w:color w:val="auto"/>
                      <w:sz w:val="21"/>
                      <w:szCs w:val="21"/>
                    </w:rPr>
                  </w:pPr>
                </w:p>
              </w:tc>
              <w:tc>
                <w:tcPr>
                  <w:tcW w:w="2837" w:type="dxa"/>
                  <w:gridSpan w:val="3"/>
                  <w:shd w:val="clear" w:color="auto" w:fill="auto"/>
                  <w:vAlign w:val="center"/>
                </w:tcPr>
                <w:p w14:paraId="2BA7E3A6">
                  <w:pPr>
                    <w:widowControl/>
                    <w:jc w:val="center"/>
                    <w:rPr>
                      <w:rFonts w:hint="default" w:cs="Times New Roman"/>
                      <w:color w:val="auto"/>
                      <w:sz w:val="21"/>
                      <w:szCs w:val="21"/>
                      <w:lang w:val="en-US" w:eastAsia="zh-CN" w:bidi="ar"/>
                    </w:rPr>
                  </w:pPr>
                  <w:r>
                    <w:rPr>
                      <w:rFonts w:hint="eastAsia" w:cs="Times New Roman"/>
                      <w:color w:val="auto"/>
                      <w:sz w:val="21"/>
                      <w:szCs w:val="21"/>
                      <w:lang w:val="en-US" w:eastAsia="zh-CN" w:bidi="ar"/>
                    </w:rPr>
                    <w:t>在线清洗水</w:t>
                  </w:r>
                </w:p>
              </w:tc>
              <w:tc>
                <w:tcPr>
                  <w:tcW w:w="1100" w:type="dxa"/>
                  <w:vAlign w:val="center"/>
                </w:tcPr>
                <w:p w14:paraId="45F45ADA">
                  <w:pPr>
                    <w:widowControl/>
                    <w:jc w:val="center"/>
                    <w:rPr>
                      <w:rFonts w:hint="default"/>
                      <w:color w:val="auto"/>
                      <w:sz w:val="21"/>
                      <w:szCs w:val="21"/>
                      <w:lang w:val="en-US" w:eastAsia="zh-CN"/>
                    </w:rPr>
                  </w:pPr>
                  <w:r>
                    <w:rPr>
                      <w:rFonts w:hint="eastAsia"/>
                      <w:color w:val="auto"/>
                      <w:sz w:val="21"/>
                      <w:szCs w:val="21"/>
                      <w:lang w:val="en-US" w:eastAsia="zh-CN"/>
                    </w:rPr>
                    <w:t>2</w:t>
                  </w:r>
                </w:p>
              </w:tc>
              <w:tc>
                <w:tcPr>
                  <w:tcW w:w="1613" w:type="dxa"/>
                  <w:vAlign w:val="center"/>
                </w:tcPr>
                <w:p w14:paraId="6D9E783E">
                  <w:pPr>
                    <w:topLinePunct/>
                    <w:jc w:val="center"/>
                    <w:rPr>
                      <w:rFonts w:hint="eastAsia" w:cs="Times New Roman"/>
                      <w:color w:val="auto"/>
                      <w:kern w:val="2"/>
                      <w:sz w:val="21"/>
                      <w:szCs w:val="21"/>
                      <w:lang w:val="en-US" w:eastAsia="zh-CN" w:bidi="ar-SA"/>
                    </w:rPr>
                  </w:pPr>
                  <w:r>
                    <w:rPr>
                      <w:rFonts w:hint="eastAsia" w:cs="Times New Roman"/>
                      <w:color w:val="auto"/>
                      <w:kern w:val="2"/>
                      <w:sz w:val="21"/>
                      <w:szCs w:val="21"/>
                      <w:lang w:val="en-US" w:eastAsia="zh-CN" w:bidi="ar-SA"/>
                    </w:rPr>
                    <w:t>清洗机</w:t>
                  </w:r>
                </w:p>
              </w:tc>
              <w:tc>
                <w:tcPr>
                  <w:tcW w:w="1584" w:type="dxa"/>
                  <w:vAlign w:val="center"/>
                </w:tcPr>
                <w:p w14:paraId="00638734">
                  <w:pPr>
                    <w:adjustRightInd w:val="0"/>
                    <w:snapToGrid w:val="0"/>
                    <w:jc w:val="center"/>
                    <w:rPr>
                      <w:rFonts w:hint="eastAsia" w:cs="Times New Roman"/>
                      <w:color w:val="auto"/>
                      <w:kern w:val="2"/>
                      <w:sz w:val="21"/>
                      <w:szCs w:val="21"/>
                      <w:lang w:val="en-US" w:eastAsia="zh-CN" w:bidi="ar-SA"/>
                    </w:rPr>
                  </w:pPr>
                  <w:r>
                    <w:rPr>
                      <w:rFonts w:hint="eastAsia" w:cs="Times New Roman"/>
                      <w:color w:val="auto"/>
                      <w:kern w:val="2"/>
                      <w:sz w:val="21"/>
                      <w:szCs w:val="21"/>
                      <w:lang w:val="en-US" w:eastAsia="zh-CN" w:bidi="ar-SA"/>
                    </w:rPr>
                    <w:t>清洗机</w:t>
                  </w:r>
                </w:p>
              </w:tc>
            </w:tr>
          </w:tbl>
          <w:p w14:paraId="5AD8933D">
            <w:pPr>
              <w:spacing w:line="360" w:lineRule="auto"/>
              <w:ind w:firstLine="480" w:firstLineChars="200"/>
              <w:rPr>
                <w:color w:val="auto"/>
                <w:sz w:val="24"/>
                <w:szCs w:val="24"/>
              </w:rPr>
            </w:pPr>
            <w:r>
              <w:rPr>
                <w:color w:val="auto"/>
                <w:sz w:val="24"/>
                <w:szCs w:val="24"/>
              </w:rPr>
              <w:t>根据《建设项目环境风险评价技术导则》（HJ169-2018）附录B中对物质临界量的规定，确定危险物质的临界量。</w:t>
            </w:r>
          </w:p>
          <w:p w14:paraId="372D14A5">
            <w:pPr>
              <w:spacing w:line="360" w:lineRule="auto"/>
              <w:ind w:firstLine="480" w:firstLineChars="200"/>
              <w:rPr>
                <w:color w:val="auto"/>
                <w:sz w:val="24"/>
                <w:szCs w:val="24"/>
              </w:rPr>
            </w:pPr>
            <w:r>
              <w:rPr>
                <w:rFonts w:hint="eastAsia" w:ascii="宋体" w:hAnsi="宋体" w:cs="宋体"/>
                <w:color w:val="auto"/>
                <w:sz w:val="24"/>
                <w:szCs w:val="24"/>
              </w:rPr>
              <w:t>①</w:t>
            </w:r>
            <w:r>
              <w:rPr>
                <w:color w:val="auto"/>
                <w:sz w:val="24"/>
                <w:szCs w:val="24"/>
              </w:rPr>
              <w:t>当只涉及一种危险物质时，计算该物质的总量与其临界量的比值，即为Q；</w:t>
            </w:r>
          </w:p>
          <w:p w14:paraId="567F7D6B">
            <w:pPr>
              <w:spacing w:line="360" w:lineRule="auto"/>
              <w:ind w:firstLine="480" w:firstLineChars="200"/>
              <w:rPr>
                <w:color w:val="auto"/>
                <w:sz w:val="24"/>
                <w:szCs w:val="24"/>
              </w:rPr>
            </w:pPr>
            <w:r>
              <w:rPr>
                <w:rFonts w:hint="eastAsia" w:ascii="宋体" w:hAnsi="宋体" w:cs="宋体"/>
                <w:color w:val="auto"/>
                <w:sz w:val="24"/>
                <w:szCs w:val="24"/>
              </w:rPr>
              <w:t>②</w:t>
            </w:r>
            <w:r>
              <w:rPr>
                <w:color w:val="auto"/>
                <w:sz w:val="24"/>
                <w:szCs w:val="24"/>
              </w:rPr>
              <w:t>当存在多种危险物质时，则按下列公式计算物质的总量与其临界量的比值（Q）。</w:t>
            </w:r>
          </w:p>
          <w:p w14:paraId="45ED54D0">
            <w:pPr>
              <w:spacing w:line="360" w:lineRule="auto"/>
              <w:jc w:val="center"/>
              <w:rPr>
                <w:color w:val="auto"/>
                <w:sz w:val="24"/>
                <w:szCs w:val="24"/>
              </w:rPr>
            </w:pPr>
            <w:r>
              <w:rPr>
                <w:color w:val="auto"/>
                <w:position w:val="-30"/>
                <w:sz w:val="24"/>
                <w:szCs w:val="24"/>
              </w:rPr>
              <w:object>
                <v:shape id="_x0000_i1026" o:spt="75" type="#_x0000_t75" style="height:30.1pt;width:104.8pt;" o:ole="t" filled="f" o:preferrelative="t" stroked="f" coordsize="21600,21600">
                  <v:path/>
                  <v:fill on="f" focussize="0,0"/>
                  <v:stroke on="f" joinstyle="miter"/>
                  <v:imagedata r:id="rId20" embosscolor="#FFFFFF" o:title=""/>
                  <o:lock v:ext="edit" aspectratio="t"/>
                  <w10:wrap type="none"/>
                  <w10:anchorlock/>
                </v:shape>
                <o:OLEObject Type="Embed" ProgID="Equation.3" ShapeID="_x0000_i1026" DrawAspect="Content" ObjectID="_1468075726" r:id="rId19">
                  <o:LockedField>false</o:LockedField>
                </o:OLEObject>
              </w:object>
            </w:r>
          </w:p>
          <w:p w14:paraId="242D26D5">
            <w:pPr>
              <w:spacing w:line="360" w:lineRule="auto"/>
              <w:ind w:firstLine="480" w:firstLineChars="200"/>
              <w:rPr>
                <w:color w:val="auto"/>
                <w:sz w:val="24"/>
                <w:szCs w:val="24"/>
              </w:rPr>
            </w:pPr>
            <w:r>
              <w:rPr>
                <w:color w:val="auto"/>
                <w:sz w:val="24"/>
                <w:szCs w:val="24"/>
              </w:rPr>
              <w:t>式中：q</w:t>
            </w:r>
            <w:r>
              <w:rPr>
                <w:color w:val="auto"/>
                <w:sz w:val="24"/>
                <w:szCs w:val="24"/>
                <w:vertAlign w:val="subscript"/>
              </w:rPr>
              <w:t>1</w:t>
            </w:r>
            <w:r>
              <w:rPr>
                <w:color w:val="auto"/>
                <w:sz w:val="24"/>
                <w:szCs w:val="24"/>
              </w:rPr>
              <w:t>、q</w:t>
            </w:r>
            <w:r>
              <w:rPr>
                <w:color w:val="auto"/>
                <w:sz w:val="24"/>
                <w:szCs w:val="24"/>
                <w:vertAlign w:val="subscript"/>
              </w:rPr>
              <w:t>2</w:t>
            </w:r>
            <w:r>
              <w:rPr>
                <w:color w:val="auto"/>
                <w:sz w:val="24"/>
                <w:szCs w:val="24"/>
              </w:rPr>
              <w:t>、q</w:t>
            </w:r>
            <w:r>
              <w:rPr>
                <w:color w:val="auto"/>
                <w:sz w:val="24"/>
                <w:szCs w:val="24"/>
                <w:vertAlign w:val="subscript"/>
              </w:rPr>
              <w:t>n</w:t>
            </w:r>
            <w:r>
              <w:rPr>
                <w:color w:val="auto"/>
                <w:sz w:val="24"/>
                <w:szCs w:val="24"/>
              </w:rPr>
              <w:t>—每种危险物质实际存在量，t；</w:t>
            </w:r>
          </w:p>
          <w:p w14:paraId="24E895FF">
            <w:pPr>
              <w:spacing w:line="360" w:lineRule="auto"/>
              <w:ind w:firstLine="1200" w:firstLineChars="500"/>
              <w:rPr>
                <w:color w:val="auto"/>
                <w:sz w:val="24"/>
                <w:szCs w:val="24"/>
              </w:rPr>
            </w:pPr>
            <w:r>
              <w:rPr>
                <w:color w:val="auto"/>
                <w:sz w:val="24"/>
                <w:szCs w:val="24"/>
              </w:rPr>
              <w:t>Q</w:t>
            </w:r>
            <w:r>
              <w:rPr>
                <w:color w:val="auto"/>
                <w:sz w:val="24"/>
                <w:szCs w:val="24"/>
                <w:vertAlign w:val="subscript"/>
              </w:rPr>
              <w:t>1</w:t>
            </w:r>
            <w:r>
              <w:rPr>
                <w:color w:val="auto"/>
                <w:sz w:val="24"/>
                <w:szCs w:val="24"/>
              </w:rPr>
              <w:t>、Q</w:t>
            </w:r>
            <w:r>
              <w:rPr>
                <w:color w:val="auto"/>
                <w:sz w:val="24"/>
                <w:szCs w:val="24"/>
                <w:vertAlign w:val="subscript"/>
              </w:rPr>
              <w:t>2</w:t>
            </w:r>
            <w:r>
              <w:rPr>
                <w:color w:val="auto"/>
                <w:sz w:val="24"/>
                <w:szCs w:val="24"/>
              </w:rPr>
              <w:t>、Q</w:t>
            </w:r>
            <w:r>
              <w:rPr>
                <w:color w:val="auto"/>
                <w:sz w:val="24"/>
                <w:szCs w:val="24"/>
                <w:vertAlign w:val="subscript"/>
              </w:rPr>
              <w:t>n</w:t>
            </w:r>
            <w:r>
              <w:rPr>
                <w:color w:val="auto"/>
                <w:sz w:val="24"/>
                <w:szCs w:val="24"/>
              </w:rPr>
              <w:t>—各危险物质相对应的生产场所或贮存区临界量，t。</w:t>
            </w:r>
          </w:p>
          <w:p w14:paraId="512770A9">
            <w:pPr>
              <w:spacing w:line="360" w:lineRule="auto"/>
              <w:ind w:firstLine="480" w:firstLineChars="200"/>
              <w:rPr>
                <w:color w:val="auto"/>
                <w:sz w:val="24"/>
                <w:szCs w:val="24"/>
              </w:rPr>
            </w:pPr>
            <w:r>
              <w:rPr>
                <w:rFonts w:hint="eastAsia"/>
                <w:color w:val="auto"/>
                <w:sz w:val="24"/>
                <w:szCs w:val="24"/>
              </w:rPr>
              <w:t>本项目生产单元与储存单元距离较近，因此把全厂作为一个单元分析，生产单元和储存单元涉及的危险物质最大使用量及临界量见下表。</w:t>
            </w:r>
          </w:p>
          <w:p w14:paraId="01A4EBC1">
            <w:pPr>
              <w:jc w:val="center"/>
              <w:rPr>
                <w:b/>
                <w:bCs/>
                <w:color w:val="auto"/>
                <w:sz w:val="24"/>
                <w:szCs w:val="24"/>
              </w:rPr>
            </w:pPr>
            <w:r>
              <w:rPr>
                <w:rFonts w:hint="eastAsia"/>
                <w:b/>
                <w:bCs/>
                <w:color w:val="auto"/>
                <w:sz w:val="24"/>
                <w:szCs w:val="24"/>
              </w:rPr>
              <w:t>表4-</w:t>
            </w:r>
            <w:r>
              <w:rPr>
                <w:rFonts w:hint="eastAsia"/>
                <w:b/>
                <w:bCs/>
                <w:color w:val="auto"/>
                <w:sz w:val="24"/>
                <w:szCs w:val="24"/>
                <w:lang w:val="en-US" w:eastAsia="zh-CN"/>
              </w:rPr>
              <w:t>32</w:t>
            </w:r>
            <w:r>
              <w:rPr>
                <w:rFonts w:hint="eastAsia"/>
                <w:b/>
                <w:bCs/>
                <w:color w:val="auto"/>
                <w:sz w:val="24"/>
                <w:szCs w:val="24"/>
              </w:rPr>
              <w:t xml:space="preserve"> </w:t>
            </w:r>
            <w:r>
              <w:rPr>
                <w:b/>
                <w:bCs/>
                <w:color w:val="auto"/>
                <w:sz w:val="24"/>
                <w:szCs w:val="24"/>
              </w:rPr>
              <w:t>危险物质</w:t>
            </w:r>
            <w:r>
              <w:rPr>
                <w:rFonts w:hint="eastAsia"/>
                <w:b/>
                <w:bCs/>
                <w:color w:val="auto"/>
                <w:sz w:val="24"/>
                <w:szCs w:val="24"/>
              </w:rPr>
              <w:t>最大储存</w:t>
            </w:r>
            <w:r>
              <w:rPr>
                <w:b/>
                <w:bCs/>
                <w:color w:val="auto"/>
                <w:sz w:val="24"/>
                <w:szCs w:val="24"/>
              </w:rPr>
              <w:t>量及临界量</w:t>
            </w:r>
          </w:p>
          <w:tbl>
            <w:tblPr>
              <w:tblStyle w:val="26"/>
              <w:tblW w:w="4979"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056"/>
              <w:gridCol w:w="1950"/>
              <w:gridCol w:w="1480"/>
              <w:gridCol w:w="1420"/>
              <w:gridCol w:w="1222"/>
            </w:tblGrid>
            <w:tr w14:paraId="430C38B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264" w:type="pct"/>
                  <w:tcBorders>
                    <w:tl2br w:val="nil"/>
                    <w:tr2bl w:val="nil"/>
                  </w:tcBorders>
                  <w:vAlign w:val="center"/>
                </w:tcPr>
                <w:p w14:paraId="50C47BB6">
                  <w:pPr>
                    <w:adjustRightInd w:val="0"/>
                    <w:snapToGrid w:val="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名称</w:t>
                  </w:r>
                </w:p>
              </w:tc>
              <w:tc>
                <w:tcPr>
                  <w:tcW w:w="1199" w:type="pct"/>
                  <w:tcBorders>
                    <w:tl2br w:val="nil"/>
                    <w:tr2bl w:val="nil"/>
                  </w:tcBorders>
                  <w:vAlign w:val="center"/>
                </w:tcPr>
                <w:p w14:paraId="2B90D490">
                  <w:pPr>
                    <w:adjustRightInd w:val="0"/>
                    <w:snapToGrid w:val="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最大储存量（t）</w:t>
                  </w:r>
                </w:p>
              </w:tc>
              <w:tc>
                <w:tcPr>
                  <w:tcW w:w="910" w:type="pct"/>
                  <w:tcBorders>
                    <w:tl2br w:val="nil"/>
                    <w:tr2bl w:val="nil"/>
                  </w:tcBorders>
                  <w:vAlign w:val="center"/>
                </w:tcPr>
                <w:p w14:paraId="3987D196">
                  <w:pPr>
                    <w:adjustRightInd w:val="0"/>
                    <w:snapToGrid w:val="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临界量（t）*</w:t>
                  </w:r>
                </w:p>
              </w:tc>
              <w:tc>
                <w:tcPr>
                  <w:tcW w:w="873" w:type="pct"/>
                  <w:tcBorders>
                    <w:tl2br w:val="nil"/>
                    <w:tr2bl w:val="nil"/>
                  </w:tcBorders>
                  <w:vAlign w:val="center"/>
                </w:tcPr>
                <w:p w14:paraId="05D048C4">
                  <w:pPr>
                    <w:adjustRightInd w:val="0"/>
                    <w:snapToGrid w:val="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临界量依据</w:t>
                  </w:r>
                </w:p>
              </w:tc>
              <w:tc>
                <w:tcPr>
                  <w:tcW w:w="751" w:type="pct"/>
                  <w:tcBorders>
                    <w:tl2br w:val="nil"/>
                    <w:tr2bl w:val="nil"/>
                  </w:tcBorders>
                  <w:vAlign w:val="center"/>
                </w:tcPr>
                <w:p w14:paraId="147565A4">
                  <w:pPr>
                    <w:adjustRightInd w:val="0"/>
                    <w:snapToGrid w:val="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Q</w:t>
                  </w:r>
                </w:p>
              </w:tc>
            </w:tr>
            <w:tr w14:paraId="22BDC8A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264" w:type="pct"/>
                  <w:tcBorders>
                    <w:tl2br w:val="nil"/>
                    <w:tr2bl w:val="nil"/>
                  </w:tcBorders>
                  <w:shd w:val="clear" w:color="auto" w:fill="auto"/>
                  <w:vAlign w:val="center"/>
                </w:tcPr>
                <w:p w14:paraId="0060EE5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eastAsia="宋体" w:cs="Times New Roman"/>
                      <w:color w:val="auto"/>
                      <w:kern w:val="2"/>
                      <w:sz w:val="21"/>
                      <w:szCs w:val="21"/>
                      <w:highlight w:val="none"/>
                      <w:vertAlign w:val="baseline"/>
                      <w:lang w:val="en-US" w:eastAsia="zh-CN" w:bidi="ar-SA"/>
                    </w:rPr>
                    <w:t>氮气</w:t>
                  </w:r>
                </w:p>
              </w:tc>
              <w:tc>
                <w:tcPr>
                  <w:tcW w:w="1199" w:type="pct"/>
                  <w:tcBorders>
                    <w:tl2br w:val="nil"/>
                    <w:tr2bl w:val="nil"/>
                  </w:tcBorders>
                  <w:shd w:val="clear" w:color="auto" w:fill="auto"/>
                  <w:vAlign w:val="center"/>
                </w:tcPr>
                <w:p w14:paraId="5E06A8ED">
                  <w:pPr>
                    <w:widowControl/>
                    <w:jc w:val="center"/>
                    <w:rPr>
                      <w:rFonts w:hint="default" w:ascii="Times New Roman" w:hAnsi="Times New Roman" w:eastAsia="宋体" w:cs="Times New Roman"/>
                      <w:color w:val="auto"/>
                      <w:kern w:val="2"/>
                      <w:sz w:val="21"/>
                      <w:szCs w:val="21"/>
                      <w:lang w:val="en-US" w:eastAsia="zh-CN" w:bidi="ar"/>
                    </w:rPr>
                  </w:pPr>
                  <w:r>
                    <w:rPr>
                      <w:rFonts w:hint="eastAsia" w:cs="Times New Roman"/>
                      <w:color w:val="auto"/>
                      <w:kern w:val="2"/>
                      <w:sz w:val="21"/>
                      <w:szCs w:val="21"/>
                      <w:lang w:val="en-US" w:eastAsia="zh-CN" w:bidi="ar"/>
                    </w:rPr>
                    <w:t>3.3</w:t>
                  </w:r>
                </w:p>
              </w:tc>
              <w:tc>
                <w:tcPr>
                  <w:tcW w:w="910" w:type="pct"/>
                  <w:tcBorders>
                    <w:tl2br w:val="nil"/>
                    <w:tr2bl w:val="nil"/>
                  </w:tcBorders>
                  <w:shd w:val="clear" w:color="auto" w:fill="auto"/>
                  <w:vAlign w:val="center"/>
                </w:tcPr>
                <w:p w14:paraId="5F6918F0">
                  <w:pPr>
                    <w:topLinePunct/>
                    <w:jc w:val="center"/>
                    <w:rPr>
                      <w:rFonts w:hint="default" w:ascii="Times New Roman" w:hAnsi="Times New Roman" w:eastAsia="宋体" w:cs="Times New Roman"/>
                      <w:bCs/>
                      <w:color w:val="auto"/>
                      <w:kern w:val="2"/>
                      <w:sz w:val="21"/>
                      <w:szCs w:val="21"/>
                      <w:lang w:val="en-US" w:eastAsia="zh-CN" w:bidi="ar"/>
                    </w:rPr>
                  </w:pPr>
                  <w:r>
                    <w:rPr>
                      <w:rFonts w:hint="eastAsia" w:cs="Times New Roman"/>
                      <w:bCs/>
                      <w:color w:val="auto"/>
                      <w:kern w:val="2"/>
                      <w:sz w:val="21"/>
                      <w:szCs w:val="21"/>
                      <w:lang w:val="en-US" w:eastAsia="zh-CN" w:bidi="ar"/>
                    </w:rPr>
                    <w:t>/</w:t>
                  </w:r>
                </w:p>
              </w:tc>
              <w:tc>
                <w:tcPr>
                  <w:tcW w:w="873" w:type="pct"/>
                  <w:vMerge w:val="restart"/>
                  <w:tcBorders>
                    <w:tl2br w:val="nil"/>
                    <w:tr2bl w:val="nil"/>
                  </w:tcBorders>
                  <w:vAlign w:val="center"/>
                </w:tcPr>
                <w:p w14:paraId="57EC3C75">
                  <w:pPr>
                    <w:adjustRightInd w:val="0"/>
                    <w:snapToGrid w:val="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《建设项目环境风险评价技术导则》（HJ169-2018）</w:t>
                  </w:r>
                </w:p>
              </w:tc>
              <w:tc>
                <w:tcPr>
                  <w:tcW w:w="751" w:type="pct"/>
                  <w:tcBorders>
                    <w:tl2br w:val="nil"/>
                    <w:tr2bl w:val="nil"/>
                  </w:tcBorders>
                  <w:vAlign w:val="center"/>
                </w:tcPr>
                <w:p w14:paraId="5CD56820">
                  <w:pPr>
                    <w:keepNext w:val="0"/>
                    <w:keepLines w:val="0"/>
                    <w:widowControl/>
                    <w:suppressLineNumbers w:val="0"/>
                    <w:jc w:val="center"/>
                    <w:textAlignment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w:t>
                  </w:r>
                </w:p>
              </w:tc>
            </w:tr>
            <w:tr w14:paraId="4F8A0D3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264" w:type="pct"/>
                  <w:tcBorders>
                    <w:tl2br w:val="nil"/>
                    <w:tr2bl w:val="nil"/>
                  </w:tcBorders>
                  <w:shd w:val="clear" w:color="auto" w:fill="auto"/>
                  <w:vAlign w:val="center"/>
                </w:tcPr>
                <w:p w14:paraId="1B293F26">
                  <w:pPr>
                    <w:widowControl/>
                    <w:spacing w:line="240" w:lineRule="auto"/>
                    <w:jc w:val="center"/>
                    <w:rPr>
                      <w:rFonts w:hint="default" w:ascii="Times New Roman" w:hAnsi="Times New Roman" w:eastAsia="宋体" w:cs="Times New Roman"/>
                      <w:color w:val="auto"/>
                      <w:kern w:val="2"/>
                      <w:sz w:val="21"/>
                      <w:szCs w:val="21"/>
                      <w:lang w:val="en-US" w:eastAsia="zh-CN" w:bidi="ar"/>
                    </w:rPr>
                  </w:pPr>
                  <w:r>
                    <w:rPr>
                      <w:rFonts w:hint="eastAsia"/>
                      <w:color w:val="auto"/>
                      <w:sz w:val="21"/>
                      <w:szCs w:val="21"/>
                    </w:rPr>
                    <w:t>防锈油</w:t>
                  </w:r>
                </w:p>
              </w:tc>
              <w:tc>
                <w:tcPr>
                  <w:tcW w:w="1199" w:type="pct"/>
                  <w:tcBorders>
                    <w:tl2br w:val="nil"/>
                    <w:tr2bl w:val="nil"/>
                  </w:tcBorders>
                  <w:shd w:val="clear" w:color="auto" w:fill="auto"/>
                  <w:vAlign w:val="center"/>
                </w:tcPr>
                <w:p w14:paraId="5CDFA0F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eastAsia" w:cs="Times New Roman"/>
                      <w:color w:val="auto"/>
                      <w:kern w:val="2"/>
                      <w:sz w:val="21"/>
                      <w:szCs w:val="21"/>
                      <w:highlight w:val="none"/>
                      <w:vertAlign w:val="baseline"/>
                      <w:lang w:val="en-US" w:eastAsia="zh-CN" w:bidi="ar-SA"/>
                    </w:rPr>
                    <w:t>0.55</w:t>
                  </w:r>
                </w:p>
              </w:tc>
              <w:tc>
                <w:tcPr>
                  <w:tcW w:w="910" w:type="pct"/>
                  <w:tcBorders>
                    <w:tl2br w:val="nil"/>
                    <w:tr2bl w:val="nil"/>
                  </w:tcBorders>
                  <w:shd w:val="clear" w:color="auto" w:fill="auto"/>
                  <w:vAlign w:val="center"/>
                </w:tcPr>
                <w:p w14:paraId="0F64F9A6">
                  <w:pPr>
                    <w:topLinePunct/>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2500</w:t>
                  </w:r>
                </w:p>
              </w:tc>
              <w:tc>
                <w:tcPr>
                  <w:tcW w:w="873" w:type="pct"/>
                  <w:vMerge w:val="continue"/>
                  <w:tcBorders>
                    <w:tl2br w:val="nil"/>
                    <w:tr2bl w:val="nil"/>
                  </w:tcBorders>
                  <w:vAlign w:val="center"/>
                </w:tcPr>
                <w:p w14:paraId="6453AA60">
                  <w:pPr>
                    <w:adjustRightInd w:val="0"/>
                    <w:snapToGrid w:val="0"/>
                    <w:jc w:val="center"/>
                    <w:rPr>
                      <w:rFonts w:hint="default" w:ascii="Times New Roman" w:hAnsi="Times New Roman" w:eastAsia="宋体" w:cs="Times New Roman"/>
                      <w:color w:val="auto"/>
                      <w:sz w:val="21"/>
                      <w:szCs w:val="21"/>
                    </w:rPr>
                  </w:pPr>
                </w:p>
              </w:tc>
              <w:tc>
                <w:tcPr>
                  <w:tcW w:w="751" w:type="pct"/>
                  <w:tcBorders>
                    <w:tl2br w:val="nil"/>
                    <w:tr2bl w:val="nil"/>
                  </w:tcBorders>
                  <w:vAlign w:val="center"/>
                </w:tcPr>
                <w:p w14:paraId="5C7958BB">
                  <w:pPr>
                    <w:keepNext w:val="0"/>
                    <w:keepLines w:val="0"/>
                    <w:widowControl/>
                    <w:suppressLineNumbers w:val="0"/>
                    <w:jc w:val="center"/>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0.00022</w:t>
                  </w:r>
                </w:p>
              </w:tc>
            </w:tr>
            <w:tr w14:paraId="5CBFF83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264" w:type="pct"/>
                  <w:tcBorders>
                    <w:tl2br w:val="nil"/>
                    <w:tr2bl w:val="nil"/>
                  </w:tcBorders>
                  <w:shd w:val="clear" w:color="auto" w:fill="auto"/>
                  <w:vAlign w:val="center"/>
                </w:tcPr>
                <w:p w14:paraId="7E75AA80">
                  <w:pPr>
                    <w:widowControl/>
                    <w:spacing w:line="240" w:lineRule="auto"/>
                    <w:jc w:val="center"/>
                    <w:rPr>
                      <w:rFonts w:hint="default" w:ascii="Times New Roman" w:hAnsi="Times New Roman" w:eastAsia="宋体" w:cs="Times New Roman"/>
                      <w:bCs/>
                      <w:color w:val="auto"/>
                      <w:kern w:val="2"/>
                      <w:sz w:val="21"/>
                      <w:szCs w:val="21"/>
                      <w:lang w:val="en-US" w:eastAsia="zh-CN" w:bidi="ar"/>
                    </w:rPr>
                  </w:pPr>
                  <w:r>
                    <w:rPr>
                      <w:rFonts w:hint="eastAsia"/>
                      <w:color w:val="auto"/>
                      <w:sz w:val="21"/>
                      <w:szCs w:val="21"/>
                    </w:rPr>
                    <w:t>液压油</w:t>
                  </w:r>
                </w:p>
              </w:tc>
              <w:tc>
                <w:tcPr>
                  <w:tcW w:w="1199" w:type="pct"/>
                  <w:tcBorders>
                    <w:tl2br w:val="nil"/>
                    <w:tr2bl w:val="nil"/>
                  </w:tcBorders>
                  <w:shd w:val="clear" w:color="auto" w:fill="auto"/>
                  <w:vAlign w:val="center"/>
                </w:tcPr>
                <w:p w14:paraId="02E86D1F">
                  <w:pPr>
                    <w:widowControl/>
                    <w:jc w:val="center"/>
                    <w:rPr>
                      <w:rFonts w:hint="default" w:ascii="Times New Roman" w:hAnsi="Times New Roman" w:eastAsia="宋体" w:cs="Times New Roman"/>
                      <w:color w:val="auto"/>
                      <w:kern w:val="2"/>
                      <w:sz w:val="21"/>
                      <w:szCs w:val="21"/>
                      <w:lang w:val="en-US" w:eastAsia="zh-CN" w:bidi="ar"/>
                    </w:rPr>
                  </w:pPr>
                  <w:r>
                    <w:rPr>
                      <w:rFonts w:hint="eastAsia" w:cs="Times New Roman"/>
                      <w:color w:val="auto"/>
                      <w:kern w:val="2"/>
                      <w:sz w:val="21"/>
                      <w:szCs w:val="21"/>
                      <w:highlight w:val="none"/>
                      <w:vertAlign w:val="baseline"/>
                      <w:lang w:val="en-US" w:eastAsia="zh-CN" w:bidi="ar-SA"/>
                    </w:rPr>
                    <w:t>0.75</w:t>
                  </w:r>
                </w:p>
              </w:tc>
              <w:tc>
                <w:tcPr>
                  <w:tcW w:w="910" w:type="pct"/>
                  <w:tcBorders>
                    <w:tl2br w:val="nil"/>
                    <w:tr2bl w:val="nil"/>
                  </w:tcBorders>
                  <w:shd w:val="clear" w:color="auto" w:fill="auto"/>
                  <w:vAlign w:val="center"/>
                </w:tcPr>
                <w:p w14:paraId="73E9BEDF">
                  <w:pPr>
                    <w:topLinePunct/>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2500</w:t>
                  </w:r>
                </w:p>
              </w:tc>
              <w:tc>
                <w:tcPr>
                  <w:tcW w:w="873" w:type="pct"/>
                  <w:vMerge w:val="continue"/>
                  <w:tcBorders>
                    <w:tl2br w:val="nil"/>
                    <w:tr2bl w:val="nil"/>
                  </w:tcBorders>
                  <w:vAlign w:val="center"/>
                </w:tcPr>
                <w:p w14:paraId="66B00B5E">
                  <w:pPr>
                    <w:adjustRightInd w:val="0"/>
                    <w:snapToGrid w:val="0"/>
                    <w:jc w:val="center"/>
                    <w:rPr>
                      <w:rFonts w:hint="default" w:ascii="Times New Roman" w:hAnsi="Times New Roman" w:eastAsia="宋体" w:cs="Times New Roman"/>
                      <w:color w:val="auto"/>
                      <w:sz w:val="21"/>
                      <w:szCs w:val="21"/>
                    </w:rPr>
                  </w:pPr>
                </w:p>
              </w:tc>
              <w:tc>
                <w:tcPr>
                  <w:tcW w:w="751" w:type="pct"/>
                  <w:tcBorders>
                    <w:tl2br w:val="nil"/>
                    <w:tr2bl w:val="nil"/>
                  </w:tcBorders>
                  <w:vAlign w:val="center"/>
                </w:tcPr>
                <w:p w14:paraId="01CCD9AB">
                  <w:pPr>
                    <w:keepNext w:val="0"/>
                    <w:keepLines w:val="0"/>
                    <w:widowControl/>
                    <w:suppressLineNumbers w:val="0"/>
                    <w:jc w:val="center"/>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0.0003</w:t>
                  </w:r>
                </w:p>
              </w:tc>
            </w:tr>
            <w:tr w14:paraId="31ABE61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264" w:type="pct"/>
                  <w:tcBorders>
                    <w:tl2br w:val="nil"/>
                    <w:tr2bl w:val="nil"/>
                  </w:tcBorders>
                  <w:shd w:val="clear" w:color="auto" w:fill="auto"/>
                  <w:vAlign w:val="center"/>
                </w:tcPr>
                <w:p w14:paraId="7B79ABC0">
                  <w:pPr>
                    <w:widowControl/>
                    <w:spacing w:line="240" w:lineRule="auto"/>
                    <w:jc w:val="center"/>
                    <w:rPr>
                      <w:rFonts w:hint="default" w:ascii="Times New Roman" w:hAnsi="Times New Roman" w:eastAsia="宋体" w:cs="Times New Roman"/>
                      <w:bCs/>
                      <w:color w:val="auto"/>
                      <w:kern w:val="2"/>
                      <w:sz w:val="21"/>
                      <w:szCs w:val="21"/>
                      <w:lang w:val="en-US" w:eastAsia="zh-CN" w:bidi="ar"/>
                    </w:rPr>
                  </w:pPr>
                  <w:r>
                    <w:rPr>
                      <w:rFonts w:hint="eastAsia"/>
                      <w:color w:val="auto"/>
                      <w:sz w:val="21"/>
                      <w:szCs w:val="21"/>
                    </w:rPr>
                    <w:t>深孔钻油</w:t>
                  </w:r>
                </w:p>
              </w:tc>
              <w:tc>
                <w:tcPr>
                  <w:tcW w:w="1199" w:type="pct"/>
                  <w:tcBorders>
                    <w:tl2br w:val="nil"/>
                    <w:tr2bl w:val="nil"/>
                  </w:tcBorders>
                  <w:shd w:val="clear" w:color="auto" w:fill="auto"/>
                  <w:vAlign w:val="center"/>
                </w:tcPr>
                <w:p w14:paraId="5DCFD6B6">
                  <w:pPr>
                    <w:widowControl/>
                    <w:jc w:val="center"/>
                    <w:rPr>
                      <w:rFonts w:hint="default" w:ascii="Times New Roman" w:hAnsi="Times New Roman" w:eastAsia="宋体" w:cs="Times New Roman"/>
                      <w:color w:val="auto"/>
                      <w:kern w:val="2"/>
                      <w:sz w:val="21"/>
                      <w:szCs w:val="21"/>
                      <w:lang w:val="en-US" w:eastAsia="zh-CN" w:bidi="ar"/>
                    </w:rPr>
                  </w:pPr>
                  <w:r>
                    <w:rPr>
                      <w:rFonts w:hint="eastAsia" w:cs="Times New Roman"/>
                      <w:color w:val="auto"/>
                      <w:kern w:val="2"/>
                      <w:sz w:val="21"/>
                      <w:szCs w:val="21"/>
                      <w:lang w:val="en-US" w:eastAsia="zh-CN" w:bidi="ar"/>
                    </w:rPr>
                    <w:t>1.2</w:t>
                  </w:r>
                </w:p>
              </w:tc>
              <w:tc>
                <w:tcPr>
                  <w:tcW w:w="910" w:type="pct"/>
                  <w:tcBorders>
                    <w:tl2br w:val="nil"/>
                    <w:tr2bl w:val="nil"/>
                  </w:tcBorders>
                  <w:shd w:val="clear" w:color="auto" w:fill="auto"/>
                  <w:vAlign w:val="center"/>
                </w:tcPr>
                <w:p w14:paraId="0852B97A">
                  <w:pPr>
                    <w:topLinePunct/>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50</w:t>
                  </w:r>
                </w:p>
              </w:tc>
              <w:tc>
                <w:tcPr>
                  <w:tcW w:w="873" w:type="pct"/>
                  <w:vMerge w:val="continue"/>
                  <w:tcBorders>
                    <w:tl2br w:val="nil"/>
                    <w:tr2bl w:val="nil"/>
                  </w:tcBorders>
                  <w:vAlign w:val="center"/>
                </w:tcPr>
                <w:p w14:paraId="0568FA5B">
                  <w:pPr>
                    <w:adjustRightInd w:val="0"/>
                    <w:snapToGrid w:val="0"/>
                    <w:jc w:val="center"/>
                    <w:rPr>
                      <w:rFonts w:hint="default" w:ascii="Times New Roman" w:hAnsi="Times New Roman" w:eastAsia="宋体" w:cs="Times New Roman"/>
                      <w:color w:val="auto"/>
                      <w:sz w:val="21"/>
                      <w:szCs w:val="21"/>
                    </w:rPr>
                  </w:pPr>
                </w:p>
              </w:tc>
              <w:tc>
                <w:tcPr>
                  <w:tcW w:w="751" w:type="pct"/>
                  <w:tcBorders>
                    <w:tl2br w:val="nil"/>
                    <w:tr2bl w:val="nil"/>
                  </w:tcBorders>
                  <w:vAlign w:val="center"/>
                </w:tcPr>
                <w:p w14:paraId="068DB5F6">
                  <w:pPr>
                    <w:keepNext w:val="0"/>
                    <w:keepLines w:val="0"/>
                    <w:widowControl/>
                    <w:suppressLineNumbers w:val="0"/>
                    <w:jc w:val="center"/>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0.024</w:t>
                  </w:r>
                </w:p>
              </w:tc>
            </w:tr>
            <w:tr w14:paraId="3E15FFC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264" w:type="pct"/>
                  <w:tcBorders>
                    <w:tl2br w:val="nil"/>
                    <w:tr2bl w:val="nil"/>
                  </w:tcBorders>
                  <w:shd w:val="clear" w:color="auto" w:fill="auto"/>
                  <w:vAlign w:val="center"/>
                </w:tcPr>
                <w:p w14:paraId="448383C1">
                  <w:pPr>
                    <w:widowControl/>
                    <w:spacing w:line="240" w:lineRule="auto"/>
                    <w:jc w:val="center"/>
                    <w:rPr>
                      <w:rFonts w:hint="default" w:ascii="Times New Roman" w:hAnsi="Times New Roman" w:eastAsia="宋体" w:cs="Times New Roman"/>
                      <w:bCs/>
                      <w:color w:val="auto"/>
                      <w:kern w:val="2"/>
                      <w:sz w:val="21"/>
                      <w:szCs w:val="21"/>
                      <w:lang w:val="en-US" w:eastAsia="zh-CN" w:bidi="ar"/>
                    </w:rPr>
                  </w:pPr>
                  <w:r>
                    <w:rPr>
                      <w:rFonts w:hint="eastAsia"/>
                      <w:color w:val="auto"/>
                      <w:sz w:val="21"/>
                      <w:szCs w:val="21"/>
                    </w:rPr>
                    <w:t>润滑油</w:t>
                  </w:r>
                </w:p>
              </w:tc>
              <w:tc>
                <w:tcPr>
                  <w:tcW w:w="1199" w:type="pct"/>
                  <w:tcBorders>
                    <w:tl2br w:val="nil"/>
                    <w:tr2bl w:val="nil"/>
                  </w:tcBorders>
                  <w:shd w:val="clear" w:color="auto" w:fill="auto"/>
                  <w:vAlign w:val="center"/>
                </w:tcPr>
                <w:p w14:paraId="08A528FB">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0.8</w:t>
                  </w:r>
                </w:p>
              </w:tc>
              <w:tc>
                <w:tcPr>
                  <w:tcW w:w="910" w:type="pct"/>
                  <w:tcBorders>
                    <w:tl2br w:val="nil"/>
                    <w:tr2bl w:val="nil"/>
                  </w:tcBorders>
                  <w:shd w:val="clear" w:color="auto" w:fill="auto"/>
                  <w:vAlign w:val="center"/>
                </w:tcPr>
                <w:p w14:paraId="3F0DAB55">
                  <w:pPr>
                    <w:keepNext/>
                    <w:keepLines/>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rightChars="0"/>
                    <w:jc w:val="center"/>
                    <w:textAlignment w:val="auto"/>
                    <w:outlineLvl w:val="9"/>
                    <w:rPr>
                      <w:rFonts w:hint="default" w:ascii="Times New Roman" w:hAnsi="Times New Roman" w:eastAsia="宋体" w:cs="Times New Roman"/>
                      <w:b w:val="0"/>
                      <w:bCs w:val="0"/>
                      <w:color w:val="auto"/>
                      <w:kern w:val="2"/>
                      <w:sz w:val="21"/>
                      <w:szCs w:val="21"/>
                      <w:highlight w:val="none"/>
                      <w:lang w:val="en-US" w:eastAsia="zh-CN" w:bidi="ar"/>
                    </w:rPr>
                  </w:pPr>
                  <w:r>
                    <w:rPr>
                      <w:rFonts w:hint="eastAsia" w:cs="Times New Roman"/>
                      <w:b w:val="0"/>
                      <w:bCs w:val="0"/>
                      <w:color w:val="auto"/>
                      <w:kern w:val="2"/>
                      <w:sz w:val="21"/>
                      <w:szCs w:val="21"/>
                      <w:highlight w:val="none"/>
                      <w:lang w:val="en-US" w:eastAsia="zh-CN" w:bidi="ar"/>
                    </w:rPr>
                    <w:t>2500</w:t>
                  </w:r>
                </w:p>
              </w:tc>
              <w:tc>
                <w:tcPr>
                  <w:tcW w:w="873" w:type="pct"/>
                  <w:vMerge w:val="continue"/>
                  <w:tcBorders>
                    <w:tl2br w:val="nil"/>
                    <w:tr2bl w:val="nil"/>
                  </w:tcBorders>
                  <w:vAlign w:val="center"/>
                </w:tcPr>
                <w:p w14:paraId="72F989AC">
                  <w:pPr>
                    <w:adjustRightInd w:val="0"/>
                    <w:snapToGrid w:val="0"/>
                    <w:jc w:val="center"/>
                    <w:rPr>
                      <w:rFonts w:hint="default" w:ascii="Times New Roman" w:hAnsi="Times New Roman" w:eastAsia="宋体" w:cs="Times New Roman"/>
                      <w:color w:val="auto"/>
                      <w:sz w:val="21"/>
                      <w:szCs w:val="21"/>
                    </w:rPr>
                  </w:pPr>
                </w:p>
              </w:tc>
              <w:tc>
                <w:tcPr>
                  <w:tcW w:w="751" w:type="pct"/>
                  <w:tcBorders>
                    <w:tl2br w:val="nil"/>
                    <w:tr2bl w:val="nil"/>
                  </w:tcBorders>
                  <w:vAlign w:val="center"/>
                </w:tcPr>
                <w:p w14:paraId="4960484F">
                  <w:pPr>
                    <w:keepNext w:val="0"/>
                    <w:keepLines w:val="0"/>
                    <w:widowControl/>
                    <w:suppressLineNumbers w:val="0"/>
                    <w:jc w:val="center"/>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0.00032</w:t>
                  </w:r>
                </w:p>
              </w:tc>
            </w:tr>
            <w:tr w14:paraId="0C5A1D3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264" w:type="pct"/>
                  <w:tcBorders>
                    <w:tl2br w:val="nil"/>
                    <w:tr2bl w:val="nil"/>
                  </w:tcBorders>
                  <w:shd w:val="clear" w:color="auto" w:fill="auto"/>
                  <w:vAlign w:val="center"/>
                </w:tcPr>
                <w:p w14:paraId="1E872BE9">
                  <w:pPr>
                    <w:widowControl/>
                    <w:spacing w:line="240" w:lineRule="auto"/>
                    <w:jc w:val="center"/>
                    <w:rPr>
                      <w:rFonts w:hint="default" w:ascii="Times New Roman" w:hAnsi="Times New Roman" w:eastAsia="宋体" w:cs="Times New Roman"/>
                      <w:bCs/>
                      <w:color w:val="auto"/>
                      <w:kern w:val="2"/>
                      <w:sz w:val="21"/>
                      <w:szCs w:val="21"/>
                      <w:lang w:val="en-US" w:eastAsia="zh-CN" w:bidi="ar"/>
                    </w:rPr>
                  </w:pPr>
                  <w:r>
                    <w:rPr>
                      <w:rFonts w:hint="eastAsia"/>
                      <w:color w:val="auto"/>
                      <w:sz w:val="21"/>
                      <w:szCs w:val="21"/>
                    </w:rPr>
                    <w:t>切削液</w:t>
                  </w:r>
                </w:p>
              </w:tc>
              <w:tc>
                <w:tcPr>
                  <w:tcW w:w="1199" w:type="pct"/>
                  <w:tcBorders>
                    <w:tl2br w:val="nil"/>
                    <w:tr2bl w:val="nil"/>
                  </w:tcBorders>
                  <w:shd w:val="clear" w:color="auto" w:fill="auto"/>
                  <w:vAlign w:val="center"/>
                </w:tcPr>
                <w:p w14:paraId="073D421B">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0.8</w:t>
                  </w:r>
                </w:p>
              </w:tc>
              <w:tc>
                <w:tcPr>
                  <w:tcW w:w="910" w:type="pct"/>
                  <w:tcBorders>
                    <w:tl2br w:val="nil"/>
                    <w:tr2bl w:val="nil"/>
                  </w:tcBorders>
                  <w:shd w:val="clear" w:color="auto" w:fill="auto"/>
                  <w:vAlign w:val="center"/>
                </w:tcPr>
                <w:p w14:paraId="1FFF1F22">
                  <w:pPr>
                    <w:keepNext/>
                    <w:keepLines/>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rightChars="0"/>
                    <w:jc w:val="center"/>
                    <w:textAlignment w:val="auto"/>
                    <w:outlineLvl w:val="9"/>
                    <w:rPr>
                      <w:rFonts w:hint="default" w:ascii="Times New Roman" w:hAnsi="Times New Roman" w:eastAsia="宋体" w:cs="Times New Roman"/>
                      <w:b w:val="0"/>
                      <w:bCs w:val="0"/>
                      <w:color w:val="auto"/>
                      <w:kern w:val="2"/>
                      <w:sz w:val="21"/>
                      <w:szCs w:val="21"/>
                      <w:highlight w:val="none"/>
                      <w:lang w:val="en-US" w:eastAsia="zh-CN" w:bidi="ar"/>
                    </w:rPr>
                  </w:pPr>
                  <w:r>
                    <w:rPr>
                      <w:rFonts w:hint="eastAsia" w:cs="Times New Roman"/>
                      <w:b w:val="0"/>
                      <w:bCs w:val="0"/>
                      <w:color w:val="auto"/>
                      <w:kern w:val="2"/>
                      <w:sz w:val="21"/>
                      <w:szCs w:val="21"/>
                      <w:highlight w:val="none"/>
                      <w:lang w:val="en-US" w:eastAsia="zh-CN" w:bidi="ar"/>
                    </w:rPr>
                    <w:t>50</w:t>
                  </w:r>
                </w:p>
              </w:tc>
              <w:tc>
                <w:tcPr>
                  <w:tcW w:w="873" w:type="pct"/>
                  <w:vMerge w:val="continue"/>
                  <w:tcBorders>
                    <w:tl2br w:val="nil"/>
                    <w:tr2bl w:val="nil"/>
                  </w:tcBorders>
                  <w:vAlign w:val="center"/>
                </w:tcPr>
                <w:p w14:paraId="3AA834FB">
                  <w:pPr>
                    <w:adjustRightInd w:val="0"/>
                    <w:snapToGrid w:val="0"/>
                    <w:jc w:val="center"/>
                    <w:rPr>
                      <w:rFonts w:hint="default" w:ascii="Times New Roman" w:hAnsi="Times New Roman" w:eastAsia="宋体" w:cs="Times New Roman"/>
                      <w:color w:val="auto"/>
                      <w:sz w:val="21"/>
                      <w:szCs w:val="21"/>
                    </w:rPr>
                  </w:pPr>
                </w:p>
              </w:tc>
              <w:tc>
                <w:tcPr>
                  <w:tcW w:w="751" w:type="pct"/>
                  <w:tcBorders>
                    <w:tl2br w:val="nil"/>
                    <w:tr2bl w:val="nil"/>
                  </w:tcBorders>
                  <w:vAlign w:val="center"/>
                </w:tcPr>
                <w:p w14:paraId="17D1EAA3">
                  <w:pPr>
                    <w:keepNext w:val="0"/>
                    <w:keepLines w:val="0"/>
                    <w:widowControl/>
                    <w:suppressLineNumbers w:val="0"/>
                    <w:jc w:val="center"/>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0.016</w:t>
                  </w:r>
                </w:p>
              </w:tc>
            </w:tr>
            <w:tr w14:paraId="2F4F3CC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264" w:type="pct"/>
                  <w:tcBorders>
                    <w:tl2br w:val="nil"/>
                    <w:tr2bl w:val="nil"/>
                  </w:tcBorders>
                  <w:shd w:val="clear" w:color="auto" w:fill="auto"/>
                  <w:vAlign w:val="center"/>
                </w:tcPr>
                <w:p w14:paraId="107EA034">
                  <w:pPr>
                    <w:widowControl/>
                    <w:spacing w:line="240" w:lineRule="auto"/>
                    <w:jc w:val="center"/>
                    <w:rPr>
                      <w:rFonts w:hint="default" w:ascii="Times New Roman" w:hAnsi="Times New Roman" w:eastAsia="宋体" w:cs="Times New Roman"/>
                      <w:color w:val="auto"/>
                      <w:kern w:val="2"/>
                      <w:sz w:val="21"/>
                      <w:szCs w:val="21"/>
                      <w:lang w:val="en-US" w:eastAsia="zh-CN" w:bidi="ar"/>
                    </w:rPr>
                  </w:pPr>
                  <w:r>
                    <w:rPr>
                      <w:rFonts w:hint="eastAsia"/>
                      <w:color w:val="auto"/>
                      <w:sz w:val="21"/>
                      <w:szCs w:val="21"/>
                    </w:rPr>
                    <w:t>清洗剂</w:t>
                  </w:r>
                </w:p>
              </w:tc>
              <w:tc>
                <w:tcPr>
                  <w:tcW w:w="1199" w:type="pct"/>
                  <w:tcBorders>
                    <w:tl2br w:val="nil"/>
                    <w:tr2bl w:val="nil"/>
                  </w:tcBorders>
                  <w:shd w:val="clear" w:color="auto" w:fill="auto"/>
                  <w:vAlign w:val="center"/>
                </w:tcPr>
                <w:p w14:paraId="4F8A2953">
                  <w:pPr>
                    <w:widowControl/>
                    <w:jc w:val="center"/>
                    <w:rPr>
                      <w:rFonts w:hint="default" w:ascii="Times New Roman" w:hAnsi="Times New Roman" w:eastAsia="宋体" w:cs="Times New Roman"/>
                      <w:color w:val="auto"/>
                      <w:kern w:val="2"/>
                      <w:sz w:val="21"/>
                      <w:szCs w:val="21"/>
                      <w:lang w:val="en-US" w:eastAsia="zh-CN" w:bidi="ar"/>
                    </w:rPr>
                  </w:pPr>
                  <w:r>
                    <w:rPr>
                      <w:rFonts w:hint="eastAsia" w:cs="Times New Roman"/>
                      <w:color w:val="auto"/>
                      <w:kern w:val="2"/>
                      <w:sz w:val="21"/>
                      <w:szCs w:val="21"/>
                      <w:lang w:val="en-US" w:eastAsia="zh-CN" w:bidi="ar"/>
                    </w:rPr>
                    <w:t>0.4</w:t>
                  </w:r>
                </w:p>
              </w:tc>
              <w:tc>
                <w:tcPr>
                  <w:tcW w:w="910" w:type="pct"/>
                  <w:tcBorders>
                    <w:tl2br w:val="nil"/>
                    <w:tr2bl w:val="nil"/>
                  </w:tcBorders>
                  <w:shd w:val="clear" w:color="auto" w:fill="auto"/>
                  <w:vAlign w:val="center"/>
                </w:tcPr>
                <w:p w14:paraId="4CE28185">
                  <w:pPr>
                    <w:topLinePunct/>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100</w:t>
                  </w:r>
                </w:p>
              </w:tc>
              <w:tc>
                <w:tcPr>
                  <w:tcW w:w="873" w:type="pct"/>
                  <w:vMerge w:val="continue"/>
                  <w:tcBorders>
                    <w:tl2br w:val="nil"/>
                    <w:tr2bl w:val="nil"/>
                  </w:tcBorders>
                  <w:vAlign w:val="center"/>
                </w:tcPr>
                <w:p w14:paraId="7A8A62E1">
                  <w:pPr>
                    <w:adjustRightInd w:val="0"/>
                    <w:snapToGrid w:val="0"/>
                    <w:jc w:val="center"/>
                    <w:rPr>
                      <w:rFonts w:hint="default" w:ascii="Times New Roman" w:hAnsi="Times New Roman" w:eastAsia="宋体" w:cs="Times New Roman"/>
                      <w:color w:val="auto"/>
                      <w:sz w:val="21"/>
                      <w:szCs w:val="21"/>
                    </w:rPr>
                  </w:pPr>
                </w:p>
              </w:tc>
              <w:tc>
                <w:tcPr>
                  <w:tcW w:w="751" w:type="pct"/>
                  <w:tcBorders>
                    <w:tl2br w:val="nil"/>
                    <w:tr2bl w:val="nil"/>
                  </w:tcBorders>
                  <w:vAlign w:val="center"/>
                </w:tcPr>
                <w:p w14:paraId="3270639B">
                  <w:pPr>
                    <w:keepNext w:val="0"/>
                    <w:keepLines w:val="0"/>
                    <w:widowControl/>
                    <w:suppressLineNumbers w:val="0"/>
                    <w:jc w:val="center"/>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0.004</w:t>
                  </w:r>
                </w:p>
              </w:tc>
            </w:tr>
            <w:tr w14:paraId="1AC234D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264" w:type="pct"/>
                  <w:tcBorders>
                    <w:tl2br w:val="nil"/>
                    <w:tr2bl w:val="nil"/>
                  </w:tcBorders>
                  <w:shd w:val="clear" w:color="auto" w:fill="auto"/>
                  <w:vAlign w:val="center"/>
                </w:tcPr>
                <w:p w14:paraId="63DF92DC">
                  <w:pPr>
                    <w:widowControl/>
                    <w:spacing w:line="240" w:lineRule="auto"/>
                    <w:jc w:val="center"/>
                    <w:rPr>
                      <w:rFonts w:hint="default" w:ascii="Times New Roman" w:hAnsi="Times New Roman" w:eastAsia="宋体" w:cs="Times New Roman"/>
                      <w:color w:val="auto"/>
                      <w:kern w:val="2"/>
                      <w:sz w:val="21"/>
                      <w:szCs w:val="21"/>
                      <w:lang w:val="en-US" w:eastAsia="zh-CN" w:bidi="ar"/>
                    </w:rPr>
                  </w:pPr>
                  <w:r>
                    <w:rPr>
                      <w:rFonts w:hint="eastAsia"/>
                      <w:color w:val="auto"/>
                      <w:sz w:val="21"/>
                      <w:szCs w:val="21"/>
                    </w:rPr>
                    <w:t>防锈剂</w:t>
                  </w:r>
                </w:p>
              </w:tc>
              <w:tc>
                <w:tcPr>
                  <w:tcW w:w="1199" w:type="pct"/>
                  <w:tcBorders>
                    <w:tl2br w:val="nil"/>
                    <w:tr2bl w:val="nil"/>
                  </w:tcBorders>
                  <w:shd w:val="clear" w:color="auto" w:fill="auto"/>
                  <w:vAlign w:val="center"/>
                </w:tcPr>
                <w:p w14:paraId="155DB30B">
                  <w:pPr>
                    <w:widowControl/>
                    <w:jc w:val="center"/>
                    <w:rPr>
                      <w:rFonts w:hint="default" w:ascii="Times New Roman" w:hAnsi="Times New Roman" w:eastAsia="宋体" w:cs="Times New Roman"/>
                      <w:color w:val="auto"/>
                      <w:kern w:val="2"/>
                      <w:sz w:val="21"/>
                      <w:szCs w:val="21"/>
                      <w:lang w:val="en-US" w:eastAsia="zh-CN" w:bidi="ar"/>
                    </w:rPr>
                  </w:pPr>
                  <w:r>
                    <w:rPr>
                      <w:rFonts w:hint="eastAsia" w:cs="Times New Roman"/>
                      <w:color w:val="auto"/>
                      <w:kern w:val="2"/>
                      <w:sz w:val="21"/>
                      <w:szCs w:val="21"/>
                      <w:lang w:val="en-US" w:eastAsia="zh-CN" w:bidi="ar"/>
                    </w:rPr>
                    <w:t>0.4</w:t>
                  </w:r>
                </w:p>
              </w:tc>
              <w:tc>
                <w:tcPr>
                  <w:tcW w:w="910" w:type="pct"/>
                  <w:tcBorders>
                    <w:tl2br w:val="nil"/>
                    <w:tr2bl w:val="nil"/>
                  </w:tcBorders>
                  <w:shd w:val="clear" w:color="auto" w:fill="auto"/>
                  <w:vAlign w:val="center"/>
                </w:tcPr>
                <w:p w14:paraId="7417E6CE">
                  <w:pPr>
                    <w:topLinePunct/>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100</w:t>
                  </w:r>
                </w:p>
              </w:tc>
              <w:tc>
                <w:tcPr>
                  <w:tcW w:w="873" w:type="pct"/>
                  <w:vMerge w:val="continue"/>
                  <w:tcBorders>
                    <w:tl2br w:val="nil"/>
                    <w:tr2bl w:val="nil"/>
                  </w:tcBorders>
                  <w:vAlign w:val="center"/>
                </w:tcPr>
                <w:p w14:paraId="01498B4E">
                  <w:pPr>
                    <w:adjustRightInd w:val="0"/>
                    <w:snapToGrid w:val="0"/>
                    <w:jc w:val="center"/>
                    <w:rPr>
                      <w:rFonts w:hint="default" w:ascii="Times New Roman" w:hAnsi="Times New Roman" w:eastAsia="宋体" w:cs="Times New Roman"/>
                      <w:color w:val="auto"/>
                      <w:sz w:val="21"/>
                      <w:szCs w:val="21"/>
                    </w:rPr>
                  </w:pPr>
                </w:p>
              </w:tc>
              <w:tc>
                <w:tcPr>
                  <w:tcW w:w="751" w:type="pct"/>
                  <w:tcBorders>
                    <w:tl2br w:val="nil"/>
                    <w:tr2bl w:val="nil"/>
                  </w:tcBorders>
                  <w:vAlign w:val="center"/>
                </w:tcPr>
                <w:p w14:paraId="5D5A2A99">
                  <w:pPr>
                    <w:keepNext w:val="0"/>
                    <w:keepLines w:val="0"/>
                    <w:widowControl/>
                    <w:suppressLineNumbers w:val="0"/>
                    <w:jc w:val="center"/>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0.004</w:t>
                  </w:r>
                </w:p>
              </w:tc>
            </w:tr>
            <w:tr w14:paraId="44F9415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264" w:type="pct"/>
                  <w:tcBorders>
                    <w:tl2br w:val="nil"/>
                    <w:tr2bl w:val="nil"/>
                  </w:tcBorders>
                  <w:shd w:val="clear" w:color="auto" w:fill="auto"/>
                  <w:vAlign w:val="center"/>
                </w:tcPr>
                <w:p w14:paraId="6682087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eastAsia="宋体" w:cs="Times New Roman"/>
                      <w:color w:val="auto"/>
                      <w:kern w:val="2"/>
                      <w:sz w:val="21"/>
                      <w:szCs w:val="21"/>
                      <w:highlight w:val="none"/>
                      <w:vertAlign w:val="baseline"/>
                      <w:lang w:val="en-US" w:eastAsia="zh-CN" w:bidi="ar-SA"/>
                    </w:rPr>
                    <w:t>轻质白油</w:t>
                  </w:r>
                </w:p>
              </w:tc>
              <w:tc>
                <w:tcPr>
                  <w:tcW w:w="1199" w:type="pct"/>
                  <w:tcBorders>
                    <w:tl2br w:val="nil"/>
                    <w:tr2bl w:val="nil"/>
                  </w:tcBorders>
                  <w:shd w:val="clear" w:color="auto" w:fill="auto"/>
                  <w:vAlign w:val="center"/>
                </w:tcPr>
                <w:p w14:paraId="5E3091EE">
                  <w:pPr>
                    <w:widowControl/>
                    <w:jc w:val="center"/>
                    <w:rPr>
                      <w:rFonts w:hint="eastAsia" w:ascii="Times New Roman" w:hAnsi="Times New Roman" w:eastAsia="宋体" w:cs="Times New Roman"/>
                      <w:color w:val="auto"/>
                      <w:kern w:val="2"/>
                      <w:sz w:val="21"/>
                      <w:szCs w:val="21"/>
                      <w:lang w:val="en-US" w:eastAsia="zh-CN" w:bidi="ar"/>
                    </w:rPr>
                  </w:pPr>
                  <w:r>
                    <w:rPr>
                      <w:rFonts w:hint="eastAsia" w:cs="Times New Roman"/>
                      <w:color w:val="auto"/>
                      <w:kern w:val="2"/>
                      <w:sz w:val="21"/>
                      <w:szCs w:val="21"/>
                      <w:lang w:val="en-US" w:eastAsia="zh-CN" w:bidi="ar"/>
                    </w:rPr>
                    <w:t>0.624</w:t>
                  </w:r>
                </w:p>
              </w:tc>
              <w:tc>
                <w:tcPr>
                  <w:tcW w:w="910" w:type="pct"/>
                  <w:tcBorders>
                    <w:tl2br w:val="nil"/>
                    <w:tr2bl w:val="nil"/>
                  </w:tcBorders>
                  <w:shd w:val="clear" w:color="auto" w:fill="auto"/>
                  <w:vAlign w:val="center"/>
                </w:tcPr>
                <w:p w14:paraId="40A03250">
                  <w:pPr>
                    <w:topLinePunct/>
                    <w:jc w:val="center"/>
                    <w:rPr>
                      <w:rFonts w:hint="default" w:ascii="Times New Roman" w:hAnsi="Times New Roman" w:eastAsia="宋体" w:cs="Times New Roman"/>
                      <w:b w:val="0"/>
                      <w:bCs w:val="0"/>
                      <w:color w:val="auto"/>
                      <w:sz w:val="21"/>
                      <w:szCs w:val="21"/>
                      <w:highlight w:val="none"/>
                      <w:lang w:val="en-US" w:eastAsia="zh-CN"/>
                    </w:rPr>
                  </w:pPr>
                  <w:r>
                    <w:rPr>
                      <w:rFonts w:hint="eastAsia" w:cs="Times New Roman"/>
                      <w:b w:val="0"/>
                      <w:bCs w:val="0"/>
                      <w:color w:val="auto"/>
                      <w:kern w:val="2"/>
                      <w:sz w:val="21"/>
                      <w:szCs w:val="21"/>
                      <w:highlight w:val="none"/>
                      <w:lang w:val="en-US" w:eastAsia="zh-CN" w:bidi="ar"/>
                    </w:rPr>
                    <w:t>2500</w:t>
                  </w:r>
                </w:p>
              </w:tc>
              <w:tc>
                <w:tcPr>
                  <w:tcW w:w="873" w:type="pct"/>
                  <w:vMerge w:val="continue"/>
                  <w:tcBorders>
                    <w:tl2br w:val="nil"/>
                    <w:tr2bl w:val="nil"/>
                  </w:tcBorders>
                  <w:vAlign w:val="center"/>
                </w:tcPr>
                <w:p w14:paraId="77DBD30A">
                  <w:pPr>
                    <w:adjustRightInd w:val="0"/>
                    <w:snapToGrid w:val="0"/>
                    <w:jc w:val="center"/>
                    <w:rPr>
                      <w:rFonts w:hint="default" w:ascii="Times New Roman" w:hAnsi="Times New Roman" w:eastAsia="宋体" w:cs="Times New Roman"/>
                      <w:color w:val="auto"/>
                      <w:sz w:val="21"/>
                      <w:szCs w:val="21"/>
                    </w:rPr>
                  </w:pPr>
                </w:p>
              </w:tc>
              <w:tc>
                <w:tcPr>
                  <w:tcW w:w="751" w:type="pct"/>
                  <w:tcBorders>
                    <w:tl2br w:val="nil"/>
                    <w:tr2bl w:val="nil"/>
                  </w:tcBorders>
                  <w:vAlign w:val="center"/>
                </w:tcPr>
                <w:p w14:paraId="717A4FE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0.0002496</w:t>
                  </w:r>
                </w:p>
              </w:tc>
            </w:tr>
            <w:tr w14:paraId="2EB02DA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264" w:type="pct"/>
                  <w:tcBorders>
                    <w:tl2br w:val="nil"/>
                    <w:tr2bl w:val="nil"/>
                  </w:tcBorders>
                  <w:shd w:val="clear" w:color="auto" w:fill="auto"/>
                  <w:vAlign w:val="center"/>
                </w:tcPr>
                <w:p w14:paraId="78B0AE2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eastAsia"/>
                      <w:color w:val="auto"/>
                      <w:sz w:val="21"/>
                      <w:szCs w:val="21"/>
                      <w:lang w:val="en-US" w:eastAsia="zh-CN"/>
                    </w:rPr>
                    <w:t>消泡剂</w:t>
                  </w:r>
                </w:p>
              </w:tc>
              <w:tc>
                <w:tcPr>
                  <w:tcW w:w="1199" w:type="pct"/>
                  <w:tcBorders>
                    <w:tl2br w:val="nil"/>
                    <w:tr2bl w:val="nil"/>
                  </w:tcBorders>
                  <w:shd w:val="clear" w:color="auto" w:fill="auto"/>
                  <w:vAlign w:val="center"/>
                </w:tcPr>
                <w:p w14:paraId="6B75E71F">
                  <w:pPr>
                    <w:widowControl/>
                    <w:jc w:val="center"/>
                    <w:rPr>
                      <w:rFonts w:hint="eastAsia" w:ascii="Times New Roman" w:hAnsi="Times New Roman" w:eastAsia="宋体" w:cs="Times New Roman"/>
                      <w:color w:val="auto"/>
                      <w:kern w:val="2"/>
                      <w:sz w:val="21"/>
                      <w:szCs w:val="21"/>
                      <w:lang w:val="en-US" w:eastAsia="zh-CN" w:bidi="ar"/>
                    </w:rPr>
                  </w:pPr>
                  <w:r>
                    <w:rPr>
                      <w:rFonts w:hint="eastAsia" w:cs="Times New Roman"/>
                      <w:color w:val="auto"/>
                      <w:kern w:val="2"/>
                      <w:sz w:val="21"/>
                      <w:szCs w:val="21"/>
                      <w:lang w:val="en-US" w:eastAsia="zh-CN" w:bidi="ar"/>
                    </w:rPr>
                    <w:t>0.15</w:t>
                  </w:r>
                </w:p>
              </w:tc>
              <w:tc>
                <w:tcPr>
                  <w:tcW w:w="910" w:type="pct"/>
                  <w:tcBorders>
                    <w:tl2br w:val="nil"/>
                    <w:tr2bl w:val="nil"/>
                  </w:tcBorders>
                  <w:shd w:val="clear" w:color="auto" w:fill="auto"/>
                  <w:vAlign w:val="center"/>
                </w:tcPr>
                <w:p w14:paraId="21F238FB">
                  <w:pPr>
                    <w:topLinePunct/>
                    <w:jc w:val="center"/>
                    <w:rPr>
                      <w:rFonts w:hint="default" w:ascii="Times New Roman" w:hAnsi="Times New Roman" w:eastAsia="宋体" w:cs="Times New Roman"/>
                      <w:b w:val="0"/>
                      <w:bCs w:val="0"/>
                      <w:color w:val="auto"/>
                      <w:sz w:val="21"/>
                      <w:szCs w:val="21"/>
                      <w:highlight w:val="none"/>
                      <w:lang w:val="en-US" w:eastAsia="zh-CN"/>
                    </w:rPr>
                  </w:pPr>
                  <w:r>
                    <w:rPr>
                      <w:rFonts w:hint="eastAsia" w:cs="Times New Roman"/>
                      <w:color w:val="auto"/>
                      <w:kern w:val="2"/>
                      <w:sz w:val="21"/>
                      <w:szCs w:val="21"/>
                      <w:lang w:val="en-US" w:eastAsia="zh-CN" w:bidi="ar-SA"/>
                    </w:rPr>
                    <w:t>100</w:t>
                  </w:r>
                </w:p>
              </w:tc>
              <w:tc>
                <w:tcPr>
                  <w:tcW w:w="873" w:type="pct"/>
                  <w:vMerge w:val="continue"/>
                  <w:tcBorders>
                    <w:tl2br w:val="nil"/>
                    <w:tr2bl w:val="nil"/>
                  </w:tcBorders>
                  <w:vAlign w:val="center"/>
                </w:tcPr>
                <w:p w14:paraId="142CACFB">
                  <w:pPr>
                    <w:adjustRightInd w:val="0"/>
                    <w:snapToGrid w:val="0"/>
                    <w:jc w:val="center"/>
                    <w:rPr>
                      <w:rFonts w:hint="default" w:ascii="Times New Roman" w:hAnsi="Times New Roman" w:eastAsia="宋体" w:cs="Times New Roman"/>
                      <w:color w:val="auto"/>
                      <w:sz w:val="21"/>
                      <w:szCs w:val="21"/>
                    </w:rPr>
                  </w:pPr>
                </w:p>
              </w:tc>
              <w:tc>
                <w:tcPr>
                  <w:tcW w:w="751" w:type="pct"/>
                  <w:tcBorders>
                    <w:tl2br w:val="nil"/>
                    <w:tr2bl w:val="nil"/>
                  </w:tcBorders>
                  <w:vAlign w:val="center"/>
                </w:tcPr>
                <w:p w14:paraId="03872CD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0.0015</w:t>
                  </w:r>
                </w:p>
              </w:tc>
            </w:tr>
            <w:tr w14:paraId="771014A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264" w:type="pct"/>
                  <w:tcBorders>
                    <w:tl2br w:val="nil"/>
                    <w:tr2bl w:val="nil"/>
                  </w:tcBorders>
                  <w:shd w:val="clear" w:color="auto" w:fill="auto"/>
                  <w:vAlign w:val="center"/>
                </w:tcPr>
                <w:p w14:paraId="434C46E2">
                  <w:pPr>
                    <w:widowControl/>
                    <w:jc w:val="center"/>
                    <w:rPr>
                      <w:rFonts w:hint="default" w:ascii="Times New Roman" w:hAnsi="Times New Roman" w:eastAsia="宋体" w:cs="Times New Roman"/>
                      <w:bCs/>
                      <w:snapToGrid w:val="0"/>
                      <w:color w:val="auto"/>
                      <w:spacing w:val="6"/>
                      <w:kern w:val="2"/>
                      <w:sz w:val="21"/>
                      <w:szCs w:val="21"/>
                      <w:lang w:val="en-US" w:eastAsia="zh-CN" w:bidi="ar"/>
                    </w:rPr>
                  </w:pPr>
                  <w:r>
                    <w:rPr>
                      <w:rFonts w:hint="default" w:ascii="Times New Roman" w:hAnsi="Times New Roman" w:eastAsia="宋体" w:cs="Times New Roman"/>
                      <w:bCs/>
                      <w:snapToGrid w:val="0"/>
                      <w:color w:val="auto"/>
                      <w:spacing w:val="6"/>
                      <w:kern w:val="2"/>
                      <w:sz w:val="21"/>
                      <w:szCs w:val="21"/>
                      <w:lang w:val="en-US" w:eastAsia="zh-CN" w:bidi="ar"/>
                    </w:rPr>
                    <w:t>废深孔钻油</w:t>
                  </w:r>
                </w:p>
              </w:tc>
              <w:tc>
                <w:tcPr>
                  <w:tcW w:w="1199" w:type="pct"/>
                  <w:tcBorders>
                    <w:tl2br w:val="nil"/>
                    <w:tr2bl w:val="nil"/>
                  </w:tcBorders>
                  <w:shd w:val="clear" w:color="auto" w:fill="auto"/>
                  <w:vAlign w:val="center"/>
                </w:tcPr>
                <w:p w14:paraId="6F3E7512">
                  <w:pPr>
                    <w:widowControl/>
                    <w:jc w:val="center"/>
                    <w:rPr>
                      <w:rFonts w:hint="default" w:ascii="Times New Roman" w:hAnsi="Times New Roman" w:eastAsia="宋体" w:cs="Times New Roman"/>
                      <w:color w:val="auto"/>
                      <w:kern w:val="2"/>
                      <w:sz w:val="21"/>
                      <w:szCs w:val="21"/>
                      <w:lang w:val="en-US" w:eastAsia="zh-CN" w:bidi="ar"/>
                    </w:rPr>
                  </w:pPr>
                  <w:r>
                    <w:rPr>
                      <w:rFonts w:hint="eastAsia" w:cs="Times New Roman"/>
                      <w:color w:val="auto"/>
                      <w:sz w:val="21"/>
                      <w:szCs w:val="21"/>
                      <w:lang w:val="en-US" w:eastAsia="zh-CN" w:bidi="ar"/>
                    </w:rPr>
                    <w:t>2.025</w:t>
                  </w:r>
                </w:p>
              </w:tc>
              <w:tc>
                <w:tcPr>
                  <w:tcW w:w="910" w:type="pct"/>
                  <w:tcBorders>
                    <w:tl2br w:val="nil"/>
                    <w:tr2bl w:val="nil"/>
                  </w:tcBorders>
                  <w:shd w:val="clear" w:color="auto" w:fill="auto"/>
                  <w:vAlign w:val="center"/>
                </w:tcPr>
                <w:p w14:paraId="64E969C0">
                  <w:pPr>
                    <w:topLinePunct/>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50</w:t>
                  </w:r>
                </w:p>
              </w:tc>
              <w:tc>
                <w:tcPr>
                  <w:tcW w:w="873" w:type="pct"/>
                  <w:vMerge w:val="continue"/>
                  <w:tcBorders>
                    <w:tl2br w:val="nil"/>
                    <w:tr2bl w:val="nil"/>
                  </w:tcBorders>
                  <w:vAlign w:val="center"/>
                </w:tcPr>
                <w:p w14:paraId="3CC0C557">
                  <w:pPr>
                    <w:adjustRightInd w:val="0"/>
                    <w:snapToGrid w:val="0"/>
                    <w:jc w:val="center"/>
                    <w:rPr>
                      <w:rFonts w:hint="default" w:ascii="Times New Roman" w:hAnsi="Times New Roman" w:eastAsia="宋体" w:cs="Times New Roman"/>
                      <w:color w:val="auto"/>
                      <w:sz w:val="21"/>
                      <w:szCs w:val="21"/>
                    </w:rPr>
                  </w:pPr>
                </w:p>
              </w:tc>
              <w:tc>
                <w:tcPr>
                  <w:tcW w:w="751" w:type="pct"/>
                  <w:tcBorders>
                    <w:tl2br w:val="nil"/>
                    <w:tr2bl w:val="nil"/>
                  </w:tcBorders>
                  <w:vAlign w:val="center"/>
                </w:tcPr>
                <w:p w14:paraId="51C8C57F">
                  <w:pPr>
                    <w:keepNext w:val="0"/>
                    <w:keepLines w:val="0"/>
                    <w:widowControl/>
                    <w:suppressLineNumbers w:val="0"/>
                    <w:jc w:val="center"/>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0.0405</w:t>
                  </w:r>
                </w:p>
              </w:tc>
            </w:tr>
            <w:tr w14:paraId="6E32F09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264" w:type="pct"/>
                  <w:tcBorders>
                    <w:tl2br w:val="nil"/>
                    <w:tr2bl w:val="nil"/>
                  </w:tcBorders>
                  <w:shd w:val="clear" w:color="auto" w:fill="auto"/>
                  <w:vAlign w:val="center"/>
                </w:tcPr>
                <w:p w14:paraId="295F666E">
                  <w:pPr>
                    <w:widowControl/>
                    <w:jc w:val="center"/>
                    <w:rPr>
                      <w:rFonts w:hint="default" w:ascii="Times New Roman" w:hAnsi="Times New Roman" w:eastAsia="宋体" w:cs="Times New Roman"/>
                      <w:bCs/>
                      <w:snapToGrid w:val="0"/>
                      <w:color w:val="auto"/>
                      <w:spacing w:val="6"/>
                      <w:kern w:val="2"/>
                      <w:sz w:val="21"/>
                      <w:szCs w:val="21"/>
                      <w:lang w:val="en-US" w:eastAsia="zh-CN" w:bidi="ar"/>
                    </w:rPr>
                  </w:pPr>
                  <w:r>
                    <w:rPr>
                      <w:rFonts w:hint="eastAsia" w:cs="Times New Roman"/>
                      <w:color w:val="auto"/>
                      <w:sz w:val="21"/>
                      <w:szCs w:val="21"/>
                      <w:lang w:eastAsia="zh-CN" w:bidi="ar"/>
                    </w:rPr>
                    <w:t>废油桶</w:t>
                  </w:r>
                </w:p>
              </w:tc>
              <w:tc>
                <w:tcPr>
                  <w:tcW w:w="1199" w:type="pct"/>
                  <w:tcBorders>
                    <w:tl2br w:val="nil"/>
                    <w:tr2bl w:val="nil"/>
                  </w:tcBorders>
                  <w:shd w:val="clear" w:color="auto" w:fill="auto"/>
                  <w:vAlign w:val="center"/>
                </w:tcPr>
                <w:p w14:paraId="407BFF20">
                  <w:pPr>
                    <w:widowControl/>
                    <w:jc w:val="center"/>
                    <w:rPr>
                      <w:rFonts w:hint="default" w:ascii="Times New Roman" w:hAnsi="Times New Roman" w:eastAsia="宋体" w:cs="Times New Roman"/>
                      <w:color w:val="auto"/>
                      <w:kern w:val="2"/>
                      <w:sz w:val="21"/>
                      <w:szCs w:val="21"/>
                      <w:lang w:val="en-US" w:eastAsia="zh-CN" w:bidi="ar"/>
                    </w:rPr>
                  </w:pPr>
                  <w:r>
                    <w:rPr>
                      <w:rFonts w:hint="eastAsia" w:ascii="Times New Roman" w:hAnsi="Times New Roman" w:eastAsia="宋体" w:cs="Times New Roman"/>
                      <w:color w:val="auto"/>
                      <w:sz w:val="21"/>
                      <w:szCs w:val="21"/>
                      <w:lang w:val="en-US" w:eastAsia="zh-CN" w:bidi="ar"/>
                    </w:rPr>
                    <w:t>0.119</w:t>
                  </w:r>
                </w:p>
              </w:tc>
              <w:tc>
                <w:tcPr>
                  <w:tcW w:w="910" w:type="pct"/>
                  <w:tcBorders>
                    <w:tl2br w:val="nil"/>
                    <w:tr2bl w:val="nil"/>
                  </w:tcBorders>
                  <w:shd w:val="clear" w:color="auto" w:fill="auto"/>
                  <w:vAlign w:val="center"/>
                </w:tcPr>
                <w:p w14:paraId="5218D412">
                  <w:pPr>
                    <w:topLinePunct/>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50</w:t>
                  </w:r>
                </w:p>
              </w:tc>
              <w:tc>
                <w:tcPr>
                  <w:tcW w:w="873" w:type="pct"/>
                  <w:vMerge w:val="continue"/>
                  <w:tcBorders>
                    <w:tl2br w:val="nil"/>
                    <w:tr2bl w:val="nil"/>
                  </w:tcBorders>
                  <w:vAlign w:val="center"/>
                </w:tcPr>
                <w:p w14:paraId="41E0F0BB">
                  <w:pPr>
                    <w:adjustRightInd w:val="0"/>
                    <w:snapToGrid w:val="0"/>
                    <w:jc w:val="center"/>
                    <w:rPr>
                      <w:rFonts w:hint="default" w:ascii="Times New Roman" w:hAnsi="Times New Roman" w:eastAsia="宋体" w:cs="Times New Roman"/>
                      <w:color w:val="auto"/>
                      <w:sz w:val="21"/>
                      <w:szCs w:val="21"/>
                    </w:rPr>
                  </w:pPr>
                </w:p>
              </w:tc>
              <w:tc>
                <w:tcPr>
                  <w:tcW w:w="751" w:type="pct"/>
                  <w:tcBorders>
                    <w:tl2br w:val="nil"/>
                    <w:tr2bl w:val="nil"/>
                  </w:tcBorders>
                  <w:vAlign w:val="center"/>
                </w:tcPr>
                <w:p w14:paraId="6FAD6C18">
                  <w:pPr>
                    <w:keepNext w:val="0"/>
                    <w:keepLines w:val="0"/>
                    <w:widowControl/>
                    <w:suppressLineNumbers w:val="0"/>
                    <w:jc w:val="center"/>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0.00238</w:t>
                  </w:r>
                </w:p>
              </w:tc>
            </w:tr>
            <w:tr w14:paraId="106B388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264" w:type="pct"/>
                  <w:tcBorders>
                    <w:tl2br w:val="nil"/>
                    <w:tr2bl w:val="nil"/>
                  </w:tcBorders>
                  <w:shd w:val="clear" w:color="auto" w:fill="auto"/>
                  <w:vAlign w:val="center"/>
                </w:tcPr>
                <w:p w14:paraId="25408E47">
                  <w:pPr>
                    <w:widowControl/>
                    <w:jc w:val="center"/>
                    <w:rPr>
                      <w:rFonts w:hint="default" w:ascii="Times New Roman" w:hAnsi="Times New Roman" w:eastAsia="宋体" w:cs="Times New Roman"/>
                      <w:bCs/>
                      <w:snapToGrid w:val="0"/>
                      <w:color w:val="auto"/>
                      <w:spacing w:val="6"/>
                      <w:kern w:val="2"/>
                      <w:sz w:val="21"/>
                      <w:szCs w:val="21"/>
                      <w:lang w:val="en-US" w:eastAsia="zh-CN" w:bidi="ar"/>
                    </w:rPr>
                  </w:pPr>
                  <w:r>
                    <w:rPr>
                      <w:rFonts w:hint="eastAsia" w:cs="Times New Roman"/>
                      <w:color w:val="auto"/>
                      <w:sz w:val="21"/>
                      <w:szCs w:val="21"/>
                      <w:lang w:eastAsia="zh-CN" w:bidi="ar"/>
                    </w:rPr>
                    <w:t>废润滑油</w:t>
                  </w:r>
                </w:p>
              </w:tc>
              <w:tc>
                <w:tcPr>
                  <w:tcW w:w="1199" w:type="pct"/>
                  <w:tcBorders>
                    <w:tl2br w:val="nil"/>
                    <w:tr2bl w:val="nil"/>
                  </w:tcBorders>
                  <w:shd w:val="clear" w:color="auto" w:fill="auto"/>
                  <w:vAlign w:val="center"/>
                </w:tcPr>
                <w:p w14:paraId="3730A65A">
                  <w:pPr>
                    <w:widowControl/>
                    <w:jc w:val="center"/>
                    <w:rPr>
                      <w:rFonts w:hint="default" w:ascii="Times New Roman" w:hAnsi="Times New Roman" w:eastAsia="宋体" w:cs="Times New Roman"/>
                      <w:color w:val="auto"/>
                      <w:kern w:val="2"/>
                      <w:sz w:val="21"/>
                      <w:szCs w:val="21"/>
                      <w:lang w:val="en-US" w:eastAsia="zh-CN" w:bidi="ar"/>
                    </w:rPr>
                  </w:pPr>
                  <w:r>
                    <w:rPr>
                      <w:rFonts w:hint="eastAsia"/>
                      <w:color w:val="auto"/>
                      <w:sz w:val="21"/>
                      <w:szCs w:val="21"/>
                      <w:lang w:val="en-US" w:eastAsia="zh-CN"/>
                    </w:rPr>
                    <w:t>1</w:t>
                  </w:r>
                </w:p>
              </w:tc>
              <w:tc>
                <w:tcPr>
                  <w:tcW w:w="910" w:type="pct"/>
                  <w:tcBorders>
                    <w:tl2br w:val="nil"/>
                    <w:tr2bl w:val="nil"/>
                  </w:tcBorders>
                  <w:shd w:val="clear" w:color="auto" w:fill="auto"/>
                  <w:vAlign w:val="center"/>
                </w:tcPr>
                <w:p w14:paraId="25A0D63E">
                  <w:pPr>
                    <w:topLinePunct/>
                    <w:jc w:val="center"/>
                    <w:rPr>
                      <w:rFonts w:hint="default" w:cs="Times New Roman"/>
                      <w:color w:val="auto"/>
                      <w:kern w:val="2"/>
                      <w:sz w:val="21"/>
                      <w:szCs w:val="21"/>
                      <w:lang w:val="en-US" w:eastAsia="zh-CN" w:bidi="ar-SA"/>
                    </w:rPr>
                  </w:pPr>
                  <w:r>
                    <w:rPr>
                      <w:rFonts w:hint="eastAsia" w:cs="Times New Roman"/>
                      <w:color w:val="auto"/>
                      <w:kern w:val="2"/>
                      <w:sz w:val="21"/>
                      <w:szCs w:val="21"/>
                      <w:lang w:val="en-US" w:eastAsia="zh-CN" w:bidi="ar-SA"/>
                    </w:rPr>
                    <w:t>50</w:t>
                  </w:r>
                </w:p>
              </w:tc>
              <w:tc>
                <w:tcPr>
                  <w:tcW w:w="873" w:type="pct"/>
                  <w:vMerge w:val="continue"/>
                  <w:tcBorders>
                    <w:tl2br w:val="nil"/>
                    <w:tr2bl w:val="nil"/>
                  </w:tcBorders>
                  <w:vAlign w:val="center"/>
                </w:tcPr>
                <w:p w14:paraId="108F8780">
                  <w:pPr>
                    <w:adjustRightInd w:val="0"/>
                    <w:snapToGrid w:val="0"/>
                    <w:jc w:val="center"/>
                    <w:rPr>
                      <w:rFonts w:hint="default" w:ascii="Times New Roman" w:hAnsi="Times New Roman" w:eastAsia="宋体" w:cs="Times New Roman"/>
                      <w:color w:val="auto"/>
                      <w:sz w:val="21"/>
                      <w:szCs w:val="21"/>
                    </w:rPr>
                  </w:pPr>
                </w:p>
              </w:tc>
              <w:tc>
                <w:tcPr>
                  <w:tcW w:w="751" w:type="pct"/>
                  <w:tcBorders>
                    <w:tl2br w:val="nil"/>
                    <w:tr2bl w:val="nil"/>
                  </w:tcBorders>
                  <w:vAlign w:val="center"/>
                </w:tcPr>
                <w:p w14:paraId="062A9E6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0.02</w:t>
                  </w:r>
                </w:p>
              </w:tc>
            </w:tr>
            <w:tr w14:paraId="4E1856E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264" w:type="pct"/>
                  <w:tcBorders>
                    <w:tl2br w:val="nil"/>
                    <w:tr2bl w:val="nil"/>
                  </w:tcBorders>
                  <w:shd w:val="clear" w:color="auto" w:fill="auto"/>
                  <w:vAlign w:val="center"/>
                </w:tcPr>
                <w:p w14:paraId="2F359000">
                  <w:pPr>
                    <w:widowControl/>
                    <w:jc w:val="center"/>
                    <w:rPr>
                      <w:rFonts w:hint="default" w:ascii="Times New Roman" w:hAnsi="Times New Roman" w:eastAsia="宋体" w:cs="Times New Roman"/>
                      <w:bCs/>
                      <w:snapToGrid w:val="0"/>
                      <w:color w:val="auto"/>
                      <w:spacing w:val="6"/>
                      <w:kern w:val="2"/>
                      <w:sz w:val="21"/>
                      <w:szCs w:val="21"/>
                      <w:lang w:val="en-US" w:eastAsia="zh-CN" w:bidi="ar"/>
                    </w:rPr>
                  </w:pPr>
                  <w:r>
                    <w:rPr>
                      <w:rFonts w:hint="eastAsia" w:cs="Times New Roman"/>
                      <w:color w:val="auto"/>
                      <w:sz w:val="21"/>
                      <w:szCs w:val="21"/>
                      <w:lang w:eastAsia="zh-CN" w:bidi="ar"/>
                    </w:rPr>
                    <w:t>废液压油</w:t>
                  </w:r>
                </w:p>
              </w:tc>
              <w:tc>
                <w:tcPr>
                  <w:tcW w:w="1199" w:type="pct"/>
                  <w:tcBorders>
                    <w:tl2br w:val="nil"/>
                    <w:tr2bl w:val="nil"/>
                  </w:tcBorders>
                  <w:shd w:val="clear" w:color="auto" w:fill="auto"/>
                  <w:vAlign w:val="center"/>
                </w:tcPr>
                <w:p w14:paraId="29CEEFB3">
                  <w:pPr>
                    <w:widowControl/>
                    <w:jc w:val="center"/>
                    <w:rPr>
                      <w:rFonts w:hint="default" w:ascii="Times New Roman" w:hAnsi="Times New Roman" w:eastAsia="宋体" w:cs="Times New Roman"/>
                      <w:color w:val="auto"/>
                      <w:kern w:val="2"/>
                      <w:sz w:val="21"/>
                      <w:szCs w:val="21"/>
                      <w:lang w:val="en-US" w:eastAsia="zh-CN" w:bidi="ar"/>
                    </w:rPr>
                  </w:pPr>
                  <w:r>
                    <w:rPr>
                      <w:rFonts w:hint="eastAsia"/>
                      <w:color w:val="auto"/>
                      <w:sz w:val="21"/>
                      <w:szCs w:val="21"/>
                      <w:lang w:val="en-US" w:eastAsia="zh-CN"/>
                    </w:rPr>
                    <w:t>0.333</w:t>
                  </w:r>
                </w:p>
              </w:tc>
              <w:tc>
                <w:tcPr>
                  <w:tcW w:w="910" w:type="pct"/>
                  <w:tcBorders>
                    <w:tl2br w:val="nil"/>
                    <w:tr2bl w:val="nil"/>
                  </w:tcBorders>
                  <w:shd w:val="clear" w:color="auto" w:fill="auto"/>
                  <w:vAlign w:val="center"/>
                </w:tcPr>
                <w:p w14:paraId="53504810">
                  <w:pPr>
                    <w:topLinePunct/>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50</w:t>
                  </w:r>
                </w:p>
              </w:tc>
              <w:tc>
                <w:tcPr>
                  <w:tcW w:w="873" w:type="pct"/>
                  <w:vMerge w:val="continue"/>
                  <w:tcBorders>
                    <w:tl2br w:val="nil"/>
                    <w:tr2bl w:val="nil"/>
                  </w:tcBorders>
                  <w:vAlign w:val="center"/>
                </w:tcPr>
                <w:p w14:paraId="6D652F81">
                  <w:pPr>
                    <w:adjustRightInd w:val="0"/>
                    <w:snapToGrid w:val="0"/>
                    <w:jc w:val="center"/>
                    <w:rPr>
                      <w:rFonts w:hint="default" w:ascii="Times New Roman" w:hAnsi="Times New Roman" w:eastAsia="宋体" w:cs="Times New Roman"/>
                      <w:color w:val="auto"/>
                      <w:sz w:val="21"/>
                      <w:szCs w:val="21"/>
                    </w:rPr>
                  </w:pPr>
                </w:p>
              </w:tc>
              <w:tc>
                <w:tcPr>
                  <w:tcW w:w="751" w:type="pct"/>
                  <w:tcBorders>
                    <w:tl2br w:val="nil"/>
                    <w:tr2bl w:val="nil"/>
                  </w:tcBorders>
                  <w:vAlign w:val="center"/>
                </w:tcPr>
                <w:p w14:paraId="071E0F84">
                  <w:pPr>
                    <w:keepNext w:val="0"/>
                    <w:keepLines w:val="0"/>
                    <w:widowControl/>
                    <w:suppressLineNumbers w:val="0"/>
                    <w:jc w:val="center"/>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0.00666</w:t>
                  </w:r>
                </w:p>
              </w:tc>
            </w:tr>
            <w:tr w14:paraId="18B1D41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264" w:type="pct"/>
                  <w:tcBorders>
                    <w:tl2br w:val="nil"/>
                    <w:tr2bl w:val="nil"/>
                  </w:tcBorders>
                  <w:shd w:val="clear" w:color="auto" w:fill="auto"/>
                  <w:vAlign w:val="center"/>
                </w:tcPr>
                <w:p w14:paraId="2A05E2B2">
                  <w:pPr>
                    <w:widowControl/>
                    <w:jc w:val="center"/>
                    <w:rPr>
                      <w:rFonts w:hint="default" w:ascii="Times New Roman" w:hAnsi="Times New Roman" w:eastAsia="宋体" w:cs="Times New Roman"/>
                      <w:color w:val="auto"/>
                      <w:kern w:val="2"/>
                      <w:sz w:val="21"/>
                      <w:szCs w:val="21"/>
                      <w:lang w:val="en-US" w:eastAsia="zh-CN" w:bidi="ar"/>
                    </w:rPr>
                  </w:pPr>
                  <w:r>
                    <w:rPr>
                      <w:rFonts w:hint="eastAsia" w:cs="Times New Roman"/>
                      <w:color w:val="auto"/>
                      <w:sz w:val="21"/>
                      <w:szCs w:val="21"/>
                      <w:lang w:val="en-US" w:eastAsia="zh-CN" w:bidi="ar"/>
                    </w:rPr>
                    <w:t>抛光废料</w:t>
                  </w:r>
                </w:p>
              </w:tc>
              <w:tc>
                <w:tcPr>
                  <w:tcW w:w="1199" w:type="pct"/>
                  <w:tcBorders>
                    <w:tl2br w:val="nil"/>
                    <w:tr2bl w:val="nil"/>
                  </w:tcBorders>
                  <w:shd w:val="clear" w:color="auto" w:fill="auto"/>
                  <w:vAlign w:val="center"/>
                </w:tcPr>
                <w:p w14:paraId="6476D2FE">
                  <w:pPr>
                    <w:widowControl/>
                    <w:jc w:val="center"/>
                    <w:rPr>
                      <w:rFonts w:hint="default" w:ascii="Times New Roman" w:hAnsi="Times New Roman" w:eastAsia="宋体" w:cs="Times New Roman"/>
                      <w:color w:val="auto"/>
                      <w:kern w:val="2"/>
                      <w:sz w:val="21"/>
                      <w:szCs w:val="21"/>
                      <w:lang w:val="en-US" w:eastAsia="zh-CN" w:bidi="ar"/>
                    </w:rPr>
                  </w:pPr>
                  <w:r>
                    <w:rPr>
                      <w:rFonts w:hint="eastAsia"/>
                      <w:color w:val="auto"/>
                      <w:sz w:val="21"/>
                      <w:szCs w:val="21"/>
                      <w:lang w:val="en-US" w:eastAsia="zh-CN"/>
                    </w:rPr>
                    <w:t>2.38</w:t>
                  </w:r>
                </w:p>
              </w:tc>
              <w:tc>
                <w:tcPr>
                  <w:tcW w:w="910" w:type="pct"/>
                  <w:tcBorders>
                    <w:tl2br w:val="nil"/>
                    <w:tr2bl w:val="nil"/>
                  </w:tcBorders>
                  <w:shd w:val="clear" w:color="auto" w:fill="auto"/>
                  <w:vAlign w:val="center"/>
                </w:tcPr>
                <w:p w14:paraId="7B0E01AB">
                  <w:pPr>
                    <w:topLinePunct/>
                    <w:jc w:val="center"/>
                    <w:rPr>
                      <w:rFonts w:hint="eastAsia" w:cs="Times New Roman"/>
                      <w:color w:val="auto"/>
                      <w:kern w:val="2"/>
                      <w:sz w:val="21"/>
                      <w:szCs w:val="21"/>
                      <w:lang w:val="en-US" w:eastAsia="zh-CN" w:bidi="ar-SA"/>
                    </w:rPr>
                  </w:pPr>
                  <w:r>
                    <w:rPr>
                      <w:rFonts w:hint="eastAsia" w:cs="Times New Roman"/>
                      <w:color w:val="auto"/>
                      <w:kern w:val="2"/>
                      <w:sz w:val="21"/>
                      <w:szCs w:val="21"/>
                      <w:lang w:val="en-US" w:eastAsia="zh-CN" w:bidi="ar-SA"/>
                    </w:rPr>
                    <w:t>50</w:t>
                  </w:r>
                </w:p>
              </w:tc>
              <w:tc>
                <w:tcPr>
                  <w:tcW w:w="873" w:type="pct"/>
                  <w:vMerge w:val="continue"/>
                  <w:tcBorders>
                    <w:tl2br w:val="nil"/>
                    <w:tr2bl w:val="nil"/>
                  </w:tcBorders>
                  <w:vAlign w:val="center"/>
                </w:tcPr>
                <w:p w14:paraId="49EDC97F">
                  <w:pPr>
                    <w:adjustRightInd w:val="0"/>
                    <w:snapToGrid w:val="0"/>
                    <w:jc w:val="center"/>
                    <w:rPr>
                      <w:rFonts w:hint="default" w:ascii="Times New Roman" w:hAnsi="Times New Roman" w:eastAsia="宋体" w:cs="Times New Roman"/>
                      <w:color w:val="auto"/>
                      <w:sz w:val="21"/>
                      <w:szCs w:val="21"/>
                    </w:rPr>
                  </w:pPr>
                </w:p>
              </w:tc>
              <w:tc>
                <w:tcPr>
                  <w:tcW w:w="751" w:type="pct"/>
                  <w:tcBorders>
                    <w:tl2br w:val="nil"/>
                    <w:tr2bl w:val="nil"/>
                  </w:tcBorders>
                  <w:vAlign w:val="center"/>
                </w:tcPr>
                <w:p w14:paraId="38EAFC5C">
                  <w:pPr>
                    <w:keepNext w:val="0"/>
                    <w:keepLines w:val="0"/>
                    <w:widowControl/>
                    <w:suppressLineNumbers w:val="0"/>
                    <w:jc w:val="center"/>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0.0476</w:t>
                  </w:r>
                </w:p>
              </w:tc>
            </w:tr>
            <w:tr w14:paraId="11C95CA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264" w:type="pct"/>
                  <w:tcBorders>
                    <w:tl2br w:val="nil"/>
                    <w:tr2bl w:val="nil"/>
                  </w:tcBorders>
                  <w:shd w:val="clear" w:color="auto" w:fill="auto"/>
                  <w:vAlign w:val="center"/>
                </w:tcPr>
                <w:p w14:paraId="24274AB4">
                  <w:pPr>
                    <w:widowControl/>
                    <w:jc w:val="center"/>
                    <w:rPr>
                      <w:rFonts w:hint="default" w:ascii="Times New Roman" w:hAnsi="Times New Roman" w:eastAsia="宋体" w:cs="Times New Roman"/>
                      <w:bCs/>
                      <w:snapToGrid w:val="0"/>
                      <w:color w:val="auto"/>
                      <w:spacing w:val="6"/>
                      <w:kern w:val="2"/>
                      <w:sz w:val="21"/>
                      <w:szCs w:val="21"/>
                      <w:lang w:val="en-US" w:eastAsia="zh-CN" w:bidi="ar"/>
                    </w:rPr>
                  </w:pPr>
                  <w:r>
                    <w:rPr>
                      <w:rFonts w:hint="eastAsia" w:cs="Times New Roman"/>
                      <w:color w:val="auto"/>
                      <w:sz w:val="21"/>
                      <w:szCs w:val="21"/>
                      <w:lang w:eastAsia="zh-CN" w:bidi="ar"/>
                    </w:rPr>
                    <w:t>废电池</w:t>
                  </w:r>
                </w:p>
              </w:tc>
              <w:tc>
                <w:tcPr>
                  <w:tcW w:w="1199" w:type="pct"/>
                  <w:tcBorders>
                    <w:tl2br w:val="nil"/>
                    <w:tr2bl w:val="nil"/>
                  </w:tcBorders>
                  <w:shd w:val="clear" w:color="auto" w:fill="auto"/>
                  <w:vAlign w:val="center"/>
                </w:tcPr>
                <w:p w14:paraId="748E8D43">
                  <w:pPr>
                    <w:widowControl/>
                    <w:jc w:val="center"/>
                    <w:rPr>
                      <w:rFonts w:hint="default" w:ascii="Times New Roman" w:hAnsi="Times New Roman" w:eastAsia="宋体" w:cs="Times New Roman"/>
                      <w:color w:val="auto"/>
                      <w:kern w:val="2"/>
                      <w:sz w:val="21"/>
                      <w:szCs w:val="21"/>
                      <w:lang w:val="en-US" w:eastAsia="zh-CN" w:bidi="ar"/>
                    </w:rPr>
                  </w:pPr>
                  <w:r>
                    <w:rPr>
                      <w:rFonts w:hint="eastAsia" w:cs="Times New Roman"/>
                      <w:color w:val="auto"/>
                      <w:sz w:val="21"/>
                      <w:szCs w:val="21"/>
                      <w:lang w:eastAsia="zh-CN" w:bidi="ar"/>
                    </w:rPr>
                    <w:t>0.25</w:t>
                  </w:r>
                </w:p>
              </w:tc>
              <w:tc>
                <w:tcPr>
                  <w:tcW w:w="910" w:type="pct"/>
                  <w:tcBorders>
                    <w:tl2br w:val="nil"/>
                    <w:tr2bl w:val="nil"/>
                  </w:tcBorders>
                  <w:shd w:val="clear" w:color="auto" w:fill="auto"/>
                  <w:vAlign w:val="center"/>
                </w:tcPr>
                <w:p w14:paraId="2F788CF6">
                  <w:pPr>
                    <w:topLinePunct/>
                    <w:jc w:val="center"/>
                    <w:rPr>
                      <w:rFonts w:hint="eastAsia" w:cs="Times New Roman"/>
                      <w:color w:val="auto"/>
                      <w:kern w:val="2"/>
                      <w:sz w:val="21"/>
                      <w:szCs w:val="21"/>
                      <w:lang w:val="en-US" w:eastAsia="zh-CN" w:bidi="ar-SA"/>
                    </w:rPr>
                  </w:pPr>
                  <w:r>
                    <w:rPr>
                      <w:rFonts w:hint="eastAsia" w:cs="Times New Roman"/>
                      <w:color w:val="auto"/>
                      <w:kern w:val="2"/>
                      <w:sz w:val="21"/>
                      <w:szCs w:val="21"/>
                      <w:lang w:val="en-US" w:eastAsia="zh-CN" w:bidi="ar-SA"/>
                    </w:rPr>
                    <w:t>50</w:t>
                  </w:r>
                </w:p>
              </w:tc>
              <w:tc>
                <w:tcPr>
                  <w:tcW w:w="873" w:type="pct"/>
                  <w:vMerge w:val="continue"/>
                  <w:tcBorders>
                    <w:tl2br w:val="nil"/>
                    <w:tr2bl w:val="nil"/>
                  </w:tcBorders>
                  <w:vAlign w:val="center"/>
                </w:tcPr>
                <w:p w14:paraId="678A0406">
                  <w:pPr>
                    <w:adjustRightInd w:val="0"/>
                    <w:snapToGrid w:val="0"/>
                    <w:jc w:val="center"/>
                    <w:rPr>
                      <w:rFonts w:hint="default" w:ascii="Times New Roman" w:hAnsi="Times New Roman" w:eastAsia="宋体" w:cs="Times New Roman"/>
                      <w:color w:val="auto"/>
                      <w:sz w:val="21"/>
                      <w:szCs w:val="21"/>
                    </w:rPr>
                  </w:pPr>
                </w:p>
              </w:tc>
              <w:tc>
                <w:tcPr>
                  <w:tcW w:w="751" w:type="pct"/>
                  <w:tcBorders>
                    <w:tl2br w:val="nil"/>
                    <w:tr2bl w:val="nil"/>
                  </w:tcBorders>
                  <w:vAlign w:val="center"/>
                </w:tcPr>
                <w:p w14:paraId="02DD9AE7">
                  <w:pPr>
                    <w:keepNext w:val="0"/>
                    <w:keepLines w:val="0"/>
                    <w:widowControl/>
                    <w:suppressLineNumbers w:val="0"/>
                    <w:jc w:val="center"/>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0.005</w:t>
                  </w:r>
                </w:p>
              </w:tc>
            </w:tr>
            <w:tr w14:paraId="52AAA1E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264" w:type="pct"/>
                  <w:tcBorders>
                    <w:tl2br w:val="nil"/>
                    <w:tr2bl w:val="nil"/>
                  </w:tcBorders>
                  <w:shd w:val="clear" w:color="auto" w:fill="auto"/>
                  <w:vAlign w:val="center"/>
                </w:tcPr>
                <w:p w14:paraId="4ED685E6">
                  <w:pPr>
                    <w:widowControl/>
                    <w:jc w:val="center"/>
                    <w:rPr>
                      <w:rFonts w:hint="default" w:ascii="Times New Roman" w:hAnsi="Times New Roman" w:eastAsia="宋体" w:cs="Times New Roman"/>
                      <w:color w:val="auto"/>
                      <w:kern w:val="2"/>
                      <w:sz w:val="21"/>
                      <w:szCs w:val="21"/>
                      <w:lang w:val="en-US" w:eastAsia="zh-CN" w:bidi="ar"/>
                    </w:rPr>
                  </w:pPr>
                  <w:r>
                    <w:rPr>
                      <w:rFonts w:hint="eastAsia" w:cs="Times New Roman"/>
                      <w:color w:val="auto"/>
                      <w:sz w:val="21"/>
                      <w:szCs w:val="21"/>
                      <w:lang w:val="en-US" w:eastAsia="zh-CN" w:bidi="ar"/>
                    </w:rPr>
                    <w:t>废油</w:t>
                  </w:r>
                </w:p>
              </w:tc>
              <w:tc>
                <w:tcPr>
                  <w:tcW w:w="1199" w:type="pct"/>
                  <w:tcBorders>
                    <w:tl2br w:val="nil"/>
                    <w:tr2bl w:val="nil"/>
                  </w:tcBorders>
                  <w:shd w:val="clear" w:color="auto" w:fill="auto"/>
                  <w:vAlign w:val="center"/>
                </w:tcPr>
                <w:p w14:paraId="64DFB1E7">
                  <w:pPr>
                    <w:widowControl/>
                    <w:jc w:val="center"/>
                    <w:rPr>
                      <w:rFonts w:hint="default" w:ascii="Times New Roman" w:hAnsi="Times New Roman" w:eastAsia="宋体" w:cs="Times New Roman"/>
                      <w:color w:val="auto"/>
                      <w:kern w:val="2"/>
                      <w:sz w:val="21"/>
                      <w:szCs w:val="21"/>
                      <w:lang w:val="en-US" w:eastAsia="zh-CN" w:bidi="ar"/>
                    </w:rPr>
                  </w:pPr>
                  <w:r>
                    <w:rPr>
                      <w:rFonts w:hint="eastAsia"/>
                      <w:color w:val="auto"/>
                      <w:sz w:val="21"/>
                      <w:szCs w:val="21"/>
                      <w:lang w:val="en-US" w:eastAsia="zh-CN"/>
                    </w:rPr>
                    <w:t>1.666</w:t>
                  </w:r>
                </w:p>
              </w:tc>
              <w:tc>
                <w:tcPr>
                  <w:tcW w:w="910" w:type="pct"/>
                  <w:tcBorders>
                    <w:tl2br w:val="nil"/>
                    <w:tr2bl w:val="nil"/>
                  </w:tcBorders>
                  <w:shd w:val="clear" w:color="auto" w:fill="auto"/>
                  <w:vAlign w:val="center"/>
                </w:tcPr>
                <w:p w14:paraId="129814AF">
                  <w:pPr>
                    <w:topLinePunct/>
                    <w:jc w:val="center"/>
                    <w:rPr>
                      <w:rFonts w:hint="eastAsia" w:cs="Times New Roman"/>
                      <w:color w:val="auto"/>
                      <w:kern w:val="2"/>
                      <w:sz w:val="21"/>
                      <w:szCs w:val="21"/>
                      <w:lang w:val="en-US" w:eastAsia="zh-CN" w:bidi="ar-SA"/>
                    </w:rPr>
                  </w:pPr>
                  <w:r>
                    <w:rPr>
                      <w:rFonts w:hint="eastAsia" w:cs="Times New Roman"/>
                      <w:color w:val="auto"/>
                      <w:kern w:val="2"/>
                      <w:sz w:val="21"/>
                      <w:szCs w:val="21"/>
                      <w:lang w:val="en-US" w:eastAsia="zh-CN" w:bidi="ar-SA"/>
                    </w:rPr>
                    <w:t>50</w:t>
                  </w:r>
                </w:p>
              </w:tc>
              <w:tc>
                <w:tcPr>
                  <w:tcW w:w="873" w:type="pct"/>
                  <w:vMerge w:val="continue"/>
                  <w:tcBorders>
                    <w:tl2br w:val="nil"/>
                    <w:tr2bl w:val="nil"/>
                  </w:tcBorders>
                  <w:vAlign w:val="center"/>
                </w:tcPr>
                <w:p w14:paraId="335C7E64">
                  <w:pPr>
                    <w:adjustRightInd w:val="0"/>
                    <w:snapToGrid w:val="0"/>
                    <w:jc w:val="center"/>
                    <w:rPr>
                      <w:rFonts w:hint="default" w:ascii="Times New Roman" w:hAnsi="Times New Roman" w:eastAsia="宋体" w:cs="Times New Roman"/>
                      <w:color w:val="auto"/>
                      <w:sz w:val="21"/>
                      <w:szCs w:val="21"/>
                    </w:rPr>
                  </w:pPr>
                </w:p>
              </w:tc>
              <w:tc>
                <w:tcPr>
                  <w:tcW w:w="751" w:type="pct"/>
                  <w:tcBorders>
                    <w:tl2br w:val="nil"/>
                    <w:tr2bl w:val="nil"/>
                  </w:tcBorders>
                  <w:vAlign w:val="center"/>
                </w:tcPr>
                <w:p w14:paraId="3868CE2C">
                  <w:pPr>
                    <w:keepNext w:val="0"/>
                    <w:keepLines w:val="0"/>
                    <w:widowControl/>
                    <w:suppressLineNumbers w:val="0"/>
                    <w:jc w:val="center"/>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0.03332</w:t>
                  </w:r>
                </w:p>
              </w:tc>
            </w:tr>
            <w:tr w14:paraId="15DC965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264" w:type="pct"/>
                  <w:tcBorders>
                    <w:tl2br w:val="nil"/>
                    <w:tr2bl w:val="nil"/>
                  </w:tcBorders>
                  <w:shd w:val="clear" w:color="auto" w:fill="auto"/>
                  <w:vAlign w:val="center"/>
                </w:tcPr>
                <w:p w14:paraId="3AD6FF3D">
                  <w:pPr>
                    <w:widowControl/>
                    <w:jc w:val="center"/>
                    <w:rPr>
                      <w:rFonts w:hint="default" w:ascii="Times New Roman" w:hAnsi="Times New Roman" w:eastAsia="宋体" w:cs="Times New Roman"/>
                      <w:bCs/>
                      <w:snapToGrid w:val="0"/>
                      <w:color w:val="auto"/>
                      <w:spacing w:val="6"/>
                      <w:kern w:val="2"/>
                      <w:sz w:val="21"/>
                      <w:szCs w:val="21"/>
                      <w:lang w:val="en-US" w:eastAsia="zh-CN" w:bidi="ar"/>
                    </w:rPr>
                  </w:pPr>
                  <w:r>
                    <w:rPr>
                      <w:rFonts w:hint="eastAsia" w:cs="Times New Roman"/>
                      <w:color w:val="auto"/>
                      <w:sz w:val="21"/>
                      <w:szCs w:val="21"/>
                      <w:lang w:val="en-US" w:eastAsia="zh-CN" w:bidi="ar"/>
                    </w:rPr>
                    <w:t>废切削液</w:t>
                  </w:r>
                </w:p>
              </w:tc>
              <w:tc>
                <w:tcPr>
                  <w:tcW w:w="1199" w:type="pct"/>
                  <w:tcBorders>
                    <w:tl2br w:val="nil"/>
                    <w:tr2bl w:val="nil"/>
                  </w:tcBorders>
                  <w:shd w:val="clear" w:color="auto" w:fill="auto"/>
                  <w:vAlign w:val="center"/>
                </w:tcPr>
                <w:p w14:paraId="15B2F2D3">
                  <w:pPr>
                    <w:widowControl/>
                    <w:jc w:val="center"/>
                    <w:rPr>
                      <w:rFonts w:hint="default" w:ascii="Times New Roman" w:hAnsi="Times New Roman" w:eastAsia="宋体" w:cs="Times New Roman"/>
                      <w:color w:val="auto"/>
                      <w:kern w:val="2"/>
                      <w:sz w:val="21"/>
                      <w:szCs w:val="21"/>
                      <w:lang w:val="en-US" w:eastAsia="zh-CN" w:bidi="ar"/>
                    </w:rPr>
                  </w:pPr>
                  <w:r>
                    <w:rPr>
                      <w:rFonts w:hint="eastAsia"/>
                      <w:color w:val="auto"/>
                      <w:sz w:val="21"/>
                      <w:szCs w:val="21"/>
                      <w:lang w:val="en-US" w:eastAsia="zh-CN"/>
                    </w:rPr>
                    <w:t>2.62</w:t>
                  </w:r>
                </w:p>
              </w:tc>
              <w:tc>
                <w:tcPr>
                  <w:tcW w:w="910" w:type="pct"/>
                  <w:tcBorders>
                    <w:tl2br w:val="nil"/>
                    <w:tr2bl w:val="nil"/>
                  </w:tcBorders>
                  <w:shd w:val="clear" w:color="auto" w:fill="auto"/>
                  <w:vAlign w:val="center"/>
                </w:tcPr>
                <w:p w14:paraId="569E6D1A">
                  <w:pPr>
                    <w:topLinePunct/>
                    <w:jc w:val="center"/>
                    <w:rPr>
                      <w:rFonts w:hint="eastAsia" w:cs="Times New Roman"/>
                      <w:color w:val="auto"/>
                      <w:kern w:val="2"/>
                      <w:sz w:val="21"/>
                      <w:szCs w:val="21"/>
                      <w:lang w:val="en-US" w:eastAsia="zh-CN" w:bidi="ar-SA"/>
                    </w:rPr>
                  </w:pPr>
                  <w:r>
                    <w:rPr>
                      <w:rFonts w:hint="eastAsia" w:cs="Times New Roman"/>
                      <w:color w:val="auto"/>
                      <w:kern w:val="2"/>
                      <w:sz w:val="21"/>
                      <w:szCs w:val="21"/>
                      <w:lang w:val="en-US" w:eastAsia="zh-CN" w:bidi="ar-SA"/>
                    </w:rPr>
                    <w:t>50</w:t>
                  </w:r>
                </w:p>
              </w:tc>
              <w:tc>
                <w:tcPr>
                  <w:tcW w:w="873" w:type="pct"/>
                  <w:vMerge w:val="continue"/>
                  <w:tcBorders>
                    <w:tl2br w:val="nil"/>
                    <w:tr2bl w:val="nil"/>
                  </w:tcBorders>
                  <w:vAlign w:val="center"/>
                </w:tcPr>
                <w:p w14:paraId="452AFD62">
                  <w:pPr>
                    <w:adjustRightInd w:val="0"/>
                    <w:snapToGrid w:val="0"/>
                    <w:jc w:val="center"/>
                    <w:rPr>
                      <w:rFonts w:hint="default" w:ascii="Times New Roman" w:hAnsi="Times New Roman" w:eastAsia="宋体" w:cs="Times New Roman"/>
                      <w:color w:val="auto"/>
                      <w:sz w:val="21"/>
                      <w:szCs w:val="21"/>
                    </w:rPr>
                  </w:pPr>
                </w:p>
              </w:tc>
              <w:tc>
                <w:tcPr>
                  <w:tcW w:w="751" w:type="pct"/>
                  <w:tcBorders>
                    <w:tl2br w:val="nil"/>
                    <w:tr2bl w:val="nil"/>
                  </w:tcBorders>
                  <w:vAlign w:val="center"/>
                </w:tcPr>
                <w:p w14:paraId="02E50111">
                  <w:pPr>
                    <w:keepNext w:val="0"/>
                    <w:keepLines w:val="0"/>
                    <w:widowControl/>
                    <w:suppressLineNumbers w:val="0"/>
                    <w:jc w:val="center"/>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0.0524</w:t>
                  </w:r>
                </w:p>
              </w:tc>
            </w:tr>
            <w:tr w14:paraId="74169B6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264" w:type="pct"/>
                  <w:tcBorders>
                    <w:tl2br w:val="nil"/>
                    <w:tr2bl w:val="nil"/>
                  </w:tcBorders>
                  <w:shd w:val="clear" w:color="auto" w:fill="auto"/>
                  <w:vAlign w:val="center"/>
                </w:tcPr>
                <w:p w14:paraId="594349C9">
                  <w:pPr>
                    <w:widowControl/>
                    <w:jc w:val="center"/>
                    <w:rPr>
                      <w:rFonts w:hint="default" w:ascii="Times New Roman" w:hAnsi="Times New Roman" w:eastAsia="宋体" w:cs="Times New Roman"/>
                      <w:bCs/>
                      <w:snapToGrid w:val="0"/>
                      <w:color w:val="auto"/>
                      <w:spacing w:val="6"/>
                      <w:kern w:val="2"/>
                      <w:sz w:val="21"/>
                      <w:szCs w:val="21"/>
                      <w:lang w:val="en-US" w:eastAsia="zh-CN" w:bidi="ar"/>
                    </w:rPr>
                  </w:pPr>
                  <w:r>
                    <w:rPr>
                      <w:rFonts w:hint="eastAsia" w:cs="Times New Roman"/>
                      <w:color w:val="auto"/>
                      <w:sz w:val="21"/>
                      <w:szCs w:val="21"/>
                      <w:lang w:val="en-US" w:eastAsia="zh-CN" w:bidi="ar"/>
                    </w:rPr>
                    <w:t>废刷子</w:t>
                  </w:r>
                </w:p>
              </w:tc>
              <w:tc>
                <w:tcPr>
                  <w:tcW w:w="1199" w:type="pct"/>
                  <w:tcBorders>
                    <w:tl2br w:val="nil"/>
                    <w:tr2bl w:val="nil"/>
                  </w:tcBorders>
                  <w:shd w:val="clear" w:color="auto" w:fill="auto"/>
                  <w:vAlign w:val="center"/>
                </w:tcPr>
                <w:p w14:paraId="2030087B">
                  <w:pPr>
                    <w:widowControl/>
                    <w:jc w:val="center"/>
                    <w:rPr>
                      <w:rFonts w:hint="default" w:ascii="Times New Roman" w:hAnsi="Times New Roman" w:eastAsia="宋体" w:cs="Times New Roman"/>
                      <w:color w:val="auto"/>
                      <w:kern w:val="2"/>
                      <w:sz w:val="21"/>
                      <w:szCs w:val="21"/>
                      <w:lang w:val="en-US" w:eastAsia="zh-CN" w:bidi="ar"/>
                    </w:rPr>
                  </w:pPr>
                  <w:r>
                    <w:rPr>
                      <w:rFonts w:hint="eastAsia"/>
                      <w:color w:val="auto"/>
                      <w:sz w:val="21"/>
                      <w:szCs w:val="21"/>
                      <w:lang w:val="en-US" w:eastAsia="zh-CN"/>
                    </w:rPr>
                    <w:t>0.075</w:t>
                  </w:r>
                </w:p>
              </w:tc>
              <w:tc>
                <w:tcPr>
                  <w:tcW w:w="910" w:type="pct"/>
                  <w:tcBorders>
                    <w:tl2br w:val="nil"/>
                    <w:tr2bl w:val="nil"/>
                  </w:tcBorders>
                  <w:shd w:val="clear" w:color="auto" w:fill="auto"/>
                  <w:vAlign w:val="center"/>
                </w:tcPr>
                <w:p w14:paraId="67B82788">
                  <w:pPr>
                    <w:topLinePunct/>
                    <w:jc w:val="center"/>
                    <w:rPr>
                      <w:rFonts w:hint="eastAsia" w:cs="Times New Roman"/>
                      <w:color w:val="auto"/>
                      <w:kern w:val="2"/>
                      <w:sz w:val="21"/>
                      <w:szCs w:val="21"/>
                      <w:lang w:val="en-US" w:eastAsia="zh-CN" w:bidi="ar-SA"/>
                    </w:rPr>
                  </w:pPr>
                  <w:r>
                    <w:rPr>
                      <w:rFonts w:hint="eastAsia" w:cs="Times New Roman"/>
                      <w:color w:val="auto"/>
                      <w:kern w:val="2"/>
                      <w:sz w:val="21"/>
                      <w:szCs w:val="21"/>
                      <w:lang w:val="en-US" w:eastAsia="zh-CN" w:bidi="ar-SA"/>
                    </w:rPr>
                    <w:t>50</w:t>
                  </w:r>
                </w:p>
              </w:tc>
              <w:tc>
                <w:tcPr>
                  <w:tcW w:w="873" w:type="pct"/>
                  <w:vMerge w:val="continue"/>
                  <w:tcBorders>
                    <w:tl2br w:val="nil"/>
                    <w:tr2bl w:val="nil"/>
                  </w:tcBorders>
                  <w:vAlign w:val="center"/>
                </w:tcPr>
                <w:p w14:paraId="65C349BB">
                  <w:pPr>
                    <w:adjustRightInd w:val="0"/>
                    <w:snapToGrid w:val="0"/>
                    <w:jc w:val="center"/>
                    <w:rPr>
                      <w:rFonts w:hint="default" w:ascii="Times New Roman" w:hAnsi="Times New Roman" w:eastAsia="宋体" w:cs="Times New Roman"/>
                      <w:color w:val="auto"/>
                      <w:sz w:val="21"/>
                      <w:szCs w:val="21"/>
                    </w:rPr>
                  </w:pPr>
                </w:p>
              </w:tc>
              <w:tc>
                <w:tcPr>
                  <w:tcW w:w="751" w:type="pct"/>
                  <w:tcBorders>
                    <w:tl2br w:val="nil"/>
                    <w:tr2bl w:val="nil"/>
                  </w:tcBorders>
                  <w:vAlign w:val="center"/>
                </w:tcPr>
                <w:p w14:paraId="5CC1AC94">
                  <w:pPr>
                    <w:keepNext w:val="0"/>
                    <w:keepLines w:val="0"/>
                    <w:widowControl/>
                    <w:suppressLineNumbers w:val="0"/>
                    <w:jc w:val="center"/>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0.0015</w:t>
                  </w:r>
                </w:p>
              </w:tc>
            </w:tr>
            <w:tr w14:paraId="11AE1AC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264" w:type="pct"/>
                  <w:tcBorders>
                    <w:tl2br w:val="nil"/>
                    <w:tr2bl w:val="nil"/>
                  </w:tcBorders>
                  <w:shd w:val="clear" w:color="auto" w:fill="auto"/>
                  <w:vAlign w:val="center"/>
                </w:tcPr>
                <w:p w14:paraId="5A2E54F0">
                  <w:pPr>
                    <w:widowControl/>
                    <w:jc w:val="center"/>
                    <w:rPr>
                      <w:rFonts w:hint="default" w:ascii="Times New Roman" w:hAnsi="Times New Roman" w:eastAsia="宋体" w:cs="Times New Roman"/>
                      <w:bCs/>
                      <w:snapToGrid w:val="0"/>
                      <w:color w:val="auto"/>
                      <w:spacing w:val="6"/>
                      <w:kern w:val="2"/>
                      <w:sz w:val="21"/>
                      <w:szCs w:val="21"/>
                      <w:lang w:val="en-US" w:eastAsia="zh-CN" w:bidi="ar"/>
                    </w:rPr>
                  </w:pPr>
                  <w:r>
                    <w:rPr>
                      <w:rFonts w:hint="eastAsia" w:cs="Times New Roman"/>
                      <w:color w:val="auto"/>
                      <w:sz w:val="21"/>
                      <w:szCs w:val="21"/>
                      <w:lang w:val="en-US" w:eastAsia="zh-CN" w:bidi="ar"/>
                    </w:rPr>
                    <w:t>废抹布及手套</w:t>
                  </w:r>
                </w:p>
              </w:tc>
              <w:tc>
                <w:tcPr>
                  <w:tcW w:w="1199" w:type="pct"/>
                  <w:tcBorders>
                    <w:tl2br w:val="nil"/>
                    <w:tr2bl w:val="nil"/>
                  </w:tcBorders>
                  <w:shd w:val="clear" w:color="auto" w:fill="auto"/>
                  <w:vAlign w:val="center"/>
                </w:tcPr>
                <w:p w14:paraId="39DE764A">
                  <w:pPr>
                    <w:widowControl/>
                    <w:jc w:val="center"/>
                    <w:rPr>
                      <w:rFonts w:hint="default" w:ascii="Times New Roman" w:hAnsi="Times New Roman" w:eastAsia="宋体" w:cs="Times New Roman"/>
                      <w:color w:val="auto"/>
                      <w:kern w:val="2"/>
                      <w:sz w:val="21"/>
                      <w:szCs w:val="21"/>
                      <w:lang w:val="en-US" w:eastAsia="zh-CN" w:bidi="ar"/>
                    </w:rPr>
                  </w:pPr>
                  <w:r>
                    <w:rPr>
                      <w:rFonts w:hint="eastAsia"/>
                      <w:color w:val="auto"/>
                      <w:sz w:val="21"/>
                      <w:szCs w:val="21"/>
                      <w:lang w:val="en-US" w:eastAsia="zh-CN"/>
                    </w:rPr>
                    <w:t>0.015</w:t>
                  </w:r>
                </w:p>
              </w:tc>
              <w:tc>
                <w:tcPr>
                  <w:tcW w:w="910" w:type="pct"/>
                  <w:tcBorders>
                    <w:tl2br w:val="nil"/>
                    <w:tr2bl w:val="nil"/>
                  </w:tcBorders>
                  <w:shd w:val="clear" w:color="auto" w:fill="auto"/>
                  <w:vAlign w:val="center"/>
                </w:tcPr>
                <w:p w14:paraId="06D74916">
                  <w:pPr>
                    <w:topLinePunct/>
                    <w:jc w:val="center"/>
                    <w:rPr>
                      <w:rFonts w:hint="eastAsia" w:cs="Times New Roman"/>
                      <w:color w:val="auto"/>
                      <w:kern w:val="2"/>
                      <w:sz w:val="21"/>
                      <w:szCs w:val="21"/>
                      <w:lang w:val="en-US" w:eastAsia="zh-CN" w:bidi="ar-SA"/>
                    </w:rPr>
                  </w:pPr>
                  <w:r>
                    <w:rPr>
                      <w:rFonts w:hint="eastAsia" w:cs="Times New Roman"/>
                      <w:color w:val="auto"/>
                      <w:kern w:val="2"/>
                      <w:sz w:val="21"/>
                      <w:szCs w:val="21"/>
                      <w:lang w:val="en-US" w:eastAsia="zh-CN" w:bidi="ar-SA"/>
                    </w:rPr>
                    <w:t>50</w:t>
                  </w:r>
                </w:p>
              </w:tc>
              <w:tc>
                <w:tcPr>
                  <w:tcW w:w="873" w:type="pct"/>
                  <w:vMerge w:val="continue"/>
                  <w:tcBorders>
                    <w:tl2br w:val="nil"/>
                    <w:tr2bl w:val="nil"/>
                  </w:tcBorders>
                  <w:vAlign w:val="center"/>
                </w:tcPr>
                <w:p w14:paraId="133AC9E1">
                  <w:pPr>
                    <w:adjustRightInd w:val="0"/>
                    <w:snapToGrid w:val="0"/>
                    <w:jc w:val="center"/>
                    <w:rPr>
                      <w:rFonts w:hint="default" w:ascii="Times New Roman" w:hAnsi="Times New Roman" w:eastAsia="宋体" w:cs="Times New Roman"/>
                      <w:color w:val="auto"/>
                      <w:sz w:val="21"/>
                      <w:szCs w:val="21"/>
                    </w:rPr>
                  </w:pPr>
                </w:p>
              </w:tc>
              <w:tc>
                <w:tcPr>
                  <w:tcW w:w="751" w:type="pct"/>
                  <w:tcBorders>
                    <w:tl2br w:val="nil"/>
                    <w:tr2bl w:val="nil"/>
                  </w:tcBorders>
                  <w:vAlign w:val="center"/>
                </w:tcPr>
                <w:p w14:paraId="0C49083E">
                  <w:pPr>
                    <w:keepNext w:val="0"/>
                    <w:keepLines w:val="0"/>
                    <w:widowControl/>
                    <w:suppressLineNumbers w:val="0"/>
                    <w:jc w:val="center"/>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0.0003</w:t>
                  </w:r>
                </w:p>
              </w:tc>
            </w:tr>
            <w:tr w14:paraId="2ADFF21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264" w:type="pct"/>
                  <w:tcBorders>
                    <w:tl2br w:val="nil"/>
                    <w:tr2bl w:val="nil"/>
                  </w:tcBorders>
                  <w:shd w:val="clear" w:color="auto" w:fill="auto"/>
                  <w:vAlign w:val="center"/>
                </w:tcPr>
                <w:p w14:paraId="71FC2251">
                  <w:pPr>
                    <w:widowControl/>
                    <w:jc w:val="center"/>
                    <w:rPr>
                      <w:rFonts w:hint="default" w:ascii="Times New Roman" w:hAnsi="Times New Roman" w:eastAsia="宋体" w:cs="Times New Roman"/>
                      <w:color w:val="auto"/>
                      <w:kern w:val="2"/>
                      <w:sz w:val="21"/>
                      <w:szCs w:val="21"/>
                      <w:lang w:val="en-US" w:eastAsia="zh-CN" w:bidi="ar"/>
                    </w:rPr>
                  </w:pPr>
                  <w:r>
                    <w:rPr>
                      <w:rFonts w:hint="eastAsia" w:cs="Times New Roman"/>
                      <w:color w:val="auto"/>
                      <w:sz w:val="21"/>
                      <w:szCs w:val="21"/>
                      <w:lang w:val="en-US" w:eastAsia="zh-CN" w:bidi="ar"/>
                    </w:rPr>
                    <w:t>废包装桶</w:t>
                  </w:r>
                </w:p>
              </w:tc>
              <w:tc>
                <w:tcPr>
                  <w:tcW w:w="1199" w:type="pct"/>
                  <w:tcBorders>
                    <w:tl2br w:val="nil"/>
                    <w:tr2bl w:val="nil"/>
                  </w:tcBorders>
                  <w:shd w:val="clear" w:color="auto" w:fill="auto"/>
                  <w:vAlign w:val="center"/>
                </w:tcPr>
                <w:p w14:paraId="7F1F90CC">
                  <w:pPr>
                    <w:widowControl/>
                    <w:jc w:val="center"/>
                    <w:rPr>
                      <w:rFonts w:hint="default" w:ascii="Times New Roman" w:hAnsi="Times New Roman" w:eastAsia="宋体" w:cs="Times New Roman"/>
                      <w:color w:val="auto"/>
                      <w:kern w:val="2"/>
                      <w:sz w:val="21"/>
                      <w:szCs w:val="21"/>
                      <w:lang w:val="en-US" w:eastAsia="zh-CN" w:bidi="ar"/>
                    </w:rPr>
                  </w:pPr>
                  <w:r>
                    <w:rPr>
                      <w:rFonts w:hint="eastAsia" w:ascii="Times New Roman" w:hAnsi="Times New Roman" w:eastAsia="宋体" w:cs="Times New Roman"/>
                      <w:color w:val="auto"/>
                      <w:sz w:val="21"/>
                      <w:szCs w:val="21"/>
                      <w:lang w:val="en-US" w:eastAsia="zh-CN" w:bidi="ar"/>
                    </w:rPr>
                    <w:t>0.055</w:t>
                  </w:r>
                </w:p>
              </w:tc>
              <w:tc>
                <w:tcPr>
                  <w:tcW w:w="910" w:type="pct"/>
                  <w:tcBorders>
                    <w:tl2br w:val="nil"/>
                    <w:tr2bl w:val="nil"/>
                  </w:tcBorders>
                  <w:shd w:val="clear" w:color="auto" w:fill="auto"/>
                  <w:vAlign w:val="center"/>
                </w:tcPr>
                <w:p w14:paraId="2F2AD1AA">
                  <w:pPr>
                    <w:topLinePunct/>
                    <w:jc w:val="center"/>
                    <w:rPr>
                      <w:rFonts w:hint="eastAsia" w:cs="Times New Roman"/>
                      <w:color w:val="auto"/>
                      <w:kern w:val="2"/>
                      <w:sz w:val="21"/>
                      <w:szCs w:val="21"/>
                      <w:lang w:val="en-US" w:eastAsia="zh-CN" w:bidi="ar-SA"/>
                    </w:rPr>
                  </w:pPr>
                  <w:r>
                    <w:rPr>
                      <w:rFonts w:hint="eastAsia" w:cs="Times New Roman"/>
                      <w:color w:val="auto"/>
                      <w:kern w:val="2"/>
                      <w:sz w:val="21"/>
                      <w:szCs w:val="21"/>
                      <w:lang w:val="en-US" w:eastAsia="zh-CN" w:bidi="ar-SA"/>
                    </w:rPr>
                    <w:t>50</w:t>
                  </w:r>
                </w:p>
              </w:tc>
              <w:tc>
                <w:tcPr>
                  <w:tcW w:w="873" w:type="pct"/>
                  <w:vMerge w:val="continue"/>
                  <w:tcBorders>
                    <w:tl2br w:val="nil"/>
                    <w:tr2bl w:val="nil"/>
                  </w:tcBorders>
                  <w:vAlign w:val="center"/>
                </w:tcPr>
                <w:p w14:paraId="278D357A">
                  <w:pPr>
                    <w:adjustRightInd w:val="0"/>
                    <w:snapToGrid w:val="0"/>
                    <w:jc w:val="center"/>
                    <w:rPr>
                      <w:rFonts w:hint="default" w:ascii="Times New Roman" w:hAnsi="Times New Roman" w:eastAsia="宋体" w:cs="Times New Roman"/>
                      <w:color w:val="auto"/>
                      <w:sz w:val="21"/>
                      <w:szCs w:val="21"/>
                    </w:rPr>
                  </w:pPr>
                </w:p>
              </w:tc>
              <w:tc>
                <w:tcPr>
                  <w:tcW w:w="751" w:type="pct"/>
                  <w:tcBorders>
                    <w:tl2br w:val="nil"/>
                    <w:tr2bl w:val="nil"/>
                  </w:tcBorders>
                  <w:vAlign w:val="center"/>
                </w:tcPr>
                <w:p w14:paraId="66424FDA">
                  <w:pPr>
                    <w:keepNext w:val="0"/>
                    <w:keepLines w:val="0"/>
                    <w:widowControl/>
                    <w:suppressLineNumbers w:val="0"/>
                    <w:jc w:val="center"/>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0.0011</w:t>
                  </w:r>
                </w:p>
              </w:tc>
            </w:tr>
            <w:tr w14:paraId="783E07C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264" w:type="pct"/>
                  <w:tcBorders>
                    <w:tl2br w:val="nil"/>
                    <w:tr2bl w:val="nil"/>
                  </w:tcBorders>
                  <w:shd w:val="clear" w:color="auto" w:fill="auto"/>
                  <w:vAlign w:val="center"/>
                </w:tcPr>
                <w:p w14:paraId="3DB46527">
                  <w:pPr>
                    <w:widowControl/>
                    <w:jc w:val="center"/>
                    <w:rPr>
                      <w:rFonts w:hint="default" w:ascii="Times New Roman" w:hAnsi="Times New Roman" w:eastAsia="宋体" w:cs="Times New Roman"/>
                      <w:color w:val="auto"/>
                      <w:kern w:val="2"/>
                      <w:sz w:val="21"/>
                      <w:szCs w:val="21"/>
                      <w:lang w:val="en-US" w:eastAsia="zh-CN" w:bidi="ar"/>
                    </w:rPr>
                  </w:pPr>
                  <w:r>
                    <w:rPr>
                      <w:rFonts w:hint="eastAsia" w:cs="Times New Roman"/>
                      <w:color w:val="auto"/>
                      <w:sz w:val="21"/>
                      <w:szCs w:val="21"/>
                      <w:lang w:val="en-US" w:eastAsia="zh-CN" w:bidi="ar"/>
                    </w:rPr>
                    <w:t>浓液</w:t>
                  </w:r>
                </w:p>
              </w:tc>
              <w:tc>
                <w:tcPr>
                  <w:tcW w:w="1199" w:type="pct"/>
                  <w:tcBorders>
                    <w:tl2br w:val="nil"/>
                    <w:tr2bl w:val="nil"/>
                  </w:tcBorders>
                  <w:shd w:val="clear" w:color="auto" w:fill="auto"/>
                  <w:vAlign w:val="center"/>
                </w:tcPr>
                <w:p w14:paraId="06A47674">
                  <w:pPr>
                    <w:widowControl/>
                    <w:jc w:val="center"/>
                    <w:rPr>
                      <w:rFonts w:hint="default" w:ascii="Times New Roman" w:hAnsi="Times New Roman" w:eastAsia="宋体" w:cs="Times New Roman"/>
                      <w:color w:val="auto"/>
                      <w:kern w:val="2"/>
                      <w:sz w:val="21"/>
                      <w:szCs w:val="21"/>
                      <w:lang w:val="en-US" w:eastAsia="zh-CN" w:bidi="ar"/>
                    </w:rPr>
                  </w:pPr>
                  <w:r>
                    <w:rPr>
                      <w:rFonts w:hint="eastAsia"/>
                      <w:color w:val="auto"/>
                      <w:sz w:val="21"/>
                      <w:szCs w:val="21"/>
                      <w:lang w:val="en-US" w:eastAsia="zh-CN"/>
                    </w:rPr>
                    <w:t>2.11</w:t>
                  </w:r>
                </w:p>
              </w:tc>
              <w:tc>
                <w:tcPr>
                  <w:tcW w:w="910" w:type="pct"/>
                  <w:tcBorders>
                    <w:tl2br w:val="nil"/>
                    <w:tr2bl w:val="nil"/>
                  </w:tcBorders>
                  <w:shd w:val="clear" w:color="auto" w:fill="auto"/>
                  <w:vAlign w:val="center"/>
                </w:tcPr>
                <w:p w14:paraId="48F0742F">
                  <w:pPr>
                    <w:topLinePunct/>
                    <w:jc w:val="center"/>
                    <w:rPr>
                      <w:rFonts w:hint="eastAsia" w:cs="Times New Roman"/>
                      <w:color w:val="auto"/>
                      <w:kern w:val="2"/>
                      <w:sz w:val="21"/>
                      <w:szCs w:val="21"/>
                      <w:lang w:val="en-US" w:eastAsia="zh-CN" w:bidi="ar-SA"/>
                    </w:rPr>
                  </w:pPr>
                  <w:r>
                    <w:rPr>
                      <w:rFonts w:hint="eastAsia" w:cs="Times New Roman"/>
                      <w:color w:val="auto"/>
                      <w:kern w:val="2"/>
                      <w:sz w:val="21"/>
                      <w:szCs w:val="21"/>
                      <w:lang w:val="en-US" w:eastAsia="zh-CN" w:bidi="ar-SA"/>
                    </w:rPr>
                    <w:t>50</w:t>
                  </w:r>
                </w:p>
              </w:tc>
              <w:tc>
                <w:tcPr>
                  <w:tcW w:w="873" w:type="pct"/>
                  <w:vMerge w:val="continue"/>
                  <w:tcBorders>
                    <w:tl2br w:val="nil"/>
                    <w:tr2bl w:val="nil"/>
                  </w:tcBorders>
                  <w:vAlign w:val="center"/>
                </w:tcPr>
                <w:p w14:paraId="3DEF8180">
                  <w:pPr>
                    <w:adjustRightInd w:val="0"/>
                    <w:snapToGrid w:val="0"/>
                    <w:jc w:val="center"/>
                    <w:rPr>
                      <w:rFonts w:hint="default" w:ascii="Times New Roman" w:hAnsi="Times New Roman" w:eastAsia="宋体" w:cs="Times New Roman"/>
                      <w:color w:val="auto"/>
                      <w:sz w:val="21"/>
                      <w:szCs w:val="21"/>
                    </w:rPr>
                  </w:pPr>
                </w:p>
              </w:tc>
              <w:tc>
                <w:tcPr>
                  <w:tcW w:w="751" w:type="pct"/>
                  <w:tcBorders>
                    <w:tl2br w:val="nil"/>
                    <w:tr2bl w:val="nil"/>
                  </w:tcBorders>
                  <w:vAlign w:val="center"/>
                </w:tcPr>
                <w:p w14:paraId="5BC42D44">
                  <w:pPr>
                    <w:keepNext w:val="0"/>
                    <w:keepLines w:val="0"/>
                    <w:widowControl/>
                    <w:suppressLineNumbers w:val="0"/>
                    <w:jc w:val="center"/>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0.0422</w:t>
                  </w:r>
                </w:p>
              </w:tc>
            </w:tr>
            <w:tr w14:paraId="2568E8D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264" w:type="pct"/>
                  <w:tcBorders>
                    <w:tl2br w:val="nil"/>
                    <w:tr2bl w:val="nil"/>
                  </w:tcBorders>
                  <w:shd w:val="clear" w:color="auto" w:fill="auto"/>
                  <w:vAlign w:val="center"/>
                </w:tcPr>
                <w:p w14:paraId="4CF636D7">
                  <w:pPr>
                    <w:widowControl/>
                    <w:jc w:val="center"/>
                    <w:rPr>
                      <w:rFonts w:hint="default" w:ascii="Times New Roman" w:hAnsi="Times New Roman" w:eastAsia="宋体" w:cs="Times New Roman"/>
                      <w:color w:val="auto"/>
                      <w:kern w:val="2"/>
                      <w:sz w:val="21"/>
                      <w:szCs w:val="21"/>
                      <w:lang w:val="en-US" w:eastAsia="zh-CN" w:bidi="ar"/>
                    </w:rPr>
                  </w:pPr>
                  <w:r>
                    <w:rPr>
                      <w:rFonts w:hint="eastAsia" w:cs="Times New Roman"/>
                      <w:color w:val="auto"/>
                      <w:sz w:val="21"/>
                      <w:szCs w:val="21"/>
                      <w:lang w:eastAsia="zh-CN" w:bidi="ar"/>
                    </w:rPr>
                    <w:t>过滤材料</w:t>
                  </w:r>
                </w:p>
              </w:tc>
              <w:tc>
                <w:tcPr>
                  <w:tcW w:w="1199" w:type="pct"/>
                  <w:tcBorders>
                    <w:tl2br w:val="nil"/>
                    <w:tr2bl w:val="nil"/>
                  </w:tcBorders>
                  <w:shd w:val="clear" w:color="auto" w:fill="auto"/>
                  <w:vAlign w:val="center"/>
                </w:tcPr>
                <w:p w14:paraId="64E2D1DB">
                  <w:pPr>
                    <w:widowControl/>
                    <w:jc w:val="center"/>
                    <w:rPr>
                      <w:rFonts w:hint="default" w:ascii="Times New Roman" w:hAnsi="Times New Roman" w:eastAsia="宋体" w:cs="Times New Roman"/>
                      <w:color w:val="auto"/>
                      <w:kern w:val="2"/>
                      <w:sz w:val="21"/>
                      <w:szCs w:val="21"/>
                      <w:lang w:val="en-US" w:eastAsia="zh-CN" w:bidi="ar"/>
                    </w:rPr>
                  </w:pPr>
                  <w:r>
                    <w:rPr>
                      <w:rFonts w:hint="eastAsia"/>
                      <w:color w:val="auto"/>
                      <w:sz w:val="21"/>
                      <w:szCs w:val="21"/>
                      <w:lang w:val="en-US" w:eastAsia="zh-CN"/>
                    </w:rPr>
                    <w:t>0.5</w:t>
                  </w:r>
                </w:p>
              </w:tc>
              <w:tc>
                <w:tcPr>
                  <w:tcW w:w="910" w:type="pct"/>
                  <w:tcBorders>
                    <w:tl2br w:val="nil"/>
                    <w:tr2bl w:val="nil"/>
                  </w:tcBorders>
                  <w:shd w:val="clear" w:color="auto" w:fill="auto"/>
                  <w:vAlign w:val="center"/>
                </w:tcPr>
                <w:p w14:paraId="296A1607">
                  <w:pPr>
                    <w:topLinePunct/>
                    <w:jc w:val="center"/>
                    <w:rPr>
                      <w:rFonts w:hint="eastAsia" w:cs="Times New Roman"/>
                      <w:color w:val="auto"/>
                      <w:kern w:val="2"/>
                      <w:sz w:val="21"/>
                      <w:szCs w:val="21"/>
                      <w:lang w:val="en-US" w:eastAsia="zh-CN" w:bidi="ar-SA"/>
                    </w:rPr>
                  </w:pPr>
                  <w:r>
                    <w:rPr>
                      <w:rFonts w:hint="eastAsia" w:cs="Times New Roman"/>
                      <w:color w:val="auto"/>
                      <w:kern w:val="2"/>
                      <w:sz w:val="21"/>
                      <w:szCs w:val="21"/>
                      <w:lang w:val="en-US" w:eastAsia="zh-CN" w:bidi="ar-SA"/>
                    </w:rPr>
                    <w:t>50</w:t>
                  </w:r>
                </w:p>
              </w:tc>
              <w:tc>
                <w:tcPr>
                  <w:tcW w:w="873" w:type="pct"/>
                  <w:vMerge w:val="continue"/>
                  <w:tcBorders>
                    <w:tl2br w:val="nil"/>
                    <w:tr2bl w:val="nil"/>
                  </w:tcBorders>
                  <w:vAlign w:val="center"/>
                </w:tcPr>
                <w:p w14:paraId="448C316C">
                  <w:pPr>
                    <w:adjustRightInd w:val="0"/>
                    <w:snapToGrid w:val="0"/>
                    <w:jc w:val="center"/>
                    <w:rPr>
                      <w:rFonts w:hint="default" w:ascii="Times New Roman" w:hAnsi="Times New Roman" w:eastAsia="宋体" w:cs="Times New Roman"/>
                      <w:color w:val="auto"/>
                      <w:sz w:val="21"/>
                      <w:szCs w:val="21"/>
                    </w:rPr>
                  </w:pPr>
                </w:p>
              </w:tc>
              <w:tc>
                <w:tcPr>
                  <w:tcW w:w="751" w:type="pct"/>
                  <w:tcBorders>
                    <w:tl2br w:val="nil"/>
                    <w:tr2bl w:val="nil"/>
                  </w:tcBorders>
                  <w:vAlign w:val="center"/>
                </w:tcPr>
                <w:p w14:paraId="79F810E0">
                  <w:pPr>
                    <w:keepNext w:val="0"/>
                    <w:keepLines w:val="0"/>
                    <w:widowControl/>
                    <w:suppressLineNumbers w:val="0"/>
                    <w:jc w:val="center"/>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0.01</w:t>
                  </w:r>
                </w:p>
              </w:tc>
            </w:tr>
            <w:tr w14:paraId="0DDD61F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264" w:type="pct"/>
                  <w:tcBorders>
                    <w:tl2br w:val="nil"/>
                    <w:tr2bl w:val="nil"/>
                  </w:tcBorders>
                  <w:shd w:val="clear" w:color="auto" w:fill="auto"/>
                  <w:vAlign w:val="center"/>
                </w:tcPr>
                <w:p w14:paraId="19C58C38">
                  <w:pPr>
                    <w:widowControl/>
                    <w:jc w:val="center"/>
                    <w:rPr>
                      <w:rFonts w:hint="eastAsia" w:ascii="Times New Roman" w:hAnsi="Times New Roman" w:eastAsia="宋体" w:cs="Times New Roman"/>
                      <w:color w:val="auto"/>
                      <w:kern w:val="2"/>
                      <w:sz w:val="21"/>
                      <w:szCs w:val="21"/>
                      <w:lang w:val="en-US" w:eastAsia="zh-CN" w:bidi="ar"/>
                    </w:rPr>
                  </w:pPr>
                  <w:r>
                    <w:rPr>
                      <w:rFonts w:hint="eastAsia"/>
                      <w:bCs/>
                      <w:snapToGrid w:val="0"/>
                      <w:color w:val="auto"/>
                      <w:spacing w:val="6"/>
                      <w:sz w:val="21"/>
                      <w:szCs w:val="21"/>
                    </w:rPr>
                    <w:t>空压机含油废水</w:t>
                  </w:r>
                </w:p>
              </w:tc>
              <w:tc>
                <w:tcPr>
                  <w:tcW w:w="1199" w:type="pct"/>
                  <w:tcBorders>
                    <w:tl2br w:val="nil"/>
                    <w:tr2bl w:val="nil"/>
                  </w:tcBorders>
                  <w:shd w:val="clear" w:color="auto" w:fill="auto"/>
                  <w:vAlign w:val="center"/>
                </w:tcPr>
                <w:p w14:paraId="32AD5087">
                  <w:pPr>
                    <w:widowControl/>
                    <w:jc w:val="center"/>
                    <w:rPr>
                      <w:rFonts w:hint="eastAsia" w:ascii="Times New Roman" w:hAnsi="Times New Roman" w:eastAsia="宋体" w:cs="Times New Roman"/>
                      <w:color w:val="auto"/>
                      <w:kern w:val="2"/>
                      <w:sz w:val="21"/>
                      <w:szCs w:val="21"/>
                      <w:lang w:val="en-US" w:eastAsia="zh-CN" w:bidi="ar"/>
                    </w:rPr>
                  </w:pPr>
                  <w:r>
                    <w:rPr>
                      <w:rFonts w:hint="eastAsia"/>
                      <w:color w:val="auto"/>
                      <w:sz w:val="21"/>
                      <w:szCs w:val="21"/>
                      <w:lang w:val="en-US" w:eastAsia="zh-CN"/>
                    </w:rPr>
                    <w:t>0.05</w:t>
                  </w:r>
                </w:p>
              </w:tc>
              <w:tc>
                <w:tcPr>
                  <w:tcW w:w="910" w:type="pct"/>
                  <w:tcBorders>
                    <w:tl2br w:val="nil"/>
                    <w:tr2bl w:val="nil"/>
                  </w:tcBorders>
                  <w:shd w:val="clear" w:color="auto" w:fill="auto"/>
                  <w:vAlign w:val="center"/>
                </w:tcPr>
                <w:p w14:paraId="44DC1F47">
                  <w:pPr>
                    <w:topLinePunct/>
                    <w:jc w:val="center"/>
                    <w:rPr>
                      <w:rFonts w:hint="default" w:cs="Times New Roman"/>
                      <w:color w:val="auto"/>
                      <w:kern w:val="2"/>
                      <w:sz w:val="21"/>
                      <w:szCs w:val="21"/>
                      <w:lang w:val="en-US" w:eastAsia="zh-CN" w:bidi="ar-SA"/>
                    </w:rPr>
                  </w:pPr>
                  <w:r>
                    <w:rPr>
                      <w:rFonts w:hint="eastAsia" w:cs="Times New Roman"/>
                      <w:color w:val="auto"/>
                      <w:kern w:val="2"/>
                      <w:sz w:val="21"/>
                      <w:szCs w:val="21"/>
                      <w:lang w:val="en-US" w:eastAsia="zh-CN" w:bidi="ar-SA"/>
                    </w:rPr>
                    <w:t>50</w:t>
                  </w:r>
                </w:p>
              </w:tc>
              <w:tc>
                <w:tcPr>
                  <w:tcW w:w="873" w:type="pct"/>
                  <w:vMerge w:val="continue"/>
                  <w:tcBorders>
                    <w:tl2br w:val="nil"/>
                    <w:tr2bl w:val="nil"/>
                  </w:tcBorders>
                  <w:vAlign w:val="center"/>
                </w:tcPr>
                <w:p w14:paraId="5E75B128">
                  <w:pPr>
                    <w:adjustRightInd w:val="0"/>
                    <w:snapToGrid w:val="0"/>
                    <w:jc w:val="center"/>
                    <w:rPr>
                      <w:rFonts w:hint="default" w:ascii="Times New Roman" w:hAnsi="Times New Roman" w:eastAsia="宋体" w:cs="Times New Roman"/>
                      <w:color w:val="auto"/>
                      <w:sz w:val="21"/>
                      <w:szCs w:val="21"/>
                    </w:rPr>
                  </w:pPr>
                </w:p>
              </w:tc>
              <w:tc>
                <w:tcPr>
                  <w:tcW w:w="751" w:type="pct"/>
                  <w:tcBorders>
                    <w:tl2br w:val="nil"/>
                    <w:tr2bl w:val="nil"/>
                  </w:tcBorders>
                  <w:vAlign w:val="center"/>
                </w:tcPr>
                <w:p w14:paraId="4FC7A2E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0.001</w:t>
                  </w:r>
                </w:p>
              </w:tc>
            </w:tr>
            <w:tr w14:paraId="1036734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264" w:type="pct"/>
                  <w:tcBorders>
                    <w:tl2br w:val="nil"/>
                    <w:tr2bl w:val="nil"/>
                  </w:tcBorders>
                  <w:shd w:val="clear" w:color="auto" w:fill="auto"/>
                  <w:vAlign w:val="center"/>
                </w:tcPr>
                <w:p w14:paraId="6F1C13FD">
                  <w:pPr>
                    <w:widowControl/>
                    <w:jc w:val="center"/>
                    <w:rPr>
                      <w:rFonts w:hint="eastAsia"/>
                      <w:bCs/>
                      <w:snapToGrid w:val="0"/>
                      <w:color w:val="auto"/>
                      <w:spacing w:val="6"/>
                      <w:sz w:val="21"/>
                      <w:szCs w:val="21"/>
                    </w:rPr>
                  </w:pPr>
                  <w:r>
                    <w:rPr>
                      <w:rFonts w:hint="eastAsia" w:cs="Times New Roman"/>
                      <w:color w:val="auto"/>
                      <w:sz w:val="21"/>
                      <w:szCs w:val="21"/>
                      <w:lang w:val="en-US" w:eastAsia="zh-CN" w:bidi="ar"/>
                    </w:rPr>
                    <w:t>金属屑</w:t>
                  </w:r>
                </w:p>
              </w:tc>
              <w:tc>
                <w:tcPr>
                  <w:tcW w:w="1199" w:type="pct"/>
                  <w:tcBorders>
                    <w:tl2br w:val="nil"/>
                    <w:tr2bl w:val="nil"/>
                  </w:tcBorders>
                  <w:shd w:val="clear" w:color="auto" w:fill="auto"/>
                  <w:vAlign w:val="center"/>
                </w:tcPr>
                <w:p w14:paraId="248956E8">
                  <w:pPr>
                    <w:widowControl/>
                    <w:jc w:val="center"/>
                    <w:rPr>
                      <w:rFonts w:hint="eastAsia"/>
                      <w:color w:val="auto"/>
                      <w:sz w:val="21"/>
                      <w:szCs w:val="21"/>
                      <w:lang w:val="en-US" w:eastAsia="zh-CN"/>
                    </w:rPr>
                  </w:pPr>
                  <w:r>
                    <w:rPr>
                      <w:rFonts w:hint="eastAsia"/>
                      <w:color w:val="auto"/>
                      <w:sz w:val="21"/>
                      <w:szCs w:val="21"/>
                      <w:lang w:val="en-US" w:eastAsia="zh-CN"/>
                    </w:rPr>
                    <w:t>27.1</w:t>
                  </w:r>
                </w:p>
              </w:tc>
              <w:tc>
                <w:tcPr>
                  <w:tcW w:w="910" w:type="pct"/>
                  <w:tcBorders>
                    <w:tl2br w:val="nil"/>
                    <w:tr2bl w:val="nil"/>
                  </w:tcBorders>
                  <w:shd w:val="clear" w:color="auto" w:fill="auto"/>
                  <w:vAlign w:val="center"/>
                </w:tcPr>
                <w:p w14:paraId="270210CA">
                  <w:pPr>
                    <w:topLinePunct/>
                    <w:jc w:val="center"/>
                    <w:rPr>
                      <w:rFonts w:hint="default" w:cs="Times New Roman"/>
                      <w:color w:val="auto"/>
                      <w:kern w:val="2"/>
                      <w:sz w:val="21"/>
                      <w:szCs w:val="21"/>
                      <w:lang w:val="en-US" w:eastAsia="zh-CN" w:bidi="ar-SA"/>
                    </w:rPr>
                  </w:pPr>
                  <w:r>
                    <w:rPr>
                      <w:rFonts w:hint="eastAsia" w:cs="Times New Roman"/>
                      <w:color w:val="auto"/>
                      <w:kern w:val="2"/>
                      <w:sz w:val="21"/>
                      <w:szCs w:val="21"/>
                      <w:lang w:val="en-US" w:eastAsia="zh-CN" w:bidi="ar-SA"/>
                    </w:rPr>
                    <w:t>50</w:t>
                  </w:r>
                </w:p>
              </w:tc>
              <w:tc>
                <w:tcPr>
                  <w:tcW w:w="873" w:type="pct"/>
                  <w:vMerge w:val="continue"/>
                  <w:tcBorders>
                    <w:tl2br w:val="nil"/>
                    <w:tr2bl w:val="nil"/>
                  </w:tcBorders>
                  <w:vAlign w:val="center"/>
                </w:tcPr>
                <w:p w14:paraId="5E33CF92">
                  <w:pPr>
                    <w:adjustRightInd w:val="0"/>
                    <w:snapToGrid w:val="0"/>
                    <w:jc w:val="center"/>
                    <w:rPr>
                      <w:rFonts w:hint="default" w:ascii="Times New Roman" w:hAnsi="Times New Roman" w:eastAsia="宋体" w:cs="Times New Roman"/>
                      <w:color w:val="auto"/>
                      <w:sz w:val="21"/>
                      <w:szCs w:val="21"/>
                    </w:rPr>
                  </w:pPr>
                </w:p>
              </w:tc>
              <w:tc>
                <w:tcPr>
                  <w:tcW w:w="751" w:type="pct"/>
                  <w:tcBorders>
                    <w:tl2br w:val="nil"/>
                    <w:tr2bl w:val="nil"/>
                  </w:tcBorders>
                  <w:vAlign w:val="center"/>
                </w:tcPr>
                <w:p w14:paraId="7527515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0.542</w:t>
                  </w:r>
                </w:p>
              </w:tc>
            </w:tr>
            <w:tr w14:paraId="3663146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264" w:type="pct"/>
                  <w:tcBorders>
                    <w:tl2br w:val="nil"/>
                    <w:tr2bl w:val="nil"/>
                  </w:tcBorders>
                  <w:shd w:val="clear" w:color="auto" w:fill="auto"/>
                  <w:vAlign w:val="center"/>
                </w:tcPr>
                <w:p w14:paraId="3690FEB2">
                  <w:pPr>
                    <w:widowControl/>
                    <w:jc w:val="center"/>
                    <w:rPr>
                      <w:rFonts w:hint="eastAsia" w:ascii="Times New Roman" w:hAnsi="Times New Roman" w:eastAsia="宋体" w:cs="Times New Roman"/>
                      <w:color w:val="auto"/>
                      <w:kern w:val="2"/>
                      <w:sz w:val="21"/>
                      <w:szCs w:val="21"/>
                      <w:lang w:val="en-US" w:eastAsia="zh-CN" w:bidi="ar"/>
                    </w:rPr>
                  </w:pPr>
                  <w:r>
                    <w:rPr>
                      <w:rFonts w:hint="eastAsia" w:cs="Times New Roman"/>
                      <w:color w:val="auto"/>
                      <w:sz w:val="21"/>
                      <w:szCs w:val="21"/>
                      <w:lang w:val="en-US" w:eastAsia="zh-CN" w:bidi="ar"/>
                    </w:rPr>
                    <w:t>清洗废水</w:t>
                  </w:r>
                </w:p>
              </w:tc>
              <w:tc>
                <w:tcPr>
                  <w:tcW w:w="1199" w:type="pct"/>
                  <w:tcBorders>
                    <w:tl2br w:val="nil"/>
                    <w:tr2bl w:val="nil"/>
                  </w:tcBorders>
                  <w:shd w:val="clear" w:color="auto" w:fill="auto"/>
                  <w:vAlign w:val="center"/>
                </w:tcPr>
                <w:p w14:paraId="4B4709B8">
                  <w:pPr>
                    <w:widowControl/>
                    <w:jc w:val="center"/>
                    <w:rPr>
                      <w:rFonts w:hint="default" w:ascii="Times New Roman" w:hAnsi="Times New Roman" w:eastAsia="宋体" w:cs="Times New Roman"/>
                      <w:color w:val="auto"/>
                      <w:kern w:val="2"/>
                      <w:sz w:val="21"/>
                      <w:szCs w:val="21"/>
                      <w:lang w:val="en-US" w:eastAsia="zh-CN" w:bidi="ar"/>
                    </w:rPr>
                  </w:pPr>
                  <w:r>
                    <w:rPr>
                      <w:rFonts w:hint="eastAsia"/>
                      <w:color w:val="auto"/>
                      <w:sz w:val="21"/>
                      <w:szCs w:val="21"/>
                      <w:lang w:val="en-US" w:eastAsia="zh-CN"/>
                    </w:rPr>
                    <w:t>0.8</w:t>
                  </w:r>
                </w:p>
              </w:tc>
              <w:tc>
                <w:tcPr>
                  <w:tcW w:w="910" w:type="pct"/>
                  <w:tcBorders>
                    <w:tl2br w:val="nil"/>
                    <w:tr2bl w:val="nil"/>
                  </w:tcBorders>
                  <w:shd w:val="clear" w:color="auto" w:fill="auto"/>
                  <w:vAlign w:val="center"/>
                </w:tcPr>
                <w:p w14:paraId="57E6F3A3">
                  <w:pPr>
                    <w:topLinePunct/>
                    <w:jc w:val="center"/>
                    <w:rPr>
                      <w:rFonts w:hint="default" w:cs="Times New Roman"/>
                      <w:color w:val="auto"/>
                      <w:kern w:val="2"/>
                      <w:sz w:val="21"/>
                      <w:szCs w:val="21"/>
                      <w:lang w:val="en-US" w:eastAsia="zh-CN" w:bidi="ar-SA"/>
                    </w:rPr>
                  </w:pPr>
                  <w:r>
                    <w:rPr>
                      <w:rFonts w:hint="eastAsia" w:cs="Times New Roman"/>
                      <w:color w:val="auto"/>
                      <w:kern w:val="2"/>
                      <w:sz w:val="21"/>
                      <w:szCs w:val="21"/>
                      <w:lang w:val="en-US" w:eastAsia="zh-CN" w:bidi="ar-SA"/>
                    </w:rPr>
                    <w:t>100</w:t>
                  </w:r>
                </w:p>
              </w:tc>
              <w:tc>
                <w:tcPr>
                  <w:tcW w:w="873" w:type="pct"/>
                  <w:vMerge w:val="continue"/>
                  <w:tcBorders>
                    <w:tl2br w:val="nil"/>
                    <w:tr2bl w:val="nil"/>
                  </w:tcBorders>
                  <w:vAlign w:val="center"/>
                </w:tcPr>
                <w:p w14:paraId="5563243E">
                  <w:pPr>
                    <w:adjustRightInd w:val="0"/>
                    <w:snapToGrid w:val="0"/>
                    <w:jc w:val="center"/>
                    <w:rPr>
                      <w:rFonts w:hint="default" w:ascii="Times New Roman" w:hAnsi="Times New Roman" w:eastAsia="宋体" w:cs="Times New Roman"/>
                      <w:color w:val="auto"/>
                      <w:sz w:val="21"/>
                      <w:szCs w:val="21"/>
                    </w:rPr>
                  </w:pPr>
                </w:p>
              </w:tc>
              <w:tc>
                <w:tcPr>
                  <w:tcW w:w="751" w:type="pct"/>
                  <w:tcBorders>
                    <w:tl2br w:val="nil"/>
                    <w:tr2bl w:val="nil"/>
                  </w:tcBorders>
                  <w:vAlign w:val="center"/>
                </w:tcPr>
                <w:p w14:paraId="06B202F5">
                  <w:pPr>
                    <w:keepNext w:val="0"/>
                    <w:keepLines w:val="0"/>
                    <w:widowControl/>
                    <w:suppressLineNumbers w:val="0"/>
                    <w:jc w:val="center"/>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0.008</w:t>
                  </w:r>
                </w:p>
              </w:tc>
            </w:tr>
            <w:tr w14:paraId="7E1E9C3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264" w:type="pct"/>
                  <w:tcBorders>
                    <w:tl2br w:val="nil"/>
                    <w:tr2bl w:val="nil"/>
                  </w:tcBorders>
                  <w:shd w:val="clear" w:color="auto" w:fill="auto"/>
                  <w:vAlign w:val="center"/>
                </w:tcPr>
                <w:p w14:paraId="27303E09">
                  <w:pPr>
                    <w:widowControl/>
                    <w:jc w:val="center"/>
                    <w:rPr>
                      <w:rFonts w:hint="eastAsia" w:ascii="Times New Roman" w:hAnsi="Times New Roman" w:eastAsia="宋体" w:cs="Times New Roman"/>
                      <w:color w:val="auto"/>
                      <w:kern w:val="2"/>
                      <w:sz w:val="21"/>
                      <w:szCs w:val="21"/>
                      <w:lang w:val="en-US" w:eastAsia="zh-CN" w:bidi="ar"/>
                    </w:rPr>
                  </w:pPr>
                  <w:r>
                    <w:rPr>
                      <w:rFonts w:hint="eastAsia" w:cs="Times New Roman"/>
                      <w:color w:val="auto"/>
                      <w:sz w:val="21"/>
                      <w:szCs w:val="21"/>
                      <w:lang w:val="en-US" w:eastAsia="zh-CN" w:bidi="ar"/>
                    </w:rPr>
                    <w:t>在线清洗水</w:t>
                  </w:r>
                </w:p>
              </w:tc>
              <w:tc>
                <w:tcPr>
                  <w:tcW w:w="1199" w:type="pct"/>
                  <w:tcBorders>
                    <w:tl2br w:val="nil"/>
                    <w:tr2bl w:val="nil"/>
                  </w:tcBorders>
                  <w:shd w:val="clear" w:color="auto" w:fill="auto"/>
                  <w:vAlign w:val="center"/>
                </w:tcPr>
                <w:p w14:paraId="6905F7B8">
                  <w:pPr>
                    <w:widowControl/>
                    <w:jc w:val="center"/>
                    <w:rPr>
                      <w:rFonts w:hint="default" w:ascii="Times New Roman" w:hAnsi="Times New Roman" w:eastAsia="宋体" w:cs="Times New Roman"/>
                      <w:color w:val="auto"/>
                      <w:kern w:val="2"/>
                      <w:sz w:val="21"/>
                      <w:szCs w:val="21"/>
                      <w:lang w:val="en-US" w:eastAsia="zh-CN" w:bidi="ar"/>
                    </w:rPr>
                  </w:pPr>
                  <w:r>
                    <w:rPr>
                      <w:rFonts w:hint="eastAsia"/>
                      <w:color w:val="auto"/>
                      <w:sz w:val="21"/>
                      <w:szCs w:val="21"/>
                      <w:lang w:val="en-US" w:eastAsia="zh-CN"/>
                    </w:rPr>
                    <w:t>2</w:t>
                  </w:r>
                </w:p>
              </w:tc>
              <w:tc>
                <w:tcPr>
                  <w:tcW w:w="910" w:type="pct"/>
                  <w:tcBorders>
                    <w:tl2br w:val="nil"/>
                    <w:tr2bl w:val="nil"/>
                  </w:tcBorders>
                  <w:shd w:val="clear" w:color="auto" w:fill="auto"/>
                  <w:vAlign w:val="center"/>
                </w:tcPr>
                <w:p w14:paraId="44BE8797">
                  <w:pPr>
                    <w:topLinePunct/>
                    <w:jc w:val="center"/>
                    <w:rPr>
                      <w:rFonts w:hint="default" w:cs="Times New Roman"/>
                      <w:color w:val="auto"/>
                      <w:kern w:val="2"/>
                      <w:sz w:val="21"/>
                      <w:szCs w:val="21"/>
                      <w:lang w:val="en-US" w:eastAsia="zh-CN" w:bidi="ar-SA"/>
                    </w:rPr>
                  </w:pPr>
                  <w:r>
                    <w:rPr>
                      <w:rFonts w:hint="eastAsia" w:cs="Times New Roman"/>
                      <w:color w:val="auto"/>
                      <w:kern w:val="2"/>
                      <w:sz w:val="21"/>
                      <w:szCs w:val="21"/>
                      <w:lang w:val="en-US" w:eastAsia="zh-CN" w:bidi="ar-SA"/>
                    </w:rPr>
                    <w:t>100</w:t>
                  </w:r>
                </w:p>
              </w:tc>
              <w:tc>
                <w:tcPr>
                  <w:tcW w:w="873" w:type="pct"/>
                  <w:vMerge w:val="continue"/>
                  <w:tcBorders>
                    <w:tl2br w:val="nil"/>
                    <w:tr2bl w:val="nil"/>
                  </w:tcBorders>
                  <w:vAlign w:val="center"/>
                </w:tcPr>
                <w:p w14:paraId="377327C1">
                  <w:pPr>
                    <w:adjustRightInd w:val="0"/>
                    <w:snapToGrid w:val="0"/>
                    <w:jc w:val="center"/>
                    <w:rPr>
                      <w:rFonts w:hint="default" w:ascii="Times New Roman" w:hAnsi="Times New Roman" w:eastAsia="宋体" w:cs="Times New Roman"/>
                      <w:color w:val="auto"/>
                      <w:sz w:val="21"/>
                      <w:szCs w:val="21"/>
                    </w:rPr>
                  </w:pPr>
                </w:p>
              </w:tc>
              <w:tc>
                <w:tcPr>
                  <w:tcW w:w="751" w:type="pct"/>
                  <w:tcBorders>
                    <w:tl2br w:val="nil"/>
                    <w:tr2bl w:val="nil"/>
                  </w:tcBorders>
                  <w:vAlign w:val="center"/>
                </w:tcPr>
                <w:p w14:paraId="32626400">
                  <w:pPr>
                    <w:keepNext w:val="0"/>
                    <w:keepLines w:val="0"/>
                    <w:widowControl/>
                    <w:suppressLineNumbers w:val="0"/>
                    <w:jc w:val="center"/>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0.02</w:t>
                  </w:r>
                </w:p>
              </w:tc>
            </w:tr>
            <w:tr w14:paraId="75F0FCB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248" w:type="pct"/>
                  <w:gridSpan w:val="4"/>
                  <w:tcBorders>
                    <w:tl2br w:val="nil"/>
                    <w:tr2bl w:val="nil"/>
                  </w:tcBorders>
                  <w:vAlign w:val="center"/>
                </w:tcPr>
                <w:p w14:paraId="72BF8FCF">
                  <w:pPr>
                    <w:tabs>
                      <w:tab w:val="center" w:pos="3389"/>
                      <w:tab w:val="right" w:pos="6660"/>
                    </w:tabs>
                    <w:adjustRightInd w:val="0"/>
                    <w:snapToGrid w:val="0"/>
                    <w:jc w:val="lef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ab/>
                  </w:r>
                  <w:r>
                    <w:rPr>
                      <w:rFonts w:hint="default" w:ascii="Times New Roman" w:hAnsi="Times New Roman" w:eastAsia="宋体" w:cs="Times New Roman"/>
                      <w:color w:val="auto"/>
                      <w:sz w:val="21"/>
                      <w:szCs w:val="21"/>
                    </w:rPr>
                    <w:t>ΣQ</w:t>
                  </w:r>
                  <w:r>
                    <w:rPr>
                      <w:rFonts w:hint="default" w:ascii="Times New Roman" w:hAnsi="Times New Roman" w:eastAsia="宋体" w:cs="Times New Roman"/>
                      <w:color w:val="auto"/>
                      <w:sz w:val="21"/>
                      <w:szCs w:val="21"/>
                    </w:rPr>
                    <w:tab/>
                  </w:r>
                </w:p>
              </w:tc>
              <w:tc>
                <w:tcPr>
                  <w:tcW w:w="751" w:type="pct"/>
                  <w:tcBorders>
                    <w:tl2br w:val="nil"/>
                    <w:tr2bl w:val="nil"/>
                  </w:tcBorders>
                  <w:vAlign w:val="center"/>
                </w:tcPr>
                <w:p w14:paraId="575D54F6">
                  <w:pPr>
                    <w:keepNext w:val="0"/>
                    <w:keepLines w:val="0"/>
                    <w:widowControl/>
                    <w:suppressLineNumbers w:val="0"/>
                    <w:jc w:val="center"/>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0.8845496</w:t>
                  </w:r>
                </w:p>
              </w:tc>
            </w:tr>
          </w:tbl>
          <w:p w14:paraId="333F4E08">
            <w:pPr>
              <w:rPr>
                <w:rFonts w:hint="default" w:ascii="Times New Roman" w:hAnsi="Times New Roman" w:eastAsia="宋体" w:cs="Times New Roman"/>
                <w:b/>
                <w:bCs/>
                <w:color w:val="auto"/>
                <w:sz w:val="18"/>
                <w:szCs w:val="18"/>
              </w:rPr>
            </w:pPr>
            <w:r>
              <w:rPr>
                <w:rFonts w:hint="default" w:ascii="Times New Roman" w:hAnsi="Times New Roman" w:eastAsia="宋体" w:cs="Times New Roman"/>
                <w:b/>
                <w:bCs/>
                <w:color w:val="auto"/>
                <w:sz w:val="18"/>
                <w:szCs w:val="18"/>
              </w:rPr>
              <w:t>备注：</w:t>
            </w:r>
            <w:r>
              <w:rPr>
                <w:rFonts w:hint="default" w:ascii="Times New Roman" w:hAnsi="Times New Roman" w:eastAsia="宋体" w:cs="Times New Roman"/>
                <w:b/>
                <w:bCs/>
                <w:color w:val="auto"/>
                <w:sz w:val="18"/>
                <w:szCs w:val="18"/>
                <w:highlight w:val="none"/>
                <w:lang w:val="en-US" w:eastAsia="zh-CN"/>
              </w:rPr>
              <w:t>危废的临界量参考《建设项目环境风险评价技术导则》（HJ169-2018）附录B表B.2中的健康危险急性毒性物质（类别2，类别3）的值</w:t>
            </w:r>
            <w:r>
              <w:rPr>
                <w:rFonts w:hint="eastAsia" w:cs="Times New Roman"/>
                <w:b/>
                <w:bCs/>
                <w:color w:val="auto"/>
                <w:sz w:val="18"/>
                <w:szCs w:val="18"/>
                <w:highlight w:val="none"/>
                <w:lang w:val="en-US" w:eastAsia="zh-CN"/>
              </w:rPr>
              <w:t>；清洗剂、防锈剂、消泡剂、清洗废水、在线清洗水的临界量参考《建设项目环境风险评价技术导则》(HJ169-2018)附录B中表B.2其他危险物质临界值推荐值中的危害水环境物质（急性毒性类别1）的值；防锈油、液压油、深孔钻油、润滑油、切削液、轻质白油</w:t>
            </w:r>
            <w:r>
              <w:rPr>
                <w:rFonts w:hint="eastAsia"/>
                <w:b/>
                <w:bCs/>
                <w:color w:val="auto"/>
                <w:sz w:val="18"/>
                <w:szCs w:val="18"/>
              </w:rPr>
              <w:t>的临界量参照《建设项目环境风险评价技术导则》（HJ169-2018）附录B表B.1中油类物质（矿物油类，如石油、汽油、柴油等</w:t>
            </w:r>
            <w:r>
              <w:rPr>
                <w:rFonts w:hint="eastAsia"/>
                <w:b/>
                <w:bCs/>
                <w:color w:val="auto"/>
                <w:sz w:val="18"/>
                <w:szCs w:val="18"/>
                <w:lang w:eastAsia="zh-CN"/>
              </w:rPr>
              <w:t>）</w:t>
            </w:r>
            <w:r>
              <w:rPr>
                <w:rFonts w:hint="default" w:ascii="Times New Roman" w:hAnsi="Times New Roman" w:eastAsia="宋体" w:cs="Times New Roman"/>
                <w:b/>
                <w:bCs/>
                <w:color w:val="auto"/>
                <w:sz w:val="18"/>
                <w:szCs w:val="18"/>
              </w:rPr>
              <w:t>。</w:t>
            </w:r>
          </w:p>
          <w:p w14:paraId="5BCF72FB">
            <w:pPr>
              <w:adjustRightInd w:val="0"/>
              <w:snapToGrid w:val="0"/>
              <w:spacing w:line="360" w:lineRule="auto"/>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根据计算Q=0.8845496&lt;1，确定本项目环境风险潜势为Ⅰ。有毒有害和易燃易爆危险物质存储量未超过临界量，无</w:t>
            </w:r>
            <w:r>
              <w:rPr>
                <w:rFonts w:hint="eastAsia" w:cs="Times New Roman"/>
                <w:color w:val="auto"/>
                <w:sz w:val="24"/>
                <w:szCs w:val="24"/>
                <w:lang w:val="en-US" w:eastAsia="zh-CN"/>
              </w:rPr>
              <w:t>需</w:t>
            </w:r>
            <w:r>
              <w:rPr>
                <w:rFonts w:hint="default" w:ascii="Times New Roman" w:hAnsi="Times New Roman" w:cs="Times New Roman"/>
                <w:color w:val="auto"/>
                <w:sz w:val="24"/>
                <w:szCs w:val="24"/>
              </w:rPr>
              <w:t>开展环评风险专项评价。</w:t>
            </w:r>
          </w:p>
          <w:p w14:paraId="09BDB2A7">
            <w:pPr>
              <w:adjustRightInd w:val="0"/>
              <w:snapToGrid w:val="0"/>
              <w:spacing w:line="360" w:lineRule="auto"/>
              <w:ind w:firstLine="440" w:firstLineChars="200"/>
              <w:rPr>
                <w:rFonts w:hint="eastAsia" w:eastAsia="宋体"/>
                <w:bCs/>
                <w:color w:val="auto"/>
                <w:spacing w:val="-10"/>
                <w:sz w:val="24"/>
                <w:szCs w:val="24"/>
                <w:lang w:val="en-US" w:eastAsia="zh-CN"/>
              </w:rPr>
            </w:pPr>
            <w:r>
              <w:rPr>
                <w:rFonts w:hint="eastAsia"/>
                <w:bCs/>
                <w:color w:val="auto"/>
                <w:spacing w:val="-10"/>
                <w:sz w:val="24"/>
                <w:szCs w:val="24"/>
              </w:rPr>
              <w:t>企业全厂主要环境风险识别见下表。</w:t>
            </w:r>
          </w:p>
          <w:p w14:paraId="0EC95B41">
            <w:pPr>
              <w:jc w:val="center"/>
              <w:rPr>
                <w:b/>
                <w:bCs/>
                <w:color w:val="auto"/>
                <w:sz w:val="24"/>
                <w:szCs w:val="24"/>
              </w:rPr>
            </w:pPr>
            <w:r>
              <w:rPr>
                <w:rFonts w:hint="eastAsia"/>
                <w:b/>
                <w:bCs/>
                <w:color w:val="auto"/>
                <w:sz w:val="24"/>
                <w:szCs w:val="24"/>
              </w:rPr>
              <w:t>表4-</w:t>
            </w:r>
            <w:r>
              <w:rPr>
                <w:rFonts w:hint="eastAsia"/>
                <w:b/>
                <w:bCs/>
                <w:color w:val="auto"/>
                <w:sz w:val="24"/>
                <w:szCs w:val="24"/>
                <w:lang w:val="en-US" w:eastAsia="zh-CN"/>
              </w:rPr>
              <w:t>33</w:t>
            </w:r>
            <w:r>
              <w:rPr>
                <w:rFonts w:hint="eastAsia"/>
                <w:b/>
                <w:bCs/>
                <w:color w:val="auto"/>
                <w:sz w:val="24"/>
                <w:szCs w:val="24"/>
              </w:rPr>
              <w:t xml:space="preserve"> 企业全厂涉及的主要危险物质环境风险识别</w:t>
            </w:r>
          </w:p>
          <w:tbl>
            <w:tblPr>
              <w:tblStyle w:val="27"/>
              <w:tblW w:w="8124" w:type="dxa"/>
              <w:tblInd w:w="5"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417"/>
              <w:gridCol w:w="3969"/>
              <w:gridCol w:w="1513"/>
              <w:gridCol w:w="1225"/>
            </w:tblGrid>
            <w:tr w14:paraId="34FAB48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417" w:type="dxa"/>
                  <w:tcBorders>
                    <w:tl2br w:val="nil"/>
                    <w:tr2bl w:val="nil"/>
                  </w:tcBorders>
                  <w:vAlign w:val="center"/>
                </w:tcPr>
                <w:p w14:paraId="1698D581">
                  <w:pPr>
                    <w:adjustRightInd w:val="0"/>
                    <w:snapToGrid w:val="0"/>
                    <w:jc w:val="center"/>
                    <w:rPr>
                      <w:b/>
                      <w:color w:val="auto"/>
                      <w:spacing w:val="-10"/>
                      <w:sz w:val="21"/>
                      <w:szCs w:val="21"/>
                    </w:rPr>
                  </w:pPr>
                  <w:r>
                    <w:rPr>
                      <w:rFonts w:hint="eastAsia"/>
                      <w:b/>
                      <w:color w:val="auto"/>
                      <w:spacing w:val="-10"/>
                      <w:sz w:val="21"/>
                      <w:szCs w:val="21"/>
                    </w:rPr>
                    <w:t>风险单元</w:t>
                  </w:r>
                </w:p>
              </w:tc>
              <w:tc>
                <w:tcPr>
                  <w:tcW w:w="3969" w:type="dxa"/>
                  <w:tcBorders>
                    <w:tl2br w:val="nil"/>
                    <w:tr2bl w:val="nil"/>
                  </w:tcBorders>
                  <w:vAlign w:val="center"/>
                </w:tcPr>
                <w:p w14:paraId="6ED77ED7">
                  <w:pPr>
                    <w:adjustRightInd w:val="0"/>
                    <w:snapToGrid w:val="0"/>
                    <w:jc w:val="center"/>
                    <w:rPr>
                      <w:b/>
                      <w:color w:val="auto"/>
                      <w:spacing w:val="-10"/>
                      <w:sz w:val="21"/>
                      <w:szCs w:val="21"/>
                    </w:rPr>
                  </w:pPr>
                  <w:r>
                    <w:rPr>
                      <w:rFonts w:hint="eastAsia"/>
                      <w:b/>
                      <w:color w:val="auto"/>
                      <w:spacing w:val="-10"/>
                      <w:sz w:val="21"/>
                      <w:szCs w:val="21"/>
                    </w:rPr>
                    <w:t>涉及风险物质</w:t>
                  </w:r>
                </w:p>
              </w:tc>
              <w:tc>
                <w:tcPr>
                  <w:tcW w:w="1513" w:type="dxa"/>
                  <w:tcBorders>
                    <w:tl2br w:val="nil"/>
                    <w:tr2bl w:val="nil"/>
                  </w:tcBorders>
                  <w:vAlign w:val="center"/>
                </w:tcPr>
                <w:p w14:paraId="315DC62B">
                  <w:pPr>
                    <w:adjustRightInd w:val="0"/>
                    <w:snapToGrid w:val="0"/>
                    <w:jc w:val="center"/>
                    <w:rPr>
                      <w:rFonts w:hint="default" w:eastAsia="宋体"/>
                      <w:b/>
                      <w:color w:val="auto"/>
                      <w:spacing w:val="-10"/>
                      <w:sz w:val="21"/>
                      <w:szCs w:val="21"/>
                      <w:lang w:val="en-US" w:eastAsia="zh-CN"/>
                    </w:rPr>
                  </w:pPr>
                  <w:r>
                    <w:rPr>
                      <w:rFonts w:hint="eastAsia"/>
                      <w:b/>
                      <w:color w:val="auto"/>
                      <w:spacing w:val="-10"/>
                      <w:sz w:val="21"/>
                      <w:szCs w:val="21"/>
                      <w:lang w:val="en-US" w:eastAsia="zh-CN"/>
                    </w:rPr>
                    <w:t>事故类型</w:t>
                  </w:r>
                </w:p>
              </w:tc>
              <w:tc>
                <w:tcPr>
                  <w:tcW w:w="1225" w:type="dxa"/>
                  <w:tcBorders>
                    <w:tl2br w:val="nil"/>
                    <w:tr2bl w:val="nil"/>
                  </w:tcBorders>
                  <w:vAlign w:val="center"/>
                </w:tcPr>
                <w:p w14:paraId="7B89B7EA">
                  <w:pPr>
                    <w:adjustRightInd w:val="0"/>
                    <w:snapToGrid w:val="0"/>
                    <w:jc w:val="center"/>
                    <w:rPr>
                      <w:rFonts w:hint="eastAsia"/>
                      <w:b/>
                      <w:color w:val="auto"/>
                      <w:spacing w:val="-10"/>
                      <w:sz w:val="21"/>
                      <w:szCs w:val="21"/>
                    </w:rPr>
                  </w:pPr>
                  <w:r>
                    <w:rPr>
                      <w:rFonts w:hint="eastAsia"/>
                      <w:b/>
                      <w:color w:val="auto"/>
                      <w:spacing w:val="-10"/>
                      <w:sz w:val="21"/>
                      <w:szCs w:val="21"/>
                    </w:rPr>
                    <w:t>可能影响的环境途径</w:t>
                  </w:r>
                </w:p>
              </w:tc>
            </w:tr>
            <w:tr w14:paraId="59A535E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8" w:hRule="atLeast"/>
              </w:trPr>
              <w:tc>
                <w:tcPr>
                  <w:tcW w:w="1417" w:type="dxa"/>
                  <w:tcBorders>
                    <w:tl2br w:val="nil"/>
                    <w:tr2bl w:val="nil"/>
                  </w:tcBorders>
                  <w:vAlign w:val="center"/>
                </w:tcPr>
                <w:p w14:paraId="1D22FACD">
                  <w:pPr>
                    <w:adjustRightInd w:val="0"/>
                    <w:snapToGrid w:val="0"/>
                    <w:jc w:val="center"/>
                    <w:rPr>
                      <w:rFonts w:hint="eastAsia" w:eastAsia="宋体"/>
                      <w:color w:val="auto"/>
                      <w:sz w:val="21"/>
                      <w:szCs w:val="21"/>
                      <w:lang w:eastAsia="zh-CN"/>
                    </w:rPr>
                  </w:pPr>
                  <w:r>
                    <w:rPr>
                      <w:rFonts w:hint="default" w:ascii="Times New Roman" w:hAnsi="Times New Roman" w:eastAsia="宋体" w:cs="Times New Roman"/>
                      <w:color w:val="auto"/>
                      <w:sz w:val="21"/>
                      <w:szCs w:val="21"/>
                      <w:lang w:val="en-US" w:eastAsia="zh-CN"/>
                    </w:rPr>
                    <w:t>原辅料仓库</w:t>
                  </w:r>
                  <w:r>
                    <w:rPr>
                      <w:rFonts w:hint="eastAsia" w:cs="Times New Roman"/>
                      <w:color w:val="auto"/>
                      <w:sz w:val="21"/>
                      <w:szCs w:val="21"/>
                      <w:lang w:val="en-US" w:eastAsia="zh-CN"/>
                    </w:rPr>
                    <w:t>、车间</w:t>
                  </w:r>
                </w:p>
              </w:tc>
              <w:tc>
                <w:tcPr>
                  <w:tcW w:w="3969" w:type="dxa"/>
                  <w:tcBorders>
                    <w:tl2br w:val="nil"/>
                    <w:tr2bl w:val="nil"/>
                  </w:tcBorders>
                  <w:vAlign w:val="center"/>
                </w:tcPr>
                <w:p w14:paraId="273EBB6C">
                  <w:pPr>
                    <w:adjustRightInd w:val="0"/>
                    <w:snapToGrid w:val="0"/>
                    <w:jc w:val="center"/>
                    <w:rPr>
                      <w:rFonts w:hint="default" w:eastAsia="宋体"/>
                      <w:color w:val="auto"/>
                      <w:spacing w:val="4"/>
                      <w:sz w:val="21"/>
                      <w:szCs w:val="21"/>
                      <w:lang w:val="en-US" w:eastAsia="zh-CN"/>
                    </w:rPr>
                  </w:pPr>
                  <w:r>
                    <w:rPr>
                      <w:rFonts w:hint="default" w:eastAsia="宋体"/>
                      <w:color w:val="auto"/>
                      <w:spacing w:val="4"/>
                      <w:sz w:val="21"/>
                      <w:szCs w:val="21"/>
                      <w:lang w:val="en-US" w:eastAsia="zh-CN"/>
                    </w:rPr>
                    <w:t>氮气</w:t>
                  </w:r>
                  <w:r>
                    <w:rPr>
                      <w:rFonts w:hint="eastAsia"/>
                      <w:color w:val="auto"/>
                      <w:spacing w:val="4"/>
                      <w:sz w:val="21"/>
                      <w:szCs w:val="21"/>
                      <w:lang w:val="en-US" w:eastAsia="zh-CN"/>
                    </w:rPr>
                    <w:t>、</w:t>
                  </w:r>
                  <w:r>
                    <w:rPr>
                      <w:rFonts w:hint="default" w:eastAsia="宋体"/>
                      <w:color w:val="auto"/>
                      <w:spacing w:val="4"/>
                      <w:sz w:val="21"/>
                      <w:szCs w:val="21"/>
                      <w:lang w:val="en-US" w:eastAsia="zh-CN"/>
                    </w:rPr>
                    <w:t>防锈油</w:t>
                  </w:r>
                  <w:r>
                    <w:rPr>
                      <w:rFonts w:hint="eastAsia"/>
                      <w:color w:val="auto"/>
                      <w:spacing w:val="4"/>
                      <w:sz w:val="21"/>
                      <w:szCs w:val="21"/>
                      <w:lang w:val="en-US" w:eastAsia="zh-CN"/>
                    </w:rPr>
                    <w:t>、</w:t>
                  </w:r>
                  <w:r>
                    <w:rPr>
                      <w:rFonts w:hint="default" w:eastAsia="宋体"/>
                      <w:color w:val="auto"/>
                      <w:spacing w:val="4"/>
                      <w:sz w:val="21"/>
                      <w:szCs w:val="21"/>
                      <w:lang w:val="en-US" w:eastAsia="zh-CN"/>
                    </w:rPr>
                    <w:t>液压油</w:t>
                  </w:r>
                  <w:r>
                    <w:rPr>
                      <w:rFonts w:hint="eastAsia"/>
                      <w:color w:val="auto"/>
                      <w:spacing w:val="4"/>
                      <w:sz w:val="21"/>
                      <w:szCs w:val="21"/>
                      <w:lang w:val="en-US" w:eastAsia="zh-CN"/>
                    </w:rPr>
                    <w:t>、</w:t>
                  </w:r>
                  <w:r>
                    <w:rPr>
                      <w:rFonts w:hint="default" w:eastAsia="宋体"/>
                      <w:color w:val="auto"/>
                      <w:spacing w:val="4"/>
                      <w:sz w:val="21"/>
                      <w:szCs w:val="21"/>
                      <w:lang w:val="en-US" w:eastAsia="zh-CN"/>
                    </w:rPr>
                    <w:t>深孔钻油</w:t>
                  </w:r>
                  <w:r>
                    <w:rPr>
                      <w:rFonts w:hint="eastAsia"/>
                      <w:color w:val="auto"/>
                      <w:spacing w:val="4"/>
                      <w:sz w:val="21"/>
                      <w:szCs w:val="21"/>
                      <w:lang w:val="en-US" w:eastAsia="zh-CN"/>
                    </w:rPr>
                    <w:t>、</w:t>
                  </w:r>
                  <w:r>
                    <w:rPr>
                      <w:rFonts w:hint="default" w:eastAsia="宋体"/>
                      <w:color w:val="auto"/>
                      <w:spacing w:val="4"/>
                      <w:sz w:val="21"/>
                      <w:szCs w:val="21"/>
                      <w:lang w:val="en-US" w:eastAsia="zh-CN"/>
                    </w:rPr>
                    <w:t>润滑油</w:t>
                  </w:r>
                  <w:r>
                    <w:rPr>
                      <w:rFonts w:hint="eastAsia"/>
                      <w:color w:val="auto"/>
                      <w:spacing w:val="4"/>
                      <w:sz w:val="21"/>
                      <w:szCs w:val="21"/>
                      <w:lang w:val="en-US" w:eastAsia="zh-CN"/>
                    </w:rPr>
                    <w:t>、</w:t>
                  </w:r>
                  <w:r>
                    <w:rPr>
                      <w:rFonts w:hint="default" w:eastAsia="宋体"/>
                      <w:color w:val="auto"/>
                      <w:spacing w:val="4"/>
                      <w:sz w:val="21"/>
                      <w:szCs w:val="21"/>
                      <w:lang w:val="en-US" w:eastAsia="zh-CN"/>
                    </w:rPr>
                    <w:t>切削液</w:t>
                  </w:r>
                  <w:r>
                    <w:rPr>
                      <w:rFonts w:hint="eastAsia"/>
                      <w:color w:val="auto"/>
                      <w:spacing w:val="4"/>
                      <w:sz w:val="21"/>
                      <w:szCs w:val="21"/>
                      <w:lang w:val="en-US" w:eastAsia="zh-CN"/>
                    </w:rPr>
                    <w:t>、</w:t>
                  </w:r>
                  <w:r>
                    <w:rPr>
                      <w:rFonts w:hint="default" w:eastAsia="宋体"/>
                      <w:color w:val="auto"/>
                      <w:spacing w:val="4"/>
                      <w:sz w:val="21"/>
                      <w:szCs w:val="21"/>
                      <w:lang w:val="en-US" w:eastAsia="zh-CN"/>
                    </w:rPr>
                    <w:t>清洗剂</w:t>
                  </w:r>
                  <w:r>
                    <w:rPr>
                      <w:rFonts w:hint="eastAsia"/>
                      <w:color w:val="auto"/>
                      <w:spacing w:val="4"/>
                      <w:sz w:val="21"/>
                      <w:szCs w:val="21"/>
                      <w:lang w:val="en-US" w:eastAsia="zh-CN"/>
                    </w:rPr>
                    <w:t>、</w:t>
                  </w:r>
                  <w:r>
                    <w:rPr>
                      <w:rFonts w:hint="default" w:eastAsia="宋体"/>
                      <w:color w:val="auto"/>
                      <w:spacing w:val="4"/>
                      <w:sz w:val="21"/>
                      <w:szCs w:val="21"/>
                      <w:lang w:val="en-US" w:eastAsia="zh-CN"/>
                    </w:rPr>
                    <w:t>防锈剂</w:t>
                  </w:r>
                  <w:r>
                    <w:rPr>
                      <w:rFonts w:hint="eastAsia"/>
                      <w:color w:val="auto"/>
                      <w:spacing w:val="4"/>
                      <w:sz w:val="21"/>
                      <w:szCs w:val="21"/>
                      <w:lang w:val="en-US" w:eastAsia="zh-CN"/>
                    </w:rPr>
                    <w:t>、</w:t>
                  </w:r>
                  <w:r>
                    <w:rPr>
                      <w:rFonts w:hint="default" w:eastAsia="宋体"/>
                      <w:color w:val="auto"/>
                      <w:spacing w:val="4"/>
                      <w:sz w:val="21"/>
                      <w:szCs w:val="21"/>
                      <w:lang w:val="en-US" w:eastAsia="zh-CN"/>
                    </w:rPr>
                    <w:t>轻质白油</w:t>
                  </w:r>
                  <w:r>
                    <w:rPr>
                      <w:rFonts w:hint="eastAsia"/>
                      <w:color w:val="auto"/>
                      <w:spacing w:val="4"/>
                      <w:sz w:val="21"/>
                      <w:szCs w:val="21"/>
                      <w:lang w:val="en-US" w:eastAsia="zh-CN"/>
                    </w:rPr>
                    <w:t>、</w:t>
                  </w:r>
                  <w:r>
                    <w:rPr>
                      <w:rFonts w:hint="default" w:eastAsia="宋体"/>
                      <w:color w:val="auto"/>
                      <w:spacing w:val="4"/>
                      <w:sz w:val="21"/>
                      <w:szCs w:val="21"/>
                      <w:lang w:val="en-US" w:eastAsia="zh-CN"/>
                    </w:rPr>
                    <w:t>消泡剂</w:t>
                  </w:r>
                </w:p>
              </w:tc>
              <w:tc>
                <w:tcPr>
                  <w:tcW w:w="1513" w:type="dxa"/>
                  <w:tcBorders>
                    <w:tl2br w:val="nil"/>
                    <w:tr2bl w:val="nil"/>
                  </w:tcBorders>
                  <w:vAlign w:val="center"/>
                </w:tcPr>
                <w:p w14:paraId="4E08DDD7">
                  <w:pPr>
                    <w:adjustRightInd w:val="0"/>
                    <w:snapToGrid w:val="0"/>
                    <w:jc w:val="center"/>
                    <w:rPr>
                      <w:bCs/>
                      <w:color w:val="auto"/>
                      <w:spacing w:val="-10"/>
                      <w:sz w:val="21"/>
                      <w:szCs w:val="21"/>
                    </w:rPr>
                  </w:pPr>
                  <w:r>
                    <w:rPr>
                      <w:rFonts w:hint="eastAsia"/>
                      <w:bCs/>
                      <w:color w:val="auto"/>
                      <w:spacing w:val="-10"/>
                      <w:sz w:val="21"/>
                      <w:szCs w:val="21"/>
                    </w:rPr>
                    <w:t>泄漏、火灾、爆炸</w:t>
                  </w:r>
                </w:p>
              </w:tc>
              <w:tc>
                <w:tcPr>
                  <w:tcW w:w="1225" w:type="dxa"/>
                  <w:tcBorders>
                    <w:tl2br w:val="nil"/>
                    <w:tr2bl w:val="nil"/>
                  </w:tcBorders>
                  <w:vAlign w:val="center"/>
                </w:tcPr>
                <w:p w14:paraId="0B56B4F0">
                  <w:pPr>
                    <w:adjustRightInd w:val="0"/>
                    <w:snapToGrid w:val="0"/>
                    <w:jc w:val="center"/>
                    <w:rPr>
                      <w:rFonts w:hint="default" w:eastAsia="宋体"/>
                      <w:bCs/>
                      <w:color w:val="auto"/>
                      <w:spacing w:val="-10"/>
                      <w:sz w:val="21"/>
                      <w:szCs w:val="21"/>
                      <w:lang w:val="en-US" w:eastAsia="zh-CN"/>
                    </w:rPr>
                  </w:pPr>
                  <w:r>
                    <w:rPr>
                      <w:rFonts w:hint="eastAsia"/>
                      <w:bCs/>
                      <w:color w:val="auto"/>
                      <w:spacing w:val="-10"/>
                      <w:sz w:val="21"/>
                      <w:szCs w:val="21"/>
                      <w:lang w:val="en-US" w:eastAsia="zh-CN"/>
                    </w:rPr>
                    <w:t>大气、地表水</w:t>
                  </w:r>
                </w:p>
              </w:tc>
            </w:tr>
            <w:tr w14:paraId="56E01EE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417" w:type="dxa"/>
                  <w:tcBorders>
                    <w:tl2br w:val="nil"/>
                    <w:tr2bl w:val="nil"/>
                  </w:tcBorders>
                  <w:vAlign w:val="center"/>
                </w:tcPr>
                <w:p w14:paraId="41126D68">
                  <w:pPr>
                    <w:adjustRightInd w:val="0"/>
                    <w:snapToGrid w:val="0"/>
                    <w:jc w:val="center"/>
                    <w:rPr>
                      <w:bCs/>
                      <w:color w:val="auto"/>
                      <w:spacing w:val="-10"/>
                      <w:sz w:val="21"/>
                      <w:szCs w:val="21"/>
                    </w:rPr>
                  </w:pPr>
                  <w:r>
                    <w:rPr>
                      <w:rFonts w:hint="eastAsia"/>
                      <w:bCs/>
                      <w:color w:val="auto"/>
                      <w:spacing w:val="-10"/>
                      <w:sz w:val="21"/>
                      <w:szCs w:val="21"/>
                    </w:rPr>
                    <w:t>危废仓库</w:t>
                  </w:r>
                </w:p>
              </w:tc>
              <w:tc>
                <w:tcPr>
                  <w:tcW w:w="3969" w:type="dxa"/>
                  <w:tcBorders>
                    <w:tl2br w:val="nil"/>
                    <w:tr2bl w:val="nil"/>
                  </w:tcBorders>
                  <w:vAlign w:val="center"/>
                </w:tcPr>
                <w:p w14:paraId="09C4AA6F">
                  <w:pPr>
                    <w:adjustRightInd w:val="0"/>
                    <w:snapToGrid w:val="0"/>
                    <w:jc w:val="center"/>
                    <w:rPr>
                      <w:rFonts w:hint="default" w:eastAsia="宋体"/>
                      <w:color w:val="auto"/>
                      <w:kern w:val="0"/>
                      <w:sz w:val="21"/>
                      <w:szCs w:val="21"/>
                      <w:lang w:val="en-US" w:eastAsia="zh-CN"/>
                    </w:rPr>
                  </w:pPr>
                  <w:r>
                    <w:rPr>
                      <w:rFonts w:hint="default" w:eastAsia="宋体"/>
                      <w:color w:val="auto"/>
                      <w:kern w:val="0"/>
                      <w:sz w:val="21"/>
                      <w:szCs w:val="21"/>
                      <w:lang w:val="en-US" w:eastAsia="zh-CN"/>
                    </w:rPr>
                    <w:t>废深孔钻油</w:t>
                  </w:r>
                  <w:r>
                    <w:rPr>
                      <w:rFonts w:hint="eastAsia"/>
                      <w:color w:val="auto"/>
                      <w:kern w:val="0"/>
                      <w:sz w:val="21"/>
                      <w:szCs w:val="21"/>
                      <w:lang w:val="en-US" w:eastAsia="zh-CN"/>
                    </w:rPr>
                    <w:t>、</w:t>
                  </w:r>
                  <w:r>
                    <w:rPr>
                      <w:rFonts w:hint="default" w:eastAsia="宋体"/>
                      <w:color w:val="auto"/>
                      <w:kern w:val="0"/>
                      <w:sz w:val="21"/>
                      <w:szCs w:val="21"/>
                      <w:lang w:val="en-US" w:eastAsia="zh-CN"/>
                    </w:rPr>
                    <w:t>废油桶</w:t>
                  </w:r>
                  <w:r>
                    <w:rPr>
                      <w:rFonts w:hint="eastAsia"/>
                      <w:color w:val="auto"/>
                      <w:kern w:val="0"/>
                      <w:sz w:val="21"/>
                      <w:szCs w:val="21"/>
                      <w:lang w:val="en-US" w:eastAsia="zh-CN"/>
                    </w:rPr>
                    <w:t>、</w:t>
                  </w:r>
                  <w:r>
                    <w:rPr>
                      <w:rFonts w:hint="default" w:eastAsia="宋体"/>
                      <w:color w:val="auto"/>
                      <w:kern w:val="0"/>
                      <w:sz w:val="21"/>
                      <w:szCs w:val="21"/>
                      <w:lang w:val="en-US" w:eastAsia="zh-CN"/>
                    </w:rPr>
                    <w:t>废润滑油</w:t>
                  </w:r>
                  <w:r>
                    <w:rPr>
                      <w:rFonts w:hint="eastAsia"/>
                      <w:color w:val="auto"/>
                      <w:kern w:val="0"/>
                      <w:sz w:val="21"/>
                      <w:szCs w:val="21"/>
                      <w:lang w:val="en-US" w:eastAsia="zh-CN"/>
                    </w:rPr>
                    <w:t>、</w:t>
                  </w:r>
                  <w:r>
                    <w:rPr>
                      <w:rFonts w:hint="default" w:eastAsia="宋体"/>
                      <w:color w:val="auto"/>
                      <w:kern w:val="0"/>
                      <w:sz w:val="21"/>
                      <w:szCs w:val="21"/>
                      <w:lang w:val="en-US" w:eastAsia="zh-CN"/>
                    </w:rPr>
                    <w:t>废液压油</w:t>
                  </w:r>
                  <w:r>
                    <w:rPr>
                      <w:rFonts w:hint="eastAsia"/>
                      <w:color w:val="auto"/>
                      <w:kern w:val="0"/>
                      <w:sz w:val="21"/>
                      <w:szCs w:val="21"/>
                      <w:lang w:val="en-US" w:eastAsia="zh-CN"/>
                    </w:rPr>
                    <w:t>、抛光废料、废电池、废油、</w:t>
                  </w:r>
                  <w:r>
                    <w:rPr>
                      <w:rFonts w:hint="default" w:eastAsia="宋体"/>
                      <w:color w:val="auto"/>
                      <w:kern w:val="0"/>
                      <w:sz w:val="21"/>
                      <w:szCs w:val="21"/>
                      <w:lang w:val="en-US" w:eastAsia="zh-CN"/>
                    </w:rPr>
                    <w:t>废切削液</w:t>
                  </w:r>
                  <w:r>
                    <w:rPr>
                      <w:rFonts w:hint="eastAsia"/>
                      <w:color w:val="auto"/>
                      <w:kern w:val="0"/>
                      <w:sz w:val="21"/>
                      <w:szCs w:val="21"/>
                      <w:lang w:val="en-US" w:eastAsia="zh-CN"/>
                    </w:rPr>
                    <w:t>、</w:t>
                  </w:r>
                  <w:r>
                    <w:rPr>
                      <w:rFonts w:hint="default" w:eastAsia="宋体"/>
                      <w:color w:val="auto"/>
                      <w:kern w:val="0"/>
                      <w:sz w:val="21"/>
                      <w:szCs w:val="21"/>
                      <w:lang w:val="en-US" w:eastAsia="zh-CN"/>
                    </w:rPr>
                    <w:t>废刷子</w:t>
                  </w:r>
                  <w:r>
                    <w:rPr>
                      <w:rFonts w:hint="eastAsia"/>
                      <w:color w:val="auto"/>
                      <w:kern w:val="0"/>
                      <w:sz w:val="21"/>
                      <w:szCs w:val="21"/>
                      <w:lang w:val="en-US" w:eastAsia="zh-CN"/>
                    </w:rPr>
                    <w:t>、</w:t>
                  </w:r>
                  <w:r>
                    <w:rPr>
                      <w:rFonts w:hint="default" w:eastAsia="宋体"/>
                      <w:color w:val="auto"/>
                      <w:kern w:val="0"/>
                      <w:sz w:val="21"/>
                      <w:szCs w:val="21"/>
                      <w:lang w:val="en-US" w:eastAsia="zh-CN"/>
                    </w:rPr>
                    <w:t>废抹布及手套</w:t>
                  </w:r>
                  <w:r>
                    <w:rPr>
                      <w:rFonts w:hint="eastAsia"/>
                      <w:color w:val="auto"/>
                      <w:kern w:val="0"/>
                      <w:sz w:val="21"/>
                      <w:szCs w:val="21"/>
                      <w:lang w:val="en-US" w:eastAsia="zh-CN"/>
                    </w:rPr>
                    <w:t>、</w:t>
                  </w:r>
                  <w:r>
                    <w:rPr>
                      <w:rFonts w:hint="default" w:eastAsia="宋体"/>
                      <w:color w:val="auto"/>
                      <w:kern w:val="0"/>
                      <w:sz w:val="21"/>
                      <w:szCs w:val="21"/>
                      <w:lang w:val="en-US" w:eastAsia="zh-CN"/>
                    </w:rPr>
                    <w:t>废包装桶</w:t>
                  </w:r>
                  <w:r>
                    <w:rPr>
                      <w:rFonts w:hint="eastAsia"/>
                      <w:color w:val="auto"/>
                      <w:kern w:val="0"/>
                      <w:sz w:val="21"/>
                      <w:szCs w:val="21"/>
                      <w:lang w:val="en-US" w:eastAsia="zh-CN"/>
                    </w:rPr>
                    <w:t>、</w:t>
                  </w:r>
                  <w:r>
                    <w:rPr>
                      <w:rFonts w:hint="default" w:eastAsia="宋体"/>
                      <w:color w:val="auto"/>
                      <w:kern w:val="0"/>
                      <w:sz w:val="21"/>
                      <w:szCs w:val="21"/>
                      <w:lang w:val="en-US" w:eastAsia="zh-CN"/>
                    </w:rPr>
                    <w:t>浓液</w:t>
                  </w:r>
                  <w:r>
                    <w:rPr>
                      <w:rFonts w:hint="eastAsia"/>
                      <w:color w:val="auto"/>
                      <w:kern w:val="0"/>
                      <w:sz w:val="21"/>
                      <w:szCs w:val="21"/>
                      <w:lang w:val="en-US" w:eastAsia="zh-CN"/>
                    </w:rPr>
                    <w:t>、</w:t>
                  </w:r>
                  <w:r>
                    <w:rPr>
                      <w:rFonts w:hint="default" w:eastAsia="宋体"/>
                      <w:color w:val="auto"/>
                      <w:kern w:val="0"/>
                      <w:sz w:val="21"/>
                      <w:szCs w:val="21"/>
                      <w:lang w:val="en-US" w:eastAsia="zh-CN"/>
                    </w:rPr>
                    <w:t>过滤材料</w:t>
                  </w:r>
                  <w:r>
                    <w:rPr>
                      <w:rFonts w:hint="eastAsia"/>
                      <w:color w:val="auto"/>
                      <w:kern w:val="0"/>
                      <w:sz w:val="21"/>
                      <w:szCs w:val="21"/>
                      <w:lang w:val="en-US" w:eastAsia="zh-CN"/>
                    </w:rPr>
                    <w:t>、</w:t>
                  </w:r>
                  <w:r>
                    <w:rPr>
                      <w:rFonts w:hint="eastAsia"/>
                      <w:bCs/>
                      <w:snapToGrid w:val="0"/>
                      <w:color w:val="auto"/>
                      <w:spacing w:val="6"/>
                    </w:rPr>
                    <w:t>空压机含油废水</w:t>
                  </w:r>
                  <w:r>
                    <w:rPr>
                      <w:rFonts w:hint="eastAsia"/>
                      <w:bCs/>
                      <w:snapToGrid w:val="0"/>
                      <w:color w:val="auto"/>
                      <w:spacing w:val="6"/>
                      <w:lang w:eastAsia="zh-CN"/>
                    </w:rPr>
                    <w:t>、</w:t>
                  </w:r>
                  <w:r>
                    <w:rPr>
                      <w:rFonts w:hint="eastAsia" w:cs="Times New Roman"/>
                      <w:color w:val="auto"/>
                      <w:sz w:val="21"/>
                      <w:szCs w:val="21"/>
                      <w:lang w:val="en-US" w:eastAsia="zh-CN" w:bidi="ar"/>
                    </w:rPr>
                    <w:t>金属屑</w:t>
                  </w:r>
                </w:p>
              </w:tc>
              <w:tc>
                <w:tcPr>
                  <w:tcW w:w="1513" w:type="dxa"/>
                  <w:tcBorders>
                    <w:tl2br w:val="nil"/>
                    <w:tr2bl w:val="nil"/>
                  </w:tcBorders>
                  <w:vAlign w:val="center"/>
                </w:tcPr>
                <w:p w14:paraId="600AC9C1">
                  <w:pPr>
                    <w:adjustRightInd w:val="0"/>
                    <w:snapToGrid w:val="0"/>
                    <w:jc w:val="center"/>
                    <w:rPr>
                      <w:bCs/>
                      <w:color w:val="auto"/>
                      <w:spacing w:val="-10"/>
                      <w:sz w:val="21"/>
                      <w:szCs w:val="21"/>
                    </w:rPr>
                  </w:pPr>
                  <w:r>
                    <w:rPr>
                      <w:rFonts w:hint="eastAsia"/>
                      <w:bCs/>
                      <w:color w:val="auto"/>
                      <w:spacing w:val="-10"/>
                      <w:sz w:val="21"/>
                      <w:szCs w:val="21"/>
                    </w:rPr>
                    <w:t>泄漏、火灾、爆炸</w:t>
                  </w:r>
                </w:p>
              </w:tc>
              <w:tc>
                <w:tcPr>
                  <w:tcW w:w="1225" w:type="dxa"/>
                  <w:tcBorders>
                    <w:tl2br w:val="nil"/>
                    <w:tr2bl w:val="nil"/>
                  </w:tcBorders>
                  <w:vAlign w:val="center"/>
                </w:tcPr>
                <w:p w14:paraId="1BFA49F2">
                  <w:pPr>
                    <w:adjustRightInd w:val="0"/>
                    <w:snapToGrid w:val="0"/>
                    <w:jc w:val="center"/>
                    <w:rPr>
                      <w:rFonts w:hint="eastAsia"/>
                      <w:bCs/>
                      <w:color w:val="auto"/>
                      <w:spacing w:val="-10"/>
                      <w:sz w:val="21"/>
                      <w:szCs w:val="21"/>
                    </w:rPr>
                  </w:pPr>
                  <w:r>
                    <w:rPr>
                      <w:rFonts w:hint="eastAsia"/>
                      <w:bCs/>
                      <w:color w:val="auto"/>
                      <w:spacing w:val="-10"/>
                      <w:sz w:val="21"/>
                      <w:szCs w:val="21"/>
                      <w:lang w:val="en-US" w:eastAsia="zh-CN"/>
                    </w:rPr>
                    <w:t>大气、地表水</w:t>
                  </w:r>
                </w:p>
              </w:tc>
            </w:tr>
            <w:tr w14:paraId="0E0CF6E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417" w:type="dxa"/>
                  <w:tcBorders>
                    <w:tl2br w:val="nil"/>
                    <w:tr2bl w:val="nil"/>
                  </w:tcBorders>
                  <w:shd w:val="clear" w:color="auto" w:fill="auto"/>
                  <w:vAlign w:val="center"/>
                </w:tcPr>
                <w:p w14:paraId="21029FC5">
                  <w:pPr>
                    <w:adjustRightInd w:val="0"/>
                    <w:snapToGrid w:val="0"/>
                    <w:jc w:val="center"/>
                    <w:rPr>
                      <w:rFonts w:hint="default" w:ascii="Times New Roman" w:hAnsi="Times New Roman" w:eastAsia="宋体" w:cs="Times New Roman"/>
                      <w:bCs/>
                      <w:color w:val="auto"/>
                      <w:spacing w:val="-10"/>
                      <w:kern w:val="2"/>
                      <w:sz w:val="21"/>
                      <w:szCs w:val="21"/>
                      <w:lang w:val="en-US" w:eastAsia="zh-CN" w:bidi="ar"/>
                    </w:rPr>
                  </w:pPr>
                  <w:r>
                    <w:rPr>
                      <w:rFonts w:hint="eastAsia"/>
                      <w:bCs/>
                      <w:color w:val="auto"/>
                      <w:spacing w:val="-10"/>
                      <w:sz w:val="21"/>
                      <w:szCs w:val="21"/>
                      <w:lang w:val="en-US" w:eastAsia="zh-CN"/>
                    </w:rPr>
                    <w:t>废水处理设施、清洗机</w:t>
                  </w:r>
                </w:p>
              </w:tc>
              <w:tc>
                <w:tcPr>
                  <w:tcW w:w="3969" w:type="dxa"/>
                  <w:tcBorders>
                    <w:tl2br w:val="nil"/>
                    <w:tr2bl w:val="nil"/>
                  </w:tcBorders>
                  <w:shd w:val="clear" w:color="auto" w:fill="auto"/>
                  <w:vAlign w:val="center"/>
                </w:tcPr>
                <w:p w14:paraId="018E39A1">
                  <w:pPr>
                    <w:pStyle w:val="22"/>
                    <w:keepNext w:val="0"/>
                    <w:keepLines w:val="0"/>
                    <w:widowControl w:val="0"/>
                    <w:suppressLineNumbers w:val="0"/>
                    <w:snapToGrid w:val="0"/>
                    <w:spacing w:before="0" w:beforeAutospacing="0" w:after="0" w:afterAutospacing="0"/>
                    <w:ind w:left="0" w:leftChars="0" w:right="0" w:rightChars="0"/>
                    <w:jc w:val="center"/>
                    <w:rPr>
                      <w:rFonts w:hint="eastAsia" w:ascii="宋体" w:hAnsi="宋体" w:eastAsia="宋体" w:cs="Times New Roman"/>
                      <w:color w:val="auto"/>
                      <w:spacing w:val="4"/>
                      <w:kern w:val="0"/>
                      <w:sz w:val="21"/>
                      <w:szCs w:val="21"/>
                      <w:lang w:val="en-US" w:eastAsia="zh-CN" w:bidi="ar"/>
                    </w:rPr>
                  </w:pPr>
                  <w:r>
                    <w:rPr>
                      <w:rFonts w:hint="eastAsia"/>
                      <w:color w:val="auto"/>
                      <w:spacing w:val="4"/>
                      <w:sz w:val="21"/>
                      <w:szCs w:val="21"/>
                      <w:lang w:val="en-US" w:eastAsia="zh-CN"/>
                    </w:rPr>
                    <w:t>清洗水</w:t>
                  </w:r>
                </w:p>
              </w:tc>
              <w:tc>
                <w:tcPr>
                  <w:tcW w:w="1513" w:type="dxa"/>
                  <w:tcBorders>
                    <w:tl2br w:val="nil"/>
                    <w:tr2bl w:val="nil"/>
                  </w:tcBorders>
                  <w:shd w:val="clear" w:color="auto" w:fill="auto"/>
                  <w:vAlign w:val="center"/>
                </w:tcPr>
                <w:p w14:paraId="7810D2FF">
                  <w:pPr>
                    <w:pStyle w:val="22"/>
                    <w:keepNext w:val="0"/>
                    <w:keepLines w:val="0"/>
                    <w:widowControl w:val="0"/>
                    <w:suppressLineNumbers w:val="0"/>
                    <w:snapToGrid w:val="0"/>
                    <w:spacing w:before="0" w:beforeAutospacing="0" w:after="0" w:afterAutospacing="0"/>
                    <w:ind w:left="0" w:leftChars="0" w:right="0" w:rightChars="0"/>
                    <w:jc w:val="center"/>
                    <w:rPr>
                      <w:rFonts w:hint="default" w:ascii="宋体" w:hAnsi="宋体" w:eastAsia="宋体" w:cs="Times New Roman"/>
                      <w:bCs/>
                      <w:color w:val="auto"/>
                      <w:spacing w:val="-10"/>
                      <w:kern w:val="0"/>
                      <w:sz w:val="21"/>
                      <w:szCs w:val="21"/>
                      <w:lang w:val="en-US" w:eastAsia="zh-CN" w:bidi="ar"/>
                    </w:rPr>
                  </w:pPr>
                  <w:r>
                    <w:rPr>
                      <w:rFonts w:hint="eastAsia" w:cs="Times New Roman"/>
                      <w:bCs/>
                      <w:color w:val="auto"/>
                      <w:spacing w:val="-10"/>
                      <w:kern w:val="0"/>
                      <w:sz w:val="21"/>
                      <w:szCs w:val="21"/>
                      <w:lang w:val="en-US" w:eastAsia="zh-CN" w:bidi="ar"/>
                    </w:rPr>
                    <w:t>泄漏</w:t>
                  </w:r>
                </w:p>
              </w:tc>
              <w:tc>
                <w:tcPr>
                  <w:tcW w:w="1225" w:type="dxa"/>
                  <w:tcBorders>
                    <w:tl2br w:val="nil"/>
                    <w:tr2bl w:val="nil"/>
                  </w:tcBorders>
                  <w:shd w:val="clear" w:color="auto" w:fill="auto"/>
                  <w:vAlign w:val="center"/>
                </w:tcPr>
                <w:p w14:paraId="7E5D7622">
                  <w:pPr>
                    <w:pStyle w:val="22"/>
                    <w:keepNext w:val="0"/>
                    <w:keepLines w:val="0"/>
                    <w:widowControl w:val="0"/>
                    <w:suppressLineNumbers w:val="0"/>
                    <w:snapToGrid w:val="0"/>
                    <w:spacing w:before="0" w:beforeAutospacing="0" w:after="0" w:afterAutospacing="0"/>
                    <w:ind w:left="0" w:leftChars="0" w:right="0" w:rightChars="0"/>
                    <w:jc w:val="center"/>
                    <w:rPr>
                      <w:rFonts w:hint="default" w:ascii="Times New Roman" w:hAnsi="Times New Roman"/>
                      <w:bCs/>
                      <w:color w:val="auto"/>
                      <w:sz w:val="21"/>
                      <w:szCs w:val="21"/>
                      <w:lang w:bidi="ar"/>
                    </w:rPr>
                  </w:pPr>
                  <w:r>
                    <w:rPr>
                      <w:rFonts w:hint="eastAsia"/>
                      <w:bCs/>
                      <w:color w:val="auto"/>
                      <w:spacing w:val="-10"/>
                      <w:sz w:val="21"/>
                      <w:szCs w:val="21"/>
                      <w:lang w:val="en-US" w:eastAsia="zh-CN"/>
                    </w:rPr>
                    <w:t>地表水</w:t>
                  </w:r>
                </w:p>
              </w:tc>
            </w:tr>
          </w:tbl>
          <w:p w14:paraId="08D46327">
            <w:pPr>
              <w:adjustRightInd w:val="0"/>
              <w:snapToGrid w:val="0"/>
              <w:spacing w:line="360" w:lineRule="auto"/>
              <w:ind w:firstLine="442" w:firstLineChars="200"/>
              <w:rPr>
                <w:b/>
                <w:color w:val="auto"/>
                <w:spacing w:val="-10"/>
                <w:sz w:val="24"/>
                <w:szCs w:val="24"/>
              </w:rPr>
            </w:pPr>
            <w:r>
              <w:rPr>
                <w:b/>
                <w:color w:val="auto"/>
                <w:spacing w:val="-10"/>
                <w:sz w:val="24"/>
                <w:szCs w:val="24"/>
              </w:rPr>
              <w:t>7.2环境影响途径</w:t>
            </w:r>
          </w:p>
          <w:p w14:paraId="78C62795">
            <w:pPr>
              <w:adjustRightInd w:val="0"/>
              <w:snapToGrid w:val="0"/>
              <w:spacing w:line="360" w:lineRule="auto"/>
              <w:ind w:firstLine="440" w:firstLineChars="200"/>
              <w:rPr>
                <w:bCs/>
                <w:color w:val="auto"/>
                <w:spacing w:val="-10"/>
                <w:sz w:val="24"/>
                <w:szCs w:val="24"/>
              </w:rPr>
            </w:pPr>
            <w:r>
              <w:rPr>
                <w:bCs/>
                <w:color w:val="auto"/>
                <w:spacing w:val="-10"/>
                <w:sz w:val="24"/>
                <w:szCs w:val="24"/>
              </w:rPr>
              <w:t>（1）大气</w:t>
            </w:r>
          </w:p>
          <w:p w14:paraId="633B0D4B">
            <w:pPr>
              <w:adjustRightInd w:val="0"/>
              <w:snapToGrid w:val="0"/>
              <w:spacing w:line="360" w:lineRule="auto"/>
              <w:ind w:firstLine="480" w:firstLineChars="200"/>
              <w:rPr>
                <w:bCs/>
                <w:color w:val="auto"/>
                <w:spacing w:val="-10"/>
                <w:sz w:val="24"/>
                <w:szCs w:val="24"/>
              </w:rPr>
            </w:pPr>
            <w:r>
              <w:rPr>
                <w:rFonts w:hint="eastAsia"/>
                <w:bCs/>
                <w:color w:val="auto"/>
                <w:sz w:val="24"/>
                <w:szCs w:val="24"/>
                <w:lang w:val="en-US" w:eastAsia="zh-CN"/>
              </w:rPr>
              <w:t>防锈油、液压油、深孔钻油、</w:t>
            </w:r>
            <w:r>
              <w:rPr>
                <w:rFonts w:hint="eastAsia"/>
                <w:bCs/>
                <w:color w:val="auto"/>
                <w:sz w:val="24"/>
                <w:szCs w:val="24"/>
              </w:rPr>
              <w:t>危废</w:t>
            </w:r>
            <w:r>
              <w:rPr>
                <w:bCs/>
                <w:color w:val="auto"/>
                <w:sz w:val="24"/>
                <w:szCs w:val="24"/>
              </w:rPr>
              <w:t>等遇明火等引起火灾、爆炸事故，燃烧会产生</w:t>
            </w:r>
            <w:r>
              <w:rPr>
                <w:rFonts w:hint="eastAsia"/>
                <w:bCs/>
                <w:color w:val="auto"/>
                <w:sz w:val="24"/>
                <w:szCs w:val="24"/>
                <w:lang w:val="en-US" w:eastAsia="zh-CN"/>
              </w:rPr>
              <w:t>非甲烷总烃、颗粒物、</w:t>
            </w:r>
            <w:r>
              <w:rPr>
                <w:bCs/>
                <w:color w:val="auto"/>
                <w:sz w:val="24"/>
                <w:szCs w:val="24"/>
              </w:rPr>
              <w:t>SO</w:t>
            </w:r>
            <w:r>
              <w:rPr>
                <w:bCs/>
                <w:color w:val="auto"/>
                <w:sz w:val="24"/>
                <w:szCs w:val="24"/>
                <w:vertAlign w:val="subscript"/>
              </w:rPr>
              <w:t>2</w:t>
            </w:r>
            <w:r>
              <w:rPr>
                <w:bCs/>
                <w:color w:val="auto"/>
                <w:sz w:val="24"/>
                <w:szCs w:val="24"/>
              </w:rPr>
              <w:t>、CO、氮氧化物</w:t>
            </w:r>
            <w:r>
              <w:rPr>
                <w:rFonts w:hint="eastAsia"/>
                <w:bCs/>
                <w:color w:val="auto"/>
                <w:sz w:val="24"/>
                <w:szCs w:val="24"/>
                <w:lang w:val="en-US" w:eastAsia="zh-CN"/>
              </w:rPr>
              <w:t>等</w:t>
            </w:r>
            <w:r>
              <w:rPr>
                <w:rFonts w:hint="eastAsia"/>
                <w:bCs/>
                <w:color w:val="auto"/>
                <w:sz w:val="24"/>
                <w:szCs w:val="24"/>
              </w:rPr>
              <w:t>造成</w:t>
            </w:r>
            <w:r>
              <w:rPr>
                <w:bCs/>
                <w:color w:val="auto"/>
                <w:sz w:val="24"/>
                <w:szCs w:val="24"/>
              </w:rPr>
              <w:t>大气污染</w:t>
            </w:r>
            <w:r>
              <w:rPr>
                <w:color w:val="auto"/>
                <w:spacing w:val="6"/>
                <w:sz w:val="24"/>
                <w:szCs w:val="24"/>
              </w:rPr>
              <w:t>。</w:t>
            </w:r>
          </w:p>
          <w:p w14:paraId="60ACA741">
            <w:pPr>
              <w:adjustRightInd w:val="0"/>
              <w:snapToGrid w:val="0"/>
              <w:spacing w:line="360" w:lineRule="auto"/>
              <w:ind w:firstLine="440" w:firstLineChars="200"/>
              <w:rPr>
                <w:color w:val="auto"/>
                <w:sz w:val="24"/>
                <w:szCs w:val="24"/>
              </w:rPr>
            </w:pPr>
            <w:r>
              <w:rPr>
                <w:bCs/>
                <w:color w:val="auto"/>
                <w:spacing w:val="-10"/>
                <w:sz w:val="24"/>
                <w:szCs w:val="24"/>
              </w:rPr>
              <w:t>（2）</w:t>
            </w:r>
            <w:r>
              <w:rPr>
                <w:color w:val="auto"/>
                <w:sz w:val="24"/>
                <w:szCs w:val="24"/>
              </w:rPr>
              <w:t>地表水、地下水、土壤</w:t>
            </w:r>
          </w:p>
          <w:p w14:paraId="62EC8F51">
            <w:pPr>
              <w:adjustRightInd w:val="0"/>
              <w:snapToGrid w:val="0"/>
              <w:spacing w:line="360" w:lineRule="auto"/>
              <w:ind w:firstLine="480" w:firstLineChars="200"/>
              <w:rPr>
                <w:b/>
                <w:bCs/>
                <w:color w:val="auto"/>
                <w:spacing w:val="-10"/>
                <w:sz w:val="24"/>
                <w:szCs w:val="24"/>
              </w:rPr>
            </w:pPr>
            <w:r>
              <w:rPr>
                <w:rFonts w:hint="eastAsia"/>
                <w:bCs/>
                <w:color w:val="auto"/>
                <w:sz w:val="24"/>
                <w:szCs w:val="24"/>
                <w:lang w:val="en-US" w:eastAsia="zh-CN"/>
              </w:rPr>
              <w:t>防锈油、液压油、深孔钻油</w:t>
            </w:r>
            <w:r>
              <w:rPr>
                <w:rFonts w:hint="eastAsia"/>
                <w:bCs/>
                <w:color w:val="auto"/>
                <w:sz w:val="24"/>
                <w:szCs w:val="24"/>
              </w:rPr>
              <w:t>、</w:t>
            </w:r>
            <w:r>
              <w:rPr>
                <w:rFonts w:hint="eastAsia"/>
                <w:bCs/>
                <w:color w:val="auto"/>
                <w:sz w:val="24"/>
                <w:szCs w:val="24"/>
                <w:lang w:val="en-US" w:eastAsia="zh-CN"/>
              </w:rPr>
              <w:t>清洗水、</w:t>
            </w:r>
            <w:r>
              <w:rPr>
                <w:rFonts w:hint="eastAsia"/>
                <w:bCs/>
                <w:color w:val="auto"/>
                <w:sz w:val="24"/>
                <w:szCs w:val="24"/>
              </w:rPr>
              <w:t>危废等</w:t>
            </w:r>
            <w:r>
              <w:rPr>
                <w:bCs/>
                <w:color w:val="auto"/>
                <w:sz w:val="24"/>
                <w:szCs w:val="24"/>
              </w:rPr>
              <w:t>发生</w:t>
            </w:r>
            <w:r>
              <w:rPr>
                <w:rFonts w:hint="eastAsia"/>
                <w:bCs/>
                <w:color w:val="auto"/>
                <w:sz w:val="24"/>
                <w:szCs w:val="24"/>
                <w:lang w:val="en-US" w:eastAsia="zh-CN"/>
              </w:rPr>
              <w:t>泄漏</w:t>
            </w:r>
            <w:r>
              <w:rPr>
                <w:bCs/>
                <w:color w:val="auto"/>
                <w:sz w:val="24"/>
                <w:szCs w:val="24"/>
              </w:rPr>
              <w:t>，</w:t>
            </w:r>
            <w:r>
              <w:rPr>
                <w:rFonts w:hint="eastAsia"/>
                <w:bCs/>
                <w:color w:val="auto"/>
                <w:sz w:val="24"/>
                <w:szCs w:val="24"/>
                <w:lang w:val="en-US" w:eastAsia="zh-CN"/>
              </w:rPr>
              <w:t>厂房内发生火灾次生消防废水，</w:t>
            </w:r>
            <w:r>
              <w:rPr>
                <w:bCs/>
                <w:color w:val="auto"/>
                <w:sz w:val="24"/>
                <w:szCs w:val="24"/>
              </w:rPr>
              <w:t>若处理不及时或处理措施采取不当，污染物会进入地表水、地下水、土壤，对地表水、地下水水质、土壤造成不同程度污染</w:t>
            </w:r>
            <w:r>
              <w:rPr>
                <w:color w:val="auto"/>
                <w:sz w:val="24"/>
                <w:szCs w:val="24"/>
              </w:rPr>
              <w:t>。</w:t>
            </w:r>
          </w:p>
          <w:p w14:paraId="10005EB4">
            <w:pPr>
              <w:adjustRightInd w:val="0"/>
              <w:snapToGrid w:val="0"/>
              <w:spacing w:line="360" w:lineRule="auto"/>
              <w:ind w:firstLine="442" w:firstLineChars="200"/>
              <w:rPr>
                <w:b/>
                <w:color w:val="auto"/>
                <w:spacing w:val="-10"/>
                <w:sz w:val="24"/>
                <w:szCs w:val="24"/>
              </w:rPr>
            </w:pPr>
            <w:r>
              <w:rPr>
                <w:b/>
                <w:color w:val="auto"/>
                <w:spacing w:val="-10"/>
                <w:sz w:val="24"/>
                <w:szCs w:val="24"/>
              </w:rPr>
              <w:t>7.3风险防范措施</w:t>
            </w:r>
          </w:p>
          <w:p w14:paraId="1E67B0B7">
            <w:pPr>
              <w:spacing w:line="360" w:lineRule="auto"/>
              <w:ind w:firstLine="480" w:firstLineChars="200"/>
              <w:rPr>
                <w:color w:val="auto"/>
                <w:sz w:val="24"/>
                <w:szCs w:val="24"/>
              </w:rPr>
            </w:pPr>
            <w:r>
              <w:rPr>
                <w:color w:val="auto"/>
                <w:sz w:val="24"/>
                <w:szCs w:val="24"/>
              </w:rPr>
              <w:t>（1）贮运工程风险防范措施</w:t>
            </w:r>
          </w:p>
          <w:p w14:paraId="70EFE8BB">
            <w:pPr>
              <w:spacing w:line="360" w:lineRule="auto"/>
              <w:ind w:firstLine="480" w:firstLineChars="200"/>
              <w:rPr>
                <w:color w:val="auto"/>
                <w:sz w:val="24"/>
                <w:szCs w:val="24"/>
              </w:rPr>
            </w:pPr>
            <w:r>
              <w:rPr>
                <w:rFonts w:hint="eastAsia"/>
                <w:color w:val="auto"/>
                <w:sz w:val="24"/>
                <w:szCs w:val="24"/>
              </w:rPr>
              <w:t>①原料桶不得露天堆放，储存于阴凉通风</w:t>
            </w:r>
            <w:r>
              <w:rPr>
                <w:rFonts w:hint="eastAsia"/>
                <w:color w:val="auto"/>
                <w:sz w:val="24"/>
                <w:szCs w:val="24"/>
                <w:lang w:val="en-US" w:eastAsia="zh-CN"/>
              </w:rPr>
              <w:t>房</w:t>
            </w:r>
            <w:r>
              <w:rPr>
                <w:rFonts w:hint="eastAsia"/>
                <w:color w:val="auto"/>
                <w:sz w:val="24"/>
                <w:szCs w:val="24"/>
              </w:rPr>
              <w:t>间内，远离火种、热源，防止阳光直射，应与易燃或可燃物分开存放。搬运时轻装轻卸，防止原料桶破损或倾倒。</w:t>
            </w:r>
          </w:p>
          <w:p w14:paraId="6C67371E">
            <w:pPr>
              <w:spacing w:line="360" w:lineRule="auto"/>
              <w:ind w:firstLine="480" w:firstLineChars="200"/>
              <w:rPr>
                <w:color w:val="auto"/>
                <w:sz w:val="24"/>
                <w:szCs w:val="24"/>
              </w:rPr>
            </w:pPr>
            <w:r>
              <w:rPr>
                <w:rFonts w:hint="eastAsia"/>
                <w:color w:val="auto"/>
                <w:sz w:val="24"/>
                <w:szCs w:val="24"/>
              </w:rPr>
              <w:t>②划定禁火区，在明显地点设有警示标志，输配电线、灯具、火灾事故照明和疏散指示标志均应符合安全要求；严禁未安装灭火装置的车辆出入生产装置区。</w:t>
            </w:r>
          </w:p>
          <w:p w14:paraId="2D60E93A">
            <w:pPr>
              <w:spacing w:line="360" w:lineRule="auto"/>
              <w:ind w:firstLine="480" w:firstLineChars="200"/>
              <w:rPr>
                <w:color w:val="auto"/>
                <w:sz w:val="24"/>
                <w:szCs w:val="24"/>
              </w:rPr>
            </w:pPr>
            <w:r>
              <w:rPr>
                <w:rFonts w:hint="eastAsia"/>
                <w:color w:val="auto"/>
                <w:sz w:val="24"/>
                <w:szCs w:val="24"/>
              </w:rPr>
              <w:t>③在</w:t>
            </w:r>
            <w:r>
              <w:rPr>
                <w:rFonts w:hint="eastAsia"/>
                <w:color w:val="auto"/>
                <w:sz w:val="24"/>
                <w:szCs w:val="24"/>
                <w:lang w:val="en-US" w:eastAsia="zh-CN"/>
              </w:rPr>
              <w:t>清洗剂、防锈剂等化学品</w:t>
            </w:r>
            <w:r>
              <w:rPr>
                <w:rFonts w:hint="eastAsia"/>
                <w:color w:val="auto"/>
                <w:sz w:val="24"/>
                <w:szCs w:val="24"/>
              </w:rPr>
              <w:t>贮存区</w:t>
            </w:r>
            <w:r>
              <w:rPr>
                <w:rFonts w:hint="default" w:ascii="Times New Roman" w:hAnsi="Times New Roman" w:eastAsia="宋体" w:cs="Times New Roman"/>
                <w:color w:val="auto"/>
                <w:kern w:val="0"/>
                <w:sz w:val="24"/>
                <w:szCs w:val="24"/>
                <w:highlight w:val="none"/>
              </w:rPr>
              <w:t>设专人管理并安装视频监控系统，配备充足可靠的消防应急物资和个人安全防护用品。原料入库时，管理人员严格检验物品质量、数量、包装情况、有无泄漏。入库后应采取适当的防护措施，在贮存期内应定期检查，发现其品质变化、包装破损、渗漏等，应及时处理</w:t>
            </w:r>
            <w:r>
              <w:rPr>
                <w:rFonts w:hint="eastAsia"/>
                <w:color w:val="auto"/>
                <w:sz w:val="24"/>
                <w:szCs w:val="24"/>
              </w:rPr>
              <w:t>。</w:t>
            </w:r>
          </w:p>
          <w:p w14:paraId="43B2AEAB">
            <w:pPr>
              <w:spacing w:line="360" w:lineRule="auto"/>
              <w:ind w:firstLine="480" w:firstLineChars="200"/>
              <w:rPr>
                <w:color w:val="auto"/>
                <w:sz w:val="24"/>
                <w:szCs w:val="24"/>
              </w:rPr>
            </w:pPr>
            <w:r>
              <w:rPr>
                <w:rFonts w:hint="eastAsia"/>
                <w:color w:val="auto"/>
                <w:sz w:val="24"/>
                <w:szCs w:val="24"/>
              </w:rPr>
              <w:t>④合理规划运输路线及时间，加强运输车辆的管理，严格遵守运输管理规定，避免运输过程事故的发生。</w:t>
            </w:r>
          </w:p>
          <w:p w14:paraId="10A7C935">
            <w:pPr>
              <w:spacing w:line="360" w:lineRule="auto"/>
              <w:ind w:firstLine="480" w:firstLineChars="200"/>
              <w:rPr>
                <w:color w:val="auto"/>
                <w:sz w:val="24"/>
                <w:szCs w:val="24"/>
              </w:rPr>
            </w:pPr>
            <w:r>
              <w:rPr>
                <w:color w:val="auto"/>
                <w:sz w:val="24"/>
                <w:szCs w:val="24"/>
              </w:rPr>
              <w:t>（2）废气事故排放防范措施</w:t>
            </w:r>
          </w:p>
          <w:p w14:paraId="2F8AB8DC">
            <w:pPr>
              <w:spacing w:line="360" w:lineRule="auto"/>
              <w:ind w:firstLine="480" w:firstLineChars="200"/>
              <w:rPr>
                <w:color w:val="auto"/>
                <w:sz w:val="24"/>
                <w:szCs w:val="24"/>
              </w:rPr>
            </w:pPr>
            <w:r>
              <w:rPr>
                <w:rFonts w:hint="eastAsia"/>
                <w:color w:val="auto"/>
                <w:sz w:val="24"/>
                <w:szCs w:val="24"/>
              </w:rPr>
              <w:t>发生事故的原因主要有以下几个：</w:t>
            </w:r>
          </w:p>
          <w:p w14:paraId="19F266CF">
            <w:pPr>
              <w:spacing w:line="360" w:lineRule="auto"/>
              <w:ind w:firstLine="480" w:firstLineChars="200"/>
              <w:rPr>
                <w:color w:val="auto"/>
                <w:sz w:val="24"/>
                <w:szCs w:val="24"/>
              </w:rPr>
            </w:pPr>
            <w:r>
              <w:rPr>
                <w:rFonts w:hint="eastAsia"/>
                <w:color w:val="auto"/>
                <w:sz w:val="24"/>
                <w:szCs w:val="24"/>
              </w:rPr>
              <w:t>①废气处理系统出现故障、设备开车、停车检修时废气直接排入大气环境中；</w:t>
            </w:r>
          </w:p>
          <w:p w14:paraId="06DA893F">
            <w:pPr>
              <w:spacing w:line="360" w:lineRule="auto"/>
              <w:ind w:firstLine="480" w:firstLineChars="200"/>
              <w:rPr>
                <w:color w:val="auto"/>
                <w:sz w:val="24"/>
                <w:szCs w:val="24"/>
              </w:rPr>
            </w:pPr>
            <w:r>
              <w:rPr>
                <w:rFonts w:hint="eastAsia"/>
                <w:color w:val="auto"/>
                <w:sz w:val="24"/>
                <w:szCs w:val="24"/>
              </w:rPr>
              <w:t>②生产过程中由于设备老化、腐蚀、</w:t>
            </w:r>
            <w:r>
              <w:rPr>
                <w:rFonts w:hint="eastAsia"/>
                <w:color w:val="auto"/>
                <w:sz w:val="24"/>
                <w:szCs w:val="24"/>
                <w:lang w:eastAsia="zh-CN"/>
              </w:rPr>
              <w:t>失误</w:t>
            </w:r>
            <w:r>
              <w:rPr>
                <w:rFonts w:hint="eastAsia"/>
                <w:color w:val="auto"/>
                <w:sz w:val="24"/>
                <w:szCs w:val="24"/>
              </w:rPr>
              <w:t>操作等原因造成车间废气浓度超标；</w:t>
            </w:r>
          </w:p>
          <w:p w14:paraId="271003CC">
            <w:pPr>
              <w:spacing w:line="360" w:lineRule="auto"/>
              <w:ind w:firstLine="480" w:firstLineChars="200"/>
              <w:rPr>
                <w:color w:val="auto"/>
                <w:sz w:val="24"/>
                <w:szCs w:val="24"/>
              </w:rPr>
            </w:pPr>
            <w:r>
              <w:rPr>
                <w:rFonts w:hint="eastAsia"/>
                <w:color w:val="auto"/>
                <w:sz w:val="24"/>
                <w:szCs w:val="24"/>
              </w:rPr>
              <w:t>③厂内突然停电、废气处理系统停止工作，致使废气不能得到及时处理；</w:t>
            </w:r>
          </w:p>
          <w:p w14:paraId="12B8A8E8">
            <w:pPr>
              <w:spacing w:line="360" w:lineRule="auto"/>
              <w:ind w:firstLine="480" w:firstLineChars="200"/>
              <w:rPr>
                <w:color w:val="auto"/>
                <w:sz w:val="24"/>
                <w:szCs w:val="24"/>
              </w:rPr>
            </w:pPr>
            <w:r>
              <w:rPr>
                <w:rFonts w:hint="eastAsia"/>
                <w:color w:val="auto"/>
                <w:sz w:val="24"/>
                <w:szCs w:val="24"/>
              </w:rPr>
              <w:t>④对废气治理措施疏于管理，使治理措施处理效率降低造成废气浓度超标；</w:t>
            </w:r>
          </w:p>
          <w:p w14:paraId="651ED77F">
            <w:pPr>
              <w:spacing w:line="360" w:lineRule="auto"/>
              <w:ind w:firstLine="480" w:firstLineChars="200"/>
              <w:rPr>
                <w:color w:val="auto"/>
                <w:sz w:val="24"/>
                <w:szCs w:val="24"/>
              </w:rPr>
            </w:pPr>
            <w:r>
              <w:rPr>
                <w:rFonts w:hint="eastAsia"/>
                <w:color w:val="auto"/>
                <w:sz w:val="24"/>
                <w:szCs w:val="24"/>
              </w:rPr>
              <w:t>为杜绝事故性废气排放，建议采用以下措施确保废气达标排放：</w:t>
            </w:r>
          </w:p>
          <w:p w14:paraId="7F4A8EB1">
            <w:pPr>
              <w:spacing w:line="360" w:lineRule="auto"/>
              <w:ind w:firstLine="480" w:firstLineChars="200"/>
              <w:rPr>
                <w:color w:val="auto"/>
                <w:sz w:val="24"/>
                <w:szCs w:val="24"/>
              </w:rPr>
            </w:pPr>
            <w:r>
              <w:rPr>
                <w:rFonts w:hint="eastAsia"/>
                <w:color w:val="auto"/>
                <w:sz w:val="24"/>
                <w:szCs w:val="24"/>
              </w:rPr>
              <w:t>①平时加强废气处理设施的维护保养，及时发现处理设备的隐患，并及时进行维修，确保废气处理系统正常运行；</w:t>
            </w:r>
          </w:p>
          <w:p w14:paraId="33915C25">
            <w:pPr>
              <w:spacing w:line="360" w:lineRule="auto"/>
              <w:ind w:firstLine="480" w:firstLineChars="200"/>
              <w:rPr>
                <w:color w:val="auto"/>
                <w:sz w:val="24"/>
                <w:szCs w:val="24"/>
              </w:rPr>
            </w:pPr>
            <w:r>
              <w:rPr>
                <w:rFonts w:hint="eastAsia"/>
                <w:color w:val="auto"/>
                <w:sz w:val="24"/>
                <w:szCs w:val="24"/>
              </w:rPr>
              <w:t>②建立健全的环保机构，配置必要的监测仪器，对管理人员和技术人员进行岗位培训，对废气处理实行全过程跟踪控制；</w:t>
            </w:r>
          </w:p>
          <w:p w14:paraId="67516B4C">
            <w:pPr>
              <w:spacing w:line="360" w:lineRule="auto"/>
              <w:ind w:firstLine="480" w:firstLineChars="200"/>
              <w:rPr>
                <w:color w:val="auto"/>
                <w:sz w:val="24"/>
                <w:szCs w:val="24"/>
              </w:rPr>
            </w:pPr>
            <w:r>
              <w:rPr>
                <w:rFonts w:hint="eastAsia"/>
                <w:color w:val="auto"/>
                <w:sz w:val="24"/>
                <w:szCs w:val="24"/>
              </w:rPr>
              <w:t>③项目对废气治理措施应定期检查，防止因治理措施故障而造成废气的事故性排放。</w:t>
            </w:r>
          </w:p>
          <w:p w14:paraId="2B8F45FF">
            <w:pPr>
              <w:adjustRightInd w:val="0"/>
              <w:snapToGrid w:val="0"/>
              <w:spacing w:line="360" w:lineRule="auto"/>
              <w:ind w:firstLine="480" w:firstLineChars="200"/>
              <w:rPr>
                <w:color w:val="auto"/>
                <w:sz w:val="24"/>
                <w:szCs w:val="24"/>
              </w:rPr>
            </w:pPr>
            <w:r>
              <w:rPr>
                <w:color w:val="auto"/>
                <w:sz w:val="24"/>
                <w:szCs w:val="24"/>
              </w:rPr>
              <w:t>④</w:t>
            </w:r>
            <w:r>
              <w:rPr>
                <w:rFonts w:hint="eastAsia"/>
                <w:color w:val="auto"/>
                <w:sz w:val="24"/>
                <w:szCs w:val="24"/>
              </w:rPr>
              <w:t>应当符合《江苏省环境影响评价文件环境应急相关内容编制要点》（苏环办〔2022〕338号）等文件要求，落实好环境风险的防范、减缓措施，环境风险监控等要求。</w:t>
            </w:r>
          </w:p>
          <w:p w14:paraId="31800654">
            <w:pPr>
              <w:spacing w:line="360" w:lineRule="auto"/>
              <w:ind w:firstLine="480" w:firstLineChars="200"/>
              <w:rPr>
                <w:rFonts w:hint="eastAsia"/>
                <w:color w:val="auto"/>
                <w:sz w:val="24"/>
                <w:szCs w:val="24"/>
              </w:rPr>
            </w:pPr>
            <w:r>
              <w:rPr>
                <w:color w:val="auto"/>
                <w:sz w:val="24"/>
                <w:szCs w:val="24"/>
              </w:rPr>
              <w:t>（</w:t>
            </w:r>
            <w:r>
              <w:rPr>
                <w:rFonts w:hint="eastAsia"/>
                <w:color w:val="auto"/>
                <w:sz w:val="24"/>
                <w:szCs w:val="24"/>
                <w:lang w:val="en-US" w:eastAsia="zh-CN"/>
              </w:rPr>
              <w:t>3</w:t>
            </w:r>
            <w:r>
              <w:rPr>
                <w:color w:val="auto"/>
                <w:sz w:val="24"/>
                <w:szCs w:val="24"/>
              </w:rPr>
              <w:t>）</w:t>
            </w:r>
            <w:r>
              <w:rPr>
                <w:rFonts w:hint="eastAsia"/>
                <w:color w:val="auto"/>
                <w:sz w:val="24"/>
                <w:szCs w:val="24"/>
              </w:rPr>
              <w:t xml:space="preserve">废水事故排放防范措施 </w:t>
            </w:r>
          </w:p>
          <w:p w14:paraId="4CA752CD">
            <w:pPr>
              <w:spacing w:line="360" w:lineRule="auto"/>
              <w:ind w:firstLine="480" w:firstLineChars="200"/>
              <w:rPr>
                <w:rFonts w:hint="eastAsia"/>
                <w:color w:val="auto"/>
                <w:sz w:val="24"/>
                <w:szCs w:val="24"/>
              </w:rPr>
            </w:pPr>
            <w:r>
              <w:rPr>
                <w:rFonts w:hint="eastAsia"/>
                <w:color w:val="auto"/>
                <w:sz w:val="24"/>
                <w:szCs w:val="24"/>
              </w:rPr>
              <w:t>为杜绝事故性废水排放，建议采用以下措施确保废水污染物达标处理：</w:t>
            </w:r>
          </w:p>
          <w:p w14:paraId="62761792">
            <w:pPr>
              <w:spacing w:line="360" w:lineRule="auto"/>
              <w:ind w:firstLine="480" w:firstLineChars="200"/>
              <w:rPr>
                <w:rFonts w:hint="eastAsia"/>
                <w:color w:val="auto"/>
                <w:sz w:val="24"/>
                <w:szCs w:val="24"/>
              </w:rPr>
            </w:pPr>
            <w:r>
              <w:rPr>
                <w:rFonts w:hint="eastAsia"/>
                <w:color w:val="auto"/>
                <w:sz w:val="24"/>
                <w:szCs w:val="24"/>
              </w:rPr>
              <w:t>①平时加强污水处理站的日常维护保养，及时发现处理设备的隐患，并及时进行维修，确保污水处理站正常运行；</w:t>
            </w:r>
          </w:p>
          <w:p w14:paraId="52E05010">
            <w:pPr>
              <w:spacing w:line="360" w:lineRule="auto"/>
              <w:ind w:firstLine="480" w:firstLineChars="200"/>
              <w:rPr>
                <w:rFonts w:hint="eastAsia"/>
                <w:color w:val="auto"/>
                <w:sz w:val="24"/>
                <w:szCs w:val="24"/>
              </w:rPr>
            </w:pPr>
            <w:r>
              <w:rPr>
                <w:rFonts w:hint="eastAsia"/>
                <w:color w:val="auto"/>
                <w:sz w:val="24"/>
                <w:szCs w:val="24"/>
              </w:rPr>
              <w:t>②建立健全的环保机构，配置必要的监测仪器，对管理人员和技术人员进行岗位培训，对废水处理实行全过程跟踪控制；</w:t>
            </w:r>
          </w:p>
          <w:p w14:paraId="679AC4A6">
            <w:pPr>
              <w:spacing w:line="360" w:lineRule="auto"/>
              <w:ind w:firstLine="480" w:firstLineChars="200"/>
              <w:rPr>
                <w:rFonts w:hint="eastAsia"/>
                <w:color w:val="auto"/>
                <w:sz w:val="24"/>
                <w:szCs w:val="24"/>
              </w:rPr>
            </w:pPr>
            <w:r>
              <w:rPr>
                <w:rFonts w:hint="eastAsia"/>
                <w:color w:val="auto"/>
                <w:sz w:val="24"/>
                <w:szCs w:val="24"/>
              </w:rPr>
              <w:t>③项目对污水处理设施应定期检查，防止因治理措施故障而造成废水的事故性排放。</w:t>
            </w:r>
          </w:p>
          <w:p w14:paraId="19F4DD5E">
            <w:pPr>
              <w:spacing w:line="360" w:lineRule="auto"/>
              <w:ind w:firstLine="480" w:firstLineChars="200"/>
              <w:rPr>
                <w:color w:val="auto"/>
                <w:sz w:val="24"/>
                <w:szCs w:val="24"/>
              </w:rPr>
            </w:pPr>
            <w:r>
              <w:rPr>
                <w:rFonts w:hint="eastAsia"/>
                <w:color w:val="auto"/>
                <w:sz w:val="24"/>
                <w:szCs w:val="24"/>
              </w:rPr>
              <w:t>（</w:t>
            </w:r>
            <w:r>
              <w:rPr>
                <w:rFonts w:hint="eastAsia"/>
                <w:color w:val="auto"/>
                <w:sz w:val="24"/>
                <w:szCs w:val="24"/>
                <w:lang w:val="en-US" w:eastAsia="zh-CN"/>
              </w:rPr>
              <w:t>4</w:t>
            </w:r>
            <w:r>
              <w:rPr>
                <w:rFonts w:hint="eastAsia"/>
                <w:color w:val="auto"/>
                <w:sz w:val="24"/>
                <w:szCs w:val="24"/>
              </w:rPr>
              <w:t>）</w:t>
            </w:r>
            <w:r>
              <w:rPr>
                <w:color w:val="auto"/>
                <w:sz w:val="24"/>
                <w:szCs w:val="24"/>
              </w:rPr>
              <w:t>固废暂存及转移过程环境风险措施</w:t>
            </w:r>
          </w:p>
          <w:p w14:paraId="56EFCC00">
            <w:pPr>
              <w:spacing w:line="360" w:lineRule="auto"/>
              <w:ind w:firstLine="480" w:firstLineChars="200"/>
              <w:rPr>
                <w:color w:val="auto"/>
                <w:sz w:val="24"/>
                <w:szCs w:val="24"/>
              </w:rPr>
            </w:pPr>
            <w:r>
              <w:rPr>
                <w:color w:val="auto"/>
                <w:sz w:val="24"/>
                <w:szCs w:val="24"/>
              </w:rPr>
              <w:t>①按</w:t>
            </w:r>
            <w:r>
              <w:rPr>
                <w:rFonts w:hint="eastAsia"/>
                <w:color w:val="auto"/>
                <w:sz w:val="24"/>
                <w:szCs w:val="24"/>
              </w:rPr>
              <w:t>《危险废物贮存污染控制标准》（</w:t>
            </w:r>
            <w:r>
              <w:rPr>
                <w:color w:val="auto"/>
                <w:sz w:val="24"/>
                <w:szCs w:val="24"/>
              </w:rPr>
              <w:t>GB18597-20</w:t>
            </w:r>
            <w:r>
              <w:rPr>
                <w:rFonts w:hint="eastAsia"/>
                <w:color w:val="auto"/>
                <w:sz w:val="24"/>
                <w:szCs w:val="24"/>
              </w:rPr>
              <w:t>23）</w:t>
            </w:r>
            <w:r>
              <w:rPr>
                <w:color w:val="auto"/>
                <w:sz w:val="24"/>
                <w:szCs w:val="24"/>
              </w:rPr>
              <w:t>等要求做好地面硬化、防渗处理；</w:t>
            </w:r>
            <w:r>
              <w:rPr>
                <w:rFonts w:hint="eastAsia"/>
                <w:color w:val="auto"/>
                <w:sz w:val="24"/>
                <w:szCs w:val="24"/>
              </w:rPr>
              <w:t>根据危废种类的不同分区分包装密闭存放；</w:t>
            </w:r>
            <w:r>
              <w:rPr>
                <w:color w:val="auto"/>
                <w:sz w:val="24"/>
                <w:szCs w:val="24"/>
              </w:rPr>
              <w:t>堆放场所四周设置导流渠，防止雨水径流进入堆放场内</w:t>
            </w:r>
            <w:r>
              <w:rPr>
                <w:rFonts w:hint="eastAsia"/>
                <w:color w:val="auto"/>
                <w:sz w:val="24"/>
                <w:szCs w:val="24"/>
              </w:rPr>
              <w:t>；</w:t>
            </w:r>
          </w:p>
          <w:p w14:paraId="407BF50C">
            <w:pPr>
              <w:spacing w:line="360" w:lineRule="auto"/>
              <w:ind w:firstLine="480" w:firstLineChars="200"/>
              <w:rPr>
                <w:color w:val="auto"/>
                <w:sz w:val="24"/>
                <w:szCs w:val="24"/>
              </w:rPr>
            </w:pPr>
            <w:r>
              <w:rPr>
                <w:color w:val="auto"/>
                <w:sz w:val="24"/>
                <w:szCs w:val="24"/>
              </w:rPr>
              <w:t>②建设单位应做好危废转移申报等相关手续，需满足《关于加强危险废物交换和转移管理工作的通知》要求</w:t>
            </w:r>
            <w:r>
              <w:rPr>
                <w:rFonts w:hint="eastAsia"/>
                <w:color w:val="auto"/>
                <w:sz w:val="24"/>
                <w:szCs w:val="24"/>
              </w:rPr>
              <w:t>；</w:t>
            </w:r>
          </w:p>
          <w:p w14:paraId="26671EF5">
            <w:pPr>
              <w:spacing w:line="360" w:lineRule="auto"/>
              <w:ind w:firstLine="480" w:firstLineChars="200"/>
              <w:rPr>
                <w:color w:val="auto"/>
                <w:sz w:val="24"/>
                <w:szCs w:val="24"/>
              </w:rPr>
            </w:pPr>
            <w:r>
              <w:rPr>
                <w:color w:val="auto"/>
                <w:sz w:val="24"/>
                <w:szCs w:val="24"/>
              </w:rPr>
              <w:t>③加强对固体废弃物管理，做好跟踪管理，建立管理台</w:t>
            </w:r>
            <w:r>
              <w:rPr>
                <w:rFonts w:hint="eastAsia"/>
                <w:color w:val="auto"/>
                <w:sz w:val="24"/>
                <w:szCs w:val="24"/>
              </w:rPr>
              <w:t>账</w:t>
            </w:r>
            <w:r>
              <w:rPr>
                <w:color w:val="auto"/>
                <w:sz w:val="24"/>
                <w:szCs w:val="24"/>
              </w:rPr>
              <w:t>；在转移危险废物前，须按照国家有关规定报批危险废物转移计划</w:t>
            </w:r>
            <w:r>
              <w:rPr>
                <w:rFonts w:hint="eastAsia"/>
                <w:color w:val="auto"/>
                <w:sz w:val="24"/>
                <w:szCs w:val="24"/>
              </w:rPr>
              <w:t>；</w:t>
            </w:r>
          </w:p>
          <w:p w14:paraId="486FA570">
            <w:pPr>
              <w:adjustRightInd w:val="0"/>
              <w:snapToGrid w:val="0"/>
              <w:spacing w:line="360" w:lineRule="auto"/>
              <w:ind w:firstLine="480" w:firstLineChars="200"/>
              <w:rPr>
                <w:color w:val="auto"/>
                <w:sz w:val="24"/>
                <w:szCs w:val="24"/>
              </w:rPr>
            </w:pPr>
            <w:r>
              <w:rPr>
                <w:color w:val="auto"/>
                <w:sz w:val="24"/>
                <w:szCs w:val="24"/>
              </w:rPr>
              <w:t>④危险废物委托处置单位应具备相应的资质，运输车辆须经主管单位检查，并持有有关单位签发的许可证，承载危险废物的车辆须有明显的标志</w:t>
            </w:r>
            <w:r>
              <w:rPr>
                <w:rFonts w:hint="eastAsia"/>
                <w:color w:val="auto"/>
                <w:sz w:val="24"/>
                <w:szCs w:val="24"/>
              </w:rPr>
              <w:t>；</w:t>
            </w:r>
          </w:p>
          <w:p w14:paraId="0850FA3A">
            <w:pPr>
              <w:adjustRightInd w:val="0"/>
              <w:snapToGrid w:val="0"/>
              <w:spacing w:line="360" w:lineRule="auto"/>
              <w:ind w:firstLine="480" w:firstLineChars="200"/>
              <w:rPr>
                <w:color w:val="auto"/>
                <w:sz w:val="24"/>
                <w:szCs w:val="24"/>
              </w:rPr>
            </w:pPr>
            <w:r>
              <w:rPr>
                <w:rFonts w:hint="eastAsia"/>
                <w:color w:val="auto"/>
                <w:sz w:val="24"/>
                <w:szCs w:val="24"/>
                <w:lang w:val="en-US" w:eastAsia="zh-CN"/>
              </w:rPr>
              <w:t>⑤</w:t>
            </w:r>
            <w:r>
              <w:rPr>
                <w:rFonts w:hint="eastAsia"/>
                <w:color w:val="auto"/>
                <w:sz w:val="24"/>
                <w:szCs w:val="24"/>
              </w:rPr>
              <w:t>应当符合《关于做好生态环境和应急管理部门联动工作的意见》（苏环办〔2020〕101号）等文件要求，落实好危险废物产生、收集、贮存、运输、利用、处置等环节各项环保和安全责任、规范贮存、处置危险废物等要求。</w:t>
            </w:r>
          </w:p>
          <w:p w14:paraId="06367978">
            <w:pPr>
              <w:spacing w:line="360" w:lineRule="auto"/>
              <w:ind w:firstLine="480" w:firstLineChars="200"/>
              <w:rPr>
                <w:color w:val="auto"/>
                <w:sz w:val="24"/>
                <w:szCs w:val="24"/>
              </w:rPr>
            </w:pPr>
            <w:r>
              <w:rPr>
                <w:rFonts w:hint="eastAsia"/>
                <w:color w:val="auto"/>
                <w:sz w:val="24"/>
                <w:szCs w:val="24"/>
              </w:rPr>
              <w:t>（</w:t>
            </w:r>
            <w:r>
              <w:rPr>
                <w:rFonts w:hint="eastAsia"/>
                <w:color w:val="auto"/>
                <w:sz w:val="24"/>
                <w:szCs w:val="24"/>
                <w:lang w:val="en-US" w:eastAsia="zh-CN"/>
              </w:rPr>
              <w:t>5</w:t>
            </w:r>
            <w:r>
              <w:rPr>
                <w:rFonts w:hint="eastAsia"/>
                <w:color w:val="auto"/>
                <w:sz w:val="24"/>
                <w:szCs w:val="24"/>
              </w:rPr>
              <w:t>）</w:t>
            </w:r>
            <w:r>
              <w:rPr>
                <w:color w:val="auto"/>
                <w:sz w:val="24"/>
                <w:szCs w:val="24"/>
              </w:rPr>
              <w:t>火灾及爆炸防范措施</w:t>
            </w:r>
          </w:p>
          <w:p w14:paraId="57187C27">
            <w:pPr>
              <w:spacing w:line="360" w:lineRule="auto"/>
              <w:ind w:firstLine="480" w:firstLineChars="200"/>
              <w:rPr>
                <w:color w:val="auto"/>
                <w:sz w:val="24"/>
                <w:szCs w:val="24"/>
              </w:rPr>
            </w:pPr>
            <w:r>
              <w:rPr>
                <w:color w:val="auto"/>
                <w:sz w:val="24"/>
                <w:szCs w:val="24"/>
              </w:rPr>
              <w:t>①工作时严禁吸烟，携带火种，穿带钉皮鞋等进入易燃易爆区。</w:t>
            </w:r>
          </w:p>
          <w:p w14:paraId="43CFF187">
            <w:pPr>
              <w:spacing w:line="360" w:lineRule="auto"/>
              <w:ind w:firstLine="480" w:firstLineChars="200"/>
              <w:rPr>
                <w:color w:val="auto"/>
                <w:sz w:val="24"/>
                <w:szCs w:val="24"/>
              </w:rPr>
            </w:pPr>
            <w:r>
              <w:rPr>
                <w:color w:val="auto"/>
                <w:sz w:val="24"/>
                <w:szCs w:val="24"/>
              </w:rPr>
              <w:t>②动火必须按动火手续办理动火证，采取有效的防范措施。</w:t>
            </w:r>
          </w:p>
          <w:p w14:paraId="672EB812">
            <w:pPr>
              <w:spacing w:line="360" w:lineRule="auto"/>
              <w:ind w:firstLine="480" w:firstLineChars="200"/>
              <w:rPr>
                <w:color w:val="auto"/>
                <w:sz w:val="24"/>
                <w:szCs w:val="24"/>
              </w:rPr>
            </w:pPr>
            <w:r>
              <w:rPr>
                <w:color w:val="auto"/>
                <w:sz w:val="24"/>
                <w:szCs w:val="24"/>
              </w:rPr>
              <w:t>③使用防爆型电器。</w:t>
            </w:r>
          </w:p>
          <w:p w14:paraId="5954039D">
            <w:pPr>
              <w:spacing w:line="360" w:lineRule="auto"/>
              <w:ind w:firstLine="480" w:firstLineChars="200"/>
              <w:rPr>
                <w:color w:val="auto"/>
                <w:sz w:val="24"/>
                <w:szCs w:val="24"/>
              </w:rPr>
            </w:pPr>
            <w:r>
              <w:rPr>
                <w:color w:val="auto"/>
                <w:sz w:val="24"/>
                <w:szCs w:val="24"/>
              </w:rPr>
              <w:t>④严禁钢制工具敲打、撞击、抛掷。</w:t>
            </w:r>
          </w:p>
          <w:p w14:paraId="49BBB88A">
            <w:pPr>
              <w:spacing w:line="360" w:lineRule="auto"/>
              <w:ind w:firstLine="480" w:firstLineChars="200"/>
              <w:rPr>
                <w:color w:val="auto"/>
                <w:sz w:val="24"/>
                <w:szCs w:val="24"/>
              </w:rPr>
            </w:pPr>
            <w:r>
              <w:rPr>
                <w:color w:val="auto"/>
                <w:sz w:val="24"/>
                <w:szCs w:val="24"/>
              </w:rPr>
              <w:t>⑤安装避雷装置。</w:t>
            </w:r>
          </w:p>
          <w:p w14:paraId="54098480">
            <w:pPr>
              <w:spacing w:line="360" w:lineRule="auto"/>
              <w:ind w:firstLine="480" w:firstLineChars="200"/>
              <w:rPr>
                <w:color w:val="auto"/>
                <w:sz w:val="24"/>
                <w:szCs w:val="24"/>
              </w:rPr>
            </w:pPr>
            <w:r>
              <w:rPr>
                <w:color w:val="auto"/>
                <w:sz w:val="24"/>
                <w:szCs w:val="24"/>
              </w:rPr>
              <w:t>⑥运输要请专门的，有资质的运输单位，运用专用的设备进行运输。</w:t>
            </w:r>
          </w:p>
          <w:p w14:paraId="6D7EA1DB">
            <w:pPr>
              <w:spacing w:line="360" w:lineRule="auto"/>
              <w:ind w:firstLine="480" w:firstLineChars="200"/>
              <w:rPr>
                <w:color w:val="auto"/>
                <w:sz w:val="24"/>
                <w:szCs w:val="24"/>
              </w:rPr>
            </w:pPr>
            <w:r>
              <w:rPr>
                <w:color w:val="auto"/>
                <w:sz w:val="24"/>
                <w:szCs w:val="24"/>
              </w:rPr>
              <w:t>⑦遵守各项规章制度和操作规程，严格执行岗位责任制。</w:t>
            </w:r>
          </w:p>
          <w:p w14:paraId="64B47B2E">
            <w:pPr>
              <w:spacing w:line="360" w:lineRule="auto"/>
              <w:ind w:firstLine="480" w:firstLineChars="200"/>
              <w:rPr>
                <w:color w:val="auto"/>
                <w:sz w:val="24"/>
                <w:szCs w:val="24"/>
              </w:rPr>
            </w:pPr>
            <w:r>
              <w:rPr>
                <w:color w:val="auto"/>
                <w:sz w:val="24"/>
                <w:szCs w:val="24"/>
              </w:rPr>
              <w:t>⑧加强培训教育和考核工作。</w:t>
            </w:r>
          </w:p>
          <w:p w14:paraId="7AEEFFD7">
            <w:pPr>
              <w:spacing w:line="360" w:lineRule="auto"/>
              <w:ind w:firstLine="480" w:firstLineChars="200"/>
              <w:rPr>
                <w:color w:val="auto"/>
                <w:sz w:val="24"/>
                <w:szCs w:val="24"/>
              </w:rPr>
            </w:pPr>
            <w:r>
              <w:rPr>
                <w:color w:val="auto"/>
                <w:sz w:val="24"/>
                <w:szCs w:val="24"/>
              </w:rPr>
              <w:t>⑨企业根据火灾危险性等级和防火、防爆要求建设，配备消防水枪、灭火器、防毒设备等应急物资、消防设备，消防设施要保持完好。</w:t>
            </w:r>
          </w:p>
          <w:p w14:paraId="2101A739">
            <w:pPr>
              <w:spacing w:line="360" w:lineRule="auto"/>
              <w:ind w:firstLine="480" w:firstLineChars="200"/>
              <w:rPr>
                <w:color w:val="auto"/>
                <w:sz w:val="24"/>
                <w:szCs w:val="24"/>
              </w:rPr>
            </w:pPr>
            <w:r>
              <w:rPr>
                <w:color w:val="auto"/>
                <w:sz w:val="24"/>
                <w:szCs w:val="24"/>
              </w:rPr>
              <w:t>⑩要正确佩戴相应的劳防用品和正确使用防毒过滤器等防护工具。搬运时轻装轻卸，防止包装破损。</w:t>
            </w:r>
          </w:p>
          <w:p w14:paraId="5B446386">
            <w:pPr>
              <w:spacing w:line="360" w:lineRule="auto"/>
              <w:ind w:firstLine="480" w:firstLineChars="200"/>
              <w:rPr>
                <w:rFonts w:hint="eastAsia"/>
                <w:color w:val="auto"/>
                <w:sz w:val="24"/>
                <w:szCs w:val="24"/>
              </w:rPr>
            </w:pPr>
            <w:r>
              <w:rPr>
                <w:rFonts w:hint="eastAsia"/>
                <w:color w:val="auto"/>
                <w:sz w:val="24"/>
                <w:szCs w:val="24"/>
                <w:lang w:val="en-US" w:eastAsia="zh-CN"/>
              </w:rPr>
              <w:t>（6）</w:t>
            </w:r>
            <w:r>
              <w:rPr>
                <w:rFonts w:hint="eastAsia"/>
                <w:color w:val="auto"/>
                <w:sz w:val="24"/>
                <w:szCs w:val="24"/>
              </w:rPr>
              <w:t>加热炉风险防范措施</w:t>
            </w:r>
          </w:p>
          <w:p w14:paraId="40147A6D">
            <w:pPr>
              <w:spacing w:line="360" w:lineRule="auto"/>
              <w:ind w:firstLine="480" w:firstLineChars="200"/>
              <w:rPr>
                <w:rFonts w:hint="eastAsia"/>
                <w:color w:val="auto"/>
                <w:sz w:val="24"/>
                <w:szCs w:val="24"/>
              </w:rPr>
            </w:pPr>
            <w:r>
              <w:rPr>
                <w:rFonts w:hint="eastAsia"/>
                <w:color w:val="auto"/>
                <w:sz w:val="24"/>
                <w:szCs w:val="24"/>
              </w:rPr>
              <w:t>①安装防火设施：加热炉应设置火灾报警装置和隔离器具等防火设施，及时排除隐患。</w:t>
            </w:r>
          </w:p>
          <w:p w14:paraId="1F57CC56">
            <w:pPr>
              <w:spacing w:line="360" w:lineRule="auto"/>
              <w:ind w:firstLine="480" w:firstLineChars="200"/>
              <w:rPr>
                <w:rFonts w:hint="eastAsia"/>
                <w:color w:val="auto"/>
                <w:sz w:val="24"/>
                <w:szCs w:val="24"/>
              </w:rPr>
            </w:pPr>
            <w:r>
              <w:rPr>
                <w:rFonts w:hint="eastAsia"/>
                <w:color w:val="auto"/>
                <w:sz w:val="24"/>
                <w:szCs w:val="24"/>
              </w:rPr>
              <w:t>②定期维护：加热炉需要定期更换加热元件和维护内部灰尘，防止阻塞造成设备过载，同时需要对设备进行清洗和保养。</w:t>
            </w:r>
          </w:p>
          <w:p w14:paraId="083817E3">
            <w:pPr>
              <w:spacing w:line="360" w:lineRule="auto"/>
              <w:ind w:firstLine="480" w:firstLineChars="200"/>
              <w:rPr>
                <w:rFonts w:hint="eastAsia"/>
                <w:color w:val="auto"/>
                <w:sz w:val="24"/>
                <w:szCs w:val="24"/>
              </w:rPr>
            </w:pPr>
            <w:r>
              <w:rPr>
                <w:rFonts w:hint="eastAsia"/>
                <w:color w:val="auto"/>
                <w:sz w:val="24"/>
                <w:szCs w:val="24"/>
              </w:rPr>
              <w:t>③加强操作培训：对操作人员进行全面系统培训，包括原理、安全使用注意事项等，并在操作过程中设置操作提示。</w:t>
            </w:r>
          </w:p>
          <w:p w14:paraId="4F10170D">
            <w:pPr>
              <w:spacing w:line="360" w:lineRule="auto"/>
              <w:ind w:firstLine="480" w:firstLineChars="200"/>
              <w:rPr>
                <w:rFonts w:hint="eastAsia"/>
                <w:color w:val="auto"/>
                <w:sz w:val="24"/>
                <w:szCs w:val="24"/>
              </w:rPr>
            </w:pPr>
            <w:r>
              <w:rPr>
                <w:rFonts w:hint="eastAsia"/>
                <w:color w:val="auto"/>
                <w:sz w:val="24"/>
                <w:szCs w:val="24"/>
              </w:rPr>
              <w:t>④强化安全意识：相关工作人员应定期进行安全培训，提高安全意识，明确操作规范，做好紧急事件应对预案。</w:t>
            </w:r>
          </w:p>
          <w:p w14:paraId="55E95126">
            <w:pPr>
              <w:spacing w:line="360" w:lineRule="auto"/>
              <w:ind w:firstLine="480" w:firstLineChars="200"/>
              <w:rPr>
                <w:rFonts w:hint="eastAsia"/>
                <w:color w:val="auto"/>
                <w:sz w:val="24"/>
                <w:szCs w:val="24"/>
              </w:rPr>
            </w:pPr>
            <w:r>
              <w:rPr>
                <w:rFonts w:hint="eastAsia"/>
                <w:color w:val="auto"/>
                <w:sz w:val="24"/>
                <w:szCs w:val="24"/>
              </w:rPr>
              <w:t>⑤严格电气安全管理：对加热炉的电气线路进行定期检查和维护，保持电气线路畅通，并配备有效的电气保护装置。</w:t>
            </w:r>
          </w:p>
          <w:p w14:paraId="669F5402">
            <w:pPr>
              <w:spacing w:line="360" w:lineRule="auto"/>
              <w:ind w:firstLine="480" w:firstLineChars="200"/>
              <w:rPr>
                <w:rFonts w:hint="eastAsia"/>
                <w:color w:val="auto"/>
                <w:sz w:val="24"/>
                <w:szCs w:val="24"/>
              </w:rPr>
            </w:pPr>
            <w:r>
              <w:rPr>
                <w:rFonts w:hint="eastAsia"/>
                <w:color w:val="auto"/>
                <w:sz w:val="24"/>
                <w:szCs w:val="24"/>
              </w:rPr>
              <w:t>⑥安装视频监控系统，对加热炉进行实时监控，在值班室监控器上能及时掌握设备的运行情况，提高安全性。</w:t>
            </w:r>
          </w:p>
          <w:p w14:paraId="1727B55E">
            <w:pPr>
              <w:spacing w:line="360" w:lineRule="auto"/>
              <w:ind w:firstLine="480" w:firstLineChars="200"/>
              <w:rPr>
                <w:rFonts w:hint="eastAsia"/>
                <w:color w:val="auto"/>
                <w:sz w:val="24"/>
                <w:szCs w:val="24"/>
              </w:rPr>
            </w:pPr>
            <w:r>
              <w:rPr>
                <w:rFonts w:hint="eastAsia"/>
                <w:color w:val="auto"/>
                <w:sz w:val="24"/>
                <w:szCs w:val="24"/>
              </w:rPr>
              <w:t>（</w:t>
            </w:r>
            <w:r>
              <w:rPr>
                <w:rFonts w:hint="eastAsia"/>
                <w:color w:val="auto"/>
                <w:sz w:val="24"/>
                <w:szCs w:val="24"/>
                <w:lang w:val="en-US" w:eastAsia="zh-CN"/>
              </w:rPr>
              <w:t>7</w:t>
            </w:r>
            <w:r>
              <w:rPr>
                <w:rFonts w:hint="eastAsia"/>
                <w:color w:val="auto"/>
                <w:sz w:val="24"/>
                <w:szCs w:val="24"/>
              </w:rPr>
              <w:t>）粉尘风险防范措施</w:t>
            </w:r>
          </w:p>
          <w:p w14:paraId="7AA51B29">
            <w:pPr>
              <w:spacing w:line="360" w:lineRule="auto"/>
              <w:ind w:firstLine="480" w:firstLineChars="200"/>
              <w:rPr>
                <w:rFonts w:hint="eastAsia"/>
                <w:color w:val="auto"/>
                <w:sz w:val="24"/>
                <w:szCs w:val="24"/>
              </w:rPr>
            </w:pPr>
            <w:r>
              <w:rPr>
                <w:rFonts w:hint="eastAsia"/>
                <w:color w:val="auto"/>
                <w:sz w:val="24"/>
                <w:szCs w:val="24"/>
              </w:rPr>
              <w:t>①企业针对实际情况普及粉尘防爆知识，吸取国内外同行业粉尘爆炸事故教训，使员工了解本企业可燃性粉尘爆炸危险场所和危险程度，并掌握其防爆措施；完善粉尘防爆应急现场处置方案，提高员工安全专业知识和应急处置能力；同时完善相关安全管理规章制度，建立粉尘防爆工作的长效机制。</w:t>
            </w:r>
          </w:p>
          <w:p w14:paraId="3BA016D3">
            <w:pPr>
              <w:spacing w:line="360" w:lineRule="auto"/>
              <w:ind w:firstLine="480" w:firstLineChars="200"/>
              <w:rPr>
                <w:rFonts w:hint="eastAsia"/>
                <w:color w:val="auto"/>
                <w:sz w:val="24"/>
                <w:szCs w:val="24"/>
              </w:rPr>
            </w:pPr>
            <w:r>
              <w:rPr>
                <w:rFonts w:hint="eastAsia"/>
                <w:color w:val="auto"/>
                <w:sz w:val="24"/>
                <w:szCs w:val="24"/>
              </w:rPr>
              <w:t>②安装有产生可燃性粉尘的工艺设备、除尘设备的车间或存在可燃性粉尘的建(构)筑物，应按照有关标准规定与其他建(构)筑物保持适当的防火距离。</w:t>
            </w:r>
          </w:p>
          <w:p w14:paraId="3E948685">
            <w:pPr>
              <w:spacing w:line="360" w:lineRule="auto"/>
              <w:ind w:firstLine="480" w:firstLineChars="200"/>
              <w:rPr>
                <w:rFonts w:hint="eastAsia"/>
                <w:color w:val="auto"/>
                <w:sz w:val="24"/>
                <w:szCs w:val="24"/>
              </w:rPr>
            </w:pPr>
            <w:r>
              <w:rPr>
                <w:rFonts w:hint="eastAsia"/>
                <w:color w:val="auto"/>
                <w:sz w:val="24"/>
                <w:szCs w:val="24"/>
              </w:rPr>
              <w:t>③粉尘爆炸危险场所严禁各类明火，在粉尘爆炸危险场所进行动火作业前，办理动火审批，清扫动火场所积尘，同时停止产生粉尘的作业，同时采取相应防护措施。检修时应当使用防爆工具，不得敲击各金属部件。</w:t>
            </w:r>
          </w:p>
          <w:p w14:paraId="76858E79">
            <w:pPr>
              <w:spacing w:line="360" w:lineRule="auto"/>
              <w:ind w:firstLine="480" w:firstLineChars="200"/>
              <w:rPr>
                <w:rFonts w:hint="eastAsia"/>
                <w:color w:val="auto"/>
                <w:sz w:val="24"/>
                <w:szCs w:val="24"/>
              </w:rPr>
            </w:pPr>
            <w:r>
              <w:rPr>
                <w:rFonts w:hint="eastAsia"/>
                <w:color w:val="auto"/>
                <w:sz w:val="24"/>
                <w:szCs w:val="24"/>
              </w:rPr>
              <w:t>④存在可燃性粉尘车间的电器线路采用镀锌钢管套管保护，设备接地可靠、电源采取防爆措施；严禁乱拉私接临时电线，电气线路符合行业标准。</w:t>
            </w:r>
          </w:p>
          <w:p w14:paraId="7498DA6D">
            <w:pPr>
              <w:spacing w:line="360" w:lineRule="auto"/>
              <w:ind w:firstLine="480" w:firstLineChars="200"/>
              <w:rPr>
                <w:color w:val="auto"/>
                <w:sz w:val="24"/>
                <w:szCs w:val="24"/>
              </w:rPr>
            </w:pPr>
            <w:r>
              <w:rPr>
                <w:rFonts w:hint="eastAsia"/>
                <w:color w:val="auto"/>
                <w:sz w:val="24"/>
                <w:szCs w:val="24"/>
              </w:rPr>
              <w:t>（</w:t>
            </w:r>
            <w:r>
              <w:rPr>
                <w:rFonts w:hint="eastAsia"/>
                <w:color w:val="auto"/>
                <w:sz w:val="24"/>
                <w:szCs w:val="24"/>
                <w:lang w:val="en-US" w:eastAsia="zh-CN"/>
              </w:rPr>
              <w:t>8</w:t>
            </w:r>
            <w:r>
              <w:rPr>
                <w:rFonts w:hint="eastAsia"/>
                <w:color w:val="auto"/>
                <w:sz w:val="24"/>
                <w:szCs w:val="24"/>
              </w:rPr>
              <w:t>）废水事故排放防范措施</w:t>
            </w:r>
          </w:p>
          <w:p w14:paraId="1103A153">
            <w:pPr>
              <w:spacing w:line="360" w:lineRule="auto"/>
              <w:ind w:firstLine="480" w:firstLineChars="200"/>
              <w:rPr>
                <w:color w:val="auto"/>
                <w:sz w:val="24"/>
                <w:szCs w:val="24"/>
              </w:rPr>
            </w:pPr>
            <w:r>
              <w:rPr>
                <w:rFonts w:hint="eastAsia"/>
                <w:color w:val="auto"/>
                <w:sz w:val="24"/>
                <w:szCs w:val="24"/>
              </w:rPr>
              <w:t>发生火灾时，为迅速控制火势，消防设施用水进行灭火，将产生消防废水。根据</w:t>
            </w:r>
            <w:r>
              <w:rPr>
                <w:color w:val="auto"/>
                <w:sz w:val="24"/>
                <w:szCs w:val="24"/>
              </w:rPr>
              <w:t>《石化企业水体环境风险防控技术要求》（</w:t>
            </w:r>
            <w:r>
              <w:rPr>
                <w:rFonts w:hint="eastAsia"/>
                <w:color w:val="auto"/>
                <w:sz w:val="24"/>
                <w:szCs w:val="24"/>
              </w:rPr>
              <w:t>Q/SH 0729-2018</w:t>
            </w:r>
            <w:r>
              <w:rPr>
                <w:color w:val="auto"/>
                <w:sz w:val="24"/>
                <w:szCs w:val="24"/>
              </w:rPr>
              <w:t>）</w:t>
            </w:r>
            <w:r>
              <w:rPr>
                <w:rFonts w:hint="eastAsia"/>
                <w:color w:val="auto"/>
                <w:sz w:val="24"/>
                <w:szCs w:val="24"/>
              </w:rPr>
              <w:t>，事故应急池总有效容积：</w:t>
            </w:r>
          </w:p>
          <w:p w14:paraId="3A77894E">
            <w:pPr>
              <w:spacing w:line="360" w:lineRule="auto"/>
              <w:ind w:firstLine="480" w:firstLineChars="200"/>
              <w:jc w:val="center"/>
              <w:rPr>
                <w:color w:val="auto"/>
                <w:sz w:val="24"/>
                <w:szCs w:val="24"/>
              </w:rPr>
            </w:pPr>
            <w:r>
              <w:rPr>
                <w:rFonts w:hint="eastAsia"/>
                <w:color w:val="auto"/>
                <w:sz w:val="24"/>
                <w:szCs w:val="24"/>
              </w:rPr>
              <w:t>V</w:t>
            </w:r>
            <w:r>
              <w:rPr>
                <w:rFonts w:hint="eastAsia"/>
                <w:color w:val="auto"/>
                <w:sz w:val="24"/>
                <w:szCs w:val="24"/>
                <w:vertAlign w:val="subscript"/>
              </w:rPr>
              <w:t>总</w:t>
            </w:r>
            <w:r>
              <w:rPr>
                <w:rFonts w:hint="eastAsia"/>
                <w:color w:val="auto"/>
                <w:sz w:val="24"/>
                <w:szCs w:val="24"/>
              </w:rPr>
              <w:t>=(V1+V2-V3)max +V4+V5</w:t>
            </w:r>
          </w:p>
          <w:p w14:paraId="6DB9F668">
            <w:pPr>
              <w:spacing w:line="360" w:lineRule="auto"/>
              <w:ind w:firstLine="480" w:firstLineChars="200"/>
              <w:rPr>
                <w:color w:val="auto"/>
                <w:sz w:val="24"/>
                <w:szCs w:val="24"/>
              </w:rPr>
            </w:pPr>
            <w:r>
              <w:rPr>
                <w:rFonts w:hint="eastAsia"/>
                <w:color w:val="auto"/>
                <w:sz w:val="24"/>
                <w:szCs w:val="24"/>
              </w:rPr>
              <w:t>注：(V1+ V2-V3)max</w:t>
            </w:r>
            <w:r>
              <w:rPr>
                <w:rFonts w:eastAsia="Times New Roman"/>
                <w:color w:val="auto"/>
                <w:sz w:val="24"/>
                <w:szCs w:val="24"/>
                <w:lang w:val="zh-CN"/>
              </w:rPr>
              <w:t>对收集系统范围内不同罐组或装置分别计算</w:t>
            </w:r>
            <w:r>
              <w:rPr>
                <w:rFonts w:hint="eastAsia"/>
                <w:color w:val="auto"/>
                <w:sz w:val="24"/>
                <w:szCs w:val="24"/>
              </w:rPr>
              <w:t>V1+V2-V3，取其中最大值。</w:t>
            </w:r>
          </w:p>
          <w:p w14:paraId="341BE93F">
            <w:pPr>
              <w:spacing w:line="360" w:lineRule="auto"/>
              <w:ind w:firstLine="480" w:firstLineChars="200"/>
              <w:rPr>
                <w:color w:val="auto"/>
                <w:sz w:val="24"/>
                <w:szCs w:val="24"/>
              </w:rPr>
            </w:pPr>
            <w:r>
              <w:rPr>
                <w:rFonts w:hint="eastAsia"/>
                <w:color w:val="auto"/>
                <w:sz w:val="24"/>
                <w:szCs w:val="24"/>
              </w:rPr>
              <w:t>V</w:t>
            </w:r>
            <w:r>
              <w:rPr>
                <w:rFonts w:hint="eastAsia"/>
                <w:color w:val="auto"/>
                <w:sz w:val="24"/>
                <w:szCs w:val="24"/>
                <w:vertAlign w:val="subscript"/>
              </w:rPr>
              <w:t>总</w:t>
            </w:r>
            <w:r>
              <w:rPr>
                <w:rFonts w:hint="eastAsia"/>
                <w:color w:val="auto"/>
                <w:sz w:val="24"/>
                <w:szCs w:val="24"/>
              </w:rPr>
              <w:t>—事故排水储存设施总有效容积（即事故排水总量），m</w:t>
            </w:r>
            <w:r>
              <w:rPr>
                <w:rFonts w:hint="eastAsia"/>
                <w:color w:val="auto"/>
                <w:sz w:val="24"/>
                <w:szCs w:val="24"/>
                <w:vertAlign w:val="superscript"/>
              </w:rPr>
              <w:t>3</w:t>
            </w:r>
            <w:r>
              <w:rPr>
                <w:rFonts w:hint="eastAsia"/>
                <w:color w:val="auto"/>
                <w:sz w:val="24"/>
                <w:szCs w:val="24"/>
              </w:rPr>
              <w:t>。</w:t>
            </w:r>
          </w:p>
          <w:p w14:paraId="11B84E41">
            <w:pPr>
              <w:spacing w:line="360" w:lineRule="auto"/>
              <w:ind w:firstLine="480" w:firstLineChars="200"/>
              <w:rPr>
                <w:color w:val="auto"/>
                <w:sz w:val="24"/>
                <w:szCs w:val="24"/>
              </w:rPr>
            </w:pPr>
            <w:r>
              <w:rPr>
                <w:rFonts w:hint="eastAsia"/>
                <w:color w:val="auto"/>
                <w:sz w:val="24"/>
                <w:szCs w:val="24"/>
              </w:rPr>
              <w:t>V1—</w:t>
            </w:r>
            <w:r>
              <w:rPr>
                <w:rFonts w:eastAsia="Times New Roman"/>
                <w:color w:val="auto"/>
                <w:sz w:val="24"/>
                <w:szCs w:val="24"/>
                <w:lang w:val="zh-CN"/>
              </w:rPr>
              <w:t>收集系统范围内发生事故的一个罐组或一套装置的物料量</w:t>
            </w:r>
            <w:r>
              <w:rPr>
                <w:rFonts w:hint="eastAsia" w:eastAsia="Times New Roman"/>
                <w:color w:val="auto"/>
                <w:sz w:val="24"/>
                <w:szCs w:val="24"/>
                <w:lang w:val="zh-CN"/>
              </w:rPr>
              <w:t>，</w:t>
            </w:r>
            <w:r>
              <w:rPr>
                <w:rFonts w:eastAsia="Times New Roman"/>
                <w:color w:val="auto"/>
                <w:sz w:val="24"/>
                <w:szCs w:val="24"/>
                <w:lang w:val="zh-CN"/>
              </w:rPr>
              <w:t>m</w:t>
            </w:r>
            <w:r>
              <w:rPr>
                <w:rFonts w:hint="eastAsia"/>
                <w:color w:val="auto"/>
                <w:sz w:val="24"/>
                <w:szCs w:val="24"/>
                <w:vertAlign w:val="superscript"/>
              </w:rPr>
              <w:t>3</w:t>
            </w:r>
            <w:r>
              <w:rPr>
                <w:rFonts w:eastAsia="Times New Roman"/>
                <w:color w:val="auto"/>
                <w:sz w:val="24"/>
                <w:szCs w:val="24"/>
                <w:lang w:val="zh-CN"/>
              </w:rPr>
              <w:t>；储存相同物料的罐组按一个最大储罐计，装置物料量按存留最大物料量的一台反应（塔）器或中间储罐计</w:t>
            </w:r>
            <w:r>
              <w:rPr>
                <w:rFonts w:hint="eastAsia"/>
                <w:color w:val="auto"/>
                <w:sz w:val="24"/>
                <w:szCs w:val="24"/>
              </w:rPr>
              <w:t>；本项目按照</w:t>
            </w:r>
            <w:r>
              <w:rPr>
                <w:rFonts w:hint="eastAsia"/>
                <w:color w:val="auto"/>
                <w:sz w:val="24"/>
                <w:szCs w:val="24"/>
                <w:lang w:val="en-US" w:eastAsia="zh-CN"/>
              </w:rPr>
              <w:t>1桶废润滑油</w:t>
            </w:r>
            <w:r>
              <w:rPr>
                <w:rFonts w:hint="eastAsia"/>
                <w:color w:val="auto"/>
                <w:sz w:val="24"/>
                <w:szCs w:val="24"/>
              </w:rPr>
              <w:t>完全泄漏计，故V1=</w:t>
            </w:r>
            <w:r>
              <w:rPr>
                <w:rFonts w:hint="eastAsia"/>
                <w:color w:val="auto"/>
                <w:sz w:val="24"/>
                <w:szCs w:val="24"/>
                <w:lang w:val="en-US" w:eastAsia="zh-CN"/>
              </w:rPr>
              <w:t>1</w:t>
            </w:r>
            <w:r>
              <w:rPr>
                <w:rFonts w:hint="eastAsia"/>
                <w:color w:val="auto"/>
                <w:sz w:val="24"/>
                <w:szCs w:val="24"/>
              </w:rPr>
              <w:t>m</w:t>
            </w:r>
            <w:r>
              <w:rPr>
                <w:rFonts w:hint="eastAsia"/>
                <w:color w:val="auto"/>
                <w:sz w:val="24"/>
                <w:szCs w:val="24"/>
                <w:vertAlign w:val="superscript"/>
              </w:rPr>
              <w:t>3</w:t>
            </w:r>
            <w:r>
              <w:rPr>
                <w:rFonts w:hint="eastAsia"/>
                <w:color w:val="auto"/>
                <w:sz w:val="24"/>
                <w:szCs w:val="24"/>
              </w:rPr>
              <w:t>。</w:t>
            </w:r>
          </w:p>
          <w:p w14:paraId="13C6C6D5">
            <w:pPr>
              <w:spacing w:line="360" w:lineRule="auto"/>
              <w:ind w:firstLine="480" w:firstLineChars="200"/>
              <w:rPr>
                <w:rFonts w:hint="eastAsia"/>
                <w:color w:val="auto"/>
                <w:sz w:val="24"/>
                <w:szCs w:val="24"/>
              </w:rPr>
            </w:pPr>
            <w:r>
              <w:rPr>
                <w:rFonts w:hint="eastAsia"/>
                <w:color w:val="auto"/>
                <w:sz w:val="24"/>
                <w:szCs w:val="24"/>
              </w:rPr>
              <w:t>V2—</w:t>
            </w:r>
            <w:r>
              <w:rPr>
                <w:color w:val="auto"/>
                <w:sz w:val="24"/>
                <w:szCs w:val="24"/>
                <w:lang w:val="zh-CN"/>
              </w:rPr>
              <w:t>火灾延续时间内，事故发生区域范围内的消防用水量</w:t>
            </w:r>
            <w:r>
              <w:rPr>
                <w:rFonts w:hint="eastAsia"/>
                <w:color w:val="auto"/>
                <w:sz w:val="24"/>
                <w:szCs w:val="24"/>
              </w:rPr>
              <w:t>，m</w:t>
            </w:r>
            <w:r>
              <w:rPr>
                <w:rFonts w:hint="eastAsia"/>
                <w:color w:val="auto"/>
                <w:sz w:val="24"/>
                <w:szCs w:val="24"/>
                <w:vertAlign w:val="superscript"/>
              </w:rPr>
              <w:t>3</w:t>
            </w:r>
            <w:r>
              <w:rPr>
                <w:rFonts w:hint="eastAsia"/>
                <w:color w:val="auto"/>
                <w:sz w:val="24"/>
                <w:szCs w:val="24"/>
              </w:rPr>
              <w:t>；本项目属于二级耐火等级，</w:t>
            </w:r>
            <w:r>
              <w:rPr>
                <w:rFonts w:hint="eastAsia"/>
                <w:color w:val="auto"/>
                <w:sz w:val="24"/>
                <w:szCs w:val="24"/>
                <w:lang w:val="en-US" w:eastAsia="zh-CN"/>
              </w:rPr>
              <w:t>戊</w:t>
            </w:r>
            <w:r>
              <w:rPr>
                <w:rFonts w:hint="eastAsia"/>
                <w:color w:val="auto"/>
                <w:sz w:val="24"/>
                <w:szCs w:val="24"/>
              </w:rPr>
              <w:t>类厂房，建筑体积</w:t>
            </w:r>
            <w:r>
              <w:rPr>
                <w:rFonts w:hint="eastAsia"/>
                <w:color w:val="auto"/>
                <w:sz w:val="24"/>
                <w:szCs w:val="24"/>
                <w:lang w:val="en-US" w:eastAsia="zh-CN"/>
              </w:rPr>
              <w:t>大</w:t>
            </w:r>
            <w:r>
              <w:rPr>
                <w:rFonts w:hint="eastAsia"/>
                <w:color w:val="auto"/>
                <w:sz w:val="24"/>
                <w:szCs w:val="24"/>
              </w:rPr>
              <w:t>于50000m</w:t>
            </w:r>
            <w:r>
              <w:rPr>
                <w:rFonts w:hint="eastAsia"/>
                <w:color w:val="auto"/>
                <w:sz w:val="24"/>
                <w:szCs w:val="24"/>
                <w:vertAlign w:val="superscript"/>
              </w:rPr>
              <w:t>3</w:t>
            </w:r>
            <w:r>
              <w:rPr>
                <w:rFonts w:hint="eastAsia" w:eastAsia="宋体"/>
                <w:color w:val="auto"/>
                <w:sz w:val="24"/>
                <w:szCs w:val="24"/>
                <w:lang w:eastAsia="zh-CN"/>
              </w:rPr>
              <w:t>。</w:t>
            </w:r>
            <w:r>
              <w:rPr>
                <w:rFonts w:hint="eastAsia" w:ascii="Times New Roman" w:hAnsi="Times New Roman" w:cs="Times New Roman"/>
                <w:color w:val="auto"/>
                <w:sz w:val="24"/>
                <w:szCs w:val="24"/>
              </w:rPr>
              <w:t>根据《建筑防火通用规范》（GB55037-2022），建筑占地面积大于300m</w:t>
            </w:r>
            <w:r>
              <w:rPr>
                <w:rFonts w:hint="eastAsia" w:ascii="Times New Roman" w:hAnsi="Times New Roman" w:cs="Times New Roman"/>
                <w:color w:val="auto"/>
                <w:sz w:val="24"/>
                <w:szCs w:val="24"/>
                <w:vertAlign w:val="superscript"/>
              </w:rPr>
              <w:t>2</w:t>
            </w:r>
            <w:r>
              <w:rPr>
                <w:rFonts w:hint="eastAsia" w:ascii="Times New Roman" w:hAnsi="Times New Roman" w:cs="Times New Roman"/>
                <w:color w:val="auto"/>
                <w:sz w:val="24"/>
                <w:szCs w:val="24"/>
              </w:rPr>
              <w:t>的甲乙丙类厂房、仓库应设置室内消火栓系统，本项目为</w:t>
            </w:r>
            <w:r>
              <w:rPr>
                <w:rFonts w:hint="eastAsia"/>
                <w:color w:val="auto"/>
                <w:sz w:val="24"/>
                <w:szCs w:val="24"/>
                <w:lang w:val="en-US" w:eastAsia="zh-CN"/>
              </w:rPr>
              <w:t>戊</w:t>
            </w:r>
            <w:r>
              <w:rPr>
                <w:rFonts w:hint="eastAsia" w:ascii="Times New Roman" w:hAnsi="Times New Roman" w:cs="Times New Roman"/>
                <w:color w:val="auto"/>
                <w:sz w:val="24"/>
                <w:szCs w:val="24"/>
              </w:rPr>
              <w:t>类厂房，不需要</w:t>
            </w:r>
            <w:r>
              <w:rPr>
                <w:rFonts w:hint="eastAsia" w:ascii="Times New Roman" w:hAnsi="Times New Roman" w:cs="Times New Roman"/>
                <w:color w:val="auto"/>
                <w:sz w:val="24"/>
                <w:szCs w:val="24"/>
                <w:lang w:val="en-US" w:eastAsia="zh-CN"/>
              </w:rPr>
              <w:t>设置</w:t>
            </w:r>
            <w:r>
              <w:rPr>
                <w:rFonts w:hint="eastAsia" w:ascii="Times New Roman" w:hAnsi="Times New Roman" w:cs="Times New Roman"/>
                <w:color w:val="auto"/>
                <w:sz w:val="24"/>
                <w:szCs w:val="24"/>
              </w:rPr>
              <w:t>室内消火栓系统，根据《消防给水及消火栓系统技术规范》（GB50974-2014），建筑物外消防栓设计流量</w:t>
            </w:r>
            <w:r>
              <w:rPr>
                <w:rFonts w:hint="eastAsia" w:cs="Times New Roman"/>
                <w:color w:val="auto"/>
                <w:sz w:val="24"/>
                <w:szCs w:val="24"/>
                <w:lang w:val="en-US" w:eastAsia="zh-CN"/>
              </w:rPr>
              <w:t>20</w:t>
            </w:r>
            <w:r>
              <w:rPr>
                <w:rFonts w:hint="eastAsia" w:ascii="Times New Roman" w:hAnsi="Times New Roman" w:cs="Times New Roman"/>
                <w:color w:val="auto"/>
                <w:sz w:val="24"/>
                <w:szCs w:val="24"/>
              </w:rPr>
              <w:t>L/s。根据《建筑防火通用规范》（GB55037-2022），</w:t>
            </w:r>
            <w:r>
              <w:rPr>
                <w:rFonts w:hint="eastAsia"/>
                <w:color w:val="auto"/>
                <w:sz w:val="24"/>
                <w:szCs w:val="24"/>
                <w:lang w:val="en-US" w:eastAsia="zh-CN"/>
              </w:rPr>
              <w:t>戊</w:t>
            </w:r>
            <w:r>
              <w:rPr>
                <w:rFonts w:hint="eastAsia" w:ascii="Times New Roman" w:hAnsi="Times New Roman" w:cs="Times New Roman"/>
                <w:color w:val="auto"/>
                <w:sz w:val="24"/>
                <w:szCs w:val="24"/>
              </w:rPr>
              <w:t>类厂房设计火灾延续时间</w:t>
            </w:r>
            <w:r>
              <w:rPr>
                <w:rFonts w:hint="eastAsia" w:ascii="Times New Roman" w:hAnsi="Times New Roman" w:cs="Times New Roman"/>
                <w:color w:val="auto"/>
                <w:sz w:val="24"/>
                <w:szCs w:val="24"/>
                <w:lang w:val="en-US" w:eastAsia="zh-CN"/>
              </w:rPr>
              <w:t>维持</w:t>
            </w:r>
            <w:r>
              <w:rPr>
                <w:rFonts w:hint="eastAsia" w:ascii="Times New Roman" w:hAnsi="Times New Roman" w:cs="Times New Roman"/>
                <w:color w:val="auto"/>
                <w:sz w:val="24"/>
                <w:szCs w:val="24"/>
              </w:rPr>
              <w:t>2h。消防用水延续时间按2h计，则本项目消防废水产生量V2=</w:t>
            </w:r>
            <w:r>
              <w:rPr>
                <w:rFonts w:hint="eastAsia" w:cs="Times New Roman"/>
                <w:color w:val="auto"/>
                <w:sz w:val="24"/>
                <w:szCs w:val="24"/>
                <w:lang w:val="en-US" w:eastAsia="zh-CN"/>
              </w:rPr>
              <w:t>144</w:t>
            </w:r>
            <w:r>
              <w:rPr>
                <w:rFonts w:hint="eastAsia" w:ascii="Times New Roman" w:hAnsi="Times New Roman" w:cs="Times New Roman"/>
                <w:color w:val="auto"/>
                <w:sz w:val="24"/>
                <w:szCs w:val="24"/>
              </w:rPr>
              <w:t>m</w:t>
            </w:r>
            <w:r>
              <w:rPr>
                <w:rFonts w:hint="eastAsia" w:ascii="Times New Roman" w:hAnsi="Times New Roman" w:cs="Times New Roman"/>
                <w:color w:val="auto"/>
                <w:sz w:val="24"/>
                <w:szCs w:val="24"/>
                <w:vertAlign w:val="superscript"/>
              </w:rPr>
              <w:t>3</w:t>
            </w:r>
            <w:r>
              <w:rPr>
                <w:rFonts w:hint="eastAsia" w:ascii="Times New Roman" w:hAnsi="Times New Roman" w:cs="Times New Roman"/>
                <w:color w:val="auto"/>
                <w:sz w:val="24"/>
                <w:szCs w:val="24"/>
              </w:rPr>
              <w:t>。</w:t>
            </w:r>
          </w:p>
          <w:p w14:paraId="60EE1BA7">
            <w:pPr>
              <w:keepNext w:val="0"/>
              <w:keepLines w:val="0"/>
              <w:pageBreakBefore w:val="0"/>
              <w:widowControl w:val="0"/>
              <w:kinsoku/>
              <w:wordWrap/>
              <w:overflowPunct w:val="0"/>
              <w:topLinePunct w:val="0"/>
              <w:autoSpaceDE/>
              <w:autoSpaceDN/>
              <w:bidi w:val="0"/>
              <w:adjustRightInd/>
              <w:snapToGrid/>
              <w:spacing w:line="360" w:lineRule="auto"/>
              <w:ind w:firstLine="456" w:firstLineChars="200"/>
              <w:textAlignment w:val="auto"/>
              <w:rPr>
                <w:color w:val="auto"/>
                <w:spacing w:val="-6"/>
                <w:sz w:val="24"/>
                <w:szCs w:val="24"/>
              </w:rPr>
            </w:pPr>
            <w:r>
              <w:rPr>
                <w:rFonts w:hint="eastAsia"/>
                <w:color w:val="auto"/>
                <w:spacing w:val="-6"/>
                <w:sz w:val="24"/>
                <w:szCs w:val="24"/>
              </w:rPr>
              <w:t>V3—</w:t>
            </w:r>
            <w:r>
              <w:rPr>
                <w:rFonts w:eastAsia="Times New Roman"/>
                <w:color w:val="auto"/>
                <w:spacing w:val="-6"/>
                <w:sz w:val="24"/>
                <w:szCs w:val="24"/>
                <w:lang w:val="zh-CN"/>
              </w:rPr>
              <w:t>发生事故时可以储存、转运到其他设施的事故排水量</w:t>
            </w:r>
            <w:r>
              <w:rPr>
                <w:rFonts w:hint="eastAsia"/>
                <w:color w:val="auto"/>
                <w:spacing w:val="-6"/>
                <w:sz w:val="24"/>
                <w:szCs w:val="24"/>
              </w:rPr>
              <w:t>，m</w:t>
            </w:r>
            <w:r>
              <w:rPr>
                <w:rFonts w:hint="eastAsia"/>
                <w:color w:val="auto"/>
                <w:spacing w:val="-6"/>
                <w:sz w:val="24"/>
                <w:szCs w:val="24"/>
                <w:vertAlign w:val="superscript"/>
              </w:rPr>
              <w:t>3</w:t>
            </w:r>
            <w:r>
              <w:rPr>
                <w:rFonts w:hint="eastAsia"/>
                <w:color w:val="auto"/>
                <w:spacing w:val="-6"/>
                <w:sz w:val="24"/>
                <w:szCs w:val="24"/>
              </w:rPr>
              <w:t>；本项目雨水管道直径DN</w:t>
            </w:r>
            <w:r>
              <w:rPr>
                <w:rFonts w:hint="eastAsia"/>
                <w:color w:val="auto"/>
                <w:spacing w:val="-6"/>
                <w:sz w:val="24"/>
                <w:szCs w:val="24"/>
                <w:lang w:val="en-US" w:eastAsia="zh-CN"/>
              </w:rPr>
              <w:t>5</w:t>
            </w:r>
            <w:r>
              <w:rPr>
                <w:rFonts w:hint="eastAsia"/>
                <w:color w:val="auto"/>
                <w:spacing w:val="-6"/>
                <w:sz w:val="24"/>
                <w:szCs w:val="24"/>
              </w:rPr>
              <w:t>00，厂区雨水管网长度为</w:t>
            </w:r>
            <w:r>
              <w:rPr>
                <w:rFonts w:hint="eastAsia"/>
                <w:color w:val="auto"/>
                <w:spacing w:val="-6"/>
                <w:sz w:val="24"/>
                <w:szCs w:val="24"/>
                <w:lang w:val="en-US" w:eastAsia="zh-CN"/>
              </w:rPr>
              <w:t>1250</w:t>
            </w:r>
            <w:r>
              <w:rPr>
                <w:rFonts w:hint="eastAsia"/>
                <w:color w:val="auto"/>
                <w:spacing w:val="-6"/>
                <w:sz w:val="24"/>
                <w:szCs w:val="24"/>
              </w:rPr>
              <w:t>m，则雨水管网容积约为</w:t>
            </w:r>
            <w:r>
              <w:rPr>
                <w:rFonts w:hint="eastAsia"/>
                <w:color w:val="auto"/>
                <w:spacing w:val="-6"/>
                <w:sz w:val="24"/>
                <w:szCs w:val="24"/>
                <w:lang w:val="en-US" w:eastAsia="zh-CN"/>
              </w:rPr>
              <w:t>245.31</w:t>
            </w:r>
            <w:r>
              <w:rPr>
                <w:rFonts w:hint="eastAsia"/>
                <w:color w:val="auto"/>
                <w:spacing w:val="-6"/>
                <w:sz w:val="24"/>
                <w:szCs w:val="24"/>
              </w:rPr>
              <w:t>m³。V3＝</w:t>
            </w:r>
            <w:r>
              <w:rPr>
                <w:rFonts w:hint="eastAsia"/>
                <w:color w:val="auto"/>
                <w:spacing w:val="-6"/>
                <w:sz w:val="24"/>
                <w:szCs w:val="24"/>
                <w:lang w:val="en-US" w:eastAsia="zh-CN"/>
              </w:rPr>
              <w:t>245.31</w:t>
            </w:r>
            <w:r>
              <w:rPr>
                <w:rFonts w:hint="eastAsia"/>
                <w:color w:val="auto"/>
                <w:spacing w:val="-6"/>
                <w:sz w:val="24"/>
                <w:szCs w:val="24"/>
              </w:rPr>
              <w:t>m³。</w:t>
            </w:r>
          </w:p>
          <w:p w14:paraId="264DD439">
            <w:pPr>
              <w:spacing w:line="360" w:lineRule="auto"/>
              <w:ind w:firstLine="480" w:firstLineChars="200"/>
              <w:rPr>
                <w:color w:val="auto"/>
                <w:sz w:val="24"/>
                <w:szCs w:val="24"/>
              </w:rPr>
            </w:pPr>
            <w:r>
              <w:rPr>
                <w:rFonts w:hint="eastAsia"/>
                <w:color w:val="auto"/>
                <w:sz w:val="24"/>
                <w:szCs w:val="24"/>
              </w:rPr>
              <w:t>V4—发生事故时仍必须进入该收集系统的生产废水量，m</w:t>
            </w:r>
            <w:r>
              <w:rPr>
                <w:rFonts w:hint="eastAsia"/>
                <w:color w:val="auto"/>
                <w:sz w:val="24"/>
                <w:szCs w:val="24"/>
                <w:vertAlign w:val="superscript"/>
              </w:rPr>
              <w:t>3</w:t>
            </w:r>
            <w:r>
              <w:rPr>
                <w:rFonts w:hint="eastAsia"/>
                <w:color w:val="auto"/>
                <w:sz w:val="24"/>
                <w:szCs w:val="24"/>
              </w:rPr>
              <w:t>；</w:t>
            </w:r>
            <w:r>
              <w:rPr>
                <w:rFonts w:hint="eastAsia"/>
                <w:color w:val="auto"/>
                <w:sz w:val="24"/>
                <w:szCs w:val="24"/>
                <w:lang w:val="en-US" w:eastAsia="zh-CN"/>
              </w:rPr>
              <w:t>按照清洗水在线量计，则</w:t>
            </w:r>
            <w:r>
              <w:rPr>
                <w:rFonts w:hint="eastAsia"/>
                <w:color w:val="auto"/>
                <w:sz w:val="24"/>
                <w:szCs w:val="24"/>
              </w:rPr>
              <w:t>本项目发生事故时仍必须进入该系统的废水量V4＝2m</w:t>
            </w:r>
            <w:r>
              <w:rPr>
                <w:rFonts w:hint="eastAsia"/>
                <w:color w:val="auto"/>
                <w:sz w:val="24"/>
                <w:szCs w:val="24"/>
                <w:vertAlign w:val="superscript"/>
              </w:rPr>
              <w:t>3</w:t>
            </w:r>
            <w:r>
              <w:rPr>
                <w:rFonts w:hint="eastAsia"/>
                <w:color w:val="auto"/>
                <w:sz w:val="24"/>
                <w:szCs w:val="24"/>
              </w:rPr>
              <w:t>。</w:t>
            </w:r>
          </w:p>
          <w:p w14:paraId="4FFA14D4">
            <w:pPr>
              <w:pStyle w:val="22"/>
              <w:adjustRightInd w:val="0"/>
              <w:snapToGrid w:val="0"/>
              <w:spacing w:before="0" w:beforeAutospacing="0" w:after="0" w:afterAutospacing="0" w:line="360" w:lineRule="auto"/>
              <w:ind w:firstLine="480" w:firstLineChars="200"/>
              <w:jc w:val="both"/>
              <w:rPr>
                <w:rFonts w:ascii="Times New Roman" w:hAnsi="Times New Roman"/>
                <w:color w:val="auto"/>
                <w:sz w:val="24"/>
                <w:szCs w:val="24"/>
              </w:rPr>
            </w:pPr>
            <w:r>
              <w:rPr>
                <w:rFonts w:ascii="Times New Roman" w:hAnsi="Times New Roman"/>
                <w:color w:val="auto"/>
                <w:sz w:val="24"/>
                <w:szCs w:val="24"/>
              </w:rPr>
              <w:t>V5</w:t>
            </w:r>
            <w:r>
              <w:rPr>
                <w:color w:val="auto"/>
                <w:sz w:val="24"/>
                <w:szCs w:val="24"/>
              </w:rPr>
              <w:t>—</w:t>
            </w:r>
            <w:r>
              <w:rPr>
                <w:rFonts w:hint="eastAsia" w:cs="宋体"/>
                <w:color w:val="auto"/>
                <w:sz w:val="24"/>
                <w:szCs w:val="24"/>
              </w:rPr>
              <w:t>发生事故时可能进入该收集系统的降雨量，</w:t>
            </w:r>
            <w:r>
              <w:rPr>
                <w:rFonts w:ascii="Times New Roman" w:hAnsi="Times New Roman"/>
                <w:color w:val="auto"/>
                <w:sz w:val="24"/>
                <w:szCs w:val="24"/>
              </w:rPr>
              <w:t>m</w:t>
            </w:r>
            <w:r>
              <w:rPr>
                <w:rFonts w:ascii="Times New Roman" w:hAnsi="Times New Roman"/>
                <w:color w:val="auto"/>
                <w:sz w:val="24"/>
                <w:szCs w:val="24"/>
                <w:vertAlign w:val="superscript"/>
              </w:rPr>
              <w:t>3</w:t>
            </w:r>
            <w:r>
              <w:rPr>
                <w:rFonts w:hint="eastAsia" w:cs="宋体"/>
                <w:color w:val="auto"/>
                <w:sz w:val="24"/>
                <w:szCs w:val="24"/>
              </w:rPr>
              <w:t>；</w:t>
            </w:r>
          </w:p>
          <w:p w14:paraId="68094C3B">
            <w:pPr>
              <w:pStyle w:val="22"/>
              <w:adjustRightInd w:val="0"/>
              <w:snapToGrid w:val="0"/>
              <w:spacing w:before="0" w:beforeAutospacing="0" w:after="0" w:afterAutospacing="0" w:line="360" w:lineRule="auto"/>
              <w:ind w:firstLine="480" w:firstLineChars="200"/>
              <w:jc w:val="center"/>
              <w:rPr>
                <w:rFonts w:ascii="Times New Roman" w:hAnsi="Times New Roman"/>
                <w:color w:val="auto"/>
                <w:sz w:val="24"/>
                <w:szCs w:val="24"/>
              </w:rPr>
            </w:pPr>
            <w:r>
              <w:rPr>
                <w:rFonts w:ascii="Times New Roman" w:hAnsi="Times New Roman"/>
                <w:color w:val="auto"/>
                <w:sz w:val="24"/>
                <w:szCs w:val="24"/>
              </w:rPr>
              <w:t>V</w:t>
            </w:r>
            <w:r>
              <w:rPr>
                <w:rFonts w:ascii="Times New Roman" w:hAnsi="Times New Roman"/>
                <w:color w:val="auto"/>
                <w:sz w:val="24"/>
                <w:szCs w:val="24"/>
                <w:vertAlign w:val="subscript"/>
              </w:rPr>
              <w:t>5</w:t>
            </w:r>
            <w:r>
              <w:rPr>
                <w:rFonts w:ascii="Times New Roman" w:hAnsi="Times New Roman"/>
                <w:color w:val="auto"/>
                <w:sz w:val="24"/>
                <w:szCs w:val="24"/>
              </w:rPr>
              <w:t>=10qF</w:t>
            </w:r>
          </w:p>
          <w:p w14:paraId="29E020A7">
            <w:pPr>
              <w:pStyle w:val="22"/>
              <w:adjustRightInd w:val="0"/>
              <w:snapToGrid w:val="0"/>
              <w:spacing w:before="0" w:beforeAutospacing="0" w:after="0" w:afterAutospacing="0" w:line="360" w:lineRule="auto"/>
              <w:ind w:firstLine="480" w:firstLineChars="200"/>
              <w:jc w:val="both"/>
              <w:rPr>
                <w:rFonts w:ascii="Times New Roman" w:hAnsi="Times New Roman"/>
                <w:color w:val="auto"/>
                <w:sz w:val="24"/>
                <w:szCs w:val="24"/>
              </w:rPr>
            </w:pPr>
            <w:r>
              <w:rPr>
                <w:rFonts w:ascii="Times New Roman" w:hAnsi="Times New Roman"/>
                <w:color w:val="auto"/>
                <w:sz w:val="24"/>
                <w:szCs w:val="24"/>
              </w:rPr>
              <w:t>q</w:t>
            </w:r>
            <w:r>
              <w:rPr>
                <w:rFonts w:hint="eastAsia" w:cs="宋体"/>
                <w:color w:val="auto"/>
                <w:sz w:val="24"/>
                <w:szCs w:val="24"/>
              </w:rPr>
              <w:t>——降雨强度，</w:t>
            </w:r>
            <w:r>
              <w:rPr>
                <w:rFonts w:ascii="Times New Roman" w:hAnsi="Times New Roman"/>
                <w:color w:val="auto"/>
                <w:sz w:val="24"/>
                <w:szCs w:val="24"/>
              </w:rPr>
              <w:t>mm</w:t>
            </w:r>
            <w:r>
              <w:rPr>
                <w:rFonts w:hint="eastAsia" w:cs="宋体"/>
                <w:color w:val="auto"/>
                <w:sz w:val="24"/>
                <w:szCs w:val="24"/>
              </w:rPr>
              <w:t>；按平均日降雨量；</w:t>
            </w:r>
          </w:p>
          <w:p w14:paraId="27E4E538">
            <w:pPr>
              <w:pStyle w:val="22"/>
              <w:adjustRightInd w:val="0"/>
              <w:snapToGrid w:val="0"/>
              <w:spacing w:before="0" w:beforeAutospacing="0" w:after="0" w:afterAutospacing="0" w:line="360" w:lineRule="auto"/>
              <w:ind w:firstLine="480" w:firstLineChars="200"/>
              <w:jc w:val="center"/>
              <w:rPr>
                <w:rFonts w:ascii="Times New Roman" w:hAnsi="Times New Roman"/>
                <w:color w:val="auto"/>
                <w:sz w:val="24"/>
                <w:szCs w:val="24"/>
              </w:rPr>
            </w:pPr>
            <w:r>
              <w:rPr>
                <w:rFonts w:ascii="Times New Roman" w:hAnsi="Times New Roman"/>
                <w:color w:val="auto"/>
                <w:sz w:val="24"/>
                <w:szCs w:val="24"/>
              </w:rPr>
              <w:t>q=qa/n</w:t>
            </w:r>
          </w:p>
          <w:p w14:paraId="163B7962">
            <w:pPr>
              <w:pStyle w:val="22"/>
              <w:adjustRightInd w:val="0"/>
              <w:snapToGrid w:val="0"/>
              <w:spacing w:before="0" w:beforeAutospacing="0" w:after="0" w:afterAutospacing="0" w:line="360" w:lineRule="auto"/>
              <w:ind w:firstLine="480" w:firstLineChars="200"/>
              <w:jc w:val="both"/>
              <w:rPr>
                <w:rFonts w:ascii="Times New Roman" w:hAnsi="Times New Roman"/>
                <w:color w:val="auto"/>
                <w:sz w:val="24"/>
                <w:szCs w:val="24"/>
              </w:rPr>
            </w:pPr>
            <w:r>
              <w:rPr>
                <w:rFonts w:ascii="Times New Roman" w:hAnsi="Times New Roman"/>
                <w:color w:val="auto"/>
                <w:sz w:val="24"/>
                <w:szCs w:val="24"/>
              </w:rPr>
              <w:t>qa</w:t>
            </w:r>
            <w:r>
              <w:rPr>
                <w:rFonts w:hint="eastAsia" w:cs="宋体"/>
                <w:color w:val="auto"/>
                <w:sz w:val="24"/>
                <w:szCs w:val="24"/>
              </w:rPr>
              <w:t>——年平均降雨量，</w:t>
            </w:r>
            <w:r>
              <w:rPr>
                <w:rFonts w:ascii="Times New Roman" w:hAnsi="Times New Roman"/>
                <w:color w:val="auto"/>
                <w:sz w:val="24"/>
                <w:szCs w:val="24"/>
              </w:rPr>
              <w:t>mm</w:t>
            </w:r>
            <w:r>
              <w:rPr>
                <w:rFonts w:hint="eastAsia" w:cs="宋体"/>
                <w:color w:val="auto"/>
                <w:sz w:val="24"/>
                <w:szCs w:val="24"/>
              </w:rPr>
              <w:t>，海安市年平均降雨量为</w:t>
            </w:r>
            <w:r>
              <w:rPr>
                <w:rFonts w:ascii="Times New Roman" w:hAnsi="Times New Roman"/>
                <w:color w:val="auto"/>
                <w:sz w:val="24"/>
                <w:szCs w:val="24"/>
              </w:rPr>
              <w:t>1015.1mm</w:t>
            </w:r>
            <w:r>
              <w:rPr>
                <w:rFonts w:hint="eastAsia" w:cs="宋体"/>
                <w:color w:val="auto"/>
                <w:sz w:val="24"/>
                <w:szCs w:val="24"/>
              </w:rPr>
              <w:t>；</w:t>
            </w:r>
          </w:p>
          <w:p w14:paraId="200994BC">
            <w:pPr>
              <w:pStyle w:val="22"/>
              <w:adjustRightInd w:val="0"/>
              <w:snapToGrid w:val="0"/>
              <w:spacing w:before="0" w:beforeAutospacing="0" w:after="0" w:afterAutospacing="0" w:line="360" w:lineRule="auto"/>
              <w:ind w:firstLine="480" w:firstLineChars="200"/>
              <w:jc w:val="both"/>
              <w:rPr>
                <w:rFonts w:ascii="Times New Roman" w:hAnsi="Times New Roman"/>
                <w:color w:val="auto"/>
                <w:sz w:val="24"/>
                <w:szCs w:val="24"/>
              </w:rPr>
            </w:pPr>
            <w:r>
              <w:rPr>
                <w:rFonts w:ascii="Times New Roman" w:hAnsi="Times New Roman"/>
                <w:color w:val="auto"/>
                <w:sz w:val="24"/>
                <w:szCs w:val="24"/>
              </w:rPr>
              <w:t>n</w:t>
            </w:r>
            <w:r>
              <w:rPr>
                <w:rFonts w:hint="eastAsia" w:cs="宋体"/>
                <w:color w:val="auto"/>
                <w:sz w:val="24"/>
                <w:szCs w:val="24"/>
              </w:rPr>
              <w:t>——年平均降雨天数，为</w:t>
            </w:r>
            <w:r>
              <w:rPr>
                <w:rFonts w:ascii="Times New Roman" w:hAnsi="Times New Roman"/>
                <w:color w:val="auto"/>
                <w:sz w:val="24"/>
                <w:szCs w:val="24"/>
              </w:rPr>
              <w:t>85</w:t>
            </w:r>
            <w:r>
              <w:rPr>
                <w:rFonts w:hint="eastAsia" w:cs="宋体"/>
                <w:color w:val="auto"/>
                <w:sz w:val="24"/>
                <w:szCs w:val="24"/>
              </w:rPr>
              <w:t>天；</w:t>
            </w:r>
          </w:p>
          <w:p w14:paraId="33BC9B88">
            <w:pPr>
              <w:pStyle w:val="22"/>
              <w:adjustRightInd w:val="0"/>
              <w:snapToGrid w:val="0"/>
              <w:spacing w:before="0" w:beforeAutospacing="0" w:after="0" w:afterAutospacing="0" w:line="360" w:lineRule="auto"/>
              <w:ind w:firstLine="480" w:firstLineChars="200"/>
              <w:jc w:val="both"/>
              <w:rPr>
                <w:rFonts w:ascii="Times New Roman" w:hAnsi="Times New Roman"/>
                <w:color w:val="auto"/>
                <w:sz w:val="24"/>
                <w:szCs w:val="24"/>
              </w:rPr>
            </w:pPr>
            <w:r>
              <w:rPr>
                <w:rFonts w:ascii="Times New Roman" w:hAnsi="Times New Roman"/>
                <w:color w:val="auto"/>
                <w:sz w:val="24"/>
                <w:szCs w:val="24"/>
              </w:rPr>
              <w:t>F</w:t>
            </w:r>
            <w:r>
              <w:rPr>
                <w:rFonts w:hint="eastAsia" w:cs="宋体"/>
                <w:color w:val="auto"/>
                <w:sz w:val="24"/>
                <w:szCs w:val="24"/>
              </w:rPr>
              <w:t>——必须进入事故废水收集系统的雨水汇水面积，</w:t>
            </w:r>
            <w:r>
              <w:rPr>
                <w:rFonts w:ascii="Times New Roman" w:hAnsi="Times New Roman"/>
                <w:color w:val="auto"/>
                <w:sz w:val="24"/>
                <w:szCs w:val="24"/>
              </w:rPr>
              <w:t>hm</w:t>
            </w:r>
            <w:r>
              <w:rPr>
                <w:rFonts w:ascii="Times New Roman" w:hAnsi="Times New Roman"/>
                <w:color w:val="auto"/>
                <w:sz w:val="24"/>
                <w:szCs w:val="24"/>
                <w:vertAlign w:val="superscript"/>
              </w:rPr>
              <w:t>2</w:t>
            </w:r>
            <w:r>
              <w:rPr>
                <w:rFonts w:hint="eastAsia" w:cs="宋体"/>
                <w:color w:val="auto"/>
                <w:sz w:val="24"/>
                <w:szCs w:val="24"/>
              </w:rPr>
              <w:t>；本项目约为</w:t>
            </w:r>
            <w:r>
              <w:rPr>
                <w:rFonts w:hint="eastAsia" w:ascii="Times New Roman" w:hAnsi="Times New Roman"/>
                <w:color w:val="auto"/>
                <w:sz w:val="24"/>
                <w:szCs w:val="24"/>
                <w:lang w:val="en-US" w:eastAsia="zh-CN"/>
              </w:rPr>
              <w:t>1.6</w:t>
            </w:r>
            <w:r>
              <w:rPr>
                <w:rFonts w:ascii="Times New Roman" w:hAnsi="Times New Roman"/>
                <w:color w:val="auto"/>
                <w:sz w:val="24"/>
                <w:szCs w:val="24"/>
              </w:rPr>
              <w:t>hm</w:t>
            </w:r>
            <w:r>
              <w:rPr>
                <w:rFonts w:ascii="Times New Roman" w:hAnsi="Times New Roman"/>
                <w:color w:val="auto"/>
                <w:sz w:val="24"/>
                <w:szCs w:val="24"/>
                <w:vertAlign w:val="superscript"/>
              </w:rPr>
              <w:t>2</w:t>
            </w:r>
            <w:r>
              <w:rPr>
                <w:rFonts w:hint="eastAsia" w:cs="宋体"/>
                <w:color w:val="auto"/>
                <w:sz w:val="24"/>
                <w:szCs w:val="24"/>
              </w:rPr>
              <w:t>；</w:t>
            </w:r>
          </w:p>
          <w:p w14:paraId="2B0F18F2">
            <w:pPr>
              <w:pStyle w:val="22"/>
              <w:adjustRightInd w:val="0"/>
              <w:snapToGrid w:val="0"/>
              <w:spacing w:before="0" w:beforeAutospacing="0" w:after="0" w:afterAutospacing="0" w:line="360" w:lineRule="auto"/>
              <w:ind w:firstLine="480" w:firstLineChars="200"/>
              <w:jc w:val="both"/>
              <w:rPr>
                <w:rFonts w:ascii="Times New Roman" w:hAnsi="Times New Roman"/>
                <w:color w:val="auto"/>
                <w:sz w:val="24"/>
                <w:szCs w:val="24"/>
              </w:rPr>
            </w:pPr>
            <w:r>
              <w:rPr>
                <w:rFonts w:hint="eastAsia" w:cs="宋体"/>
                <w:color w:val="auto"/>
                <w:sz w:val="24"/>
                <w:szCs w:val="24"/>
              </w:rPr>
              <w:t>故</w:t>
            </w:r>
            <w:r>
              <w:rPr>
                <w:rFonts w:ascii="Times New Roman" w:hAnsi="Times New Roman"/>
                <w:color w:val="auto"/>
                <w:sz w:val="24"/>
                <w:szCs w:val="24"/>
              </w:rPr>
              <w:t>V5</w:t>
            </w:r>
            <w:r>
              <w:rPr>
                <w:rFonts w:hint="eastAsia" w:cs="宋体"/>
                <w:color w:val="auto"/>
                <w:sz w:val="24"/>
                <w:szCs w:val="24"/>
              </w:rPr>
              <w:t>＝</w:t>
            </w:r>
            <w:r>
              <w:rPr>
                <w:rFonts w:ascii="Times New Roman" w:hAnsi="Times New Roman"/>
                <w:color w:val="auto"/>
                <w:sz w:val="24"/>
                <w:szCs w:val="24"/>
              </w:rPr>
              <w:t>10*1015.1/85*</w:t>
            </w:r>
            <w:r>
              <w:rPr>
                <w:rFonts w:hint="eastAsia" w:ascii="Times New Roman" w:hAnsi="Times New Roman"/>
                <w:color w:val="auto"/>
                <w:sz w:val="24"/>
                <w:szCs w:val="24"/>
                <w:lang w:val="en-US" w:eastAsia="zh-CN"/>
              </w:rPr>
              <w:t>1.6</w:t>
            </w:r>
            <w:r>
              <w:rPr>
                <w:rFonts w:hint="eastAsia" w:cs="宋体"/>
                <w:color w:val="auto"/>
                <w:sz w:val="24"/>
                <w:szCs w:val="24"/>
              </w:rPr>
              <w:t>＝</w:t>
            </w:r>
            <w:r>
              <w:rPr>
                <w:rFonts w:hint="eastAsia" w:ascii="Times New Roman" w:hAnsi="Times New Roman"/>
                <w:color w:val="auto"/>
                <w:sz w:val="24"/>
                <w:szCs w:val="24"/>
                <w:lang w:val="en-US" w:eastAsia="zh-CN"/>
              </w:rPr>
              <w:t>191.08</w:t>
            </w:r>
            <w:r>
              <w:rPr>
                <w:rFonts w:ascii="Times New Roman" w:hAnsi="Times New Roman"/>
                <w:color w:val="auto"/>
                <w:sz w:val="24"/>
                <w:szCs w:val="24"/>
              </w:rPr>
              <w:t>m</w:t>
            </w:r>
            <w:r>
              <w:rPr>
                <w:rFonts w:ascii="Times New Roman" w:hAnsi="Times New Roman"/>
                <w:color w:val="auto"/>
                <w:sz w:val="24"/>
                <w:szCs w:val="24"/>
                <w:vertAlign w:val="superscript"/>
              </w:rPr>
              <w:t>3</w:t>
            </w:r>
            <w:r>
              <w:rPr>
                <w:rFonts w:hint="eastAsia" w:cs="宋体"/>
                <w:color w:val="auto"/>
                <w:sz w:val="24"/>
                <w:szCs w:val="24"/>
              </w:rPr>
              <w:t>。</w:t>
            </w:r>
          </w:p>
          <w:p w14:paraId="37A12169">
            <w:pPr>
              <w:spacing w:line="360" w:lineRule="auto"/>
              <w:ind w:firstLine="480" w:firstLineChars="200"/>
              <w:rPr>
                <w:color w:val="auto"/>
                <w:sz w:val="24"/>
                <w:szCs w:val="24"/>
              </w:rPr>
            </w:pPr>
            <w:r>
              <w:rPr>
                <w:rFonts w:hint="eastAsia"/>
                <w:color w:val="auto"/>
                <w:sz w:val="24"/>
                <w:szCs w:val="24"/>
              </w:rPr>
              <w:t>V总＝（V1＋V2－V3）max＋V4+V5=</w:t>
            </w:r>
            <w:r>
              <w:rPr>
                <w:rFonts w:hint="eastAsia"/>
                <w:color w:val="auto"/>
                <w:sz w:val="24"/>
                <w:szCs w:val="24"/>
                <w:lang w:val="en-US" w:eastAsia="zh-CN"/>
              </w:rPr>
              <w:t>1</w:t>
            </w:r>
            <w:r>
              <w:rPr>
                <w:rFonts w:hint="eastAsia"/>
                <w:color w:val="auto"/>
                <w:sz w:val="24"/>
                <w:szCs w:val="24"/>
              </w:rPr>
              <w:t>+144-</w:t>
            </w:r>
            <w:r>
              <w:rPr>
                <w:rFonts w:hint="eastAsia"/>
                <w:color w:val="auto"/>
                <w:spacing w:val="-6"/>
                <w:sz w:val="24"/>
                <w:szCs w:val="24"/>
                <w:lang w:val="en-US" w:eastAsia="zh-CN"/>
              </w:rPr>
              <w:t>245.31</w:t>
            </w:r>
            <w:r>
              <w:rPr>
                <w:rFonts w:hint="eastAsia"/>
                <w:color w:val="auto"/>
                <w:sz w:val="24"/>
                <w:szCs w:val="24"/>
                <w:lang w:val="en-US" w:eastAsia="zh-CN"/>
              </w:rPr>
              <w:t>+2+</w:t>
            </w:r>
            <w:r>
              <w:rPr>
                <w:rFonts w:hint="eastAsia" w:ascii="Times New Roman" w:hAnsi="Times New Roman"/>
                <w:color w:val="auto"/>
                <w:sz w:val="24"/>
                <w:szCs w:val="24"/>
                <w:lang w:val="en-US" w:eastAsia="zh-CN"/>
              </w:rPr>
              <w:t>191.08</w:t>
            </w:r>
            <w:r>
              <w:rPr>
                <w:rFonts w:hint="eastAsia"/>
                <w:color w:val="auto"/>
                <w:sz w:val="24"/>
                <w:szCs w:val="24"/>
              </w:rPr>
              <w:t>=</w:t>
            </w:r>
            <w:r>
              <w:rPr>
                <w:rFonts w:hint="eastAsia"/>
                <w:color w:val="auto"/>
                <w:sz w:val="24"/>
                <w:szCs w:val="24"/>
                <w:lang w:val="en-US" w:eastAsia="zh-CN"/>
              </w:rPr>
              <w:t>92.77</w:t>
            </w:r>
            <w:r>
              <w:rPr>
                <w:rFonts w:hint="eastAsia"/>
                <w:color w:val="auto"/>
                <w:sz w:val="24"/>
                <w:szCs w:val="24"/>
              </w:rPr>
              <w:t>m</w:t>
            </w:r>
            <w:r>
              <w:rPr>
                <w:rFonts w:hint="eastAsia"/>
                <w:color w:val="auto"/>
                <w:sz w:val="24"/>
                <w:szCs w:val="24"/>
                <w:vertAlign w:val="superscript"/>
              </w:rPr>
              <w:t>3</w:t>
            </w:r>
            <w:r>
              <w:rPr>
                <w:rFonts w:hint="eastAsia"/>
                <w:color w:val="auto"/>
                <w:sz w:val="24"/>
                <w:szCs w:val="24"/>
              </w:rPr>
              <w:t>。</w:t>
            </w:r>
          </w:p>
          <w:p w14:paraId="1975FE6D">
            <w:pPr>
              <w:spacing w:line="360" w:lineRule="auto"/>
              <w:ind w:firstLine="480" w:firstLineChars="200"/>
              <w:rPr>
                <w:rFonts w:hint="eastAsia"/>
                <w:color w:val="auto"/>
                <w:sz w:val="24"/>
                <w:szCs w:val="24"/>
              </w:rPr>
            </w:pPr>
            <w:r>
              <w:rPr>
                <w:color w:val="auto"/>
                <w:sz w:val="24"/>
                <w:szCs w:val="24"/>
              </w:rPr>
              <w:t>通过以上计算，</w:t>
            </w:r>
            <w:r>
              <w:rPr>
                <w:rFonts w:hint="eastAsia"/>
                <w:color w:val="auto"/>
                <w:sz w:val="24"/>
                <w:szCs w:val="24"/>
              </w:rPr>
              <w:t>企业需建设</w:t>
            </w:r>
            <w:r>
              <w:rPr>
                <w:rFonts w:hint="eastAsia"/>
                <w:color w:val="auto"/>
                <w:sz w:val="24"/>
                <w:szCs w:val="24"/>
                <w:lang w:val="en-US" w:eastAsia="zh-CN"/>
              </w:rPr>
              <w:t>容积大于92.77</w:t>
            </w:r>
            <w:r>
              <w:rPr>
                <w:rFonts w:hint="eastAsia"/>
                <w:color w:val="auto"/>
                <w:sz w:val="24"/>
                <w:szCs w:val="24"/>
              </w:rPr>
              <w:t>m</w:t>
            </w:r>
            <w:r>
              <w:rPr>
                <w:rFonts w:hint="eastAsia"/>
                <w:color w:val="auto"/>
                <w:sz w:val="24"/>
                <w:szCs w:val="24"/>
                <w:vertAlign w:val="superscript"/>
              </w:rPr>
              <w:t>3</w:t>
            </w:r>
            <w:r>
              <w:rPr>
                <w:rFonts w:hint="eastAsia"/>
                <w:color w:val="auto"/>
                <w:sz w:val="24"/>
                <w:szCs w:val="24"/>
              </w:rPr>
              <w:t>的事故应急池，作为事故废水（消防废水）临时贮存池</w:t>
            </w:r>
            <w:r>
              <w:rPr>
                <w:rFonts w:hint="eastAsia"/>
                <w:color w:val="auto"/>
                <w:sz w:val="24"/>
                <w:szCs w:val="24"/>
                <w:lang w:val="en-US" w:eastAsia="zh-CN"/>
              </w:rPr>
              <w:t>。企业厂区内已建设1个100</w:t>
            </w:r>
            <w:r>
              <w:rPr>
                <w:rFonts w:hint="eastAsia"/>
                <w:color w:val="auto"/>
                <w:sz w:val="24"/>
                <w:szCs w:val="24"/>
              </w:rPr>
              <w:t>m</w:t>
            </w:r>
            <w:r>
              <w:rPr>
                <w:rFonts w:hint="eastAsia"/>
                <w:color w:val="auto"/>
                <w:sz w:val="24"/>
                <w:szCs w:val="24"/>
                <w:vertAlign w:val="superscript"/>
              </w:rPr>
              <w:t>3</w:t>
            </w:r>
            <w:r>
              <w:rPr>
                <w:rFonts w:hint="eastAsia"/>
                <w:color w:val="auto"/>
                <w:sz w:val="24"/>
                <w:szCs w:val="24"/>
                <w:lang w:val="en-US" w:eastAsia="zh-CN"/>
              </w:rPr>
              <w:t>的事故应急池</w:t>
            </w:r>
            <w:r>
              <w:rPr>
                <w:rFonts w:hint="eastAsia"/>
                <w:color w:val="auto"/>
                <w:sz w:val="24"/>
                <w:szCs w:val="24"/>
                <w:lang w:eastAsia="zh-CN"/>
              </w:rPr>
              <w:t>，</w:t>
            </w:r>
            <w:r>
              <w:rPr>
                <w:rFonts w:hint="eastAsia"/>
                <w:color w:val="auto"/>
                <w:sz w:val="24"/>
                <w:szCs w:val="24"/>
                <w:lang w:val="en-US" w:eastAsia="zh-CN"/>
              </w:rPr>
              <w:t>可满足事故水贮存需求，</w:t>
            </w:r>
            <w:r>
              <w:rPr>
                <w:rFonts w:hint="eastAsia"/>
                <w:color w:val="auto"/>
                <w:sz w:val="24"/>
                <w:szCs w:val="24"/>
              </w:rPr>
              <w:t>保证发生泄漏事故时，泄漏物料能迅速、安全地集中到事故应急池</w:t>
            </w:r>
            <w:r>
              <w:rPr>
                <w:rFonts w:hint="eastAsia"/>
                <w:color w:val="auto"/>
                <w:sz w:val="24"/>
                <w:szCs w:val="24"/>
                <w:lang w:eastAsia="zh-CN"/>
              </w:rPr>
              <w:t>。</w:t>
            </w:r>
            <w:r>
              <w:rPr>
                <w:rFonts w:hint="eastAsia"/>
                <w:color w:val="auto"/>
                <w:sz w:val="24"/>
                <w:szCs w:val="24"/>
                <w:lang w:val="en-US" w:eastAsia="zh-CN"/>
              </w:rPr>
              <w:t>企业应</w:t>
            </w:r>
            <w:r>
              <w:rPr>
                <w:rFonts w:hint="eastAsia"/>
                <w:color w:val="auto"/>
                <w:sz w:val="24"/>
                <w:szCs w:val="24"/>
              </w:rPr>
              <w:t>针对水质实际情况进行必要的处理，避免对评价范围内的农田和河流造成影响。</w:t>
            </w:r>
          </w:p>
          <w:p w14:paraId="7631D8B5">
            <w:pPr>
              <w:spacing w:line="360" w:lineRule="auto"/>
              <w:ind w:firstLine="480" w:firstLineChars="200"/>
              <w:rPr>
                <w:rFonts w:hint="eastAsia" w:ascii="Times New Roman" w:hAnsi="Times New Roman" w:eastAsia="宋体" w:cs="Times New Roman"/>
                <w:color w:val="auto"/>
                <w:sz w:val="24"/>
                <w:szCs w:val="24"/>
              </w:rPr>
            </w:pPr>
            <w:r>
              <w:rPr>
                <w:rFonts w:hint="eastAsia"/>
                <w:color w:val="auto"/>
                <w:sz w:val="24"/>
                <w:szCs w:val="24"/>
              </w:rPr>
              <w:t>根据《江苏省环境影响评价文件环境应急相关内容编制要点》（苏环办〔2022〕338号）等文件要求，发生泄漏、火灾或爆炸事故时，泄漏物、事故伴生、次生消防水流入雨水收集系统或污水收集系统，紧急关闭雨水和污水收集系统的截流阀，然后通过系统泵将污水打入事故应急池，事故废水经处理达标后方可接入污水管网，若建设单位不能处理泄漏物，必须委托有资质的单位安全处置，杜绝以任何形式进入区域的污水管网和雨水管网。事故应急池和导排系统应满足防腐防渗抗震的要求，平时必须保证事故池空置，不得作为</w:t>
            </w:r>
            <w:r>
              <w:rPr>
                <w:rFonts w:hint="eastAsia"/>
                <w:color w:val="auto"/>
                <w:sz w:val="24"/>
                <w:szCs w:val="24"/>
                <w:lang w:val="en-US" w:eastAsia="zh-CN"/>
              </w:rPr>
              <w:t>他</w:t>
            </w:r>
            <w:r>
              <w:rPr>
                <w:rFonts w:hint="eastAsia"/>
                <w:color w:val="auto"/>
                <w:sz w:val="24"/>
                <w:szCs w:val="24"/>
              </w:rPr>
              <w:t>用。</w:t>
            </w:r>
          </w:p>
          <w:p w14:paraId="2222AE6A">
            <w:pPr>
              <w:adjustRightInd w:val="0"/>
              <w:snapToGrid w:val="0"/>
              <w:spacing w:line="360" w:lineRule="auto"/>
              <w:ind w:firstLine="480" w:firstLineChars="200"/>
              <w:rPr>
                <w:b/>
                <w:color w:val="auto"/>
                <w:spacing w:val="-10"/>
                <w:sz w:val="24"/>
                <w:szCs w:val="24"/>
              </w:rPr>
            </w:pPr>
            <w:r>
              <w:rPr>
                <w:rFonts w:hint="eastAsia" w:ascii="Times New Roman" w:hAnsi="Times New Roman"/>
                <w:color w:val="auto"/>
                <w:sz w:val="24"/>
                <w:lang w:val="en-US" w:eastAsia="zh-CN"/>
              </w:rPr>
              <w:t>本项目所在园区已建立“企业-公共管网-区内水体”突发环境事件三级防控体系，</w:t>
            </w:r>
            <w:r>
              <w:rPr>
                <w:rFonts w:hint="eastAsia" w:ascii="Times New Roman" w:hAnsi="Times New Roman" w:eastAsia="宋体" w:cs="Times New Roman"/>
                <w:color w:val="auto"/>
                <w:sz w:val="24"/>
                <w:szCs w:val="24"/>
              </w:rPr>
              <w:t>本项目运营后企业应配合所在园区</w:t>
            </w:r>
            <w:r>
              <w:rPr>
                <w:rFonts w:hint="eastAsia" w:ascii="Times New Roman" w:hAnsi="Times New Roman"/>
                <w:color w:val="auto"/>
                <w:sz w:val="24"/>
                <w:lang w:val="en-US" w:eastAsia="zh-CN"/>
              </w:rPr>
              <w:t>加强应急保障能力的建设，构建有效的应急保障互助机制，</w:t>
            </w:r>
            <w:r>
              <w:rPr>
                <w:rFonts w:hint="eastAsia" w:ascii="Times New Roman" w:hAnsi="Times New Roman" w:eastAsia="宋体" w:cs="Times New Roman"/>
                <w:color w:val="auto"/>
                <w:sz w:val="24"/>
                <w:szCs w:val="24"/>
              </w:rPr>
              <w:t>在应急组织体系、应急响应事故分级、应急物资、应急培训、应急演练等方面与园区风险防控体系进行衔接</w:t>
            </w:r>
            <w:r>
              <w:rPr>
                <w:rFonts w:hint="eastAsia" w:ascii="Times New Roman" w:hAnsi="Times New Roman" w:eastAsia="宋体" w:cs="Times New Roman"/>
                <w:color w:val="auto"/>
                <w:sz w:val="24"/>
                <w:szCs w:val="24"/>
                <w:lang w:eastAsia="zh-CN"/>
              </w:rPr>
              <w:t>；</w:t>
            </w:r>
            <w:r>
              <w:rPr>
                <w:rFonts w:hint="eastAsia" w:ascii="Times New Roman" w:hAnsi="Times New Roman" w:eastAsia="宋体" w:cs="Times New Roman"/>
                <w:color w:val="auto"/>
                <w:sz w:val="24"/>
                <w:szCs w:val="24"/>
                <w:lang w:val="en-US" w:eastAsia="zh-CN"/>
              </w:rPr>
              <w:t>同时应做好厂区内的风险防控，</w:t>
            </w:r>
            <w:r>
              <w:rPr>
                <w:rFonts w:hint="eastAsia" w:ascii="Times New Roman" w:hAnsi="Times New Roman" w:eastAsia="宋体" w:cs="Times New Roman"/>
                <w:color w:val="auto"/>
                <w:sz w:val="24"/>
                <w:szCs w:val="24"/>
              </w:rPr>
              <w:t>事故影响超出厂区范围后应立即上报园区，按照分级响应要求及时启动园区突发环境事件应急预案，开展事故响应，实现厂内与园区环境风险防控设施及管理有效联动，有效防范环境风险。</w:t>
            </w:r>
          </w:p>
          <w:p w14:paraId="22CF4C3C">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40" w:firstLineChars="200"/>
              <w:textAlignment w:val="auto"/>
              <w:rPr>
                <w:bCs/>
                <w:color w:val="auto"/>
                <w:spacing w:val="-10"/>
                <w:sz w:val="24"/>
                <w:szCs w:val="24"/>
              </w:rPr>
            </w:pPr>
            <w:r>
              <w:rPr>
                <w:rFonts w:hint="eastAsia"/>
                <w:bCs/>
                <w:color w:val="auto"/>
                <w:spacing w:val="-10"/>
                <w:sz w:val="24"/>
                <w:szCs w:val="24"/>
                <w:lang w:eastAsia="zh-CN"/>
              </w:rPr>
              <w:t>（</w:t>
            </w:r>
            <w:r>
              <w:rPr>
                <w:rFonts w:hint="eastAsia"/>
                <w:bCs/>
                <w:color w:val="auto"/>
                <w:spacing w:val="-10"/>
                <w:sz w:val="24"/>
                <w:szCs w:val="24"/>
                <w:lang w:val="en-US" w:eastAsia="zh-CN"/>
              </w:rPr>
              <w:t>9</w:t>
            </w:r>
            <w:r>
              <w:rPr>
                <w:rFonts w:hint="eastAsia"/>
                <w:bCs/>
                <w:color w:val="auto"/>
                <w:spacing w:val="-10"/>
                <w:sz w:val="24"/>
                <w:szCs w:val="24"/>
                <w:lang w:eastAsia="zh-CN"/>
              </w:rPr>
              <w:t>）</w:t>
            </w:r>
            <w:r>
              <w:rPr>
                <w:rFonts w:hint="eastAsia"/>
                <w:bCs/>
                <w:color w:val="auto"/>
                <w:spacing w:val="-10"/>
                <w:sz w:val="24"/>
                <w:szCs w:val="24"/>
              </w:rPr>
              <w:t>应急物资配备要求</w:t>
            </w:r>
          </w:p>
          <w:p w14:paraId="05AC51B3">
            <w:pPr>
              <w:spacing w:line="360" w:lineRule="auto"/>
              <w:ind w:firstLine="480" w:firstLineChars="200"/>
              <w:rPr>
                <w:color w:val="auto"/>
                <w:sz w:val="24"/>
                <w:szCs w:val="24"/>
              </w:rPr>
            </w:pPr>
            <w:r>
              <w:rPr>
                <w:rFonts w:hint="eastAsia"/>
                <w:color w:val="auto"/>
                <w:sz w:val="24"/>
                <w:szCs w:val="24"/>
                <w:lang w:val="en-US" w:eastAsia="zh-CN"/>
              </w:rPr>
              <w:t>建设项目建成后应及时编制应急预案，按照应急预案及《环境应急资源调查指南（试行）》（环办应急〔2019〕17 号）</w:t>
            </w:r>
            <w:r>
              <w:rPr>
                <w:rFonts w:hint="eastAsia"/>
                <w:color w:val="auto"/>
                <w:sz w:val="24"/>
                <w:szCs w:val="24"/>
              </w:rPr>
              <w:t>等相关</w:t>
            </w:r>
            <w:r>
              <w:rPr>
                <w:rFonts w:hint="eastAsia"/>
                <w:color w:val="auto"/>
                <w:sz w:val="24"/>
                <w:szCs w:val="24"/>
                <w:lang w:val="en-US" w:eastAsia="zh-CN"/>
              </w:rPr>
              <w:t>要求配备</w:t>
            </w:r>
            <w:r>
              <w:rPr>
                <w:rFonts w:hint="eastAsia"/>
                <w:color w:val="auto"/>
                <w:sz w:val="24"/>
                <w:szCs w:val="24"/>
              </w:rPr>
              <w:t>应急物资。</w:t>
            </w:r>
          </w:p>
          <w:p w14:paraId="7E125750">
            <w:pPr>
              <w:adjustRightInd w:val="0"/>
              <w:snapToGrid w:val="0"/>
              <w:spacing w:line="360" w:lineRule="auto"/>
              <w:ind w:firstLine="442" w:firstLineChars="200"/>
              <w:rPr>
                <w:b/>
                <w:color w:val="auto"/>
                <w:spacing w:val="-10"/>
                <w:sz w:val="24"/>
                <w:szCs w:val="24"/>
              </w:rPr>
            </w:pPr>
            <w:r>
              <w:rPr>
                <w:b/>
                <w:color w:val="auto"/>
                <w:spacing w:val="-10"/>
                <w:sz w:val="24"/>
                <w:szCs w:val="24"/>
              </w:rPr>
              <w:t>8</w:t>
            </w:r>
            <w:r>
              <w:rPr>
                <w:rFonts w:hint="eastAsia"/>
                <w:b/>
                <w:color w:val="auto"/>
                <w:spacing w:val="-10"/>
                <w:sz w:val="24"/>
                <w:szCs w:val="24"/>
              </w:rPr>
              <w:t>、</w:t>
            </w:r>
            <w:r>
              <w:rPr>
                <w:b/>
                <w:color w:val="auto"/>
                <w:spacing w:val="-10"/>
                <w:sz w:val="24"/>
                <w:szCs w:val="24"/>
              </w:rPr>
              <w:t>电磁辐射</w:t>
            </w:r>
          </w:p>
          <w:p w14:paraId="0CABB0CC">
            <w:pPr>
              <w:pStyle w:val="66"/>
              <w:ind w:firstLine="380"/>
              <w:rPr>
                <w:color w:val="auto"/>
                <w:sz w:val="24"/>
                <w:szCs w:val="24"/>
              </w:rPr>
            </w:pPr>
            <w:r>
              <w:rPr>
                <w:bCs/>
                <w:color w:val="auto"/>
                <w:spacing w:val="-10"/>
                <w:sz w:val="24"/>
                <w:szCs w:val="24"/>
              </w:rPr>
              <w:t>本项目不涉及电磁辐射源，无</w:t>
            </w:r>
            <w:r>
              <w:rPr>
                <w:rFonts w:hint="eastAsia" w:cs="Times New Roman"/>
                <w:color w:val="auto"/>
                <w:sz w:val="24"/>
                <w:szCs w:val="24"/>
                <w:lang w:val="en-US" w:eastAsia="zh-CN"/>
              </w:rPr>
              <w:t>需</w:t>
            </w:r>
            <w:r>
              <w:rPr>
                <w:bCs/>
                <w:color w:val="auto"/>
                <w:spacing w:val="-10"/>
                <w:sz w:val="24"/>
                <w:szCs w:val="24"/>
              </w:rPr>
              <w:t>设置电磁辐射环境保护措施</w:t>
            </w:r>
            <w:r>
              <w:rPr>
                <w:rFonts w:hint="eastAsia"/>
                <w:bCs/>
                <w:color w:val="auto"/>
                <w:spacing w:val="-10"/>
                <w:sz w:val="24"/>
                <w:szCs w:val="24"/>
              </w:rPr>
              <w:t>。</w:t>
            </w:r>
          </w:p>
          <w:p w14:paraId="6A86BB0A">
            <w:pPr>
              <w:adjustRightInd w:val="0"/>
              <w:snapToGrid w:val="0"/>
              <w:spacing w:line="360" w:lineRule="auto"/>
              <w:ind w:firstLine="442" w:firstLineChars="200"/>
              <w:rPr>
                <w:b/>
                <w:color w:val="auto"/>
                <w:spacing w:val="-10"/>
                <w:sz w:val="24"/>
                <w:szCs w:val="24"/>
              </w:rPr>
            </w:pPr>
            <w:r>
              <w:rPr>
                <w:rFonts w:hint="eastAsia"/>
                <w:b/>
                <w:color w:val="auto"/>
                <w:spacing w:val="-10"/>
                <w:sz w:val="24"/>
                <w:szCs w:val="24"/>
              </w:rPr>
              <w:t>9、环境监测计划</w:t>
            </w:r>
          </w:p>
          <w:p w14:paraId="2DA61F09">
            <w:pPr>
              <w:spacing w:line="360" w:lineRule="auto"/>
              <w:ind w:firstLine="482" w:firstLineChars="200"/>
              <w:rPr>
                <w:b/>
                <w:color w:val="auto"/>
                <w:kern w:val="21"/>
                <w:sz w:val="24"/>
                <w:szCs w:val="24"/>
              </w:rPr>
            </w:pPr>
            <w:r>
              <w:rPr>
                <w:rFonts w:hint="eastAsia"/>
                <w:b/>
                <w:color w:val="auto"/>
                <w:kern w:val="21"/>
                <w:sz w:val="24"/>
                <w:szCs w:val="24"/>
              </w:rPr>
              <w:t>9</w:t>
            </w:r>
            <w:r>
              <w:rPr>
                <w:b/>
                <w:color w:val="auto"/>
                <w:kern w:val="21"/>
                <w:sz w:val="24"/>
                <w:szCs w:val="24"/>
              </w:rPr>
              <w:t>.</w:t>
            </w:r>
            <w:r>
              <w:rPr>
                <w:rFonts w:hint="eastAsia"/>
                <w:b/>
                <w:color w:val="auto"/>
                <w:kern w:val="21"/>
                <w:sz w:val="24"/>
                <w:szCs w:val="24"/>
                <w:lang w:val="en-US" w:eastAsia="zh-CN"/>
              </w:rPr>
              <w:t>1</w:t>
            </w:r>
            <w:r>
              <w:rPr>
                <w:rFonts w:hint="eastAsia"/>
                <w:b/>
                <w:color w:val="auto"/>
                <w:kern w:val="21"/>
                <w:sz w:val="24"/>
                <w:szCs w:val="24"/>
              </w:rPr>
              <w:t>“三同时”验收监测计划</w:t>
            </w:r>
          </w:p>
          <w:p w14:paraId="3E8B7BCA">
            <w:pPr>
              <w:jc w:val="center"/>
              <w:rPr>
                <w:b/>
                <w:bCs/>
                <w:color w:val="auto"/>
                <w:sz w:val="24"/>
                <w:szCs w:val="24"/>
              </w:rPr>
            </w:pPr>
            <w:r>
              <w:rPr>
                <w:rFonts w:hint="eastAsia"/>
                <w:b/>
                <w:bCs/>
                <w:color w:val="auto"/>
                <w:sz w:val="24"/>
                <w:szCs w:val="24"/>
              </w:rPr>
              <w:t>表4-</w:t>
            </w:r>
            <w:r>
              <w:rPr>
                <w:rFonts w:hint="eastAsia"/>
                <w:b/>
                <w:bCs/>
                <w:color w:val="auto"/>
                <w:sz w:val="24"/>
                <w:szCs w:val="24"/>
                <w:lang w:val="en-US" w:eastAsia="zh-CN"/>
              </w:rPr>
              <w:t>31</w:t>
            </w:r>
            <w:r>
              <w:rPr>
                <w:rFonts w:hint="eastAsia"/>
                <w:b/>
                <w:bCs/>
                <w:color w:val="auto"/>
                <w:sz w:val="24"/>
                <w:szCs w:val="24"/>
              </w:rPr>
              <w:t xml:space="preserve"> “三同时”验收监测计划</w:t>
            </w:r>
          </w:p>
          <w:tbl>
            <w:tblPr>
              <w:tblStyle w:val="26"/>
              <w:tblW w:w="8217"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68"/>
              <w:gridCol w:w="1987"/>
              <w:gridCol w:w="1288"/>
              <w:gridCol w:w="1150"/>
              <w:gridCol w:w="3124"/>
            </w:tblGrid>
            <w:tr w14:paraId="7843783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68" w:type="dxa"/>
                  <w:tcBorders>
                    <w:tl2br w:val="nil"/>
                    <w:tr2bl w:val="nil"/>
                  </w:tcBorders>
                  <w:vAlign w:val="center"/>
                </w:tcPr>
                <w:p w14:paraId="0EB08BB8">
                  <w:pPr>
                    <w:widowControl/>
                    <w:jc w:val="center"/>
                    <w:rPr>
                      <w:b/>
                      <w:bCs/>
                      <w:color w:val="auto"/>
                      <w:sz w:val="21"/>
                      <w:szCs w:val="21"/>
                    </w:rPr>
                  </w:pPr>
                  <w:r>
                    <w:rPr>
                      <w:b/>
                      <w:bCs/>
                      <w:color w:val="auto"/>
                      <w:sz w:val="21"/>
                      <w:szCs w:val="21"/>
                    </w:rPr>
                    <w:t>类别</w:t>
                  </w:r>
                </w:p>
              </w:tc>
              <w:tc>
                <w:tcPr>
                  <w:tcW w:w="1987" w:type="dxa"/>
                  <w:tcBorders>
                    <w:tl2br w:val="nil"/>
                    <w:tr2bl w:val="nil"/>
                  </w:tcBorders>
                  <w:vAlign w:val="center"/>
                </w:tcPr>
                <w:p w14:paraId="4445D8DA">
                  <w:pPr>
                    <w:widowControl/>
                    <w:jc w:val="center"/>
                    <w:rPr>
                      <w:b/>
                      <w:bCs/>
                      <w:color w:val="auto"/>
                      <w:sz w:val="21"/>
                      <w:szCs w:val="21"/>
                    </w:rPr>
                  </w:pPr>
                  <w:r>
                    <w:rPr>
                      <w:b/>
                      <w:bCs/>
                      <w:color w:val="auto"/>
                      <w:sz w:val="21"/>
                      <w:szCs w:val="21"/>
                    </w:rPr>
                    <w:t>监测点位</w:t>
                  </w:r>
                </w:p>
              </w:tc>
              <w:tc>
                <w:tcPr>
                  <w:tcW w:w="1288" w:type="dxa"/>
                  <w:tcBorders>
                    <w:tl2br w:val="nil"/>
                    <w:tr2bl w:val="nil"/>
                  </w:tcBorders>
                  <w:vAlign w:val="center"/>
                </w:tcPr>
                <w:p w14:paraId="0110B79D">
                  <w:pPr>
                    <w:widowControl/>
                    <w:jc w:val="center"/>
                    <w:rPr>
                      <w:b/>
                      <w:bCs/>
                      <w:color w:val="auto"/>
                      <w:sz w:val="21"/>
                      <w:szCs w:val="21"/>
                    </w:rPr>
                  </w:pPr>
                  <w:r>
                    <w:rPr>
                      <w:b/>
                      <w:bCs/>
                      <w:color w:val="auto"/>
                      <w:sz w:val="21"/>
                      <w:szCs w:val="21"/>
                    </w:rPr>
                    <w:t>监测指标</w:t>
                  </w:r>
                </w:p>
              </w:tc>
              <w:tc>
                <w:tcPr>
                  <w:tcW w:w="1150" w:type="dxa"/>
                  <w:tcBorders>
                    <w:tl2br w:val="nil"/>
                    <w:tr2bl w:val="nil"/>
                  </w:tcBorders>
                  <w:vAlign w:val="center"/>
                </w:tcPr>
                <w:p w14:paraId="102C90C9">
                  <w:pPr>
                    <w:widowControl/>
                    <w:jc w:val="center"/>
                    <w:rPr>
                      <w:b/>
                      <w:bCs/>
                      <w:color w:val="auto"/>
                      <w:sz w:val="21"/>
                      <w:szCs w:val="21"/>
                    </w:rPr>
                  </w:pPr>
                  <w:r>
                    <w:rPr>
                      <w:b/>
                      <w:bCs/>
                      <w:color w:val="auto"/>
                      <w:sz w:val="21"/>
                      <w:szCs w:val="21"/>
                    </w:rPr>
                    <w:t>监测频率</w:t>
                  </w:r>
                </w:p>
              </w:tc>
              <w:tc>
                <w:tcPr>
                  <w:tcW w:w="3124" w:type="dxa"/>
                  <w:tcBorders>
                    <w:tl2br w:val="nil"/>
                    <w:tr2bl w:val="nil"/>
                  </w:tcBorders>
                  <w:vAlign w:val="center"/>
                </w:tcPr>
                <w:p w14:paraId="50C5EE98">
                  <w:pPr>
                    <w:widowControl/>
                    <w:jc w:val="center"/>
                    <w:rPr>
                      <w:b/>
                      <w:bCs/>
                      <w:color w:val="auto"/>
                      <w:sz w:val="21"/>
                      <w:szCs w:val="21"/>
                    </w:rPr>
                  </w:pPr>
                  <w:r>
                    <w:rPr>
                      <w:b/>
                      <w:bCs/>
                      <w:color w:val="auto"/>
                      <w:sz w:val="21"/>
                      <w:szCs w:val="21"/>
                    </w:rPr>
                    <w:t>执行标准</w:t>
                  </w:r>
                </w:p>
              </w:tc>
            </w:tr>
            <w:tr w14:paraId="5D40223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68" w:type="dxa"/>
                  <w:vMerge w:val="restart"/>
                  <w:tcBorders>
                    <w:tl2br w:val="nil"/>
                    <w:tr2bl w:val="nil"/>
                  </w:tcBorders>
                  <w:vAlign w:val="center"/>
                </w:tcPr>
                <w:p w14:paraId="75B84287">
                  <w:pPr>
                    <w:widowControl/>
                    <w:jc w:val="center"/>
                    <w:rPr>
                      <w:rFonts w:hint="eastAsia" w:eastAsia="宋体"/>
                      <w:color w:val="auto"/>
                      <w:sz w:val="21"/>
                      <w:szCs w:val="21"/>
                      <w:lang w:val="en-US" w:eastAsia="zh-CN"/>
                    </w:rPr>
                  </w:pPr>
                  <w:r>
                    <w:rPr>
                      <w:rFonts w:hint="eastAsia"/>
                      <w:color w:val="auto"/>
                      <w:sz w:val="21"/>
                      <w:szCs w:val="21"/>
                      <w:lang w:val="en-US" w:eastAsia="zh-CN"/>
                    </w:rPr>
                    <w:t>废气</w:t>
                  </w:r>
                </w:p>
              </w:tc>
              <w:tc>
                <w:tcPr>
                  <w:tcW w:w="1987" w:type="dxa"/>
                  <w:tcBorders>
                    <w:tl2br w:val="nil"/>
                    <w:tr2bl w:val="nil"/>
                  </w:tcBorders>
                  <w:shd w:val="clear" w:color="auto" w:fill="auto"/>
                  <w:vAlign w:val="center"/>
                </w:tcPr>
                <w:p w14:paraId="27C720CF">
                  <w:pPr>
                    <w:widowControl/>
                    <w:jc w:val="center"/>
                    <w:rPr>
                      <w:rFonts w:hint="default" w:ascii="Times New Roman" w:hAnsi="Times New Roman" w:eastAsia="宋体" w:cs="Times New Roman"/>
                      <w:color w:val="auto"/>
                      <w:kern w:val="2"/>
                      <w:sz w:val="21"/>
                      <w:szCs w:val="21"/>
                      <w:lang w:val="en-US" w:eastAsia="zh-CN" w:bidi="ar"/>
                    </w:rPr>
                  </w:pPr>
                  <w:r>
                    <w:rPr>
                      <w:rFonts w:hint="eastAsia"/>
                      <w:color w:val="auto"/>
                    </w:rPr>
                    <w:t>DA001排气筒</w:t>
                  </w:r>
                </w:p>
              </w:tc>
              <w:tc>
                <w:tcPr>
                  <w:tcW w:w="1288" w:type="dxa"/>
                  <w:tcBorders>
                    <w:tl2br w:val="nil"/>
                    <w:tr2bl w:val="nil"/>
                  </w:tcBorders>
                  <w:shd w:val="clear" w:color="auto" w:fill="auto"/>
                  <w:vAlign w:val="center"/>
                </w:tcPr>
                <w:p w14:paraId="20B74508">
                  <w:pPr>
                    <w:snapToGrid w:val="0"/>
                    <w:spacing w:line="240" w:lineRule="atLeast"/>
                    <w:jc w:val="center"/>
                    <w:rPr>
                      <w:rFonts w:hint="eastAsia" w:ascii="Times New Roman" w:hAnsi="Times New Roman" w:eastAsia="宋体" w:cs="Times New Roman"/>
                      <w:color w:val="auto"/>
                      <w:kern w:val="2"/>
                      <w:sz w:val="21"/>
                      <w:szCs w:val="21"/>
                      <w:lang w:val="en-US" w:eastAsia="zh-CN" w:bidi="ar"/>
                    </w:rPr>
                  </w:pPr>
                  <w:r>
                    <w:rPr>
                      <w:color w:val="auto"/>
                    </w:rPr>
                    <w:t>颗粒物</w:t>
                  </w:r>
                </w:p>
              </w:tc>
              <w:tc>
                <w:tcPr>
                  <w:tcW w:w="1150" w:type="dxa"/>
                  <w:tcBorders>
                    <w:tl2br w:val="nil"/>
                    <w:tr2bl w:val="nil"/>
                  </w:tcBorders>
                  <w:shd w:val="clear" w:color="auto" w:fill="auto"/>
                  <w:vAlign w:val="center"/>
                </w:tcPr>
                <w:p w14:paraId="0F3AA061">
                  <w:pPr>
                    <w:widowControl/>
                    <w:jc w:val="center"/>
                    <w:rPr>
                      <w:rFonts w:hint="eastAsia" w:ascii="Times New Roman" w:hAnsi="Times New Roman" w:eastAsia="宋体" w:cs="Times New Roman"/>
                      <w:color w:val="auto"/>
                      <w:kern w:val="2"/>
                      <w:sz w:val="21"/>
                      <w:szCs w:val="21"/>
                      <w:lang w:val="en-US" w:eastAsia="zh-CN" w:bidi="ar"/>
                    </w:rPr>
                  </w:pPr>
                  <w:r>
                    <w:rPr>
                      <w:rFonts w:hint="eastAsia"/>
                      <w:color w:val="auto"/>
                    </w:rPr>
                    <w:t>监测2天，一天3次</w:t>
                  </w:r>
                </w:p>
              </w:tc>
              <w:tc>
                <w:tcPr>
                  <w:tcW w:w="3124" w:type="dxa"/>
                  <w:tcBorders>
                    <w:tl2br w:val="nil"/>
                    <w:tr2bl w:val="nil"/>
                  </w:tcBorders>
                  <w:shd w:val="clear" w:color="auto" w:fill="auto"/>
                  <w:vAlign w:val="center"/>
                </w:tcPr>
                <w:p w14:paraId="344DB740">
                  <w:pPr>
                    <w:widowControl/>
                    <w:jc w:val="center"/>
                    <w:rPr>
                      <w:rFonts w:hint="eastAsia" w:ascii="Times New Roman" w:hAnsi="Times New Roman" w:eastAsia="宋体" w:cs="Times New Roman"/>
                      <w:color w:val="auto"/>
                      <w:kern w:val="2"/>
                      <w:sz w:val="21"/>
                      <w:szCs w:val="21"/>
                      <w:lang w:val="en-US" w:eastAsia="zh-CN" w:bidi="ar"/>
                    </w:rPr>
                  </w:pPr>
                  <w:r>
                    <w:rPr>
                      <w:rFonts w:hint="eastAsia"/>
                      <w:color w:val="auto"/>
                    </w:rPr>
                    <w:t>《大气污染物综合排放标准》（DB32/4041-2021）表1</w:t>
                  </w:r>
                </w:p>
              </w:tc>
            </w:tr>
            <w:tr w14:paraId="7BC3746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68" w:type="dxa"/>
                  <w:vMerge w:val="continue"/>
                  <w:tcBorders>
                    <w:tl2br w:val="nil"/>
                    <w:tr2bl w:val="nil"/>
                  </w:tcBorders>
                  <w:vAlign w:val="center"/>
                </w:tcPr>
                <w:p w14:paraId="2BD254BE">
                  <w:pPr>
                    <w:widowControl/>
                    <w:jc w:val="center"/>
                    <w:rPr>
                      <w:rFonts w:hint="eastAsia" w:eastAsia="宋体"/>
                      <w:color w:val="auto"/>
                      <w:sz w:val="21"/>
                      <w:szCs w:val="21"/>
                      <w:lang w:val="en-US" w:eastAsia="zh-CN"/>
                    </w:rPr>
                  </w:pPr>
                </w:p>
              </w:tc>
              <w:tc>
                <w:tcPr>
                  <w:tcW w:w="1987" w:type="dxa"/>
                  <w:vMerge w:val="restart"/>
                  <w:tcBorders>
                    <w:tl2br w:val="nil"/>
                    <w:tr2bl w:val="nil"/>
                  </w:tcBorders>
                  <w:vAlign w:val="center"/>
                </w:tcPr>
                <w:p w14:paraId="576E31B5">
                  <w:pPr>
                    <w:widowControl/>
                    <w:jc w:val="center"/>
                    <w:rPr>
                      <w:color w:val="auto"/>
                      <w:sz w:val="21"/>
                      <w:szCs w:val="21"/>
                    </w:rPr>
                  </w:pPr>
                  <w:r>
                    <w:rPr>
                      <w:color w:val="auto"/>
                      <w:sz w:val="21"/>
                      <w:szCs w:val="21"/>
                    </w:rPr>
                    <w:t>在企业上风向厂界外10米范围内设参照点，下风向厂界外10米范围内或最大落地浓度处设2</w:t>
                  </w:r>
                  <w:r>
                    <w:rPr>
                      <w:rFonts w:hint="eastAsia"/>
                      <w:color w:val="auto"/>
                      <w:sz w:val="21"/>
                      <w:szCs w:val="21"/>
                    </w:rPr>
                    <w:t>～</w:t>
                  </w:r>
                  <w:r>
                    <w:rPr>
                      <w:color w:val="auto"/>
                      <w:sz w:val="21"/>
                      <w:szCs w:val="21"/>
                    </w:rPr>
                    <w:t>4个监控点</w:t>
                  </w:r>
                </w:p>
              </w:tc>
              <w:tc>
                <w:tcPr>
                  <w:tcW w:w="1288" w:type="dxa"/>
                  <w:tcBorders>
                    <w:tl2br w:val="nil"/>
                    <w:tr2bl w:val="nil"/>
                  </w:tcBorders>
                  <w:vAlign w:val="center"/>
                </w:tcPr>
                <w:p w14:paraId="28936EBF">
                  <w:pPr>
                    <w:widowControl/>
                    <w:jc w:val="center"/>
                    <w:rPr>
                      <w:rFonts w:hint="eastAsia" w:eastAsia="宋体"/>
                      <w:color w:val="auto"/>
                      <w:sz w:val="21"/>
                      <w:szCs w:val="21"/>
                      <w:lang w:eastAsia="zh-CN"/>
                    </w:rPr>
                  </w:pPr>
                  <w:r>
                    <w:rPr>
                      <w:rFonts w:hint="eastAsia" w:eastAsia="宋体"/>
                      <w:color w:val="auto"/>
                      <w:sz w:val="21"/>
                      <w:szCs w:val="21"/>
                      <w:lang w:eastAsia="zh-CN"/>
                    </w:rPr>
                    <w:t>颗粒物、非甲烷总烃</w:t>
                  </w:r>
                </w:p>
              </w:tc>
              <w:tc>
                <w:tcPr>
                  <w:tcW w:w="1150" w:type="dxa"/>
                  <w:tcBorders>
                    <w:tl2br w:val="nil"/>
                    <w:tr2bl w:val="nil"/>
                  </w:tcBorders>
                  <w:vAlign w:val="center"/>
                </w:tcPr>
                <w:p w14:paraId="2923C2FF">
                  <w:pPr>
                    <w:widowControl/>
                    <w:jc w:val="center"/>
                    <w:rPr>
                      <w:color w:val="auto"/>
                      <w:sz w:val="21"/>
                      <w:szCs w:val="21"/>
                    </w:rPr>
                  </w:pPr>
                  <w:r>
                    <w:rPr>
                      <w:rFonts w:hint="eastAsia"/>
                      <w:color w:val="auto"/>
                      <w:sz w:val="21"/>
                      <w:szCs w:val="21"/>
                    </w:rPr>
                    <w:t>监测2天，一天3次</w:t>
                  </w:r>
                </w:p>
              </w:tc>
              <w:tc>
                <w:tcPr>
                  <w:tcW w:w="3124" w:type="dxa"/>
                  <w:tcBorders>
                    <w:tl2br w:val="nil"/>
                    <w:tr2bl w:val="nil"/>
                  </w:tcBorders>
                  <w:vAlign w:val="center"/>
                </w:tcPr>
                <w:p w14:paraId="5A6CAC57">
                  <w:pPr>
                    <w:widowControl/>
                    <w:jc w:val="center"/>
                    <w:rPr>
                      <w:rFonts w:hint="eastAsia" w:eastAsia="宋体"/>
                      <w:color w:val="auto"/>
                      <w:sz w:val="21"/>
                      <w:szCs w:val="21"/>
                      <w:lang w:eastAsia="zh-CN"/>
                    </w:rPr>
                  </w:pPr>
                  <w:r>
                    <w:rPr>
                      <w:rFonts w:hint="eastAsia"/>
                      <w:color w:val="auto"/>
                      <w:sz w:val="21"/>
                      <w:szCs w:val="21"/>
                      <w:lang w:eastAsia="zh-CN"/>
                    </w:rPr>
                    <w:t>《大气污染物综合排放标准》（DB32/4041-2021）表3</w:t>
                  </w:r>
                </w:p>
              </w:tc>
            </w:tr>
            <w:tr w14:paraId="2886350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68" w:type="dxa"/>
                  <w:vMerge w:val="continue"/>
                  <w:tcBorders>
                    <w:tl2br w:val="nil"/>
                    <w:tr2bl w:val="nil"/>
                  </w:tcBorders>
                  <w:vAlign w:val="center"/>
                </w:tcPr>
                <w:p w14:paraId="0C3F5E41">
                  <w:pPr>
                    <w:widowControl/>
                    <w:jc w:val="center"/>
                    <w:rPr>
                      <w:color w:val="auto"/>
                      <w:sz w:val="21"/>
                      <w:szCs w:val="21"/>
                    </w:rPr>
                  </w:pPr>
                </w:p>
              </w:tc>
              <w:tc>
                <w:tcPr>
                  <w:tcW w:w="1987" w:type="dxa"/>
                  <w:vMerge w:val="continue"/>
                  <w:tcBorders>
                    <w:tl2br w:val="nil"/>
                    <w:tr2bl w:val="nil"/>
                  </w:tcBorders>
                  <w:vAlign w:val="center"/>
                </w:tcPr>
                <w:p w14:paraId="58CAE20D">
                  <w:pPr>
                    <w:widowControl/>
                    <w:jc w:val="center"/>
                    <w:rPr>
                      <w:color w:val="auto"/>
                      <w:sz w:val="21"/>
                      <w:szCs w:val="21"/>
                    </w:rPr>
                  </w:pPr>
                </w:p>
              </w:tc>
              <w:tc>
                <w:tcPr>
                  <w:tcW w:w="1288" w:type="dxa"/>
                  <w:tcBorders>
                    <w:tl2br w:val="nil"/>
                    <w:tr2bl w:val="nil"/>
                  </w:tcBorders>
                  <w:vAlign w:val="center"/>
                </w:tcPr>
                <w:p w14:paraId="07589A61">
                  <w:pPr>
                    <w:widowControl/>
                    <w:jc w:val="center"/>
                    <w:rPr>
                      <w:rFonts w:hint="eastAsia" w:eastAsia="宋体"/>
                      <w:color w:val="auto"/>
                      <w:sz w:val="21"/>
                      <w:szCs w:val="21"/>
                      <w:lang w:eastAsia="zh-CN"/>
                    </w:rPr>
                  </w:pPr>
                  <w:r>
                    <w:rPr>
                      <w:rFonts w:hint="eastAsia" w:eastAsia="宋体"/>
                      <w:color w:val="auto"/>
                      <w:sz w:val="21"/>
                      <w:szCs w:val="21"/>
                      <w:lang w:eastAsia="zh-CN"/>
                    </w:rPr>
                    <w:t>臭气浓度</w:t>
                  </w:r>
                  <w:r>
                    <w:rPr>
                      <w:rFonts w:hint="eastAsia"/>
                      <w:color w:val="auto"/>
                      <w:sz w:val="21"/>
                      <w:szCs w:val="21"/>
                      <w:lang w:eastAsia="zh-CN"/>
                    </w:rPr>
                    <w:t>、硫化氢、氨气</w:t>
                  </w:r>
                </w:p>
              </w:tc>
              <w:tc>
                <w:tcPr>
                  <w:tcW w:w="1150" w:type="dxa"/>
                  <w:tcBorders>
                    <w:tl2br w:val="nil"/>
                    <w:tr2bl w:val="nil"/>
                  </w:tcBorders>
                  <w:vAlign w:val="center"/>
                </w:tcPr>
                <w:p w14:paraId="23C8D6B0">
                  <w:pPr>
                    <w:widowControl/>
                    <w:jc w:val="center"/>
                    <w:rPr>
                      <w:rFonts w:hint="eastAsia"/>
                      <w:color w:val="auto"/>
                      <w:sz w:val="21"/>
                      <w:szCs w:val="21"/>
                    </w:rPr>
                  </w:pPr>
                  <w:r>
                    <w:rPr>
                      <w:rFonts w:hint="eastAsia"/>
                      <w:color w:val="auto"/>
                      <w:sz w:val="21"/>
                      <w:szCs w:val="21"/>
                    </w:rPr>
                    <w:t>监测2天，一天</w:t>
                  </w:r>
                  <w:r>
                    <w:rPr>
                      <w:rFonts w:hint="eastAsia"/>
                      <w:color w:val="auto"/>
                      <w:sz w:val="21"/>
                      <w:szCs w:val="21"/>
                      <w:lang w:val="en-US" w:eastAsia="zh-CN"/>
                    </w:rPr>
                    <w:t>4</w:t>
                  </w:r>
                  <w:r>
                    <w:rPr>
                      <w:rFonts w:hint="eastAsia"/>
                      <w:color w:val="auto"/>
                      <w:sz w:val="21"/>
                      <w:szCs w:val="21"/>
                    </w:rPr>
                    <w:t>次</w:t>
                  </w:r>
                </w:p>
              </w:tc>
              <w:tc>
                <w:tcPr>
                  <w:tcW w:w="3124" w:type="dxa"/>
                  <w:tcBorders>
                    <w:tl2br w:val="nil"/>
                    <w:tr2bl w:val="nil"/>
                  </w:tcBorders>
                  <w:vAlign w:val="center"/>
                </w:tcPr>
                <w:p w14:paraId="126C902F">
                  <w:pPr>
                    <w:widowControl/>
                    <w:jc w:val="center"/>
                    <w:rPr>
                      <w:rFonts w:hint="eastAsia"/>
                      <w:color w:val="auto"/>
                      <w:sz w:val="21"/>
                      <w:szCs w:val="21"/>
                      <w:lang w:eastAsia="zh-CN"/>
                    </w:rPr>
                  </w:pPr>
                  <w:r>
                    <w:rPr>
                      <w:rFonts w:hint="eastAsia"/>
                      <w:color w:val="auto"/>
                      <w:sz w:val="21"/>
                      <w:szCs w:val="21"/>
                      <w:lang w:eastAsia="zh-CN"/>
                    </w:rPr>
                    <w:t>《恶臭污染物排放标准》（GB14554-93）表1</w:t>
                  </w:r>
                </w:p>
              </w:tc>
            </w:tr>
            <w:tr w14:paraId="3330798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68" w:type="dxa"/>
                  <w:vMerge w:val="continue"/>
                  <w:tcBorders>
                    <w:tl2br w:val="nil"/>
                    <w:tr2bl w:val="nil"/>
                  </w:tcBorders>
                  <w:vAlign w:val="center"/>
                </w:tcPr>
                <w:p w14:paraId="24C1B0DB">
                  <w:pPr>
                    <w:widowControl/>
                    <w:jc w:val="center"/>
                    <w:rPr>
                      <w:color w:val="auto"/>
                      <w:sz w:val="21"/>
                      <w:szCs w:val="21"/>
                    </w:rPr>
                  </w:pPr>
                </w:p>
              </w:tc>
              <w:tc>
                <w:tcPr>
                  <w:tcW w:w="1987" w:type="dxa"/>
                  <w:tcBorders>
                    <w:tl2br w:val="nil"/>
                    <w:tr2bl w:val="nil"/>
                  </w:tcBorders>
                  <w:vAlign w:val="center"/>
                </w:tcPr>
                <w:p w14:paraId="7D5108C4">
                  <w:pPr>
                    <w:widowControl/>
                    <w:jc w:val="center"/>
                    <w:rPr>
                      <w:rFonts w:hint="default" w:eastAsia="宋体"/>
                      <w:color w:val="auto"/>
                      <w:sz w:val="21"/>
                      <w:szCs w:val="21"/>
                      <w:lang w:val="en-US" w:eastAsia="zh-CN"/>
                    </w:rPr>
                  </w:pPr>
                  <w:r>
                    <w:rPr>
                      <w:rFonts w:hint="eastAsia"/>
                      <w:color w:val="auto"/>
                      <w:sz w:val="21"/>
                      <w:szCs w:val="21"/>
                      <w:lang w:val="en-US" w:eastAsia="zh-CN"/>
                    </w:rPr>
                    <w:t>厂区内</w:t>
                  </w:r>
                </w:p>
              </w:tc>
              <w:tc>
                <w:tcPr>
                  <w:tcW w:w="1288" w:type="dxa"/>
                  <w:tcBorders>
                    <w:tl2br w:val="nil"/>
                    <w:tr2bl w:val="nil"/>
                  </w:tcBorders>
                  <w:vAlign w:val="center"/>
                </w:tcPr>
                <w:p w14:paraId="67E22627">
                  <w:pPr>
                    <w:widowControl/>
                    <w:jc w:val="center"/>
                    <w:rPr>
                      <w:rFonts w:hint="default" w:eastAsia="宋体"/>
                      <w:color w:val="auto"/>
                      <w:sz w:val="21"/>
                      <w:szCs w:val="21"/>
                      <w:lang w:val="en-US" w:eastAsia="zh-CN"/>
                    </w:rPr>
                  </w:pPr>
                  <w:r>
                    <w:rPr>
                      <w:rFonts w:hint="eastAsia"/>
                      <w:color w:val="auto"/>
                      <w:sz w:val="21"/>
                      <w:szCs w:val="21"/>
                    </w:rPr>
                    <w:t>非甲烷总烃</w:t>
                  </w:r>
                </w:p>
              </w:tc>
              <w:tc>
                <w:tcPr>
                  <w:tcW w:w="1150" w:type="dxa"/>
                  <w:tcBorders>
                    <w:tl2br w:val="nil"/>
                    <w:tr2bl w:val="nil"/>
                  </w:tcBorders>
                  <w:vAlign w:val="center"/>
                </w:tcPr>
                <w:p w14:paraId="478BA8E2">
                  <w:pPr>
                    <w:widowControl/>
                    <w:jc w:val="center"/>
                    <w:rPr>
                      <w:color w:val="auto"/>
                      <w:sz w:val="21"/>
                      <w:szCs w:val="21"/>
                    </w:rPr>
                  </w:pPr>
                  <w:r>
                    <w:rPr>
                      <w:rFonts w:hint="eastAsia"/>
                      <w:color w:val="auto"/>
                      <w:sz w:val="21"/>
                      <w:szCs w:val="21"/>
                    </w:rPr>
                    <w:t>监测2天，一天3次</w:t>
                  </w:r>
                </w:p>
              </w:tc>
              <w:tc>
                <w:tcPr>
                  <w:tcW w:w="3124" w:type="dxa"/>
                  <w:tcBorders>
                    <w:tl2br w:val="nil"/>
                    <w:tr2bl w:val="nil"/>
                  </w:tcBorders>
                  <w:vAlign w:val="center"/>
                </w:tcPr>
                <w:p w14:paraId="19A6B6A2">
                  <w:pPr>
                    <w:widowControl/>
                    <w:jc w:val="center"/>
                    <w:rPr>
                      <w:rFonts w:hint="eastAsia" w:eastAsia="宋体"/>
                      <w:color w:val="auto"/>
                      <w:sz w:val="21"/>
                      <w:szCs w:val="21"/>
                      <w:lang w:eastAsia="zh-CN"/>
                    </w:rPr>
                  </w:pPr>
                  <w:r>
                    <w:rPr>
                      <w:rFonts w:hint="eastAsia"/>
                      <w:color w:val="auto"/>
                      <w:sz w:val="21"/>
                      <w:szCs w:val="21"/>
                    </w:rPr>
                    <w:t>江苏省《大气污染物综合排放标准》（DB32/4041-2021）表2</w:t>
                  </w:r>
                </w:p>
              </w:tc>
            </w:tr>
            <w:tr w14:paraId="741F8E4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68" w:type="dxa"/>
                  <w:tcBorders>
                    <w:tl2br w:val="nil"/>
                    <w:tr2bl w:val="nil"/>
                  </w:tcBorders>
                  <w:vAlign w:val="center"/>
                </w:tcPr>
                <w:p w14:paraId="44426683">
                  <w:pPr>
                    <w:widowControl/>
                    <w:jc w:val="center"/>
                    <w:rPr>
                      <w:color w:val="auto"/>
                      <w:sz w:val="21"/>
                      <w:szCs w:val="21"/>
                    </w:rPr>
                  </w:pPr>
                  <w:r>
                    <w:rPr>
                      <w:rFonts w:hint="eastAsia"/>
                      <w:color w:val="auto"/>
                      <w:sz w:val="21"/>
                      <w:szCs w:val="21"/>
                    </w:rPr>
                    <w:t>废水</w:t>
                  </w:r>
                </w:p>
              </w:tc>
              <w:tc>
                <w:tcPr>
                  <w:tcW w:w="1987" w:type="dxa"/>
                  <w:tcBorders>
                    <w:tl2br w:val="nil"/>
                    <w:tr2bl w:val="nil"/>
                  </w:tcBorders>
                  <w:vAlign w:val="center"/>
                </w:tcPr>
                <w:p w14:paraId="47E1B8E0">
                  <w:pPr>
                    <w:widowControl/>
                    <w:jc w:val="center"/>
                    <w:rPr>
                      <w:color w:val="auto"/>
                      <w:sz w:val="21"/>
                      <w:szCs w:val="21"/>
                    </w:rPr>
                  </w:pPr>
                  <w:r>
                    <w:rPr>
                      <w:rFonts w:hint="eastAsia"/>
                      <w:color w:val="auto"/>
                      <w:sz w:val="21"/>
                      <w:szCs w:val="21"/>
                      <w:lang w:val="en-US" w:eastAsia="zh-CN"/>
                    </w:rPr>
                    <w:t>污水</w:t>
                  </w:r>
                  <w:r>
                    <w:rPr>
                      <w:rFonts w:hint="eastAsia"/>
                      <w:color w:val="auto"/>
                      <w:sz w:val="21"/>
                      <w:szCs w:val="21"/>
                    </w:rPr>
                    <w:t>总排口</w:t>
                  </w:r>
                </w:p>
              </w:tc>
              <w:tc>
                <w:tcPr>
                  <w:tcW w:w="1288" w:type="dxa"/>
                  <w:tcBorders>
                    <w:tl2br w:val="nil"/>
                    <w:tr2bl w:val="nil"/>
                  </w:tcBorders>
                  <w:vAlign w:val="center"/>
                </w:tcPr>
                <w:p w14:paraId="359CD9FC">
                  <w:pPr>
                    <w:spacing w:line="240" w:lineRule="atLeast"/>
                    <w:jc w:val="center"/>
                    <w:rPr>
                      <w:rFonts w:hint="eastAsia" w:eastAsia="宋体"/>
                      <w:color w:val="auto"/>
                      <w:sz w:val="21"/>
                      <w:szCs w:val="21"/>
                      <w:lang w:val="en-US" w:eastAsia="zh-CN"/>
                    </w:rPr>
                  </w:pPr>
                  <w:r>
                    <w:rPr>
                      <w:color w:val="auto"/>
                      <w:kern w:val="0"/>
                      <w:sz w:val="21"/>
                      <w:szCs w:val="21"/>
                    </w:rPr>
                    <w:t>pH、COD、SS、NH</w:t>
                  </w:r>
                  <w:r>
                    <w:rPr>
                      <w:color w:val="auto"/>
                      <w:kern w:val="0"/>
                      <w:sz w:val="21"/>
                      <w:szCs w:val="21"/>
                      <w:vertAlign w:val="subscript"/>
                    </w:rPr>
                    <w:t>3</w:t>
                  </w:r>
                  <w:r>
                    <w:rPr>
                      <w:color w:val="auto"/>
                      <w:kern w:val="0"/>
                      <w:sz w:val="21"/>
                      <w:szCs w:val="21"/>
                    </w:rPr>
                    <w:t>-N、TP、TN</w:t>
                  </w:r>
                </w:p>
              </w:tc>
              <w:tc>
                <w:tcPr>
                  <w:tcW w:w="1150" w:type="dxa"/>
                  <w:tcBorders>
                    <w:tl2br w:val="nil"/>
                    <w:tr2bl w:val="nil"/>
                  </w:tcBorders>
                  <w:vAlign w:val="center"/>
                </w:tcPr>
                <w:p w14:paraId="33D8403A">
                  <w:pPr>
                    <w:widowControl/>
                    <w:jc w:val="center"/>
                    <w:rPr>
                      <w:color w:val="auto"/>
                      <w:sz w:val="21"/>
                      <w:szCs w:val="21"/>
                    </w:rPr>
                  </w:pPr>
                  <w:r>
                    <w:rPr>
                      <w:rFonts w:hint="eastAsia"/>
                      <w:color w:val="auto"/>
                      <w:sz w:val="21"/>
                      <w:szCs w:val="21"/>
                    </w:rPr>
                    <w:t>监测2天，每天4次</w:t>
                  </w:r>
                </w:p>
              </w:tc>
              <w:tc>
                <w:tcPr>
                  <w:tcW w:w="3124" w:type="dxa"/>
                  <w:tcBorders>
                    <w:tl2br w:val="nil"/>
                    <w:tr2bl w:val="nil"/>
                  </w:tcBorders>
                  <w:vAlign w:val="center"/>
                </w:tcPr>
                <w:p w14:paraId="0F2C3E75">
                  <w:pPr>
                    <w:widowControl/>
                    <w:jc w:val="center"/>
                    <w:rPr>
                      <w:color w:val="auto"/>
                      <w:sz w:val="21"/>
                      <w:szCs w:val="21"/>
                    </w:rPr>
                  </w:pPr>
                  <w:r>
                    <w:rPr>
                      <w:rFonts w:hint="eastAsia"/>
                      <w:color w:val="auto"/>
                      <w:sz w:val="21"/>
                      <w:szCs w:val="21"/>
                    </w:rPr>
                    <w:t>《污水综合排放标准》（GB8978-1996）表4中三级标准和《污水排入城镇下水道水质标准》（GB/T31962-2015）表1中B等级标准及鹰泰水务海安有限公司接管标准</w:t>
                  </w:r>
                </w:p>
              </w:tc>
            </w:tr>
            <w:tr w14:paraId="6A7702E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68" w:type="dxa"/>
                  <w:tcBorders>
                    <w:tl2br w:val="nil"/>
                    <w:tr2bl w:val="nil"/>
                  </w:tcBorders>
                  <w:vAlign w:val="center"/>
                </w:tcPr>
                <w:p w14:paraId="57C6F95A">
                  <w:pPr>
                    <w:widowControl/>
                    <w:jc w:val="center"/>
                    <w:rPr>
                      <w:rFonts w:hint="eastAsia" w:eastAsia="宋体"/>
                      <w:color w:val="auto"/>
                      <w:sz w:val="21"/>
                      <w:szCs w:val="21"/>
                      <w:lang w:val="en-US" w:eastAsia="zh-CN"/>
                    </w:rPr>
                  </w:pPr>
                  <w:r>
                    <w:rPr>
                      <w:rFonts w:hint="eastAsia"/>
                      <w:color w:val="auto"/>
                      <w:sz w:val="21"/>
                      <w:szCs w:val="21"/>
                      <w:lang w:val="en-US" w:eastAsia="zh-CN"/>
                    </w:rPr>
                    <w:t>雨水</w:t>
                  </w:r>
                </w:p>
              </w:tc>
              <w:tc>
                <w:tcPr>
                  <w:tcW w:w="1987" w:type="dxa"/>
                  <w:tcBorders>
                    <w:tl2br w:val="nil"/>
                    <w:tr2bl w:val="nil"/>
                  </w:tcBorders>
                  <w:vAlign w:val="center"/>
                </w:tcPr>
                <w:p w14:paraId="2921BAF9">
                  <w:pPr>
                    <w:widowControl/>
                    <w:jc w:val="center"/>
                    <w:rPr>
                      <w:rFonts w:hint="default"/>
                      <w:color w:val="auto"/>
                      <w:sz w:val="21"/>
                      <w:szCs w:val="21"/>
                      <w:lang w:val="en-US" w:eastAsia="zh-CN"/>
                    </w:rPr>
                  </w:pPr>
                  <w:r>
                    <w:rPr>
                      <w:rFonts w:hint="eastAsia"/>
                      <w:color w:val="auto"/>
                      <w:sz w:val="21"/>
                      <w:szCs w:val="21"/>
                      <w:lang w:val="en-US" w:eastAsia="zh-CN"/>
                    </w:rPr>
                    <w:t>雨水总排口</w:t>
                  </w:r>
                </w:p>
              </w:tc>
              <w:tc>
                <w:tcPr>
                  <w:tcW w:w="1288" w:type="dxa"/>
                  <w:tcBorders>
                    <w:tl2br w:val="nil"/>
                    <w:tr2bl w:val="nil"/>
                  </w:tcBorders>
                  <w:vAlign w:val="center"/>
                </w:tcPr>
                <w:p w14:paraId="08C0B558">
                  <w:pPr>
                    <w:spacing w:line="240" w:lineRule="atLeast"/>
                    <w:jc w:val="center"/>
                    <w:rPr>
                      <w:color w:val="auto"/>
                      <w:kern w:val="0"/>
                      <w:sz w:val="21"/>
                      <w:szCs w:val="21"/>
                    </w:rPr>
                  </w:pPr>
                  <w:r>
                    <w:rPr>
                      <w:color w:val="auto"/>
                      <w:kern w:val="0"/>
                      <w:sz w:val="21"/>
                      <w:szCs w:val="21"/>
                    </w:rPr>
                    <w:t>pH、COD、SS</w:t>
                  </w:r>
                  <w:r>
                    <w:rPr>
                      <w:rFonts w:hint="eastAsia"/>
                      <w:color w:val="auto"/>
                      <w:kern w:val="0"/>
                      <w:sz w:val="21"/>
                      <w:szCs w:val="21"/>
                    </w:rPr>
                    <w:t>、石油类</w:t>
                  </w:r>
                </w:p>
              </w:tc>
              <w:tc>
                <w:tcPr>
                  <w:tcW w:w="1150" w:type="dxa"/>
                  <w:tcBorders>
                    <w:tl2br w:val="nil"/>
                    <w:tr2bl w:val="nil"/>
                  </w:tcBorders>
                  <w:vAlign w:val="center"/>
                </w:tcPr>
                <w:p w14:paraId="3026E9BD">
                  <w:pPr>
                    <w:widowControl/>
                    <w:jc w:val="center"/>
                    <w:rPr>
                      <w:rFonts w:hint="eastAsia"/>
                      <w:color w:val="auto"/>
                      <w:sz w:val="21"/>
                      <w:szCs w:val="21"/>
                    </w:rPr>
                  </w:pPr>
                  <w:r>
                    <w:rPr>
                      <w:rFonts w:hint="eastAsia"/>
                      <w:color w:val="auto"/>
                      <w:sz w:val="21"/>
                      <w:szCs w:val="21"/>
                    </w:rPr>
                    <w:t>监测2天，每天4次</w:t>
                  </w:r>
                </w:p>
              </w:tc>
              <w:tc>
                <w:tcPr>
                  <w:tcW w:w="3124" w:type="dxa"/>
                  <w:tcBorders>
                    <w:tl2br w:val="nil"/>
                    <w:tr2bl w:val="nil"/>
                  </w:tcBorders>
                  <w:vAlign w:val="center"/>
                </w:tcPr>
                <w:p w14:paraId="5ED811DB">
                  <w:pPr>
                    <w:widowControl/>
                    <w:jc w:val="center"/>
                    <w:rPr>
                      <w:rFonts w:hint="eastAsia"/>
                      <w:color w:val="auto"/>
                      <w:sz w:val="21"/>
                      <w:szCs w:val="21"/>
                    </w:rPr>
                  </w:pPr>
                  <w:r>
                    <w:rPr>
                      <w:rFonts w:hint="eastAsia"/>
                      <w:color w:val="auto"/>
                      <w:sz w:val="21"/>
                      <w:szCs w:val="21"/>
                    </w:rPr>
                    <w:t>《地表水环境质量标准》（GB3838-2002）中Ⅲ类标准</w:t>
                  </w:r>
                </w:p>
              </w:tc>
            </w:tr>
            <w:tr w14:paraId="0D44230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68" w:type="dxa"/>
                  <w:tcBorders>
                    <w:tl2br w:val="nil"/>
                    <w:tr2bl w:val="nil"/>
                  </w:tcBorders>
                  <w:vAlign w:val="center"/>
                </w:tcPr>
                <w:p w14:paraId="7C670D42">
                  <w:pPr>
                    <w:widowControl/>
                    <w:jc w:val="center"/>
                    <w:rPr>
                      <w:rFonts w:hint="eastAsia" w:eastAsia="宋体"/>
                      <w:color w:val="auto"/>
                      <w:sz w:val="21"/>
                      <w:szCs w:val="21"/>
                      <w:lang w:val="en-US" w:eastAsia="zh-CN"/>
                    </w:rPr>
                  </w:pPr>
                  <w:r>
                    <w:rPr>
                      <w:rFonts w:hint="eastAsia"/>
                      <w:color w:val="auto"/>
                      <w:sz w:val="21"/>
                      <w:szCs w:val="21"/>
                      <w:lang w:val="en-US" w:eastAsia="zh-CN"/>
                    </w:rPr>
                    <w:t>回用水</w:t>
                  </w:r>
                </w:p>
              </w:tc>
              <w:tc>
                <w:tcPr>
                  <w:tcW w:w="1987" w:type="dxa"/>
                  <w:tcBorders>
                    <w:tl2br w:val="nil"/>
                    <w:tr2bl w:val="nil"/>
                  </w:tcBorders>
                  <w:vAlign w:val="center"/>
                </w:tcPr>
                <w:p w14:paraId="204D5D25">
                  <w:pPr>
                    <w:widowControl/>
                    <w:jc w:val="center"/>
                    <w:rPr>
                      <w:rFonts w:hint="default"/>
                      <w:color w:val="auto"/>
                      <w:sz w:val="21"/>
                      <w:szCs w:val="21"/>
                      <w:lang w:val="en-US" w:eastAsia="zh-CN"/>
                    </w:rPr>
                  </w:pPr>
                  <w:r>
                    <w:rPr>
                      <w:rFonts w:hint="eastAsia"/>
                      <w:color w:val="auto"/>
                      <w:sz w:val="21"/>
                      <w:szCs w:val="21"/>
                      <w:lang w:val="en-US" w:eastAsia="zh-CN"/>
                    </w:rPr>
                    <w:t>废水处理设施出水口</w:t>
                  </w:r>
                </w:p>
              </w:tc>
              <w:tc>
                <w:tcPr>
                  <w:tcW w:w="1288" w:type="dxa"/>
                  <w:tcBorders>
                    <w:tl2br w:val="nil"/>
                    <w:tr2bl w:val="nil"/>
                  </w:tcBorders>
                  <w:vAlign w:val="center"/>
                </w:tcPr>
                <w:p w14:paraId="51303E2D">
                  <w:pPr>
                    <w:spacing w:line="240" w:lineRule="atLeast"/>
                    <w:jc w:val="center"/>
                    <w:rPr>
                      <w:color w:val="auto"/>
                      <w:kern w:val="0"/>
                      <w:sz w:val="21"/>
                      <w:szCs w:val="21"/>
                    </w:rPr>
                  </w:pPr>
                  <w:r>
                    <w:rPr>
                      <w:rFonts w:hint="eastAsia"/>
                      <w:color w:val="auto"/>
                      <w:kern w:val="0"/>
                      <w:sz w:val="21"/>
                      <w:szCs w:val="21"/>
                    </w:rPr>
                    <w:t>pH、COD、SS、TDS、石油类</w:t>
                  </w:r>
                </w:p>
              </w:tc>
              <w:tc>
                <w:tcPr>
                  <w:tcW w:w="1150" w:type="dxa"/>
                  <w:tcBorders>
                    <w:tl2br w:val="nil"/>
                    <w:tr2bl w:val="nil"/>
                  </w:tcBorders>
                  <w:vAlign w:val="center"/>
                </w:tcPr>
                <w:p w14:paraId="38E85890">
                  <w:pPr>
                    <w:widowControl/>
                    <w:jc w:val="center"/>
                    <w:rPr>
                      <w:rFonts w:hint="eastAsia"/>
                      <w:color w:val="auto"/>
                      <w:sz w:val="21"/>
                      <w:szCs w:val="21"/>
                    </w:rPr>
                  </w:pPr>
                  <w:r>
                    <w:rPr>
                      <w:rFonts w:hint="eastAsia"/>
                      <w:color w:val="auto"/>
                      <w:sz w:val="21"/>
                      <w:szCs w:val="21"/>
                    </w:rPr>
                    <w:t>监测2天，每天4次</w:t>
                  </w:r>
                </w:p>
              </w:tc>
              <w:tc>
                <w:tcPr>
                  <w:tcW w:w="3124" w:type="dxa"/>
                  <w:tcBorders>
                    <w:tl2br w:val="nil"/>
                    <w:tr2bl w:val="nil"/>
                  </w:tcBorders>
                  <w:vAlign w:val="center"/>
                </w:tcPr>
                <w:p w14:paraId="788A5DD9">
                  <w:pPr>
                    <w:widowControl/>
                    <w:jc w:val="center"/>
                    <w:rPr>
                      <w:rFonts w:hint="eastAsia"/>
                      <w:color w:val="auto"/>
                      <w:sz w:val="21"/>
                      <w:szCs w:val="21"/>
                    </w:rPr>
                  </w:pPr>
                  <w:r>
                    <w:rPr>
                      <w:rFonts w:hint="eastAsia"/>
                      <w:color w:val="auto"/>
                      <w:sz w:val="21"/>
                      <w:szCs w:val="21"/>
                    </w:rPr>
                    <w:t>《城市污水再生利用 工业用水水质》（GB/T19923-2024）表1中直流冷却水、洗涤用水标准限值</w:t>
                  </w:r>
                </w:p>
              </w:tc>
            </w:tr>
            <w:tr w14:paraId="5349F04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68" w:type="dxa"/>
                  <w:tcBorders>
                    <w:tl2br w:val="nil"/>
                    <w:tr2bl w:val="nil"/>
                  </w:tcBorders>
                  <w:vAlign w:val="center"/>
                </w:tcPr>
                <w:p w14:paraId="32FEA6A9">
                  <w:pPr>
                    <w:widowControl/>
                    <w:jc w:val="center"/>
                    <w:rPr>
                      <w:color w:val="auto"/>
                      <w:sz w:val="21"/>
                      <w:szCs w:val="21"/>
                    </w:rPr>
                  </w:pPr>
                  <w:r>
                    <w:rPr>
                      <w:color w:val="auto"/>
                      <w:sz w:val="21"/>
                      <w:szCs w:val="21"/>
                    </w:rPr>
                    <w:t>噪声</w:t>
                  </w:r>
                </w:p>
              </w:tc>
              <w:tc>
                <w:tcPr>
                  <w:tcW w:w="1987" w:type="dxa"/>
                  <w:tcBorders>
                    <w:tl2br w:val="nil"/>
                    <w:tr2bl w:val="nil"/>
                  </w:tcBorders>
                  <w:vAlign w:val="center"/>
                </w:tcPr>
                <w:p w14:paraId="0F01878E">
                  <w:pPr>
                    <w:widowControl/>
                    <w:jc w:val="center"/>
                    <w:rPr>
                      <w:color w:val="auto"/>
                      <w:sz w:val="21"/>
                      <w:szCs w:val="21"/>
                    </w:rPr>
                  </w:pPr>
                  <w:r>
                    <w:rPr>
                      <w:color w:val="auto"/>
                      <w:sz w:val="21"/>
                      <w:szCs w:val="21"/>
                    </w:rPr>
                    <w:t>厂界四周</w:t>
                  </w:r>
                </w:p>
              </w:tc>
              <w:tc>
                <w:tcPr>
                  <w:tcW w:w="1288" w:type="dxa"/>
                  <w:tcBorders>
                    <w:tl2br w:val="nil"/>
                    <w:tr2bl w:val="nil"/>
                  </w:tcBorders>
                  <w:vAlign w:val="center"/>
                </w:tcPr>
                <w:p w14:paraId="6A68A1EA">
                  <w:pPr>
                    <w:widowControl/>
                    <w:jc w:val="center"/>
                    <w:rPr>
                      <w:color w:val="auto"/>
                      <w:sz w:val="21"/>
                      <w:szCs w:val="21"/>
                    </w:rPr>
                  </w:pPr>
                  <w:r>
                    <w:rPr>
                      <w:snapToGrid w:val="0"/>
                      <w:color w:val="auto"/>
                      <w:kern w:val="0"/>
                      <w:sz w:val="21"/>
                      <w:szCs w:val="21"/>
                    </w:rPr>
                    <w:t>Leq(A)</w:t>
                  </w:r>
                </w:p>
              </w:tc>
              <w:tc>
                <w:tcPr>
                  <w:tcW w:w="1150" w:type="dxa"/>
                  <w:tcBorders>
                    <w:tl2br w:val="nil"/>
                    <w:tr2bl w:val="nil"/>
                  </w:tcBorders>
                  <w:vAlign w:val="center"/>
                </w:tcPr>
                <w:p w14:paraId="0E50F161">
                  <w:pPr>
                    <w:widowControl/>
                    <w:jc w:val="center"/>
                    <w:rPr>
                      <w:color w:val="auto"/>
                      <w:sz w:val="21"/>
                      <w:szCs w:val="21"/>
                    </w:rPr>
                  </w:pPr>
                  <w:r>
                    <w:rPr>
                      <w:color w:val="auto"/>
                      <w:sz w:val="21"/>
                      <w:szCs w:val="21"/>
                    </w:rPr>
                    <w:t>监测2天，</w:t>
                  </w:r>
                  <w:r>
                    <w:rPr>
                      <w:rFonts w:hint="eastAsia"/>
                      <w:color w:val="auto"/>
                      <w:sz w:val="21"/>
                      <w:szCs w:val="21"/>
                    </w:rPr>
                    <w:t>每天</w:t>
                  </w:r>
                  <w:r>
                    <w:rPr>
                      <w:rFonts w:hint="eastAsia"/>
                      <w:color w:val="auto"/>
                      <w:sz w:val="21"/>
                      <w:szCs w:val="21"/>
                      <w:lang w:val="en-US" w:eastAsia="zh-CN"/>
                    </w:rPr>
                    <w:t>昼夜</w:t>
                  </w:r>
                  <w:r>
                    <w:rPr>
                      <w:rFonts w:hint="eastAsia"/>
                      <w:color w:val="auto"/>
                      <w:sz w:val="21"/>
                      <w:szCs w:val="21"/>
                    </w:rPr>
                    <w:t>监测1次</w:t>
                  </w:r>
                </w:p>
              </w:tc>
              <w:tc>
                <w:tcPr>
                  <w:tcW w:w="3124" w:type="dxa"/>
                  <w:tcBorders>
                    <w:tl2br w:val="nil"/>
                    <w:tr2bl w:val="nil"/>
                  </w:tcBorders>
                  <w:vAlign w:val="center"/>
                </w:tcPr>
                <w:p w14:paraId="22063514">
                  <w:pPr>
                    <w:widowControl/>
                    <w:jc w:val="center"/>
                    <w:rPr>
                      <w:rFonts w:hint="eastAsia" w:eastAsia="宋体"/>
                      <w:color w:val="auto"/>
                      <w:sz w:val="21"/>
                      <w:szCs w:val="21"/>
                      <w:lang w:eastAsia="zh-CN"/>
                    </w:rPr>
                  </w:pPr>
                  <w:r>
                    <w:rPr>
                      <w:rFonts w:hint="eastAsia"/>
                      <w:color w:val="auto"/>
                      <w:sz w:val="21"/>
                      <w:szCs w:val="21"/>
                    </w:rPr>
                    <w:t>项目东、</w:t>
                  </w:r>
                  <w:r>
                    <w:rPr>
                      <w:rFonts w:hint="eastAsia"/>
                      <w:color w:val="auto"/>
                      <w:sz w:val="21"/>
                      <w:szCs w:val="21"/>
                      <w:lang w:val="en-US" w:eastAsia="zh-CN"/>
                    </w:rPr>
                    <w:t>南、</w:t>
                  </w:r>
                  <w:r>
                    <w:rPr>
                      <w:rFonts w:hint="eastAsia"/>
                      <w:color w:val="auto"/>
                      <w:sz w:val="21"/>
                      <w:szCs w:val="21"/>
                    </w:rPr>
                    <w:t>北厂界执行《工业企业厂界环境噪声排放标准》（GB12348-2008）</w:t>
                  </w:r>
                  <w:r>
                    <w:rPr>
                      <w:rFonts w:hint="eastAsia"/>
                      <w:color w:val="auto"/>
                      <w:sz w:val="21"/>
                      <w:szCs w:val="21"/>
                      <w:lang w:val="en-US" w:eastAsia="zh-CN"/>
                    </w:rPr>
                    <w:t>3</w:t>
                  </w:r>
                  <w:r>
                    <w:rPr>
                      <w:rFonts w:hint="eastAsia"/>
                      <w:color w:val="auto"/>
                      <w:sz w:val="21"/>
                      <w:szCs w:val="21"/>
                    </w:rPr>
                    <w:t>类标准要求</w:t>
                  </w:r>
                  <w:r>
                    <w:rPr>
                      <w:rFonts w:hint="eastAsia"/>
                      <w:color w:val="auto"/>
                      <w:sz w:val="21"/>
                      <w:szCs w:val="21"/>
                      <w:lang w:eastAsia="zh-CN"/>
                    </w:rPr>
                    <w:t>，西、</w:t>
                  </w:r>
                  <w:r>
                    <w:rPr>
                      <w:rFonts w:hint="eastAsia"/>
                      <w:color w:val="auto"/>
                      <w:sz w:val="21"/>
                      <w:szCs w:val="21"/>
                      <w:lang w:val="en-US" w:eastAsia="zh-CN"/>
                    </w:rPr>
                    <w:t>西</w:t>
                  </w:r>
                  <w:r>
                    <w:rPr>
                      <w:rFonts w:hint="eastAsia"/>
                      <w:color w:val="auto"/>
                      <w:sz w:val="21"/>
                      <w:szCs w:val="21"/>
                      <w:lang w:eastAsia="zh-CN"/>
                    </w:rPr>
                    <w:t>厂界</w:t>
                  </w:r>
                  <w:r>
                    <w:rPr>
                      <w:rFonts w:hint="eastAsia"/>
                      <w:color w:val="auto"/>
                      <w:sz w:val="21"/>
                      <w:szCs w:val="21"/>
                    </w:rPr>
                    <w:t>执行《工业企业厂界环境噪声排放标准》（GB12348-2008）</w:t>
                  </w:r>
                  <w:r>
                    <w:rPr>
                      <w:rFonts w:hint="eastAsia"/>
                      <w:color w:val="auto"/>
                      <w:sz w:val="21"/>
                      <w:szCs w:val="21"/>
                      <w:lang w:val="en-US" w:eastAsia="zh-CN"/>
                    </w:rPr>
                    <w:t>4</w:t>
                  </w:r>
                  <w:r>
                    <w:rPr>
                      <w:rFonts w:hint="eastAsia"/>
                      <w:color w:val="auto"/>
                      <w:sz w:val="21"/>
                      <w:szCs w:val="21"/>
                    </w:rPr>
                    <w:t>类标准要求</w:t>
                  </w:r>
                </w:p>
              </w:tc>
            </w:tr>
          </w:tbl>
          <w:p w14:paraId="01FC2E98">
            <w:pPr>
              <w:spacing w:line="360" w:lineRule="auto"/>
              <w:ind w:firstLine="482" w:firstLineChars="200"/>
              <w:rPr>
                <w:b/>
                <w:color w:val="auto"/>
                <w:kern w:val="21"/>
                <w:sz w:val="24"/>
                <w:szCs w:val="24"/>
              </w:rPr>
            </w:pPr>
            <w:r>
              <w:rPr>
                <w:rFonts w:hint="eastAsia"/>
                <w:b/>
                <w:color w:val="auto"/>
                <w:kern w:val="21"/>
                <w:sz w:val="24"/>
                <w:szCs w:val="24"/>
              </w:rPr>
              <w:t>9.2环境应急监测计划</w:t>
            </w:r>
          </w:p>
          <w:p w14:paraId="0A9AE1AA">
            <w:pPr>
              <w:spacing w:line="360" w:lineRule="auto"/>
              <w:ind w:firstLine="480" w:firstLineChars="200"/>
              <w:rPr>
                <w:bCs/>
                <w:color w:val="auto"/>
                <w:kern w:val="21"/>
                <w:sz w:val="24"/>
                <w:szCs w:val="24"/>
              </w:rPr>
            </w:pPr>
            <w:r>
              <w:rPr>
                <w:bCs/>
                <w:color w:val="auto"/>
                <w:kern w:val="21"/>
                <w:sz w:val="24"/>
                <w:szCs w:val="24"/>
              </w:rPr>
              <w:t>根据《突发环境事件应急监测技术规范》（HJ589-2021），建设单位突发环境事件的风险监测计划如下表。</w:t>
            </w:r>
          </w:p>
          <w:p w14:paraId="5BC1039B">
            <w:pPr>
              <w:jc w:val="center"/>
              <w:rPr>
                <w:b/>
                <w:bCs/>
                <w:color w:val="auto"/>
                <w:sz w:val="24"/>
                <w:szCs w:val="24"/>
              </w:rPr>
            </w:pPr>
            <w:r>
              <w:rPr>
                <w:rFonts w:hint="eastAsia"/>
                <w:b/>
                <w:bCs/>
                <w:color w:val="auto"/>
                <w:sz w:val="24"/>
                <w:szCs w:val="24"/>
              </w:rPr>
              <w:t>表4-</w:t>
            </w:r>
            <w:r>
              <w:rPr>
                <w:rFonts w:hint="eastAsia"/>
                <w:b/>
                <w:bCs/>
                <w:color w:val="auto"/>
                <w:sz w:val="24"/>
                <w:szCs w:val="24"/>
                <w:lang w:val="en-US" w:eastAsia="zh-CN"/>
              </w:rPr>
              <w:t>32</w:t>
            </w:r>
            <w:r>
              <w:rPr>
                <w:rFonts w:hint="eastAsia"/>
                <w:b/>
                <w:bCs/>
                <w:color w:val="auto"/>
                <w:sz w:val="24"/>
                <w:szCs w:val="24"/>
              </w:rPr>
              <w:t xml:space="preserve"> 环境应急监测计划</w:t>
            </w:r>
          </w:p>
          <w:tbl>
            <w:tblPr>
              <w:tblStyle w:val="26"/>
              <w:tblW w:w="8158" w:type="dxa"/>
              <w:tblInd w:w="5" w:type="dxa"/>
              <w:tblBorders>
                <w:top w:val="single" w:color="auto" w:sz="12" w:space="0"/>
                <w:left w:val="none" w:color="auto" w:sz="6" w:space="0"/>
                <w:bottom w:val="single" w:color="auto" w:sz="12" w:space="0"/>
                <w:right w:val="none" w:color="auto" w:sz="6" w:space="0"/>
                <w:insideH w:val="single" w:color="auto" w:sz="4" w:space="0"/>
                <w:insideV w:val="single" w:color="auto" w:sz="4" w:space="0"/>
              </w:tblBorders>
              <w:tblLayout w:type="fixed"/>
              <w:tblCellMar>
                <w:top w:w="0" w:type="dxa"/>
                <w:left w:w="108" w:type="dxa"/>
                <w:bottom w:w="0" w:type="dxa"/>
                <w:right w:w="108" w:type="dxa"/>
              </w:tblCellMar>
            </w:tblPr>
            <w:tblGrid>
              <w:gridCol w:w="748"/>
              <w:gridCol w:w="2113"/>
              <w:gridCol w:w="1949"/>
              <w:gridCol w:w="3348"/>
            </w:tblGrid>
            <w:tr w14:paraId="23C75F0F">
              <w:tblPrEx>
                <w:tblBorders>
                  <w:top w:val="single" w:color="auto" w:sz="12" w:space="0"/>
                  <w:left w:val="none" w:color="auto" w:sz="6" w:space="0"/>
                  <w:bottom w:val="single" w:color="auto" w:sz="12" w:space="0"/>
                  <w:right w:val="none" w:color="auto" w:sz="6" w:space="0"/>
                  <w:insideH w:val="single" w:color="auto" w:sz="4" w:space="0"/>
                  <w:insideV w:val="single" w:color="auto" w:sz="4" w:space="0"/>
                </w:tblBorders>
                <w:tblCellMar>
                  <w:top w:w="0" w:type="dxa"/>
                  <w:left w:w="108" w:type="dxa"/>
                  <w:bottom w:w="0" w:type="dxa"/>
                  <w:right w:w="108" w:type="dxa"/>
                </w:tblCellMar>
              </w:tblPrEx>
              <w:trPr>
                <w:trHeight w:val="259" w:hRule="atLeast"/>
              </w:trPr>
              <w:tc>
                <w:tcPr>
                  <w:tcW w:w="748" w:type="dxa"/>
                  <w:tcBorders>
                    <w:top w:val="single" w:color="auto" w:sz="12" w:space="0"/>
                    <w:left w:val="nil"/>
                    <w:bottom w:val="single" w:color="auto" w:sz="4" w:space="0"/>
                    <w:right w:val="single" w:color="auto" w:sz="4" w:space="0"/>
                  </w:tcBorders>
                  <w:vAlign w:val="center"/>
                </w:tcPr>
                <w:p w14:paraId="43A837F3">
                  <w:pPr>
                    <w:pStyle w:val="22"/>
                    <w:spacing w:before="0" w:beforeAutospacing="0" w:after="0" w:afterAutospacing="0"/>
                    <w:jc w:val="center"/>
                    <w:outlineLvl w:val="2"/>
                    <w:rPr>
                      <w:rFonts w:hint="default" w:ascii="Times New Roman" w:hAnsi="Times New Roman" w:eastAsia="宋体" w:cs="Times New Roman"/>
                      <w:b/>
                      <w:bCs/>
                      <w:color w:val="auto"/>
                      <w:kern w:val="2"/>
                      <w:sz w:val="21"/>
                      <w:szCs w:val="21"/>
                    </w:rPr>
                  </w:pPr>
                  <w:r>
                    <w:rPr>
                      <w:rFonts w:hint="default" w:ascii="Times New Roman" w:hAnsi="Times New Roman" w:eastAsia="宋体" w:cs="Times New Roman"/>
                      <w:b/>
                      <w:bCs/>
                      <w:color w:val="auto"/>
                      <w:kern w:val="2"/>
                      <w:sz w:val="21"/>
                      <w:szCs w:val="21"/>
                    </w:rPr>
                    <w:t>监测类型</w:t>
                  </w:r>
                </w:p>
              </w:tc>
              <w:tc>
                <w:tcPr>
                  <w:tcW w:w="2113" w:type="dxa"/>
                  <w:tcBorders>
                    <w:top w:val="single" w:color="auto" w:sz="12" w:space="0"/>
                    <w:left w:val="single" w:color="auto" w:sz="4" w:space="0"/>
                    <w:bottom w:val="single" w:color="auto" w:sz="4" w:space="0"/>
                    <w:right w:val="single" w:color="auto" w:sz="4" w:space="0"/>
                  </w:tcBorders>
                  <w:vAlign w:val="center"/>
                </w:tcPr>
                <w:p w14:paraId="1F44708B">
                  <w:pPr>
                    <w:pStyle w:val="22"/>
                    <w:spacing w:before="0" w:beforeAutospacing="0" w:after="0" w:afterAutospacing="0"/>
                    <w:jc w:val="center"/>
                    <w:outlineLvl w:val="2"/>
                    <w:rPr>
                      <w:rFonts w:hint="default" w:ascii="Times New Roman" w:hAnsi="Times New Roman" w:eastAsia="宋体" w:cs="Times New Roman"/>
                      <w:b/>
                      <w:bCs/>
                      <w:color w:val="auto"/>
                      <w:kern w:val="2"/>
                      <w:sz w:val="21"/>
                      <w:szCs w:val="21"/>
                    </w:rPr>
                  </w:pPr>
                  <w:r>
                    <w:rPr>
                      <w:rFonts w:hint="default" w:ascii="Times New Roman" w:hAnsi="Times New Roman" w:eastAsia="宋体" w:cs="Times New Roman"/>
                      <w:b/>
                      <w:bCs/>
                      <w:color w:val="auto"/>
                      <w:kern w:val="2"/>
                      <w:sz w:val="21"/>
                      <w:szCs w:val="21"/>
                    </w:rPr>
                    <w:t>监测因子</w:t>
                  </w:r>
                </w:p>
              </w:tc>
              <w:tc>
                <w:tcPr>
                  <w:tcW w:w="1949" w:type="dxa"/>
                  <w:tcBorders>
                    <w:top w:val="single" w:color="auto" w:sz="12" w:space="0"/>
                    <w:left w:val="single" w:color="auto" w:sz="4" w:space="0"/>
                    <w:bottom w:val="single" w:color="auto" w:sz="4" w:space="0"/>
                    <w:right w:val="single" w:color="auto" w:sz="4" w:space="0"/>
                  </w:tcBorders>
                  <w:vAlign w:val="center"/>
                </w:tcPr>
                <w:p w14:paraId="0B67C91C">
                  <w:pPr>
                    <w:pStyle w:val="22"/>
                    <w:spacing w:before="0" w:beforeAutospacing="0" w:after="0" w:afterAutospacing="0"/>
                    <w:jc w:val="center"/>
                    <w:outlineLvl w:val="2"/>
                    <w:rPr>
                      <w:rFonts w:hint="default" w:ascii="Times New Roman" w:hAnsi="Times New Roman" w:eastAsia="宋体" w:cs="Times New Roman"/>
                      <w:b/>
                      <w:bCs/>
                      <w:color w:val="auto"/>
                      <w:kern w:val="2"/>
                      <w:sz w:val="21"/>
                      <w:szCs w:val="21"/>
                    </w:rPr>
                  </w:pPr>
                  <w:r>
                    <w:rPr>
                      <w:rFonts w:hint="default" w:ascii="Times New Roman" w:hAnsi="Times New Roman" w:eastAsia="宋体" w:cs="Times New Roman"/>
                      <w:b/>
                      <w:bCs/>
                      <w:color w:val="auto"/>
                      <w:kern w:val="2"/>
                      <w:sz w:val="21"/>
                      <w:szCs w:val="21"/>
                    </w:rPr>
                    <w:t>监测时间和频次</w:t>
                  </w:r>
                </w:p>
              </w:tc>
              <w:tc>
                <w:tcPr>
                  <w:tcW w:w="3348" w:type="dxa"/>
                  <w:tcBorders>
                    <w:top w:val="single" w:color="auto" w:sz="12" w:space="0"/>
                    <w:left w:val="single" w:color="auto" w:sz="4" w:space="0"/>
                    <w:bottom w:val="single" w:color="auto" w:sz="4" w:space="0"/>
                    <w:right w:val="nil"/>
                  </w:tcBorders>
                  <w:vAlign w:val="center"/>
                </w:tcPr>
                <w:p w14:paraId="6C9DAC79">
                  <w:pPr>
                    <w:pStyle w:val="22"/>
                    <w:spacing w:before="0" w:beforeAutospacing="0" w:after="0" w:afterAutospacing="0"/>
                    <w:jc w:val="center"/>
                    <w:outlineLvl w:val="2"/>
                    <w:rPr>
                      <w:rFonts w:hint="default" w:ascii="Times New Roman" w:hAnsi="Times New Roman" w:eastAsia="宋体" w:cs="Times New Roman"/>
                      <w:b/>
                      <w:bCs/>
                      <w:color w:val="auto"/>
                      <w:kern w:val="2"/>
                      <w:sz w:val="21"/>
                      <w:szCs w:val="21"/>
                    </w:rPr>
                  </w:pPr>
                  <w:r>
                    <w:rPr>
                      <w:rFonts w:hint="default" w:ascii="Times New Roman" w:hAnsi="Times New Roman" w:eastAsia="宋体" w:cs="Times New Roman"/>
                      <w:b/>
                      <w:bCs/>
                      <w:color w:val="auto"/>
                      <w:kern w:val="2"/>
                      <w:sz w:val="21"/>
                      <w:szCs w:val="21"/>
                    </w:rPr>
                    <w:t>监测布点</w:t>
                  </w:r>
                </w:p>
              </w:tc>
            </w:tr>
            <w:tr w14:paraId="03C06E36">
              <w:tblPrEx>
                <w:tblBorders>
                  <w:top w:val="single" w:color="auto" w:sz="12" w:space="0"/>
                  <w:left w:val="none" w:color="auto" w:sz="6" w:space="0"/>
                  <w:bottom w:val="single" w:color="auto" w:sz="12" w:space="0"/>
                  <w:right w:val="none" w:color="auto" w:sz="6" w:space="0"/>
                  <w:insideH w:val="single" w:color="auto" w:sz="4" w:space="0"/>
                  <w:insideV w:val="single" w:color="auto" w:sz="4" w:space="0"/>
                </w:tblBorders>
                <w:tblCellMar>
                  <w:top w:w="0" w:type="dxa"/>
                  <w:left w:w="108" w:type="dxa"/>
                  <w:bottom w:w="0" w:type="dxa"/>
                  <w:right w:w="108" w:type="dxa"/>
                </w:tblCellMar>
              </w:tblPrEx>
              <w:trPr>
                <w:trHeight w:val="687" w:hRule="atLeast"/>
              </w:trPr>
              <w:tc>
                <w:tcPr>
                  <w:tcW w:w="748" w:type="dxa"/>
                  <w:tcBorders>
                    <w:top w:val="single" w:color="auto" w:sz="4" w:space="0"/>
                    <w:left w:val="nil"/>
                    <w:bottom w:val="single" w:color="auto" w:sz="4" w:space="0"/>
                    <w:right w:val="single" w:color="auto" w:sz="4" w:space="0"/>
                  </w:tcBorders>
                  <w:vAlign w:val="center"/>
                </w:tcPr>
                <w:p w14:paraId="6DCBE5A3">
                  <w:pPr>
                    <w:pStyle w:val="22"/>
                    <w:spacing w:before="0" w:beforeAutospacing="0" w:after="0" w:afterAutospacing="0"/>
                    <w:jc w:val="center"/>
                    <w:outlineLvl w:val="2"/>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rPr>
                    <w:t>大气环境</w:t>
                  </w:r>
                </w:p>
              </w:tc>
              <w:tc>
                <w:tcPr>
                  <w:tcW w:w="2113" w:type="dxa"/>
                  <w:tcBorders>
                    <w:top w:val="single" w:color="auto" w:sz="4" w:space="0"/>
                    <w:left w:val="single" w:color="auto" w:sz="4" w:space="0"/>
                    <w:bottom w:val="single" w:color="auto" w:sz="4" w:space="0"/>
                    <w:right w:val="single" w:color="auto" w:sz="4" w:space="0"/>
                  </w:tcBorders>
                  <w:vAlign w:val="center"/>
                </w:tcPr>
                <w:p w14:paraId="29D8DB43">
                  <w:pPr>
                    <w:pStyle w:val="22"/>
                    <w:spacing w:before="0" w:beforeAutospacing="0" w:after="0" w:afterAutospacing="0"/>
                    <w:jc w:val="center"/>
                    <w:outlineLvl w:val="2"/>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eastAsia="zh-CN"/>
                    </w:rPr>
                    <w:t>非甲烷总烃、</w:t>
                  </w:r>
                  <w:r>
                    <w:rPr>
                      <w:rFonts w:hint="default" w:ascii="Times New Roman" w:hAnsi="Times New Roman" w:eastAsia="宋体" w:cs="Times New Roman"/>
                      <w:color w:val="auto"/>
                      <w:kern w:val="2"/>
                      <w:sz w:val="21"/>
                      <w:szCs w:val="21"/>
                      <w:lang w:val="en-US" w:eastAsia="zh-CN"/>
                    </w:rPr>
                    <w:t>颗粒物、二氧化硫、氮氧化物</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lang w:val="en-US" w:eastAsia="zh-CN"/>
                    </w:rPr>
                    <w:t>一氧化碳</w:t>
                  </w:r>
                  <w:r>
                    <w:rPr>
                      <w:rFonts w:hint="eastAsia" w:ascii="Times New Roman" w:hAnsi="Times New Roman" w:cs="Times New Roman"/>
                      <w:color w:val="auto"/>
                      <w:sz w:val="21"/>
                      <w:szCs w:val="21"/>
                      <w:lang w:val="en-US" w:eastAsia="zh-CN"/>
                    </w:rPr>
                    <w:t>、</w:t>
                  </w:r>
                  <w:r>
                    <w:rPr>
                      <w:rFonts w:hint="eastAsia"/>
                      <w:color w:val="auto"/>
                      <w:sz w:val="21"/>
                      <w:szCs w:val="21"/>
                      <w:lang w:eastAsia="zh-CN"/>
                    </w:rPr>
                    <w:t>硫化氢、氨气</w:t>
                  </w:r>
                  <w:r>
                    <w:rPr>
                      <w:rFonts w:hint="eastAsia"/>
                      <w:color w:val="auto"/>
                      <w:sz w:val="21"/>
                      <w:szCs w:val="21"/>
                      <w:lang w:val="en-US" w:eastAsia="zh-CN"/>
                    </w:rPr>
                    <w:t>、臭气浓度</w:t>
                  </w:r>
                </w:p>
              </w:tc>
              <w:tc>
                <w:tcPr>
                  <w:tcW w:w="1949" w:type="dxa"/>
                  <w:vMerge w:val="restart"/>
                  <w:tcBorders>
                    <w:top w:val="single" w:color="auto" w:sz="4" w:space="0"/>
                    <w:left w:val="single" w:color="auto" w:sz="4" w:space="0"/>
                    <w:bottom w:val="single" w:color="auto" w:sz="4" w:space="0"/>
                    <w:right w:val="single" w:color="auto" w:sz="4" w:space="0"/>
                  </w:tcBorders>
                  <w:vAlign w:val="center"/>
                </w:tcPr>
                <w:p w14:paraId="47835D54">
                  <w:pPr>
                    <w:pStyle w:val="22"/>
                    <w:spacing w:before="0" w:beforeAutospacing="0" w:after="0" w:afterAutospacing="0"/>
                    <w:jc w:val="center"/>
                    <w:outlineLvl w:val="2"/>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rPr>
                    <w:t>按照事故持续时间决定监测时间，根据事故严重性决定监测频次。一般情况下每小时取样一次。随事故控制减弱，适当减少监测频次</w:t>
                  </w:r>
                </w:p>
              </w:tc>
              <w:tc>
                <w:tcPr>
                  <w:tcW w:w="3348" w:type="dxa"/>
                  <w:tcBorders>
                    <w:top w:val="single" w:color="auto" w:sz="4" w:space="0"/>
                    <w:left w:val="single" w:color="auto" w:sz="4" w:space="0"/>
                    <w:bottom w:val="single" w:color="auto" w:sz="4" w:space="0"/>
                    <w:right w:val="nil"/>
                  </w:tcBorders>
                  <w:vAlign w:val="center"/>
                </w:tcPr>
                <w:p w14:paraId="4B3BB61B">
                  <w:pPr>
                    <w:pStyle w:val="22"/>
                    <w:spacing w:before="0" w:beforeAutospacing="0" w:after="0" w:afterAutospacing="0"/>
                    <w:jc w:val="center"/>
                    <w:outlineLvl w:val="2"/>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rPr>
                    <w:t>排气筒出口、厂区外上风向1个、下风向3个</w:t>
                  </w:r>
                </w:p>
              </w:tc>
            </w:tr>
            <w:tr w14:paraId="66C087D8">
              <w:tblPrEx>
                <w:tblBorders>
                  <w:top w:val="single" w:color="auto" w:sz="12" w:space="0"/>
                  <w:left w:val="none" w:color="auto" w:sz="6" w:space="0"/>
                  <w:bottom w:val="single" w:color="auto" w:sz="12" w:space="0"/>
                  <w:right w:val="none" w:color="auto" w:sz="6"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748" w:type="dxa"/>
                  <w:tcBorders>
                    <w:top w:val="single" w:color="auto" w:sz="4" w:space="0"/>
                    <w:left w:val="nil"/>
                    <w:bottom w:val="single" w:color="auto" w:sz="12" w:space="0"/>
                    <w:right w:val="single" w:color="auto" w:sz="4" w:space="0"/>
                  </w:tcBorders>
                  <w:vAlign w:val="center"/>
                </w:tcPr>
                <w:p w14:paraId="3815F672">
                  <w:pPr>
                    <w:pStyle w:val="22"/>
                    <w:spacing w:before="0" w:beforeAutospacing="0" w:after="0" w:afterAutospacing="0"/>
                    <w:jc w:val="center"/>
                    <w:outlineLvl w:val="2"/>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rPr>
                    <w:t>水环境</w:t>
                  </w:r>
                </w:p>
              </w:tc>
              <w:tc>
                <w:tcPr>
                  <w:tcW w:w="2113" w:type="dxa"/>
                  <w:tcBorders>
                    <w:top w:val="single" w:color="auto" w:sz="4" w:space="0"/>
                    <w:left w:val="single" w:color="auto" w:sz="4" w:space="0"/>
                    <w:bottom w:val="single" w:color="auto" w:sz="12" w:space="0"/>
                    <w:right w:val="single" w:color="auto" w:sz="4" w:space="0"/>
                  </w:tcBorders>
                  <w:vAlign w:val="center"/>
                </w:tcPr>
                <w:p w14:paraId="43AF5083">
                  <w:pPr>
                    <w:spacing w:line="240" w:lineRule="atLeast"/>
                    <w:jc w:val="center"/>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kern w:val="0"/>
                      <w:sz w:val="21"/>
                      <w:szCs w:val="21"/>
                    </w:rPr>
                    <w:t>pH、COD</w:t>
                  </w:r>
                  <w:r>
                    <w:rPr>
                      <w:rFonts w:hint="default" w:ascii="Times New Roman" w:hAnsi="Times New Roman" w:eastAsia="宋体" w:cs="Times New Roman"/>
                      <w:color w:val="auto"/>
                      <w:sz w:val="21"/>
                      <w:szCs w:val="21"/>
                    </w:rPr>
                    <w:t>、SS、NH</w:t>
                  </w:r>
                  <w:r>
                    <w:rPr>
                      <w:rFonts w:hint="default" w:ascii="Times New Roman" w:hAnsi="Times New Roman" w:eastAsia="宋体" w:cs="Times New Roman"/>
                      <w:color w:val="auto"/>
                      <w:sz w:val="21"/>
                      <w:szCs w:val="21"/>
                      <w:vertAlign w:val="subscript"/>
                    </w:rPr>
                    <w:t>3</w:t>
                  </w:r>
                  <w:r>
                    <w:rPr>
                      <w:rFonts w:hint="default" w:ascii="Times New Roman" w:hAnsi="Times New Roman" w:eastAsia="宋体" w:cs="Times New Roman"/>
                      <w:color w:val="auto"/>
                      <w:sz w:val="21"/>
                      <w:szCs w:val="21"/>
                    </w:rPr>
                    <w:t>-N、TP、TN</w:t>
                  </w:r>
                  <w:r>
                    <w:rPr>
                      <w:rFonts w:hint="default" w:ascii="Times New Roman" w:hAnsi="Times New Roman" w:eastAsia="宋体" w:cs="Times New Roman"/>
                      <w:color w:val="auto"/>
                      <w:sz w:val="21"/>
                      <w:szCs w:val="21"/>
                      <w:lang w:eastAsia="zh-CN"/>
                    </w:rPr>
                    <w:t>、石油类</w:t>
                  </w:r>
                </w:p>
              </w:tc>
              <w:tc>
                <w:tcPr>
                  <w:tcW w:w="1949" w:type="dxa"/>
                  <w:vMerge w:val="continue"/>
                  <w:tcBorders>
                    <w:top w:val="single" w:color="auto" w:sz="4" w:space="0"/>
                    <w:left w:val="single" w:color="auto" w:sz="4" w:space="0"/>
                    <w:bottom w:val="single" w:color="auto" w:sz="12" w:space="0"/>
                    <w:right w:val="single" w:color="auto" w:sz="4" w:space="0"/>
                  </w:tcBorders>
                  <w:vAlign w:val="center"/>
                </w:tcPr>
                <w:p w14:paraId="110D8CB5">
                  <w:pPr>
                    <w:rPr>
                      <w:rFonts w:hint="default" w:ascii="Times New Roman" w:hAnsi="Times New Roman" w:eastAsia="宋体" w:cs="Times New Roman"/>
                      <w:color w:val="auto"/>
                      <w:sz w:val="21"/>
                      <w:szCs w:val="21"/>
                    </w:rPr>
                  </w:pPr>
                </w:p>
              </w:tc>
              <w:tc>
                <w:tcPr>
                  <w:tcW w:w="3348" w:type="dxa"/>
                  <w:tcBorders>
                    <w:top w:val="single" w:color="auto" w:sz="4" w:space="0"/>
                    <w:left w:val="single" w:color="auto" w:sz="4" w:space="0"/>
                    <w:bottom w:val="single" w:color="auto" w:sz="12" w:space="0"/>
                    <w:right w:val="nil"/>
                  </w:tcBorders>
                  <w:vAlign w:val="center"/>
                </w:tcPr>
                <w:p w14:paraId="3A0907F8">
                  <w:pPr>
                    <w:pStyle w:val="22"/>
                    <w:spacing w:before="0" w:beforeAutospacing="0" w:after="0" w:afterAutospacing="0"/>
                    <w:jc w:val="center"/>
                    <w:outlineLvl w:val="2"/>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rPr>
                    <w:t>雨水排口、污水排口、可能受影响的河流设置监测点。可能受影响的河流应设置对照断面、控制断面、削减断面</w:t>
                  </w:r>
                </w:p>
              </w:tc>
            </w:tr>
          </w:tbl>
          <w:p w14:paraId="6C97EFE6">
            <w:pPr>
              <w:pStyle w:val="66"/>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color w:val="auto"/>
                <w:sz w:val="24"/>
                <w:szCs w:val="24"/>
              </w:rPr>
            </w:pPr>
          </w:p>
        </w:tc>
      </w:tr>
    </w:tbl>
    <w:p w14:paraId="23462599">
      <w:pPr>
        <w:pStyle w:val="22"/>
        <w:jc w:val="center"/>
        <w:outlineLvl w:val="0"/>
        <w:rPr>
          <w:rFonts w:ascii="黑体" w:hAnsi="黑体" w:eastAsia="黑体"/>
          <w:snapToGrid w:val="0"/>
          <w:color w:val="auto"/>
          <w:sz w:val="30"/>
          <w:szCs w:val="30"/>
        </w:rPr>
      </w:pPr>
      <w:bookmarkStart w:id="37" w:name="PageNo100800079"/>
      <w:r>
        <w:rPr>
          <w:rFonts w:hint="eastAsia" w:ascii="黑体" w:hAnsi="黑体" w:eastAsia="黑体"/>
          <w:snapToGrid w:val="0"/>
          <w:color w:val="auto"/>
          <w:sz w:val="30"/>
          <w:szCs w:val="30"/>
        </w:rPr>
        <w:t>五</w:t>
      </w:r>
      <w:bookmarkEnd w:id="37"/>
      <w:r>
        <w:rPr>
          <w:rFonts w:hint="eastAsia" w:ascii="黑体" w:hAnsi="黑体" w:eastAsia="黑体"/>
          <w:snapToGrid w:val="0"/>
          <w:color w:val="auto"/>
          <w:sz w:val="30"/>
          <w:szCs w:val="30"/>
        </w:rPr>
        <w:t>、环境保护措施监督检查清单</w:t>
      </w:r>
    </w:p>
    <w:tbl>
      <w:tblPr>
        <w:tblStyle w:val="26"/>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680"/>
        <w:gridCol w:w="563"/>
        <w:gridCol w:w="971"/>
        <w:gridCol w:w="1062"/>
        <w:gridCol w:w="1318"/>
        <w:gridCol w:w="3206"/>
      </w:tblGrid>
      <w:tr w14:paraId="43FCA75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80" w:type="dxa"/>
            <w:tcBorders>
              <w:tl2br w:val="single" w:color="auto" w:sz="4" w:space="0"/>
            </w:tcBorders>
          </w:tcPr>
          <w:p w14:paraId="68C3A4D7">
            <w:pPr>
              <w:adjustRightInd w:val="0"/>
              <w:snapToGrid w:val="0"/>
              <w:ind w:firstLine="840"/>
              <w:rPr>
                <w:b/>
                <w:bCs/>
                <w:color w:val="auto"/>
                <w:sz w:val="24"/>
                <w:szCs w:val="24"/>
              </w:rPr>
            </w:pPr>
            <w:r>
              <w:rPr>
                <w:b/>
                <w:bCs/>
                <w:color w:val="auto"/>
                <w:sz w:val="24"/>
                <w:szCs w:val="24"/>
              </w:rPr>
              <w:t>内容</w:t>
            </w:r>
          </w:p>
          <w:p w14:paraId="3F2B9266">
            <w:pPr>
              <w:adjustRightInd w:val="0"/>
              <w:snapToGrid w:val="0"/>
              <w:rPr>
                <w:b/>
                <w:bCs/>
                <w:color w:val="auto"/>
                <w:sz w:val="24"/>
                <w:szCs w:val="24"/>
              </w:rPr>
            </w:pPr>
            <w:r>
              <w:rPr>
                <w:b/>
                <w:bCs/>
                <w:color w:val="auto"/>
                <w:sz w:val="24"/>
                <w:szCs w:val="24"/>
              </w:rPr>
              <w:t>要素</w:t>
            </w:r>
          </w:p>
        </w:tc>
        <w:tc>
          <w:tcPr>
            <w:tcW w:w="1534" w:type="dxa"/>
            <w:gridSpan w:val="2"/>
            <w:vAlign w:val="center"/>
          </w:tcPr>
          <w:p w14:paraId="3F9C8ED1">
            <w:pPr>
              <w:adjustRightInd w:val="0"/>
              <w:snapToGrid w:val="0"/>
              <w:jc w:val="center"/>
              <w:rPr>
                <w:b/>
                <w:bCs/>
                <w:color w:val="auto"/>
                <w:sz w:val="24"/>
                <w:szCs w:val="24"/>
              </w:rPr>
            </w:pPr>
            <w:r>
              <w:rPr>
                <w:b/>
                <w:bCs/>
                <w:color w:val="auto"/>
                <w:sz w:val="24"/>
                <w:szCs w:val="24"/>
              </w:rPr>
              <w:t>排放口(编号、</w:t>
            </w:r>
          </w:p>
          <w:p w14:paraId="5D193174">
            <w:pPr>
              <w:adjustRightInd w:val="0"/>
              <w:snapToGrid w:val="0"/>
              <w:jc w:val="center"/>
              <w:rPr>
                <w:b/>
                <w:bCs/>
                <w:color w:val="auto"/>
                <w:sz w:val="24"/>
                <w:szCs w:val="24"/>
              </w:rPr>
            </w:pPr>
            <w:r>
              <w:rPr>
                <w:b/>
                <w:bCs/>
                <w:color w:val="auto"/>
                <w:sz w:val="24"/>
                <w:szCs w:val="24"/>
              </w:rPr>
              <w:t>名称)/污染源</w:t>
            </w:r>
          </w:p>
        </w:tc>
        <w:tc>
          <w:tcPr>
            <w:tcW w:w="1062" w:type="dxa"/>
            <w:vAlign w:val="center"/>
          </w:tcPr>
          <w:p w14:paraId="39EB153B">
            <w:pPr>
              <w:adjustRightInd w:val="0"/>
              <w:snapToGrid w:val="0"/>
              <w:jc w:val="center"/>
              <w:rPr>
                <w:b/>
                <w:bCs/>
                <w:color w:val="auto"/>
                <w:sz w:val="24"/>
                <w:szCs w:val="24"/>
              </w:rPr>
            </w:pPr>
            <w:r>
              <w:rPr>
                <w:b/>
                <w:bCs/>
                <w:color w:val="auto"/>
                <w:sz w:val="24"/>
                <w:szCs w:val="24"/>
              </w:rPr>
              <w:t>污染物项目</w:t>
            </w:r>
          </w:p>
        </w:tc>
        <w:tc>
          <w:tcPr>
            <w:tcW w:w="1318" w:type="dxa"/>
            <w:vAlign w:val="center"/>
          </w:tcPr>
          <w:p w14:paraId="7D46DF7D">
            <w:pPr>
              <w:adjustRightInd w:val="0"/>
              <w:snapToGrid w:val="0"/>
              <w:jc w:val="center"/>
              <w:rPr>
                <w:b/>
                <w:bCs/>
                <w:color w:val="auto"/>
                <w:sz w:val="24"/>
                <w:szCs w:val="24"/>
              </w:rPr>
            </w:pPr>
            <w:r>
              <w:rPr>
                <w:b/>
                <w:bCs/>
                <w:color w:val="auto"/>
                <w:sz w:val="24"/>
                <w:szCs w:val="24"/>
              </w:rPr>
              <w:t>环境保护措施</w:t>
            </w:r>
          </w:p>
        </w:tc>
        <w:tc>
          <w:tcPr>
            <w:tcW w:w="3206" w:type="dxa"/>
            <w:vAlign w:val="center"/>
          </w:tcPr>
          <w:p w14:paraId="469DE4CE">
            <w:pPr>
              <w:adjustRightInd w:val="0"/>
              <w:snapToGrid w:val="0"/>
              <w:jc w:val="center"/>
              <w:rPr>
                <w:b/>
                <w:bCs/>
                <w:color w:val="auto"/>
                <w:sz w:val="24"/>
                <w:szCs w:val="24"/>
              </w:rPr>
            </w:pPr>
            <w:r>
              <w:rPr>
                <w:b/>
                <w:bCs/>
                <w:color w:val="auto"/>
                <w:sz w:val="24"/>
                <w:szCs w:val="24"/>
              </w:rPr>
              <w:t>执行标准</w:t>
            </w:r>
          </w:p>
        </w:tc>
      </w:tr>
      <w:tr w14:paraId="2317C0D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1680" w:type="dxa"/>
            <w:vMerge w:val="restart"/>
            <w:vAlign w:val="center"/>
          </w:tcPr>
          <w:p w14:paraId="4FB084F2">
            <w:pPr>
              <w:adjustRightInd w:val="0"/>
              <w:snapToGrid w:val="0"/>
              <w:jc w:val="center"/>
              <w:rPr>
                <w:color w:val="auto"/>
                <w:sz w:val="24"/>
                <w:szCs w:val="24"/>
              </w:rPr>
            </w:pPr>
            <w:r>
              <w:rPr>
                <w:color w:val="auto"/>
                <w:sz w:val="24"/>
                <w:szCs w:val="24"/>
              </w:rPr>
              <w:t>大气环境</w:t>
            </w:r>
          </w:p>
        </w:tc>
        <w:tc>
          <w:tcPr>
            <w:tcW w:w="563" w:type="dxa"/>
            <w:vAlign w:val="center"/>
          </w:tcPr>
          <w:p w14:paraId="6B5ABF63">
            <w:pPr>
              <w:adjustRightInd w:val="0"/>
              <w:snapToGrid w:val="0"/>
              <w:jc w:val="center"/>
              <w:rPr>
                <w:rFonts w:hint="eastAsia" w:eastAsia="宋体"/>
                <w:color w:val="auto"/>
                <w:sz w:val="24"/>
                <w:szCs w:val="24"/>
                <w:lang w:val="en-US" w:eastAsia="zh-CN"/>
              </w:rPr>
            </w:pPr>
            <w:r>
              <w:rPr>
                <w:rFonts w:hint="eastAsia"/>
                <w:color w:val="auto"/>
                <w:sz w:val="24"/>
                <w:szCs w:val="24"/>
                <w:lang w:val="en-US" w:eastAsia="zh-CN"/>
              </w:rPr>
              <w:t>有组织</w:t>
            </w:r>
          </w:p>
        </w:tc>
        <w:tc>
          <w:tcPr>
            <w:tcW w:w="971" w:type="dxa"/>
            <w:shd w:val="clear" w:color="auto" w:fill="auto"/>
            <w:vAlign w:val="center"/>
          </w:tcPr>
          <w:p w14:paraId="285C2CC8">
            <w:pPr>
              <w:adjustRightInd w:val="0"/>
              <w:snapToGrid w:val="0"/>
              <w:jc w:val="center"/>
              <w:rPr>
                <w:rFonts w:hint="default" w:eastAsia="宋体"/>
                <w:color w:val="auto"/>
                <w:sz w:val="24"/>
                <w:szCs w:val="24"/>
                <w:lang w:val="en-US" w:eastAsia="zh-CN"/>
              </w:rPr>
            </w:pPr>
            <w:r>
              <w:rPr>
                <w:rFonts w:hint="eastAsia"/>
                <w:color w:val="auto"/>
                <w:sz w:val="24"/>
                <w:szCs w:val="24"/>
                <w:lang w:val="en-US" w:eastAsia="zh-CN"/>
              </w:rPr>
              <w:t>DA001</w:t>
            </w:r>
          </w:p>
        </w:tc>
        <w:tc>
          <w:tcPr>
            <w:tcW w:w="1062" w:type="dxa"/>
            <w:tcBorders>
              <w:bottom w:val="single" w:color="auto" w:sz="4" w:space="0"/>
            </w:tcBorders>
            <w:shd w:val="clear" w:color="auto" w:fill="auto"/>
            <w:vAlign w:val="center"/>
          </w:tcPr>
          <w:p w14:paraId="796DBE73">
            <w:pPr>
              <w:adjustRightInd w:val="0"/>
              <w:snapToGrid w:val="0"/>
              <w:jc w:val="center"/>
              <w:rPr>
                <w:rFonts w:hint="default" w:eastAsia="宋体"/>
                <w:color w:val="auto"/>
                <w:sz w:val="24"/>
                <w:szCs w:val="24"/>
                <w:lang w:val="en-US" w:eastAsia="zh-CN"/>
              </w:rPr>
            </w:pPr>
            <w:r>
              <w:rPr>
                <w:rFonts w:hint="default" w:eastAsia="宋体"/>
                <w:color w:val="auto"/>
                <w:sz w:val="24"/>
                <w:szCs w:val="24"/>
                <w:lang w:val="en-US" w:eastAsia="zh-CN"/>
              </w:rPr>
              <w:t>颗粒物</w:t>
            </w:r>
          </w:p>
        </w:tc>
        <w:tc>
          <w:tcPr>
            <w:tcW w:w="1318" w:type="dxa"/>
            <w:shd w:val="clear" w:color="auto" w:fill="auto"/>
            <w:vAlign w:val="center"/>
          </w:tcPr>
          <w:p w14:paraId="1820FEB8">
            <w:pPr>
              <w:adjustRightInd w:val="0"/>
              <w:snapToGrid w:val="0"/>
              <w:jc w:val="center"/>
              <w:rPr>
                <w:rFonts w:hint="default" w:ascii="Times New Roman" w:hAnsi="Times New Roman" w:eastAsia="宋体" w:cs="Times New Roman"/>
                <w:color w:val="auto"/>
                <w:kern w:val="2"/>
                <w:sz w:val="24"/>
                <w:szCs w:val="24"/>
                <w:lang w:val="en-US" w:eastAsia="zh-CN" w:bidi="ar"/>
              </w:rPr>
            </w:pPr>
            <w:r>
              <w:rPr>
                <w:rFonts w:hint="eastAsia" w:cs="Times New Roman"/>
                <w:color w:val="auto"/>
                <w:kern w:val="2"/>
                <w:sz w:val="24"/>
                <w:szCs w:val="24"/>
                <w:lang w:val="en-US" w:eastAsia="zh-CN" w:bidi="ar"/>
              </w:rPr>
              <w:t>布袋除尘器</w:t>
            </w:r>
          </w:p>
        </w:tc>
        <w:tc>
          <w:tcPr>
            <w:tcW w:w="3206" w:type="dxa"/>
            <w:shd w:val="clear" w:color="auto" w:fill="auto"/>
            <w:vAlign w:val="center"/>
          </w:tcPr>
          <w:p w14:paraId="494C4D48">
            <w:pPr>
              <w:adjustRightInd w:val="0"/>
              <w:snapToGrid w:val="0"/>
              <w:jc w:val="center"/>
              <w:rPr>
                <w:rFonts w:hint="eastAsia" w:eastAsia="宋体"/>
                <w:color w:val="auto"/>
                <w:sz w:val="24"/>
                <w:szCs w:val="24"/>
                <w:lang w:eastAsia="zh-CN"/>
              </w:rPr>
            </w:pPr>
            <w:r>
              <w:rPr>
                <w:rFonts w:hint="eastAsia"/>
                <w:color w:val="auto"/>
                <w:sz w:val="24"/>
                <w:szCs w:val="24"/>
              </w:rPr>
              <w:t>《大气污染物综合排放标准》（DB32/4041-2021）表</w:t>
            </w:r>
            <w:r>
              <w:rPr>
                <w:rFonts w:hint="eastAsia"/>
                <w:color w:val="auto"/>
                <w:sz w:val="24"/>
                <w:szCs w:val="24"/>
                <w:lang w:val="en-US" w:eastAsia="zh-CN"/>
              </w:rPr>
              <w:t>1</w:t>
            </w:r>
          </w:p>
        </w:tc>
      </w:tr>
      <w:tr w14:paraId="7F41AB2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1680" w:type="dxa"/>
            <w:vMerge w:val="continue"/>
            <w:vAlign w:val="center"/>
          </w:tcPr>
          <w:p w14:paraId="06B03BA5">
            <w:pPr>
              <w:adjustRightInd w:val="0"/>
              <w:snapToGrid w:val="0"/>
              <w:jc w:val="center"/>
              <w:rPr>
                <w:color w:val="auto"/>
                <w:sz w:val="24"/>
                <w:szCs w:val="24"/>
              </w:rPr>
            </w:pPr>
          </w:p>
        </w:tc>
        <w:tc>
          <w:tcPr>
            <w:tcW w:w="563" w:type="dxa"/>
            <w:vMerge w:val="restart"/>
            <w:vAlign w:val="center"/>
          </w:tcPr>
          <w:p w14:paraId="565C8368">
            <w:pPr>
              <w:adjustRightInd w:val="0"/>
              <w:snapToGrid w:val="0"/>
              <w:jc w:val="center"/>
              <w:rPr>
                <w:color w:val="auto"/>
                <w:sz w:val="24"/>
                <w:szCs w:val="24"/>
              </w:rPr>
            </w:pPr>
            <w:r>
              <w:rPr>
                <w:color w:val="auto"/>
                <w:sz w:val="24"/>
                <w:szCs w:val="24"/>
              </w:rPr>
              <w:t>无组织</w:t>
            </w:r>
          </w:p>
        </w:tc>
        <w:tc>
          <w:tcPr>
            <w:tcW w:w="971" w:type="dxa"/>
            <w:shd w:val="clear" w:color="auto" w:fill="auto"/>
            <w:vAlign w:val="center"/>
          </w:tcPr>
          <w:p w14:paraId="4F2996A9">
            <w:pPr>
              <w:adjustRightInd w:val="0"/>
              <w:snapToGrid w:val="0"/>
              <w:jc w:val="center"/>
              <w:rPr>
                <w:rFonts w:hint="default" w:ascii="Times New Roman" w:hAnsi="Times New Roman" w:eastAsia="宋体" w:cs="Times New Roman"/>
                <w:color w:val="auto"/>
                <w:kern w:val="2"/>
                <w:sz w:val="24"/>
                <w:szCs w:val="24"/>
                <w:lang w:val="en-US" w:eastAsia="zh-CN" w:bidi="ar"/>
              </w:rPr>
            </w:pPr>
            <w:r>
              <w:rPr>
                <w:color w:val="auto"/>
                <w:sz w:val="24"/>
                <w:szCs w:val="24"/>
              </w:rPr>
              <w:t>厂界</w:t>
            </w:r>
          </w:p>
        </w:tc>
        <w:tc>
          <w:tcPr>
            <w:tcW w:w="1062" w:type="dxa"/>
            <w:tcBorders>
              <w:bottom w:val="single" w:color="auto" w:sz="4" w:space="0"/>
            </w:tcBorders>
            <w:shd w:val="clear" w:color="auto" w:fill="auto"/>
            <w:vAlign w:val="center"/>
          </w:tcPr>
          <w:p w14:paraId="56F4C1C5">
            <w:pPr>
              <w:adjustRightInd w:val="0"/>
              <w:snapToGrid w:val="0"/>
              <w:jc w:val="center"/>
              <w:rPr>
                <w:rFonts w:hint="default" w:ascii="Times New Roman" w:hAnsi="Times New Roman" w:eastAsia="宋体" w:cs="Times New Roman"/>
                <w:color w:val="auto"/>
                <w:kern w:val="2"/>
                <w:sz w:val="24"/>
                <w:szCs w:val="24"/>
                <w:lang w:val="en-US" w:eastAsia="zh-CN" w:bidi="ar"/>
              </w:rPr>
            </w:pPr>
            <w:r>
              <w:rPr>
                <w:rFonts w:hint="default" w:eastAsia="宋体"/>
                <w:color w:val="auto"/>
                <w:sz w:val="24"/>
                <w:szCs w:val="24"/>
                <w:lang w:val="en-US" w:eastAsia="zh-CN"/>
              </w:rPr>
              <w:t>颗粒物、非甲烷总烃、臭气浓度</w:t>
            </w:r>
            <w:r>
              <w:rPr>
                <w:rFonts w:hint="eastAsia"/>
                <w:color w:val="auto"/>
                <w:sz w:val="24"/>
                <w:szCs w:val="24"/>
                <w:lang w:val="en-US" w:eastAsia="zh-CN"/>
              </w:rPr>
              <w:t>、硫化氢、氨气</w:t>
            </w:r>
          </w:p>
        </w:tc>
        <w:tc>
          <w:tcPr>
            <w:tcW w:w="1318" w:type="dxa"/>
            <w:shd w:val="clear" w:color="auto" w:fill="auto"/>
            <w:vAlign w:val="center"/>
          </w:tcPr>
          <w:p w14:paraId="3BC96914">
            <w:pPr>
              <w:adjustRightInd w:val="0"/>
              <w:snapToGrid w:val="0"/>
              <w:jc w:val="center"/>
              <w:rPr>
                <w:rFonts w:hint="default" w:ascii="Times New Roman" w:hAnsi="Times New Roman" w:eastAsia="宋体" w:cs="Times New Roman"/>
                <w:color w:val="auto"/>
                <w:kern w:val="2"/>
                <w:sz w:val="24"/>
                <w:szCs w:val="24"/>
                <w:lang w:val="en-US" w:eastAsia="zh-CN" w:bidi="ar"/>
              </w:rPr>
            </w:pPr>
            <w:r>
              <w:rPr>
                <w:rFonts w:hint="eastAsia" w:cs="Times New Roman"/>
                <w:color w:val="auto"/>
                <w:kern w:val="2"/>
                <w:sz w:val="24"/>
                <w:szCs w:val="24"/>
                <w:lang w:val="en-US" w:eastAsia="zh-CN" w:bidi="ar"/>
              </w:rPr>
              <w:t>/</w:t>
            </w:r>
          </w:p>
        </w:tc>
        <w:tc>
          <w:tcPr>
            <w:tcW w:w="3206" w:type="dxa"/>
            <w:shd w:val="clear" w:color="auto" w:fill="auto"/>
            <w:vAlign w:val="center"/>
          </w:tcPr>
          <w:p w14:paraId="1D55549C">
            <w:pPr>
              <w:adjustRightInd w:val="0"/>
              <w:snapToGrid w:val="0"/>
              <w:jc w:val="center"/>
              <w:rPr>
                <w:color w:val="auto"/>
                <w:sz w:val="24"/>
                <w:szCs w:val="24"/>
              </w:rPr>
            </w:pPr>
            <w:r>
              <w:rPr>
                <w:rFonts w:hint="eastAsia"/>
                <w:color w:val="auto"/>
                <w:sz w:val="24"/>
                <w:szCs w:val="24"/>
              </w:rPr>
              <w:t>《大气污染物综合排放标准》（DB32/4041-2021）表3、《恶臭污染物排放标准》（GB14554-93）表1</w:t>
            </w:r>
          </w:p>
        </w:tc>
      </w:tr>
      <w:tr w14:paraId="7EAA641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1680" w:type="dxa"/>
            <w:vMerge w:val="continue"/>
            <w:vAlign w:val="center"/>
          </w:tcPr>
          <w:p w14:paraId="62D4CE08">
            <w:pPr>
              <w:adjustRightInd w:val="0"/>
              <w:snapToGrid w:val="0"/>
              <w:jc w:val="center"/>
              <w:rPr>
                <w:color w:val="auto"/>
                <w:sz w:val="24"/>
                <w:szCs w:val="24"/>
              </w:rPr>
            </w:pPr>
          </w:p>
        </w:tc>
        <w:tc>
          <w:tcPr>
            <w:tcW w:w="563" w:type="dxa"/>
            <w:vMerge w:val="continue"/>
            <w:vAlign w:val="center"/>
          </w:tcPr>
          <w:p w14:paraId="5D3FA052">
            <w:pPr>
              <w:adjustRightInd w:val="0"/>
              <w:snapToGrid w:val="0"/>
              <w:jc w:val="center"/>
              <w:rPr>
                <w:color w:val="auto"/>
                <w:sz w:val="24"/>
                <w:szCs w:val="24"/>
              </w:rPr>
            </w:pPr>
          </w:p>
        </w:tc>
        <w:tc>
          <w:tcPr>
            <w:tcW w:w="971" w:type="dxa"/>
            <w:shd w:val="clear" w:color="auto" w:fill="auto"/>
            <w:vAlign w:val="center"/>
          </w:tcPr>
          <w:p w14:paraId="521F475B">
            <w:pPr>
              <w:jc w:val="center"/>
              <w:rPr>
                <w:rFonts w:hint="default" w:ascii="Times New Roman" w:hAnsi="Times New Roman" w:eastAsia="宋体" w:cs="Times New Roman"/>
                <w:color w:val="auto"/>
                <w:kern w:val="2"/>
                <w:sz w:val="24"/>
                <w:szCs w:val="24"/>
                <w:lang w:val="en-US" w:eastAsia="zh-CN" w:bidi="ar"/>
              </w:rPr>
            </w:pPr>
            <w:r>
              <w:rPr>
                <w:color w:val="auto"/>
                <w:sz w:val="24"/>
                <w:szCs w:val="24"/>
              </w:rPr>
              <w:t>厂区内</w:t>
            </w:r>
          </w:p>
        </w:tc>
        <w:tc>
          <w:tcPr>
            <w:tcW w:w="1062" w:type="dxa"/>
            <w:tcBorders>
              <w:bottom w:val="single" w:color="auto" w:sz="4" w:space="0"/>
            </w:tcBorders>
            <w:shd w:val="clear" w:color="auto" w:fill="auto"/>
            <w:vAlign w:val="center"/>
          </w:tcPr>
          <w:p w14:paraId="099C9B78">
            <w:pPr>
              <w:jc w:val="center"/>
              <w:rPr>
                <w:rFonts w:hint="eastAsia" w:ascii="Times New Roman" w:hAnsi="Times New Roman" w:eastAsia="宋体" w:cs="Times New Roman"/>
                <w:color w:val="auto"/>
                <w:kern w:val="2"/>
                <w:sz w:val="24"/>
                <w:szCs w:val="24"/>
                <w:lang w:val="en-US" w:eastAsia="zh-CN" w:bidi="ar"/>
              </w:rPr>
            </w:pPr>
            <w:r>
              <w:rPr>
                <w:rFonts w:hint="eastAsia"/>
                <w:color w:val="auto"/>
                <w:sz w:val="24"/>
                <w:szCs w:val="24"/>
                <w:lang w:eastAsia="zh-CN"/>
              </w:rPr>
              <w:t>非甲烷总烃</w:t>
            </w:r>
          </w:p>
        </w:tc>
        <w:tc>
          <w:tcPr>
            <w:tcW w:w="1318" w:type="dxa"/>
            <w:shd w:val="clear" w:color="auto" w:fill="auto"/>
            <w:vAlign w:val="center"/>
          </w:tcPr>
          <w:p w14:paraId="09861511">
            <w:pPr>
              <w:jc w:val="center"/>
              <w:rPr>
                <w:rFonts w:hint="eastAsia" w:ascii="Times New Roman" w:hAnsi="Times New Roman" w:eastAsia="宋体" w:cs="Times New Roman"/>
                <w:color w:val="auto"/>
                <w:kern w:val="2"/>
                <w:sz w:val="24"/>
                <w:szCs w:val="24"/>
                <w:lang w:val="en-US" w:eastAsia="zh-CN" w:bidi="ar"/>
              </w:rPr>
            </w:pPr>
            <w:r>
              <w:rPr>
                <w:color w:val="auto"/>
                <w:sz w:val="24"/>
                <w:szCs w:val="24"/>
              </w:rPr>
              <w:t>/</w:t>
            </w:r>
          </w:p>
        </w:tc>
        <w:tc>
          <w:tcPr>
            <w:tcW w:w="3206" w:type="dxa"/>
            <w:shd w:val="clear" w:color="auto" w:fill="auto"/>
            <w:vAlign w:val="center"/>
          </w:tcPr>
          <w:p w14:paraId="20C07096">
            <w:pPr>
              <w:adjustRightInd w:val="0"/>
              <w:snapToGrid w:val="0"/>
              <w:jc w:val="center"/>
              <w:rPr>
                <w:rFonts w:hint="eastAsia" w:ascii="Times New Roman" w:hAnsi="Times New Roman" w:eastAsia="宋体" w:cs="Times New Roman"/>
                <w:color w:val="auto"/>
                <w:kern w:val="2"/>
                <w:sz w:val="24"/>
                <w:szCs w:val="24"/>
                <w:lang w:val="en-US" w:eastAsia="zh-CN" w:bidi="ar"/>
              </w:rPr>
            </w:pPr>
            <w:r>
              <w:rPr>
                <w:rFonts w:hint="eastAsia" w:ascii="Times New Roman" w:hAnsi="Times New Roman" w:eastAsia="宋体" w:cs="Times New Roman"/>
                <w:color w:val="auto"/>
                <w:kern w:val="2"/>
                <w:sz w:val="24"/>
                <w:szCs w:val="24"/>
                <w:lang w:val="en-US" w:eastAsia="zh-CN" w:bidi="ar"/>
              </w:rPr>
              <w:t>《大气污染物综合排放标准》（DB32/4041-2021）表2</w:t>
            </w:r>
          </w:p>
        </w:tc>
      </w:tr>
      <w:tr w14:paraId="6101C65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12" w:hRule="atLeast"/>
          <w:jc w:val="center"/>
        </w:trPr>
        <w:tc>
          <w:tcPr>
            <w:tcW w:w="1680" w:type="dxa"/>
            <w:vMerge w:val="restart"/>
            <w:vAlign w:val="center"/>
          </w:tcPr>
          <w:p w14:paraId="54F80511">
            <w:pPr>
              <w:adjustRightInd w:val="0"/>
              <w:snapToGrid w:val="0"/>
              <w:jc w:val="center"/>
              <w:rPr>
                <w:color w:val="auto"/>
                <w:sz w:val="24"/>
                <w:szCs w:val="24"/>
              </w:rPr>
            </w:pPr>
            <w:r>
              <w:rPr>
                <w:color w:val="auto"/>
                <w:sz w:val="24"/>
                <w:szCs w:val="24"/>
              </w:rPr>
              <w:t>地表水环境</w:t>
            </w:r>
          </w:p>
        </w:tc>
        <w:tc>
          <w:tcPr>
            <w:tcW w:w="1534" w:type="dxa"/>
            <w:gridSpan w:val="2"/>
            <w:tcBorders>
              <w:top w:val="single" w:color="auto" w:sz="4" w:space="0"/>
              <w:bottom w:val="single" w:color="auto" w:sz="4" w:space="0"/>
            </w:tcBorders>
            <w:vAlign w:val="center"/>
          </w:tcPr>
          <w:p w14:paraId="614F4E03">
            <w:pPr>
              <w:adjustRightInd w:val="0"/>
              <w:snapToGrid w:val="0"/>
              <w:spacing w:line="240" w:lineRule="atLeast"/>
              <w:jc w:val="center"/>
              <w:rPr>
                <w:rFonts w:hint="default" w:eastAsia="宋体"/>
                <w:color w:val="auto"/>
                <w:sz w:val="24"/>
                <w:szCs w:val="24"/>
                <w:lang w:val="en-US" w:eastAsia="zh-CN"/>
              </w:rPr>
            </w:pPr>
            <w:r>
              <w:rPr>
                <w:rFonts w:hint="eastAsia"/>
                <w:color w:val="auto"/>
                <w:sz w:val="24"/>
                <w:szCs w:val="24"/>
                <w:lang w:val="en-US" w:eastAsia="zh-CN"/>
              </w:rPr>
              <w:t>生活污水</w:t>
            </w:r>
          </w:p>
        </w:tc>
        <w:tc>
          <w:tcPr>
            <w:tcW w:w="1062" w:type="dxa"/>
            <w:tcBorders>
              <w:top w:val="single" w:color="auto" w:sz="4" w:space="0"/>
            </w:tcBorders>
            <w:vAlign w:val="center"/>
          </w:tcPr>
          <w:p w14:paraId="49C07DB6">
            <w:pPr>
              <w:adjustRightInd w:val="0"/>
              <w:snapToGrid w:val="0"/>
              <w:spacing w:line="240" w:lineRule="atLeast"/>
              <w:jc w:val="center"/>
              <w:rPr>
                <w:rFonts w:hint="eastAsia" w:eastAsia="宋体"/>
                <w:color w:val="auto"/>
                <w:sz w:val="24"/>
                <w:szCs w:val="24"/>
                <w:lang w:val="en-US" w:eastAsia="zh-CN"/>
              </w:rPr>
            </w:pPr>
            <w:r>
              <w:rPr>
                <w:color w:val="auto"/>
                <w:kern w:val="0"/>
                <w:sz w:val="24"/>
                <w:szCs w:val="24"/>
              </w:rPr>
              <w:t>pH、COD、SS、NH</w:t>
            </w:r>
            <w:r>
              <w:rPr>
                <w:color w:val="auto"/>
                <w:kern w:val="0"/>
                <w:sz w:val="24"/>
                <w:szCs w:val="24"/>
                <w:vertAlign w:val="subscript"/>
              </w:rPr>
              <w:t>3</w:t>
            </w:r>
            <w:r>
              <w:rPr>
                <w:color w:val="auto"/>
                <w:kern w:val="0"/>
                <w:sz w:val="24"/>
                <w:szCs w:val="24"/>
              </w:rPr>
              <w:t>-N、TP、TN</w:t>
            </w:r>
          </w:p>
        </w:tc>
        <w:tc>
          <w:tcPr>
            <w:tcW w:w="1318" w:type="dxa"/>
            <w:vAlign w:val="center"/>
          </w:tcPr>
          <w:p w14:paraId="795DE55F">
            <w:pPr>
              <w:adjustRightInd w:val="0"/>
              <w:snapToGrid w:val="0"/>
              <w:jc w:val="center"/>
              <w:rPr>
                <w:color w:val="auto"/>
                <w:sz w:val="24"/>
                <w:szCs w:val="24"/>
              </w:rPr>
            </w:pPr>
            <w:r>
              <w:rPr>
                <w:rFonts w:hint="eastAsia"/>
                <w:color w:val="auto"/>
                <w:sz w:val="24"/>
                <w:szCs w:val="24"/>
                <w:lang w:val="en-US" w:eastAsia="zh-CN"/>
              </w:rPr>
              <w:t>10</w:t>
            </w:r>
            <w:r>
              <w:rPr>
                <w:rFonts w:hint="eastAsia"/>
                <w:color w:val="auto"/>
                <w:sz w:val="24"/>
                <w:szCs w:val="24"/>
              </w:rPr>
              <w:t>m</w:t>
            </w:r>
            <w:r>
              <w:rPr>
                <w:rFonts w:hint="eastAsia"/>
                <w:color w:val="auto"/>
                <w:sz w:val="24"/>
                <w:szCs w:val="24"/>
                <w:vertAlign w:val="superscript"/>
              </w:rPr>
              <w:t>3</w:t>
            </w:r>
            <w:r>
              <w:rPr>
                <w:rFonts w:hint="eastAsia"/>
                <w:color w:val="auto"/>
                <w:sz w:val="24"/>
                <w:szCs w:val="24"/>
              </w:rPr>
              <w:t>化粪池</w:t>
            </w:r>
          </w:p>
        </w:tc>
        <w:tc>
          <w:tcPr>
            <w:tcW w:w="3206" w:type="dxa"/>
            <w:vAlign w:val="center"/>
          </w:tcPr>
          <w:p w14:paraId="19B5FD80">
            <w:pPr>
              <w:adjustRightInd w:val="0"/>
              <w:snapToGrid w:val="0"/>
              <w:jc w:val="center"/>
              <w:rPr>
                <w:color w:val="auto"/>
                <w:sz w:val="24"/>
                <w:szCs w:val="24"/>
              </w:rPr>
            </w:pPr>
            <w:r>
              <w:rPr>
                <w:rFonts w:hint="eastAsia"/>
                <w:color w:val="auto"/>
                <w:sz w:val="24"/>
                <w:szCs w:val="24"/>
              </w:rPr>
              <w:t>《污水综合排放标准》（GB8978-1996）表4中三级标准和《污水排入城镇下水道水质标准》（GB/T31962-2015）表1中B等级标准及鹰泰水务海安有限公司接管标准</w:t>
            </w:r>
          </w:p>
        </w:tc>
      </w:tr>
      <w:tr w14:paraId="3722BBA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12" w:hRule="atLeast"/>
          <w:jc w:val="center"/>
        </w:trPr>
        <w:tc>
          <w:tcPr>
            <w:tcW w:w="1680" w:type="dxa"/>
            <w:vMerge w:val="continue"/>
            <w:vAlign w:val="center"/>
          </w:tcPr>
          <w:p w14:paraId="71DFFBC9">
            <w:pPr>
              <w:adjustRightInd w:val="0"/>
              <w:snapToGrid w:val="0"/>
              <w:jc w:val="center"/>
              <w:rPr>
                <w:color w:val="auto"/>
                <w:sz w:val="24"/>
                <w:szCs w:val="24"/>
              </w:rPr>
            </w:pPr>
          </w:p>
        </w:tc>
        <w:tc>
          <w:tcPr>
            <w:tcW w:w="1534" w:type="dxa"/>
            <w:gridSpan w:val="2"/>
            <w:tcBorders>
              <w:top w:val="single" w:color="auto" w:sz="4" w:space="0"/>
              <w:bottom w:val="single" w:color="auto" w:sz="4" w:space="0"/>
            </w:tcBorders>
            <w:vAlign w:val="center"/>
          </w:tcPr>
          <w:p w14:paraId="743DBA31">
            <w:pPr>
              <w:adjustRightInd w:val="0"/>
              <w:snapToGrid w:val="0"/>
              <w:spacing w:line="240" w:lineRule="atLeast"/>
              <w:jc w:val="center"/>
              <w:rPr>
                <w:rFonts w:hint="default"/>
                <w:color w:val="auto"/>
                <w:sz w:val="24"/>
                <w:szCs w:val="24"/>
                <w:lang w:val="en-US" w:eastAsia="zh-CN"/>
              </w:rPr>
            </w:pPr>
            <w:r>
              <w:rPr>
                <w:rFonts w:hint="eastAsia"/>
                <w:color w:val="auto"/>
                <w:sz w:val="24"/>
                <w:szCs w:val="24"/>
                <w:lang w:val="en-US" w:eastAsia="zh-CN"/>
              </w:rPr>
              <w:t>清洗废水</w:t>
            </w:r>
          </w:p>
        </w:tc>
        <w:tc>
          <w:tcPr>
            <w:tcW w:w="1062" w:type="dxa"/>
            <w:tcBorders>
              <w:top w:val="single" w:color="auto" w:sz="4" w:space="0"/>
            </w:tcBorders>
            <w:vAlign w:val="center"/>
          </w:tcPr>
          <w:p w14:paraId="47802BCC">
            <w:pPr>
              <w:adjustRightInd w:val="0"/>
              <w:snapToGrid w:val="0"/>
              <w:spacing w:line="240" w:lineRule="atLeast"/>
              <w:jc w:val="center"/>
              <w:rPr>
                <w:color w:val="auto"/>
                <w:kern w:val="0"/>
                <w:sz w:val="24"/>
                <w:szCs w:val="24"/>
              </w:rPr>
            </w:pPr>
            <w:r>
              <w:rPr>
                <w:rFonts w:hint="eastAsia"/>
                <w:color w:val="auto"/>
                <w:kern w:val="0"/>
                <w:sz w:val="24"/>
                <w:szCs w:val="24"/>
              </w:rPr>
              <w:t>pH、COD、SS、TDS、石油类</w:t>
            </w:r>
          </w:p>
        </w:tc>
        <w:tc>
          <w:tcPr>
            <w:tcW w:w="1318" w:type="dxa"/>
            <w:vAlign w:val="center"/>
          </w:tcPr>
          <w:p w14:paraId="15CA30B3">
            <w:pPr>
              <w:adjustRightInd w:val="0"/>
              <w:snapToGrid w:val="0"/>
              <w:jc w:val="center"/>
              <w:rPr>
                <w:rFonts w:hint="default"/>
                <w:color w:val="auto"/>
                <w:sz w:val="24"/>
                <w:szCs w:val="24"/>
                <w:lang w:val="en-US" w:eastAsia="zh-CN"/>
              </w:rPr>
            </w:pPr>
            <w:r>
              <w:rPr>
                <w:rFonts w:hint="eastAsia"/>
                <w:color w:val="auto"/>
                <w:sz w:val="24"/>
                <w:szCs w:val="24"/>
                <w:lang w:val="en-US" w:eastAsia="zh-CN"/>
              </w:rPr>
              <w:t>废水处理设施</w:t>
            </w:r>
          </w:p>
        </w:tc>
        <w:tc>
          <w:tcPr>
            <w:tcW w:w="3206" w:type="dxa"/>
            <w:vAlign w:val="center"/>
          </w:tcPr>
          <w:p w14:paraId="40647382">
            <w:pPr>
              <w:adjustRightInd w:val="0"/>
              <w:snapToGrid w:val="0"/>
              <w:jc w:val="center"/>
              <w:rPr>
                <w:rFonts w:hint="eastAsia"/>
                <w:color w:val="auto"/>
                <w:sz w:val="24"/>
                <w:szCs w:val="24"/>
              </w:rPr>
            </w:pPr>
            <w:r>
              <w:rPr>
                <w:rFonts w:hint="eastAsia"/>
                <w:color w:val="auto"/>
                <w:sz w:val="24"/>
                <w:szCs w:val="24"/>
              </w:rPr>
              <w:t>《城市污水再生利用 工业用水水质》（GB/T19923-2024）表1中直流冷却水、洗涤用水标准限值</w:t>
            </w:r>
          </w:p>
        </w:tc>
      </w:tr>
      <w:tr w14:paraId="156F735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80" w:type="dxa"/>
            <w:vAlign w:val="center"/>
          </w:tcPr>
          <w:p w14:paraId="36DB4ECF">
            <w:pPr>
              <w:adjustRightInd w:val="0"/>
              <w:snapToGrid w:val="0"/>
              <w:jc w:val="center"/>
              <w:rPr>
                <w:color w:val="auto"/>
                <w:sz w:val="24"/>
                <w:szCs w:val="24"/>
              </w:rPr>
            </w:pPr>
            <w:r>
              <w:rPr>
                <w:color w:val="auto"/>
                <w:sz w:val="24"/>
                <w:szCs w:val="24"/>
              </w:rPr>
              <w:t>声环境</w:t>
            </w:r>
          </w:p>
        </w:tc>
        <w:tc>
          <w:tcPr>
            <w:tcW w:w="1534" w:type="dxa"/>
            <w:gridSpan w:val="2"/>
            <w:vAlign w:val="center"/>
          </w:tcPr>
          <w:p w14:paraId="3BFC2E80">
            <w:pPr>
              <w:adjustRightInd w:val="0"/>
              <w:snapToGrid w:val="0"/>
              <w:jc w:val="center"/>
              <w:rPr>
                <w:color w:val="auto"/>
                <w:sz w:val="24"/>
                <w:szCs w:val="24"/>
              </w:rPr>
            </w:pPr>
            <w:r>
              <w:rPr>
                <w:color w:val="auto"/>
                <w:sz w:val="24"/>
                <w:szCs w:val="24"/>
              </w:rPr>
              <w:t>生产车间</w:t>
            </w:r>
          </w:p>
        </w:tc>
        <w:tc>
          <w:tcPr>
            <w:tcW w:w="1062" w:type="dxa"/>
            <w:vAlign w:val="center"/>
          </w:tcPr>
          <w:p w14:paraId="6834A1A9">
            <w:pPr>
              <w:adjustRightInd w:val="0"/>
              <w:snapToGrid w:val="0"/>
              <w:jc w:val="center"/>
              <w:rPr>
                <w:color w:val="auto"/>
                <w:sz w:val="24"/>
                <w:szCs w:val="24"/>
              </w:rPr>
            </w:pPr>
            <w:r>
              <w:rPr>
                <w:color w:val="auto"/>
                <w:sz w:val="24"/>
                <w:szCs w:val="24"/>
              </w:rPr>
              <w:t>各类生产设备噪声</w:t>
            </w:r>
          </w:p>
        </w:tc>
        <w:tc>
          <w:tcPr>
            <w:tcW w:w="1318" w:type="dxa"/>
            <w:vAlign w:val="center"/>
          </w:tcPr>
          <w:p w14:paraId="12DB509C">
            <w:pPr>
              <w:adjustRightInd w:val="0"/>
              <w:snapToGrid w:val="0"/>
              <w:jc w:val="center"/>
              <w:rPr>
                <w:color w:val="auto"/>
                <w:sz w:val="24"/>
                <w:szCs w:val="24"/>
              </w:rPr>
            </w:pPr>
            <w:r>
              <w:rPr>
                <w:color w:val="auto"/>
                <w:sz w:val="24"/>
                <w:szCs w:val="24"/>
              </w:rPr>
              <w:t>厂房隔声、减振垫、距离衰减</w:t>
            </w:r>
          </w:p>
        </w:tc>
        <w:tc>
          <w:tcPr>
            <w:tcW w:w="3206" w:type="dxa"/>
            <w:vAlign w:val="center"/>
          </w:tcPr>
          <w:p w14:paraId="0C2E960F">
            <w:pPr>
              <w:adjustRightInd w:val="0"/>
              <w:snapToGrid w:val="0"/>
              <w:jc w:val="center"/>
              <w:rPr>
                <w:color w:val="auto"/>
                <w:sz w:val="24"/>
                <w:szCs w:val="24"/>
              </w:rPr>
            </w:pPr>
            <w:r>
              <w:rPr>
                <w:rFonts w:hint="eastAsia"/>
                <w:color w:val="auto"/>
                <w:sz w:val="24"/>
                <w:szCs w:val="24"/>
              </w:rPr>
              <w:t>项目东、南、北厂界执行《工业企业厂界环境噪声排放标准》（GB12348-2008）3类标准要求，西、西厂界执行《工业企业厂界环境噪声排放标准》（GB12348-2008）4类标准要求</w:t>
            </w:r>
          </w:p>
        </w:tc>
      </w:tr>
      <w:tr w14:paraId="7471A0D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80" w:type="dxa"/>
            <w:vAlign w:val="center"/>
          </w:tcPr>
          <w:p w14:paraId="63D25C99">
            <w:pPr>
              <w:adjustRightInd w:val="0"/>
              <w:snapToGrid w:val="0"/>
              <w:jc w:val="center"/>
              <w:rPr>
                <w:color w:val="auto"/>
                <w:sz w:val="24"/>
                <w:szCs w:val="24"/>
              </w:rPr>
            </w:pPr>
            <w:r>
              <w:rPr>
                <w:color w:val="auto"/>
                <w:sz w:val="24"/>
                <w:szCs w:val="24"/>
              </w:rPr>
              <w:t>电磁辐射</w:t>
            </w:r>
          </w:p>
        </w:tc>
        <w:tc>
          <w:tcPr>
            <w:tcW w:w="7120" w:type="dxa"/>
            <w:gridSpan w:val="5"/>
            <w:vAlign w:val="center"/>
          </w:tcPr>
          <w:p w14:paraId="5BFF9CE7">
            <w:pPr>
              <w:adjustRightInd w:val="0"/>
              <w:snapToGrid w:val="0"/>
              <w:jc w:val="center"/>
              <w:rPr>
                <w:color w:val="auto"/>
                <w:sz w:val="24"/>
                <w:szCs w:val="24"/>
              </w:rPr>
            </w:pPr>
            <w:r>
              <w:rPr>
                <w:color w:val="auto"/>
                <w:sz w:val="24"/>
                <w:szCs w:val="24"/>
              </w:rPr>
              <w:t>无</w:t>
            </w:r>
          </w:p>
        </w:tc>
      </w:tr>
      <w:tr w14:paraId="2F1C68D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360" w:hRule="atLeast"/>
          <w:jc w:val="center"/>
        </w:trPr>
        <w:tc>
          <w:tcPr>
            <w:tcW w:w="1680" w:type="dxa"/>
            <w:vAlign w:val="center"/>
          </w:tcPr>
          <w:p w14:paraId="65C0C334">
            <w:pPr>
              <w:adjustRightInd w:val="0"/>
              <w:snapToGrid w:val="0"/>
              <w:jc w:val="center"/>
              <w:rPr>
                <w:color w:val="auto"/>
                <w:sz w:val="24"/>
                <w:szCs w:val="24"/>
              </w:rPr>
            </w:pPr>
            <w:r>
              <w:rPr>
                <w:color w:val="auto"/>
                <w:sz w:val="24"/>
                <w:szCs w:val="24"/>
              </w:rPr>
              <w:t>固体废物</w:t>
            </w:r>
          </w:p>
        </w:tc>
        <w:tc>
          <w:tcPr>
            <w:tcW w:w="7120" w:type="dxa"/>
            <w:gridSpan w:val="5"/>
            <w:vAlign w:val="center"/>
          </w:tcPr>
          <w:p w14:paraId="0F815590">
            <w:pPr>
              <w:spacing w:line="360" w:lineRule="auto"/>
              <w:ind w:firstLine="480" w:firstLineChars="200"/>
              <w:rPr>
                <w:color w:val="auto"/>
                <w:sz w:val="24"/>
                <w:szCs w:val="24"/>
              </w:rPr>
            </w:pPr>
            <w:r>
              <w:rPr>
                <w:rFonts w:hint="eastAsia"/>
                <w:color w:val="auto"/>
                <w:sz w:val="24"/>
                <w:szCs w:val="24"/>
                <w:lang w:val="en-US" w:eastAsia="zh-CN"/>
              </w:rPr>
              <w:t>本</w:t>
            </w:r>
            <w:r>
              <w:rPr>
                <w:color w:val="auto"/>
                <w:sz w:val="24"/>
                <w:szCs w:val="24"/>
              </w:rPr>
              <w:t>项目产生的固废主要为</w:t>
            </w:r>
            <w:r>
              <w:rPr>
                <w:rFonts w:hint="eastAsia"/>
                <w:color w:val="auto"/>
                <w:sz w:val="24"/>
                <w:szCs w:val="24"/>
              </w:rPr>
              <w:t>生活垃圾、边角料</w:t>
            </w:r>
            <w:r>
              <w:rPr>
                <w:rFonts w:hint="eastAsia"/>
                <w:color w:val="auto"/>
                <w:sz w:val="24"/>
                <w:szCs w:val="24"/>
                <w:lang w:eastAsia="zh-CN"/>
              </w:rPr>
              <w:t>、</w:t>
            </w:r>
            <w:r>
              <w:rPr>
                <w:rFonts w:hint="eastAsia"/>
                <w:color w:val="auto"/>
                <w:sz w:val="24"/>
                <w:szCs w:val="24"/>
              </w:rPr>
              <w:t>废布袋</w:t>
            </w:r>
            <w:r>
              <w:rPr>
                <w:rFonts w:hint="eastAsia"/>
                <w:color w:val="auto"/>
                <w:sz w:val="24"/>
                <w:szCs w:val="24"/>
                <w:lang w:eastAsia="zh-CN"/>
              </w:rPr>
              <w:t>、</w:t>
            </w:r>
            <w:r>
              <w:rPr>
                <w:rFonts w:hint="eastAsia"/>
                <w:color w:val="auto"/>
                <w:sz w:val="24"/>
                <w:szCs w:val="24"/>
              </w:rPr>
              <w:t>收集尘</w:t>
            </w:r>
            <w:r>
              <w:rPr>
                <w:rFonts w:hint="eastAsia"/>
                <w:color w:val="auto"/>
                <w:sz w:val="24"/>
                <w:szCs w:val="24"/>
                <w:lang w:eastAsia="zh-CN"/>
              </w:rPr>
              <w:t>、</w:t>
            </w:r>
            <w:r>
              <w:rPr>
                <w:rFonts w:hint="eastAsia"/>
                <w:color w:val="auto"/>
                <w:sz w:val="24"/>
                <w:szCs w:val="24"/>
              </w:rPr>
              <w:t>废包装材料</w:t>
            </w:r>
            <w:r>
              <w:rPr>
                <w:rFonts w:hint="eastAsia"/>
                <w:color w:val="auto"/>
                <w:sz w:val="24"/>
                <w:szCs w:val="24"/>
                <w:lang w:eastAsia="zh-CN"/>
              </w:rPr>
              <w:t>、废耐火材料、</w:t>
            </w:r>
            <w:r>
              <w:rPr>
                <w:rFonts w:hint="eastAsia"/>
                <w:color w:val="auto"/>
                <w:sz w:val="24"/>
                <w:szCs w:val="24"/>
              </w:rPr>
              <w:t>废深孔钻油</w:t>
            </w:r>
            <w:r>
              <w:rPr>
                <w:rFonts w:hint="eastAsia"/>
                <w:color w:val="auto"/>
                <w:sz w:val="24"/>
                <w:szCs w:val="24"/>
                <w:lang w:eastAsia="zh-CN"/>
              </w:rPr>
              <w:t>、</w:t>
            </w:r>
            <w:r>
              <w:rPr>
                <w:rFonts w:hint="eastAsia"/>
                <w:color w:val="auto"/>
                <w:sz w:val="24"/>
                <w:szCs w:val="24"/>
              </w:rPr>
              <w:t>废切削液</w:t>
            </w:r>
            <w:r>
              <w:rPr>
                <w:rFonts w:hint="eastAsia"/>
                <w:color w:val="auto"/>
                <w:sz w:val="24"/>
                <w:szCs w:val="24"/>
                <w:lang w:eastAsia="zh-CN"/>
              </w:rPr>
              <w:t>、</w:t>
            </w:r>
            <w:r>
              <w:rPr>
                <w:rFonts w:hint="eastAsia"/>
                <w:color w:val="auto"/>
                <w:sz w:val="24"/>
                <w:szCs w:val="24"/>
              </w:rPr>
              <w:t>废刷子</w:t>
            </w:r>
            <w:r>
              <w:rPr>
                <w:rFonts w:hint="eastAsia"/>
                <w:color w:val="auto"/>
                <w:sz w:val="24"/>
                <w:szCs w:val="24"/>
                <w:lang w:eastAsia="zh-CN"/>
              </w:rPr>
              <w:t>、</w:t>
            </w:r>
            <w:r>
              <w:rPr>
                <w:rFonts w:hint="eastAsia"/>
                <w:color w:val="auto"/>
                <w:sz w:val="24"/>
                <w:szCs w:val="24"/>
              </w:rPr>
              <w:t>废抹布及手套</w:t>
            </w:r>
            <w:r>
              <w:rPr>
                <w:rFonts w:hint="eastAsia"/>
                <w:color w:val="auto"/>
                <w:sz w:val="24"/>
                <w:szCs w:val="24"/>
                <w:lang w:eastAsia="zh-CN"/>
              </w:rPr>
              <w:t>、</w:t>
            </w:r>
            <w:r>
              <w:rPr>
                <w:rFonts w:hint="eastAsia"/>
                <w:color w:val="auto"/>
                <w:sz w:val="24"/>
                <w:szCs w:val="24"/>
              </w:rPr>
              <w:t>废包装桶</w:t>
            </w:r>
            <w:r>
              <w:rPr>
                <w:rFonts w:hint="eastAsia"/>
                <w:color w:val="auto"/>
                <w:sz w:val="24"/>
                <w:szCs w:val="24"/>
                <w:lang w:eastAsia="zh-CN"/>
              </w:rPr>
              <w:t>、</w:t>
            </w:r>
            <w:r>
              <w:rPr>
                <w:rFonts w:hint="eastAsia"/>
                <w:color w:val="auto"/>
                <w:sz w:val="24"/>
                <w:szCs w:val="24"/>
              </w:rPr>
              <w:t>废油桶</w:t>
            </w:r>
            <w:r>
              <w:rPr>
                <w:rFonts w:hint="eastAsia"/>
                <w:color w:val="auto"/>
                <w:sz w:val="24"/>
                <w:szCs w:val="24"/>
                <w:lang w:eastAsia="zh-CN"/>
              </w:rPr>
              <w:t>、</w:t>
            </w:r>
            <w:r>
              <w:rPr>
                <w:rFonts w:hint="eastAsia"/>
                <w:color w:val="auto"/>
                <w:sz w:val="24"/>
                <w:szCs w:val="24"/>
              </w:rPr>
              <w:t>废润滑油</w:t>
            </w:r>
            <w:r>
              <w:rPr>
                <w:rFonts w:hint="eastAsia"/>
                <w:color w:val="auto"/>
                <w:sz w:val="24"/>
                <w:szCs w:val="24"/>
                <w:lang w:eastAsia="zh-CN"/>
              </w:rPr>
              <w:t>、</w:t>
            </w:r>
            <w:r>
              <w:rPr>
                <w:rFonts w:hint="eastAsia"/>
                <w:color w:val="auto"/>
                <w:sz w:val="24"/>
                <w:szCs w:val="24"/>
              </w:rPr>
              <w:t>废液压油</w:t>
            </w:r>
            <w:r>
              <w:rPr>
                <w:rFonts w:hint="eastAsia"/>
                <w:color w:val="auto"/>
                <w:sz w:val="24"/>
                <w:szCs w:val="24"/>
                <w:lang w:eastAsia="zh-CN"/>
              </w:rPr>
              <w:t>、</w:t>
            </w:r>
            <w:r>
              <w:rPr>
                <w:rFonts w:hint="eastAsia"/>
                <w:color w:val="auto"/>
                <w:sz w:val="24"/>
                <w:szCs w:val="24"/>
              </w:rPr>
              <w:t>浓液</w:t>
            </w:r>
            <w:r>
              <w:rPr>
                <w:rFonts w:hint="eastAsia"/>
                <w:color w:val="auto"/>
                <w:sz w:val="24"/>
                <w:szCs w:val="24"/>
                <w:lang w:eastAsia="zh-CN"/>
              </w:rPr>
              <w:t>、</w:t>
            </w:r>
            <w:r>
              <w:rPr>
                <w:rFonts w:hint="eastAsia"/>
                <w:color w:val="auto"/>
                <w:sz w:val="24"/>
                <w:szCs w:val="24"/>
              </w:rPr>
              <w:t>过滤材料</w:t>
            </w:r>
            <w:r>
              <w:rPr>
                <w:rFonts w:hint="eastAsia"/>
                <w:color w:val="auto"/>
                <w:sz w:val="24"/>
                <w:szCs w:val="24"/>
                <w:lang w:eastAsia="zh-CN"/>
              </w:rPr>
              <w:t>、空压机含油废水、抛光废料、废电池、废油、金属屑，生活垃圾由环卫清运，</w:t>
            </w:r>
            <w:r>
              <w:rPr>
                <w:rFonts w:hint="eastAsia"/>
                <w:color w:val="auto"/>
                <w:sz w:val="24"/>
                <w:szCs w:val="24"/>
              </w:rPr>
              <w:t>边角料</w:t>
            </w:r>
            <w:r>
              <w:rPr>
                <w:rFonts w:hint="eastAsia"/>
                <w:color w:val="auto"/>
                <w:sz w:val="24"/>
                <w:szCs w:val="24"/>
                <w:lang w:eastAsia="zh-CN"/>
              </w:rPr>
              <w:t>、</w:t>
            </w:r>
            <w:r>
              <w:rPr>
                <w:rFonts w:hint="eastAsia"/>
                <w:color w:val="auto"/>
                <w:sz w:val="24"/>
                <w:szCs w:val="24"/>
              </w:rPr>
              <w:t>废布袋</w:t>
            </w:r>
            <w:r>
              <w:rPr>
                <w:rFonts w:hint="eastAsia"/>
                <w:color w:val="auto"/>
                <w:sz w:val="24"/>
                <w:szCs w:val="24"/>
                <w:lang w:eastAsia="zh-CN"/>
              </w:rPr>
              <w:t>、</w:t>
            </w:r>
            <w:r>
              <w:rPr>
                <w:rFonts w:hint="eastAsia"/>
                <w:color w:val="auto"/>
                <w:sz w:val="24"/>
                <w:szCs w:val="24"/>
              </w:rPr>
              <w:t>收集尘</w:t>
            </w:r>
            <w:r>
              <w:rPr>
                <w:rFonts w:hint="eastAsia"/>
                <w:color w:val="auto"/>
                <w:sz w:val="24"/>
                <w:szCs w:val="24"/>
                <w:lang w:eastAsia="zh-CN"/>
              </w:rPr>
              <w:t>、</w:t>
            </w:r>
            <w:r>
              <w:rPr>
                <w:rFonts w:hint="eastAsia"/>
                <w:color w:val="auto"/>
                <w:sz w:val="24"/>
                <w:szCs w:val="24"/>
              </w:rPr>
              <w:t>废包装材料</w:t>
            </w:r>
            <w:r>
              <w:rPr>
                <w:rFonts w:hint="eastAsia"/>
                <w:color w:val="auto"/>
                <w:sz w:val="24"/>
                <w:szCs w:val="24"/>
                <w:lang w:eastAsia="zh-CN"/>
              </w:rPr>
              <w:t>、废耐火材料集中收集后外售综合利用；废深孔钻油、含油废屑、废切削液、废刷子、废抹布及手套、废包装桶、废油桶、废润滑油、废液压油、浓液、过滤材料、空压机含油废水、抛光废料、废电池、废油、金属屑分类密封存储于危废</w:t>
            </w:r>
            <w:r>
              <w:rPr>
                <w:rFonts w:hint="eastAsia"/>
                <w:color w:val="auto"/>
                <w:sz w:val="24"/>
                <w:szCs w:val="24"/>
                <w:lang w:val="en-US" w:eastAsia="zh-CN"/>
              </w:rPr>
              <w:t>仓库</w:t>
            </w:r>
            <w:r>
              <w:rPr>
                <w:rFonts w:hint="eastAsia"/>
                <w:color w:val="auto"/>
                <w:sz w:val="24"/>
                <w:szCs w:val="24"/>
                <w:lang w:eastAsia="zh-CN"/>
              </w:rPr>
              <w:t>内，及时委托有资质的单位处置</w:t>
            </w:r>
            <w:r>
              <w:rPr>
                <w:color w:val="auto"/>
                <w:sz w:val="24"/>
                <w:szCs w:val="24"/>
              </w:rPr>
              <w:t>。危废暂存场能够满足《危险废物贮存污染控制标准》（GB18597-2023）、《危险废物收集</w:t>
            </w:r>
            <w:r>
              <w:rPr>
                <w:rFonts w:hint="eastAsia"/>
                <w:color w:val="auto"/>
                <w:sz w:val="24"/>
                <w:szCs w:val="24"/>
                <w:lang w:val="en-US" w:eastAsia="zh-CN"/>
              </w:rPr>
              <w:t xml:space="preserve"> 贮存 </w:t>
            </w:r>
            <w:r>
              <w:rPr>
                <w:color w:val="auto"/>
                <w:sz w:val="24"/>
                <w:szCs w:val="24"/>
              </w:rPr>
              <w:t>运输技术规范》（HJ2025-2012）等文件中相关要求。</w:t>
            </w:r>
          </w:p>
          <w:p w14:paraId="14823CAC">
            <w:pPr>
              <w:spacing w:line="360" w:lineRule="auto"/>
              <w:ind w:firstLine="480" w:firstLineChars="200"/>
              <w:rPr>
                <w:color w:val="auto"/>
                <w:sz w:val="24"/>
                <w:szCs w:val="24"/>
              </w:rPr>
            </w:pPr>
            <w:r>
              <w:rPr>
                <w:color w:val="auto"/>
                <w:sz w:val="24"/>
                <w:szCs w:val="24"/>
              </w:rPr>
              <w:t>同时建设单位应通过</w:t>
            </w:r>
            <w:r>
              <w:rPr>
                <w:rFonts w:hint="eastAsia"/>
                <w:color w:val="auto"/>
                <w:sz w:val="24"/>
                <w:szCs w:val="24"/>
              </w:rPr>
              <w:t>“江苏省固体废物管理信息系统”</w:t>
            </w:r>
            <w:r>
              <w:rPr>
                <w:color w:val="auto"/>
                <w:sz w:val="24"/>
                <w:szCs w:val="24"/>
              </w:rPr>
              <w:t>进行</w:t>
            </w:r>
            <w:r>
              <w:rPr>
                <w:rFonts w:hint="eastAsia"/>
                <w:color w:val="auto"/>
                <w:sz w:val="24"/>
                <w:szCs w:val="24"/>
                <w:lang w:val="en-US" w:eastAsia="zh-CN"/>
              </w:rPr>
              <w:t>一般工业固体废物、</w:t>
            </w:r>
            <w:r>
              <w:rPr>
                <w:color w:val="auto"/>
                <w:sz w:val="24"/>
                <w:szCs w:val="24"/>
              </w:rPr>
              <w:t>危险废物申报登记。</w:t>
            </w:r>
          </w:p>
        </w:tc>
      </w:tr>
      <w:tr w14:paraId="04FDD37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327" w:hRule="atLeast"/>
          <w:jc w:val="center"/>
        </w:trPr>
        <w:tc>
          <w:tcPr>
            <w:tcW w:w="1680" w:type="dxa"/>
            <w:vAlign w:val="center"/>
          </w:tcPr>
          <w:p w14:paraId="331FE366">
            <w:pPr>
              <w:adjustRightInd w:val="0"/>
              <w:snapToGrid w:val="0"/>
              <w:jc w:val="center"/>
              <w:rPr>
                <w:color w:val="auto"/>
                <w:sz w:val="24"/>
                <w:szCs w:val="24"/>
              </w:rPr>
            </w:pPr>
            <w:r>
              <w:rPr>
                <w:color w:val="auto"/>
                <w:sz w:val="24"/>
                <w:szCs w:val="24"/>
              </w:rPr>
              <w:t>土壤及地下水</w:t>
            </w:r>
          </w:p>
          <w:p w14:paraId="67246914">
            <w:pPr>
              <w:adjustRightInd w:val="0"/>
              <w:snapToGrid w:val="0"/>
              <w:jc w:val="center"/>
              <w:rPr>
                <w:color w:val="auto"/>
                <w:sz w:val="24"/>
                <w:szCs w:val="24"/>
              </w:rPr>
            </w:pPr>
            <w:r>
              <w:rPr>
                <w:color w:val="auto"/>
                <w:sz w:val="24"/>
                <w:szCs w:val="24"/>
              </w:rPr>
              <w:t>污染防治措施</w:t>
            </w:r>
          </w:p>
        </w:tc>
        <w:tc>
          <w:tcPr>
            <w:tcW w:w="7120" w:type="dxa"/>
            <w:gridSpan w:val="5"/>
            <w:vAlign w:val="center"/>
          </w:tcPr>
          <w:p w14:paraId="68EE7C75">
            <w:pPr>
              <w:pStyle w:val="66"/>
              <w:rPr>
                <w:color w:val="auto"/>
                <w:sz w:val="24"/>
                <w:szCs w:val="24"/>
              </w:rPr>
            </w:pPr>
            <w:r>
              <w:rPr>
                <w:color w:val="auto"/>
                <w:sz w:val="24"/>
                <w:szCs w:val="24"/>
              </w:rPr>
              <w:t>建设项目厂区应划分为简单防渗区</w:t>
            </w:r>
            <w:r>
              <w:rPr>
                <w:rFonts w:hint="eastAsia"/>
                <w:color w:val="auto"/>
                <w:sz w:val="24"/>
                <w:szCs w:val="24"/>
                <w:lang w:val="en-US" w:eastAsia="zh-CN"/>
              </w:rPr>
              <w:t>和一般防渗区</w:t>
            </w:r>
            <w:r>
              <w:rPr>
                <w:color w:val="auto"/>
                <w:sz w:val="24"/>
                <w:szCs w:val="24"/>
              </w:rPr>
              <w:t>，采取不同等级的防渗措施，并确保其可靠性和有效性。</w:t>
            </w:r>
            <w:r>
              <w:rPr>
                <w:rFonts w:hint="eastAsia"/>
                <w:color w:val="auto"/>
                <w:sz w:val="24"/>
                <w:szCs w:val="24"/>
                <w:lang w:val="en-US" w:eastAsia="zh-CN"/>
              </w:rPr>
              <w:t>企业危废仓库、事故应急池、废水处理站、清洗区、化粪池、污水输送、收集管道</w:t>
            </w:r>
            <w:r>
              <w:rPr>
                <w:color w:val="auto"/>
                <w:sz w:val="24"/>
                <w:szCs w:val="24"/>
              </w:rPr>
              <w:t>为一般防渗区；</w:t>
            </w:r>
            <w:r>
              <w:rPr>
                <w:rFonts w:hint="eastAsia"/>
                <w:color w:val="auto"/>
                <w:sz w:val="24"/>
                <w:szCs w:val="24"/>
              </w:rPr>
              <w:t>生产厂房、一般固废仓库、仓库</w:t>
            </w:r>
            <w:r>
              <w:rPr>
                <w:color w:val="auto"/>
                <w:sz w:val="24"/>
                <w:szCs w:val="24"/>
              </w:rPr>
              <w:t>为简单防渗区。</w:t>
            </w:r>
          </w:p>
        </w:tc>
      </w:tr>
      <w:tr w14:paraId="08778E5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46" w:hRule="atLeast"/>
          <w:jc w:val="center"/>
        </w:trPr>
        <w:tc>
          <w:tcPr>
            <w:tcW w:w="1680" w:type="dxa"/>
            <w:vAlign w:val="center"/>
          </w:tcPr>
          <w:p w14:paraId="712C3B13">
            <w:pPr>
              <w:adjustRightInd w:val="0"/>
              <w:snapToGrid w:val="0"/>
              <w:jc w:val="center"/>
              <w:rPr>
                <w:color w:val="auto"/>
                <w:sz w:val="24"/>
                <w:szCs w:val="24"/>
              </w:rPr>
            </w:pPr>
            <w:r>
              <w:rPr>
                <w:color w:val="auto"/>
                <w:sz w:val="24"/>
                <w:szCs w:val="24"/>
              </w:rPr>
              <w:t>生态保护措施</w:t>
            </w:r>
          </w:p>
        </w:tc>
        <w:tc>
          <w:tcPr>
            <w:tcW w:w="7120" w:type="dxa"/>
            <w:gridSpan w:val="5"/>
            <w:vAlign w:val="center"/>
          </w:tcPr>
          <w:p w14:paraId="56FA0A15">
            <w:pPr>
              <w:adjustRightInd w:val="0"/>
              <w:snapToGrid w:val="0"/>
              <w:jc w:val="center"/>
              <w:rPr>
                <w:color w:val="auto"/>
                <w:sz w:val="24"/>
                <w:szCs w:val="24"/>
              </w:rPr>
            </w:pPr>
            <w:r>
              <w:rPr>
                <w:color w:val="auto"/>
                <w:sz w:val="24"/>
                <w:szCs w:val="24"/>
              </w:rPr>
              <w:t>无</w:t>
            </w:r>
          </w:p>
        </w:tc>
      </w:tr>
      <w:tr w14:paraId="4B4DBBD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8" w:hRule="atLeast"/>
          <w:jc w:val="center"/>
        </w:trPr>
        <w:tc>
          <w:tcPr>
            <w:tcW w:w="1680" w:type="dxa"/>
            <w:vAlign w:val="center"/>
          </w:tcPr>
          <w:p w14:paraId="27C89E7D">
            <w:pPr>
              <w:adjustRightInd w:val="0"/>
              <w:snapToGrid w:val="0"/>
              <w:jc w:val="center"/>
              <w:rPr>
                <w:color w:val="auto"/>
                <w:spacing w:val="-8"/>
                <w:sz w:val="24"/>
                <w:szCs w:val="24"/>
              </w:rPr>
            </w:pPr>
            <w:r>
              <w:rPr>
                <w:color w:val="auto"/>
                <w:spacing w:val="-8"/>
                <w:sz w:val="24"/>
                <w:szCs w:val="24"/>
              </w:rPr>
              <w:t>环境风险</w:t>
            </w:r>
          </w:p>
          <w:p w14:paraId="5213572E">
            <w:pPr>
              <w:adjustRightInd w:val="0"/>
              <w:snapToGrid w:val="0"/>
              <w:jc w:val="center"/>
              <w:rPr>
                <w:color w:val="auto"/>
                <w:spacing w:val="-8"/>
                <w:sz w:val="24"/>
                <w:szCs w:val="24"/>
              </w:rPr>
            </w:pPr>
            <w:r>
              <w:rPr>
                <w:color w:val="auto"/>
                <w:spacing w:val="-8"/>
                <w:sz w:val="24"/>
                <w:szCs w:val="24"/>
              </w:rPr>
              <w:t>防范措施</w:t>
            </w:r>
          </w:p>
        </w:tc>
        <w:tc>
          <w:tcPr>
            <w:tcW w:w="7120" w:type="dxa"/>
            <w:gridSpan w:val="5"/>
          </w:tcPr>
          <w:p w14:paraId="05844466">
            <w:pPr>
              <w:pStyle w:val="7"/>
              <w:adjustRightInd w:val="0"/>
              <w:snapToGrid w:val="0"/>
              <w:spacing w:line="360" w:lineRule="auto"/>
              <w:ind w:firstLine="422"/>
              <w:rPr>
                <w:b/>
                <w:bCs/>
                <w:color w:val="auto"/>
                <w:sz w:val="24"/>
                <w:szCs w:val="24"/>
              </w:rPr>
            </w:pPr>
            <w:r>
              <w:rPr>
                <w:b/>
                <w:bCs/>
                <w:color w:val="auto"/>
                <w:sz w:val="24"/>
                <w:szCs w:val="24"/>
              </w:rPr>
              <w:t>1、贮运工程风险防范措施</w:t>
            </w:r>
          </w:p>
          <w:p w14:paraId="3C5C298B">
            <w:pPr>
              <w:spacing w:line="360" w:lineRule="auto"/>
              <w:ind w:firstLine="480" w:firstLineChars="200"/>
              <w:rPr>
                <w:rFonts w:hint="eastAsia"/>
                <w:color w:val="auto"/>
                <w:sz w:val="24"/>
                <w:szCs w:val="24"/>
              </w:rPr>
            </w:pPr>
            <w:r>
              <w:rPr>
                <w:rFonts w:hint="eastAsia"/>
                <w:color w:val="auto"/>
                <w:sz w:val="24"/>
                <w:szCs w:val="24"/>
              </w:rPr>
              <w:t>①原料桶不得露天堆放，储存于阴凉通风房间内，远离火种、热源，防止阳光直射，应与易燃或可燃物分开存放。搬运时轻装轻卸，防止原料桶破损或倾倒。</w:t>
            </w:r>
          </w:p>
          <w:p w14:paraId="3CDDD86B">
            <w:pPr>
              <w:spacing w:line="360" w:lineRule="auto"/>
              <w:ind w:firstLine="480" w:firstLineChars="200"/>
              <w:rPr>
                <w:rFonts w:hint="eastAsia"/>
                <w:color w:val="auto"/>
                <w:sz w:val="24"/>
                <w:szCs w:val="24"/>
              </w:rPr>
            </w:pPr>
            <w:r>
              <w:rPr>
                <w:rFonts w:hint="eastAsia"/>
                <w:color w:val="auto"/>
                <w:sz w:val="24"/>
                <w:szCs w:val="24"/>
              </w:rPr>
              <w:t>②划定禁火区，在明显地点设有警示标志，输配电线、灯具、火灾事故照明和疏散指示标志均应符合安全要求；严禁未安装灭火装置的车辆出入生产装置区。</w:t>
            </w:r>
          </w:p>
          <w:p w14:paraId="136E37F7">
            <w:pPr>
              <w:spacing w:line="360" w:lineRule="auto"/>
              <w:ind w:firstLine="480" w:firstLineChars="200"/>
              <w:rPr>
                <w:rFonts w:hint="eastAsia"/>
                <w:color w:val="auto"/>
                <w:sz w:val="24"/>
                <w:szCs w:val="24"/>
              </w:rPr>
            </w:pPr>
            <w:r>
              <w:rPr>
                <w:rFonts w:hint="eastAsia"/>
                <w:color w:val="auto"/>
                <w:sz w:val="24"/>
                <w:szCs w:val="24"/>
              </w:rPr>
              <w:t>③在</w:t>
            </w:r>
            <w:r>
              <w:rPr>
                <w:rFonts w:hint="eastAsia"/>
                <w:color w:val="auto"/>
                <w:sz w:val="24"/>
                <w:szCs w:val="24"/>
                <w:lang w:val="en-US" w:eastAsia="zh-CN"/>
              </w:rPr>
              <w:t>清洗剂、防锈剂等化学品</w:t>
            </w:r>
            <w:r>
              <w:rPr>
                <w:rFonts w:hint="eastAsia"/>
                <w:color w:val="auto"/>
                <w:sz w:val="24"/>
                <w:szCs w:val="24"/>
              </w:rPr>
              <w:t>贮存区</w:t>
            </w:r>
            <w:r>
              <w:rPr>
                <w:rFonts w:hint="default" w:ascii="Times New Roman" w:hAnsi="Times New Roman" w:eastAsia="宋体" w:cs="Times New Roman"/>
                <w:color w:val="auto"/>
                <w:kern w:val="0"/>
                <w:sz w:val="24"/>
                <w:szCs w:val="24"/>
                <w:highlight w:val="none"/>
              </w:rPr>
              <w:t>设专人管理并安装视频监控系统，配备充足可靠的消防应急物资和个人安全防护用品。原料入库时，管理人员严格检验物品质量、数量、包装情况、有无泄漏。入库后应采取适当的防护措施，在贮存期内应定期检查，发现其品质变化、包装破损、渗漏等，应及时处理</w:t>
            </w:r>
            <w:r>
              <w:rPr>
                <w:rFonts w:hint="eastAsia"/>
                <w:color w:val="auto"/>
                <w:sz w:val="24"/>
                <w:szCs w:val="24"/>
              </w:rPr>
              <w:t>。</w:t>
            </w:r>
          </w:p>
          <w:p w14:paraId="2350C55A">
            <w:pPr>
              <w:spacing w:line="360" w:lineRule="auto"/>
              <w:ind w:firstLine="480" w:firstLineChars="200"/>
              <w:rPr>
                <w:rFonts w:hint="eastAsia"/>
                <w:color w:val="auto"/>
                <w:sz w:val="24"/>
                <w:szCs w:val="24"/>
              </w:rPr>
            </w:pPr>
            <w:r>
              <w:rPr>
                <w:rFonts w:hint="eastAsia"/>
                <w:color w:val="auto"/>
                <w:sz w:val="24"/>
                <w:szCs w:val="24"/>
              </w:rPr>
              <w:t>④合理规划运输路线及时间，加强运输车辆的管理，严格遵守运输管理规定，避免运输过程事故的发生。</w:t>
            </w:r>
          </w:p>
          <w:p w14:paraId="08EE6D0F">
            <w:pPr>
              <w:pStyle w:val="7"/>
              <w:adjustRightInd w:val="0"/>
              <w:snapToGrid w:val="0"/>
              <w:spacing w:line="360" w:lineRule="auto"/>
              <w:ind w:firstLine="422"/>
              <w:rPr>
                <w:b/>
                <w:bCs/>
                <w:color w:val="auto"/>
                <w:sz w:val="24"/>
                <w:szCs w:val="24"/>
              </w:rPr>
            </w:pPr>
            <w:r>
              <w:rPr>
                <w:b/>
                <w:bCs/>
                <w:color w:val="auto"/>
                <w:sz w:val="24"/>
                <w:szCs w:val="24"/>
              </w:rPr>
              <w:t>2、废气事故排放防范措施</w:t>
            </w:r>
          </w:p>
          <w:p w14:paraId="2D45EC32">
            <w:pPr>
              <w:adjustRightInd w:val="0"/>
              <w:snapToGrid w:val="0"/>
              <w:spacing w:line="360" w:lineRule="auto"/>
              <w:ind w:firstLine="480" w:firstLineChars="200"/>
              <w:rPr>
                <w:rFonts w:hint="eastAsia"/>
                <w:color w:val="auto"/>
                <w:sz w:val="24"/>
                <w:szCs w:val="24"/>
              </w:rPr>
            </w:pPr>
            <w:r>
              <w:rPr>
                <w:rFonts w:hint="eastAsia"/>
                <w:color w:val="auto"/>
                <w:sz w:val="24"/>
                <w:szCs w:val="24"/>
              </w:rPr>
              <w:t>①平时加强废气处理设施的维护保养，及时发现处理设备的隐患，并及时进行维修，确保废气处理系统正常运行；</w:t>
            </w:r>
          </w:p>
          <w:p w14:paraId="36FD0723">
            <w:pPr>
              <w:adjustRightInd w:val="0"/>
              <w:snapToGrid w:val="0"/>
              <w:spacing w:line="360" w:lineRule="auto"/>
              <w:ind w:firstLine="480" w:firstLineChars="200"/>
              <w:rPr>
                <w:rFonts w:hint="eastAsia"/>
                <w:color w:val="auto"/>
                <w:sz w:val="24"/>
                <w:szCs w:val="24"/>
              </w:rPr>
            </w:pPr>
            <w:r>
              <w:rPr>
                <w:rFonts w:hint="eastAsia"/>
                <w:color w:val="auto"/>
                <w:sz w:val="24"/>
                <w:szCs w:val="24"/>
              </w:rPr>
              <w:t>②建立健全的环保机构，配置必要的监测仪器，对管理人员和技术人员进行岗位培训，对废气处理实行全过程跟踪控制；</w:t>
            </w:r>
          </w:p>
          <w:p w14:paraId="2D7DDB15">
            <w:pPr>
              <w:adjustRightInd w:val="0"/>
              <w:snapToGrid w:val="0"/>
              <w:spacing w:line="360" w:lineRule="auto"/>
              <w:ind w:firstLine="480" w:firstLineChars="200"/>
              <w:rPr>
                <w:rFonts w:hint="eastAsia"/>
                <w:color w:val="auto"/>
                <w:sz w:val="24"/>
                <w:szCs w:val="24"/>
              </w:rPr>
            </w:pPr>
            <w:r>
              <w:rPr>
                <w:rFonts w:hint="eastAsia"/>
                <w:color w:val="auto"/>
                <w:sz w:val="24"/>
                <w:szCs w:val="24"/>
              </w:rPr>
              <w:t>③项目对废气治理措施应定期检查，防止因治理措施故障而造成废气的事故性排放。</w:t>
            </w:r>
          </w:p>
          <w:p w14:paraId="39177A04">
            <w:pPr>
              <w:adjustRightInd w:val="0"/>
              <w:snapToGrid w:val="0"/>
              <w:spacing w:line="360" w:lineRule="auto"/>
              <w:ind w:firstLine="480" w:firstLineChars="200"/>
              <w:rPr>
                <w:color w:val="auto"/>
                <w:sz w:val="24"/>
                <w:szCs w:val="24"/>
              </w:rPr>
            </w:pPr>
            <w:r>
              <w:rPr>
                <w:rFonts w:hint="eastAsia"/>
                <w:color w:val="auto"/>
                <w:sz w:val="24"/>
                <w:szCs w:val="24"/>
              </w:rPr>
              <w:t>④应当符合《江苏省环境影响评价文件环境应急相关内容编制要点》（苏环办〔2022〕338号）等文件要求，落实好环境风险的防范、减缓措施，环境风险监控等要求。</w:t>
            </w:r>
          </w:p>
          <w:p w14:paraId="61AF8009">
            <w:pPr>
              <w:pStyle w:val="7"/>
              <w:adjustRightInd w:val="0"/>
              <w:snapToGrid w:val="0"/>
              <w:spacing w:line="360" w:lineRule="auto"/>
              <w:ind w:firstLine="422"/>
              <w:rPr>
                <w:rFonts w:hint="eastAsia"/>
                <w:b/>
                <w:bCs/>
                <w:color w:val="auto"/>
                <w:sz w:val="24"/>
                <w:szCs w:val="24"/>
                <w:lang w:val="en-US" w:eastAsia="zh-CN"/>
              </w:rPr>
            </w:pPr>
            <w:r>
              <w:rPr>
                <w:rFonts w:hint="eastAsia"/>
                <w:b/>
                <w:bCs/>
                <w:color w:val="auto"/>
                <w:sz w:val="24"/>
                <w:szCs w:val="24"/>
                <w:lang w:val="en-US" w:eastAsia="zh-CN"/>
              </w:rPr>
              <w:t>3、废水事故排放防范措施</w:t>
            </w:r>
          </w:p>
          <w:p w14:paraId="55ED2CD5">
            <w:pPr>
              <w:spacing w:line="360" w:lineRule="auto"/>
              <w:ind w:firstLine="480" w:firstLineChars="200"/>
              <w:rPr>
                <w:rFonts w:hint="eastAsia"/>
                <w:color w:val="auto"/>
                <w:sz w:val="24"/>
                <w:szCs w:val="24"/>
              </w:rPr>
            </w:pPr>
            <w:r>
              <w:rPr>
                <w:rFonts w:hint="eastAsia"/>
                <w:color w:val="auto"/>
                <w:sz w:val="24"/>
                <w:szCs w:val="24"/>
              </w:rPr>
              <w:t>为杜绝事故性废水排放，建议采用以下措施确保废水污染物达标处理：</w:t>
            </w:r>
          </w:p>
          <w:p w14:paraId="0F850280">
            <w:pPr>
              <w:spacing w:line="360" w:lineRule="auto"/>
              <w:ind w:firstLine="480" w:firstLineChars="200"/>
              <w:rPr>
                <w:rFonts w:hint="eastAsia"/>
                <w:color w:val="auto"/>
                <w:sz w:val="24"/>
                <w:szCs w:val="24"/>
              </w:rPr>
            </w:pPr>
            <w:r>
              <w:rPr>
                <w:rFonts w:hint="eastAsia"/>
                <w:color w:val="auto"/>
                <w:sz w:val="24"/>
                <w:szCs w:val="24"/>
              </w:rPr>
              <w:t>①平时加强污水处理站的日常维护保养，及时发现处理设备的隐患，并及时进行维修，确保污水处理站正常运行；</w:t>
            </w:r>
          </w:p>
          <w:p w14:paraId="7D0F38F3">
            <w:pPr>
              <w:spacing w:line="360" w:lineRule="auto"/>
              <w:ind w:firstLine="480" w:firstLineChars="200"/>
              <w:rPr>
                <w:rFonts w:hint="eastAsia"/>
                <w:color w:val="auto"/>
                <w:sz w:val="24"/>
                <w:szCs w:val="24"/>
              </w:rPr>
            </w:pPr>
            <w:r>
              <w:rPr>
                <w:rFonts w:hint="eastAsia"/>
                <w:color w:val="auto"/>
                <w:sz w:val="24"/>
                <w:szCs w:val="24"/>
              </w:rPr>
              <w:t>②建立健全的环保机构，配置必要的监测仪器，对管理人员和技术人员进行岗位培训，对废水处理实行全过程跟踪控制；</w:t>
            </w:r>
          </w:p>
          <w:p w14:paraId="479319DC">
            <w:pPr>
              <w:pStyle w:val="7"/>
              <w:adjustRightInd w:val="0"/>
              <w:snapToGrid w:val="0"/>
              <w:spacing w:line="360" w:lineRule="auto"/>
              <w:ind w:firstLine="422"/>
              <w:rPr>
                <w:rFonts w:hint="eastAsia"/>
                <w:b/>
                <w:bCs/>
                <w:color w:val="auto"/>
                <w:sz w:val="24"/>
                <w:szCs w:val="24"/>
                <w:lang w:val="en-US" w:eastAsia="zh-CN"/>
              </w:rPr>
            </w:pPr>
            <w:r>
              <w:rPr>
                <w:rFonts w:hint="eastAsia"/>
                <w:color w:val="auto"/>
                <w:sz w:val="24"/>
                <w:szCs w:val="24"/>
              </w:rPr>
              <w:t>③项目对污水处理设施应定期检查，防止因治理措施故障而造成废水的事故性排放。</w:t>
            </w:r>
          </w:p>
          <w:p w14:paraId="5758D959">
            <w:pPr>
              <w:pStyle w:val="7"/>
              <w:adjustRightInd w:val="0"/>
              <w:snapToGrid w:val="0"/>
              <w:spacing w:line="360" w:lineRule="auto"/>
              <w:ind w:firstLine="422"/>
              <w:rPr>
                <w:b/>
                <w:bCs/>
                <w:color w:val="auto"/>
                <w:sz w:val="24"/>
                <w:szCs w:val="24"/>
              </w:rPr>
            </w:pPr>
            <w:r>
              <w:rPr>
                <w:rFonts w:hint="eastAsia"/>
                <w:b/>
                <w:bCs/>
                <w:color w:val="auto"/>
                <w:sz w:val="24"/>
                <w:szCs w:val="24"/>
                <w:lang w:val="en-US" w:eastAsia="zh-CN"/>
              </w:rPr>
              <w:t>4、</w:t>
            </w:r>
            <w:r>
              <w:rPr>
                <w:b/>
                <w:bCs/>
                <w:color w:val="auto"/>
                <w:sz w:val="24"/>
                <w:szCs w:val="24"/>
              </w:rPr>
              <w:t>固废暂存及转移过程环境风险措施</w:t>
            </w:r>
          </w:p>
          <w:p w14:paraId="01BD92E1">
            <w:pPr>
              <w:spacing w:line="360" w:lineRule="auto"/>
              <w:ind w:firstLine="480" w:firstLineChars="200"/>
              <w:rPr>
                <w:color w:val="auto"/>
                <w:sz w:val="24"/>
                <w:szCs w:val="24"/>
              </w:rPr>
            </w:pPr>
            <w:r>
              <w:rPr>
                <w:color w:val="auto"/>
                <w:sz w:val="24"/>
                <w:szCs w:val="24"/>
              </w:rPr>
              <w:t>①按</w:t>
            </w:r>
            <w:r>
              <w:rPr>
                <w:rFonts w:hint="eastAsia"/>
                <w:color w:val="auto"/>
                <w:sz w:val="24"/>
                <w:szCs w:val="24"/>
              </w:rPr>
              <w:t>《危险废物贮存污染控制标准》（</w:t>
            </w:r>
            <w:r>
              <w:rPr>
                <w:color w:val="auto"/>
                <w:sz w:val="24"/>
                <w:szCs w:val="24"/>
              </w:rPr>
              <w:t>GB18597-20</w:t>
            </w:r>
            <w:r>
              <w:rPr>
                <w:rFonts w:hint="eastAsia"/>
                <w:color w:val="auto"/>
                <w:sz w:val="24"/>
                <w:szCs w:val="24"/>
              </w:rPr>
              <w:t>23）</w:t>
            </w:r>
            <w:r>
              <w:rPr>
                <w:color w:val="auto"/>
                <w:sz w:val="24"/>
                <w:szCs w:val="24"/>
              </w:rPr>
              <w:t>等要求做好地面硬化、防渗处理；</w:t>
            </w:r>
            <w:r>
              <w:rPr>
                <w:rFonts w:hint="eastAsia"/>
                <w:color w:val="auto"/>
                <w:sz w:val="24"/>
                <w:szCs w:val="24"/>
              </w:rPr>
              <w:t>根据危废种类的不同分区分包装密闭存放；</w:t>
            </w:r>
            <w:r>
              <w:rPr>
                <w:color w:val="auto"/>
                <w:sz w:val="24"/>
                <w:szCs w:val="24"/>
              </w:rPr>
              <w:t>堆放场所四周设置导流渠，防止雨水径流进入堆放场内</w:t>
            </w:r>
            <w:r>
              <w:rPr>
                <w:rFonts w:hint="eastAsia"/>
                <w:color w:val="auto"/>
                <w:sz w:val="24"/>
                <w:szCs w:val="24"/>
              </w:rPr>
              <w:t>；</w:t>
            </w:r>
          </w:p>
          <w:p w14:paraId="7E370583">
            <w:pPr>
              <w:spacing w:line="360" w:lineRule="auto"/>
              <w:ind w:firstLine="480" w:firstLineChars="200"/>
              <w:rPr>
                <w:color w:val="auto"/>
                <w:sz w:val="24"/>
                <w:szCs w:val="24"/>
              </w:rPr>
            </w:pPr>
            <w:r>
              <w:rPr>
                <w:color w:val="auto"/>
                <w:sz w:val="24"/>
                <w:szCs w:val="24"/>
              </w:rPr>
              <w:t>②建设单位应做好危废转移申报等相关手续，需满足《关于加强危险废物交换和转移管理工作的通知》要求</w:t>
            </w:r>
            <w:r>
              <w:rPr>
                <w:rFonts w:hint="eastAsia"/>
                <w:color w:val="auto"/>
                <w:sz w:val="24"/>
                <w:szCs w:val="24"/>
              </w:rPr>
              <w:t>；</w:t>
            </w:r>
          </w:p>
          <w:p w14:paraId="55805B10">
            <w:pPr>
              <w:spacing w:line="360" w:lineRule="auto"/>
              <w:ind w:firstLine="480" w:firstLineChars="200"/>
              <w:rPr>
                <w:color w:val="auto"/>
                <w:sz w:val="24"/>
                <w:szCs w:val="24"/>
              </w:rPr>
            </w:pPr>
            <w:r>
              <w:rPr>
                <w:color w:val="auto"/>
                <w:sz w:val="24"/>
                <w:szCs w:val="24"/>
              </w:rPr>
              <w:t>③加强对固体废弃物管理，做好跟踪管理，建立管理台</w:t>
            </w:r>
            <w:r>
              <w:rPr>
                <w:rFonts w:hint="eastAsia"/>
                <w:color w:val="auto"/>
                <w:sz w:val="24"/>
                <w:szCs w:val="24"/>
              </w:rPr>
              <w:t>账</w:t>
            </w:r>
            <w:r>
              <w:rPr>
                <w:color w:val="auto"/>
                <w:sz w:val="24"/>
                <w:szCs w:val="24"/>
              </w:rPr>
              <w:t>；在转移危险废物前，须按照国家有关规定报批危险废物转移计划</w:t>
            </w:r>
            <w:r>
              <w:rPr>
                <w:rFonts w:hint="eastAsia"/>
                <w:color w:val="auto"/>
                <w:sz w:val="24"/>
                <w:szCs w:val="24"/>
              </w:rPr>
              <w:t>；</w:t>
            </w:r>
          </w:p>
          <w:p w14:paraId="3F87F434">
            <w:pPr>
              <w:adjustRightInd w:val="0"/>
              <w:snapToGrid w:val="0"/>
              <w:spacing w:line="360" w:lineRule="auto"/>
              <w:ind w:firstLine="480" w:firstLineChars="200"/>
              <w:rPr>
                <w:color w:val="auto"/>
                <w:sz w:val="24"/>
                <w:szCs w:val="24"/>
              </w:rPr>
            </w:pPr>
            <w:r>
              <w:rPr>
                <w:color w:val="auto"/>
                <w:sz w:val="24"/>
                <w:szCs w:val="24"/>
              </w:rPr>
              <w:t>④危险废物委托处置单位应具备相应的资质，运输车辆须经主管单位检查，并持有有关单位签发的许可证，承载危险废物的车辆须有明显的标志</w:t>
            </w:r>
            <w:r>
              <w:rPr>
                <w:rFonts w:hint="eastAsia"/>
                <w:color w:val="auto"/>
                <w:sz w:val="24"/>
                <w:szCs w:val="24"/>
              </w:rPr>
              <w:t>；</w:t>
            </w:r>
          </w:p>
          <w:p w14:paraId="6DD35E94">
            <w:pPr>
              <w:adjustRightInd w:val="0"/>
              <w:snapToGrid w:val="0"/>
              <w:spacing w:line="360" w:lineRule="auto"/>
              <w:ind w:firstLine="480" w:firstLineChars="200"/>
              <w:rPr>
                <w:color w:val="auto"/>
                <w:sz w:val="24"/>
                <w:szCs w:val="24"/>
              </w:rPr>
            </w:pPr>
            <w:r>
              <w:rPr>
                <w:rFonts w:hint="eastAsia"/>
                <w:color w:val="auto"/>
                <w:sz w:val="24"/>
                <w:szCs w:val="24"/>
                <w:lang w:val="en-US" w:eastAsia="zh-CN"/>
              </w:rPr>
              <w:t>⑤</w:t>
            </w:r>
            <w:r>
              <w:rPr>
                <w:rFonts w:hint="eastAsia"/>
                <w:color w:val="auto"/>
                <w:sz w:val="24"/>
                <w:szCs w:val="24"/>
              </w:rPr>
              <w:t>应当符合《关于做好生态环境和应急管理部门联动工作的意见》（苏环办〔2020〕101号）等文件要求，落实好危险废物产生、收集、贮存、运输、利用、处置等环节各项环保和安全责任、规范贮存、处置危险废物等要求。</w:t>
            </w:r>
          </w:p>
          <w:p w14:paraId="0C08A24D">
            <w:pPr>
              <w:pStyle w:val="7"/>
              <w:adjustRightInd w:val="0"/>
              <w:snapToGrid w:val="0"/>
              <w:spacing w:line="360" w:lineRule="auto"/>
              <w:ind w:firstLine="422"/>
              <w:rPr>
                <w:b/>
                <w:bCs/>
                <w:color w:val="auto"/>
                <w:sz w:val="24"/>
                <w:szCs w:val="24"/>
              </w:rPr>
            </w:pPr>
            <w:r>
              <w:rPr>
                <w:rFonts w:hint="eastAsia"/>
                <w:b/>
                <w:bCs/>
                <w:color w:val="auto"/>
                <w:sz w:val="24"/>
                <w:szCs w:val="24"/>
                <w:lang w:val="en-US" w:eastAsia="zh-CN"/>
              </w:rPr>
              <w:t>5、</w:t>
            </w:r>
            <w:r>
              <w:rPr>
                <w:b/>
                <w:bCs/>
                <w:color w:val="auto"/>
                <w:sz w:val="24"/>
                <w:szCs w:val="24"/>
              </w:rPr>
              <w:t>火灾及爆炸防范措施</w:t>
            </w:r>
          </w:p>
          <w:p w14:paraId="5773F6E1">
            <w:pPr>
              <w:spacing w:line="360" w:lineRule="auto"/>
              <w:ind w:firstLine="480" w:firstLineChars="200"/>
              <w:rPr>
                <w:color w:val="auto"/>
                <w:sz w:val="24"/>
                <w:szCs w:val="24"/>
              </w:rPr>
            </w:pPr>
            <w:r>
              <w:rPr>
                <w:color w:val="auto"/>
                <w:sz w:val="24"/>
                <w:szCs w:val="24"/>
              </w:rPr>
              <w:t>①工作时严禁吸烟，携带火种，穿带钉皮鞋等进入易燃易爆区。</w:t>
            </w:r>
          </w:p>
          <w:p w14:paraId="03CE7CB3">
            <w:pPr>
              <w:spacing w:line="360" w:lineRule="auto"/>
              <w:ind w:firstLine="480" w:firstLineChars="200"/>
              <w:rPr>
                <w:color w:val="auto"/>
                <w:sz w:val="24"/>
                <w:szCs w:val="24"/>
              </w:rPr>
            </w:pPr>
            <w:r>
              <w:rPr>
                <w:color w:val="auto"/>
                <w:sz w:val="24"/>
                <w:szCs w:val="24"/>
              </w:rPr>
              <w:t>②动火必须按动火手续办理动火证，采取有效的防范措施。</w:t>
            </w:r>
          </w:p>
          <w:p w14:paraId="2EFBA953">
            <w:pPr>
              <w:spacing w:line="360" w:lineRule="auto"/>
              <w:ind w:firstLine="480" w:firstLineChars="200"/>
              <w:rPr>
                <w:color w:val="auto"/>
                <w:sz w:val="24"/>
                <w:szCs w:val="24"/>
              </w:rPr>
            </w:pPr>
            <w:r>
              <w:rPr>
                <w:color w:val="auto"/>
                <w:sz w:val="24"/>
                <w:szCs w:val="24"/>
              </w:rPr>
              <w:t>③使用防爆型电器。</w:t>
            </w:r>
          </w:p>
          <w:p w14:paraId="73191638">
            <w:pPr>
              <w:spacing w:line="360" w:lineRule="auto"/>
              <w:ind w:firstLine="480" w:firstLineChars="200"/>
              <w:rPr>
                <w:color w:val="auto"/>
                <w:sz w:val="24"/>
                <w:szCs w:val="24"/>
              </w:rPr>
            </w:pPr>
            <w:r>
              <w:rPr>
                <w:color w:val="auto"/>
                <w:sz w:val="24"/>
                <w:szCs w:val="24"/>
              </w:rPr>
              <w:t>④严禁钢制工具敲打、撞击、抛掷。</w:t>
            </w:r>
          </w:p>
          <w:p w14:paraId="44A9AAFC">
            <w:pPr>
              <w:spacing w:line="360" w:lineRule="auto"/>
              <w:ind w:firstLine="480" w:firstLineChars="200"/>
              <w:rPr>
                <w:color w:val="auto"/>
                <w:sz w:val="24"/>
                <w:szCs w:val="24"/>
              </w:rPr>
            </w:pPr>
            <w:r>
              <w:rPr>
                <w:color w:val="auto"/>
                <w:sz w:val="24"/>
                <w:szCs w:val="24"/>
              </w:rPr>
              <w:t>⑤安装避雷装置。</w:t>
            </w:r>
          </w:p>
          <w:p w14:paraId="06DFBEB8">
            <w:pPr>
              <w:spacing w:line="360" w:lineRule="auto"/>
              <w:ind w:firstLine="480" w:firstLineChars="200"/>
              <w:rPr>
                <w:color w:val="auto"/>
                <w:sz w:val="24"/>
                <w:szCs w:val="24"/>
              </w:rPr>
            </w:pPr>
            <w:r>
              <w:rPr>
                <w:color w:val="auto"/>
                <w:sz w:val="24"/>
                <w:szCs w:val="24"/>
              </w:rPr>
              <w:t>⑥运输要请专门的，有资质的运输单位，运用专用的设备进行运输。</w:t>
            </w:r>
          </w:p>
          <w:p w14:paraId="1F7A3139">
            <w:pPr>
              <w:spacing w:line="360" w:lineRule="auto"/>
              <w:ind w:firstLine="480" w:firstLineChars="200"/>
              <w:rPr>
                <w:color w:val="auto"/>
                <w:sz w:val="24"/>
                <w:szCs w:val="24"/>
              </w:rPr>
            </w:pPr>
            <w:r>
              <w:rPr>
                <w:color w:val="auto"/>
                <w:sz w:val="24"/>
                <w:szCs w:val="24"/>
              </w:rPr>
              <w:t>⑦遵守各项规章制度和操作规程，严格执行岗位责任制。</w:t>
            </w:r>
          </w:p>
          <w:p w14:paraId="6D6DD842">
            <w:pPr>
              <w:spacing w:line="360" w:lineRule="auto"/>
              <w:ind w:firstLine="480" w:firstLineChars="200"/>
              <w:rPr>
                <w:color w:val="auto"/>
                <w:sz w:val="24"/>
                <w:szCs w:val="24"/>
              </w:rPr>
            </w:pPr>
            <w:r>
              <w:rPr>
                <w:color w:val="auto"/>
                <w:sz w:val="24"/>
                <w:szCs w:val="24"/>
              </w:rPr>
              <w:t>⑧加强培训教育和考核工作。</w:t>
            </w:r>
          </w:p>
          <w:p w14:paraId="44D0C737">
            <w:pPr>
              <w:spacing w:line="360" w:lineRule="auto"/>
              <w:ind w:firstLine="480" w:firstLineChars="200"/>
              <w:rPr>
                <w:color w:val="auto"/>
                <w:sz w:val="24"/>
                <w:szCs w:val="24"/>
              </w:rPr>
            </w:pPr>
            <w:r>
              <w:rPr>
                <w:color w:val="auto"/>
                <w:sz w:val="24"/>
                <w:szCs w:val="24"/>
              </w:rPr>
              <w:t>⑨企业根据火灾危险性等级和防火、防爆要求建设，配备消防水枪、灭火器、防毒设备等应急物资、消防设备，消防设施要保持完好。</w:t>
            </w:r>
          </w:p>
          <w:p w14:paraId="6F322B4A">
            <w:pPr>
              <w:spacing w:line="360" w:lineRule="auto"/>
              <w:ind w:firstLine="480" w:firstLineChars="200"/>
              <w:rPr>
                <w:color w:val="auto"/>
                <w:sz w:val="24"/>
                <w:szCs w:val="24"/>
              </w:rPr>
            </w:pPr>
            <w:r>
              <w:rPr>
                <w:color w:val="auto"/>
                <w:sz w:val="24"/>
                <w:szCs w:val="24"/>
              </w:rPr>
              <w:t>⑩要正确佩戴相应的劳防用品和正确使用防毒过滤器等防护工具。搬运时轻装轻卸，防止包装破损。</w:t>
            </w:r>
          </w:p>
          <w:p w14:paraId="6C44AB0D">
            <w:pPr>
              <w:spacing w:line="360" w:lineRule="auto"/>
              <w:ind w:firstLine="482" w:firstLineChars="200"/>
              <w:rPr>
                <w:rFonts w:hint="eastAsia" w:ascii="Times New Roman" w:hAnsi="Times New Roman" w:eastAsia="宋体" w:cs="Times New Roman"/>
                <w:b/>
                <w:bCs/>
                <w:color w:val="auto"/>
                <w:sz w:val="24"/>
                <w:szCs w:val="24"/>
                <w:lang w:val="en-US" w:eastAsia="zh-CN"/>
              </w:rPr>
            </w:pPr>
            <w:r>
              <w:rPr>
                <w:rFonts w:hint="eastAsia"/>
                <w:b/>
                <w:bCs/>
                <w:color w:val="auto"/>
                <w:sz w:val="24"/>
                <w:szCs w:val="24"/>
                <w:lang w:val="en-US" w:eastAsia="zh-CN"/>
              </w:rPr>
              <w:t>6、</w:t>
            </w:r>
            <w:r>
              <w:rPr>
                <w:rFonts w:hint="eastAsia" w:ascii="Times New Roman" w:hAnsi="Times New Roman" w:eastAsia="宋体" w:cs="Times New Roman"/>
                <w:b/>
                <w:bCs/>
                <w:color w:val="auto"/>
                <w:sz w:val="24"/>
                <w:szCs w:val="24"/>
                <w:lang w:val="en-US" w:eastAsia="zh-CN"/>
              </w:rPr>
              <w:t>加热炉风险防范措施</w:t>
            </w:r>
          </w:p>
          <w:p w14:paraId="691703E9">
            <w:pPr>
              <w:spacing w:line="360" w:lineRule="auto"/>
              <w:ind w:firstLine="480" w:firstLineChars="200"/>
              <w:rPr>
                <w:rFonts w:hint="eastAsia"/>
                <w:color w:val="auto"/>
                <w:sz w:val="24"/>
                <w:szCs w:val="24"/>
              </w:rPr>
            </w:pPr>
            <w:r>
              <w:rPr>
                <w:rFonts w:hint="eastAsia"/>
                <w:color w:val="auto"/>
                <w:sz w:val="24"/>
                <w:szCs w:val="24"/>
              </w:rPr>
              <w:t>①安装防火设施：加热炉应设置火灾报警装置和隔离器具等防火设施，及时排除隐患。</w:t>
            </w:r>
          </w:p>
          <w:p w14:paraId="54A75732">
            <w:pPr>
              <w:spacing w:line="360" w:lineRule="auto"/>
              <w:ind w:firstLine="480" w:firstLineChars="200"/>
              <w:rPr>
                <w:rFonts w:hint="eastAsia"/>
                <w:color w:val="auto"/>
                <w:sz w:val="24"/>
                <w:szCs w:val="24"/>
              </w:rPr>
            </w:pPr>
            <w:r>
              <w:rPr>
                <w:rFonts w:hint="eastAsia"/>
                <w:color w:val="auto"/>
                <w:sz w:val="24"/>
                <w:szCs w:val="24"/>
              </w:rPr>
              <w:t>②定期维护：加热炉需要定期更换加热元件和维护内部灰尘，防止阻塞造成设备过载，同时需要对设备进行清洗和保养。</w:t>
            </w:r>
          </w:p>
          <w:p w14:paraId="0EA3C515">
            <w:pPr>
              <w:spacing w:line="360" w:lineRule="auto"/>
              <w:ind w:firstLine="480" w:firstLineChars="200"/>
              <w:rPr>
                <w:rFonts w:hint="eastAsia"/>
                <w:color w:val="auto"/>
                <w:sz w:val="24"/>
                <w:szCs w:val="24"/>
              </w:rPr>
            </w:pPr>
            <w:r>
              <w:rPr>
                <w:rFonts w:hint="eastAsia"/>
                <w:color w:val="auto"/>
                <w:sz w:val="24"/>
                <w:szCs w:val="24"/>
              </w:rPr>
              <w:t>③加强操作培训：对操作人员进行全面系统培训，包括原理、安全使用注意事项等，并在操作过程中设置操作提示。</w:t>
            </w:r>
          </w:p>
          <w:p w14:paraId="15D176D1">
            <w:pPr>
              <w:spacing w:line="360" w:lineRule="auto"/>
              <w:ind w:firstLine="480" w:firstLineChars="200"/>
              <w:rPr>
                <w:rFonts w:hint="eastAsia"/>
                <w:color w:val="auto"/>
                <w:sz w:val="24"/>
                <w:szCs w:val="24"/>
              </w:rPr>
            </w:pPr>
            <w:r>
              <w:rPr>
                <w:rFonts w:hint="eastAsia"/>
                <w:color w:val="auto"/>
                <w:sz w:val="24"/>
                <w:szCs w:val="24"/>
              </w:rPr>
              <w:t>④强化安全意识：相关工作人员应定期进行安全培训，提高安全意识，明确操作规范，做好紧急事件应对预案。</w:t>
            </w:r>
          </w:p>
          <w:p w14:paraId="2AA64E6D">
            <w:pPr>
              <w:spacing w:line="360" w:lineRule="auto"/>
              <w:ind w:firstLine="480" w:firstLineChars="200"/>
              <w:rPr>
                <w:rFonts w:hint="eastAsia"/>
                <w:color w:val="auto"/>
                <w:sz w:val="24"/>
                <w:szCs w:val="24"/>
              </w:rPr>
            </w:pPr>
            <w:r>
              <w:rPr>
                <w:rFonts w:hint="eastAsia"/>
                <w:color w:val="auto"/>
                <w:sz w:val="24"/>
                <w:szCs w:val="24"/>
              </w:rPr>
              <w:t>⑤严格电气安全管理：对加热炉的电气线路进行定期检查和维护，保持电气线路畅通，并配备有效的电气保护装置。</w:t>
            </w:r>
          </w:p>
          <w:p w14:paraId="02A8DD9C">
            <w:pPr>
              <w:pStyle w:val="7"/>
              <w:adjustRightInd w:val="0"/>
              <w:snapToGrid w:val="0"/>
              <w:spacing w:line="360" w:lineRule="auto"/>
              <w:ind w:firstLine="422"/>
              <w:rPr>
                <w:rFonts w:hint="eastAsia"/>
                <w:b/>
                <w:bCs/>
                <w:color w:val="auto"/>
                <w:sz w:val="24"/>
                <w:szCs w:val="24"/>
                <w:lang w:val="en-US" w:eastAsia="zh-CN"/>
              </w:rPr>
            </w:pPr>
            <w:r>
              <w:rPr>
                <w:rFonts w:hint="eastAsia"/>
                <w:color w:val="auto"/>
                <w:sz w:val="24"/>
                <w:szCs w:val="24"/>
              </w:rPr>
              <w:t>⑥安装视频监控系统，对加热炉进行实时监控，在值班室监控器上能及时掌握设备的运行情况，提高安全性。</w:t>
            </w:r>
          </w:p>
          <w:p w14:paraId="4358E0BC">
            <w:pPr>
              <w:pStyle w:val="7"/>
              <w:adjustRightInd w:val="0"/>
              <w:snapToGrid w:val="0"/>
              <w:spacing w:line="360" w:lineRule="auto"/>
              <w:ind w:firstLine="422"/>
              <w:rPr>
                <w:rFonts w:hint="default" w:ascii="Times New Roman" w:hAnsi="Times New Roman" w:eastAsia="宋体" w:cs="Times New Roman"/>
                <w:b/>
                <w:bCs/>
                <w:color w:val="auto"/>
                <w:sz w:val="24"/>
                <w:szCs w:val="24"/>
                <w:lang w:val="en-US" w:eastAsia="zh-CN"/>
              </w:rPr>
            </w:pPr>
            <w:r>
              <w:rPr>
                <w:rFonts w:hint="eastAsia" w:cs="Times New Roman"/>
                <w:b/>
                <w:bCs/>
                <w:color w:val="auto"/>
                <w:sz w:val="24"/>
                <w:szCs w:val="24"/>
                <w:lang w:val="en-US" w:eastAsia="zh-CN"/>
              </w:rPr>
              <w:t>7</w:t>
            </w:r>
            <w:r>
              <w:rPr>
                <w:rFonts w:hint="eastAsia" w:ascii="Times New Roman" w:hAnsi="Times New Roman" w:eastAsia="宋体" w:cs="Times New Roman"/>
                <w:b/>
                <w:bCs/>
                <w:color w:val="auto"/>
                <w:sz w:val="24"/>
                <w:szCs w:val="24"/>
                <w:lang w:val="en-US" w:eastAsia="zh-CN"/>
              </w:rPr>
              <w:t>、粉尘风险防范措施</w:t>
            </w:r>
          </w:p>
          <w:p w14:paraId="4447F21B">
            <w:pPr>
              <w:spacing w:line="360" w:lineRule="auto"/>
              <w:ind w:firstLine="480" w:firstLineChars="200"/>
              <w:rPr>
                <w:rFonts w:hint="eastAsia"/>
                <w:color w:val="auto"/>
                <w:sz w:val="24"/>
                <w:szCs w:val="24"/>
              </w:rPr>
            </w:pPr>
            <w:r>
              <w:rPr>
                <w:rFonts w:hint="eastAsia"/>
                <w:color w:val="auto"/>
                <w:sz w:val="24"/>
                <w:szCs w:val="24"/>
              </w:rPr>
              <w:t>①企业针对实际情况普及粉尘防爆知识，吸取国内外同行业粉尘爆炸事故教训，使员工了解本企业可燃性粉尘爆炸危险场所和危险程度，并掌握其防爆措施；完善粉尘防爆应急现场处置方案，提高员工安全专业知识和应急处置能力；同时完善相关安全管理规章制度，建立粉尘防爆工作的长效机制。</w:t>
            </w:r>
          </w:p>
          <w:p w14:paraId="01A95874">
            <w:pPr>
              <w:spacing w:line="360" w:lineRule="auto"/>
              <w:ind w:firstLine="480" w:firstLineChars="200"/>
              <w:rPr>
                <w:rFonts w:hint="eastAsia"/>
                <w:color w:val="auto"/>
                <w:sz w:val="24"/>
                <w:szCs w:val="24"/>
              </w:rPr>
            </w:pPr>
            <w:r>
              <w:rPr>
                <w:rFonts w:hint="eastAsia"/>
                <w:color w:val="auto"/>
                <w:sz w:val="24"/>
                <w:szCs w:val="24"/>
              </w:rPr>
              <w:t>②安装有产生可燃性粉尘的工艺设备、除尘设备的车间或存在可燃性粉尘的建(构)筑物，应按照有关标准规定与其他建(构)筑物保持适当的防火距离。</w:t>
            </w:r>
          </w:p>
          <w:p w14:paraId="484EF24A">
            <w:pPr>
              <w:spacing w:line="360" w:lineRule="auto"/>
              <w:ind w:firstLine="480" w:firstLineChars="200"/>
              <w:rPr>
                <w:rFonts w:hint="eastAsia"/>
                <w:color w:val="auto"/>
                <w:sz w:val="24"/>
                <w:szCs w:val="24"/>
              </w:rPr>
            </w:pPr>
            <w:r>
              <w:rPr>
                <w:rFonts w:hint="eastAsia"/>
                <w:color w:val="auto"/>
                <w:sz w:val="24"/>
                <w:szCs w:val="24"/>
              </w:rPr>
              <w:t>③粉尘爆炸危险场所严禁各类明火，在粉尘爆炸危险场所进行动火作业前，办理动火审批，清扫动火场所积尘，同时停止产生粉尘的作业，同时采取相应防护措施。检修时应当使用防爆工具，不得敲击各金属部件。</w:t>
            </w:r>
          </w:p>
          <w:p w14:paraId="1CA822D0">
            <w:pPr>
              <w:pStyle w:val="7"/>
              <w:adjustRightInd w:val="0"/>
              <w:snapToGrid w:val="0"/>
              <w:spacing w:line="360" w:lineRule="auto"/>
              <w:ind w:firstLine="422"/>
              <w:rPr>
                <w:rFonts w:hint="eastAsia"/>
                <w:b/>
                <w:bCs/>
                <w:color w:val="auto"/>
                <w:sz w:val="24"/>
                <w:szCs w:val="24"/>
                <w:lang w:val="en-US" w:eastAsia="zh-CN"/>
              </w:rPr>
            </w:pPr>
            <w:r>
              <w:rPr>
                <w:rFonts w:hint="eastAsia"/>
                <w:color w:val="auto"/>
                <w:sz w:val="24"/>
                <w:szCs w:val="24"/>
              </w:rPr>
              <w:t>④存在可燃性粉尘车间的电器线路采用镀锌钢管套管保护，设备接地可靠、电源采取防爆措施；严禁乱拉私接临时电线，电气线路符合行业标准。</w:t>
            </w:r>
          </w:p>
          <w:p w14:paraId="3C44A8FE">
            <w:pPr>
              <w:pStyle w:val="7"/>
              <w:adjustRightInd w:val="0"/>
              <w:snapToGrid w:val="0"/>
              <w:spacing w:line="360" w:lineRule="auto"/>
              <w:ind w:firstLine="422"/>
              <w:rPr>
                <w:b/>
                <w:bCs/>
                <w:color w:val="auto"/>
                <w:sz w:val="24"/>
                <w:szCs w:val="24"/>
              </w:rPr>
            </w:pPr>
            <w:r>
              <w:rPr>
                <w:rFonts w:hint="eastAsia"/>
                <w:b/>
                <w:bCs/>
                <w:color w:val="auto"/>
                <w:sz w:val="24"/>
                <w:szCs w:val="24"/>
                <w:lang w:val="en-US" w:eastAsia="zh-CN"/>
              </w:rPr>
              <w:t>8、</w:t>
            </w:r>
            <w:r>
              <w:rPr>
                <w:b/>
                <w:bCs/>
                <w:color w:val="auto"/>
                <w:sz w:val="24"/>
                <w:szCs w:val="24"/>
              </w:rPr>
              <w:t>事故状态下排水系统防范措施</w:t>
            </w:r>
          </w:p>
          <w:p w14:paraId="723D90E6">
            <w:pPr>
              <w:keepNext/>
              <w:widowControl/>
              <w:spacing w:line="360" w:lineRule="auto"/>
              <w:ind w:firstLine="480" w:firstLineChars="200"/>
              <w:rPr>
                <w:color w:val="auto"/>
              </w:rPr>
            </w:pPr>
            <w:r>
              <w:rPr>
                <w:rFonts w:hint="eastAsia"/>
                <w:color w:val="auto"/>
                <w:sz w:val="24"/>
                <w:szCs w:val="24"/>
              </w:rPr>
              <w:t>企业厂区内已建设1个10</w:t>
            </w:r>
            <w:r>
              <w:rPr>
                <w:rFonts w:hint="eastAsia"/>
                <w:color w:val="auto"/>
                <w:sz w:val="24"/>
                <w:szCs w:val="24"/>
                <w:lang w:val="en-US" w:eastAsia="zh-CN"/>
              </w:rPr>
              <w:t>0</w:t>
            </w:r>
            <w:r>
              <w:rPr>
                <w:rFonts w:hint="eastAsia"/>
                <w:color w:val="auto"/>
                <w:sz w:val="24"/>
                <w:szCs w:val="24"/>
              </w:rPr>
              <w:t>m</w:t>
            </w:r>
            <w:r>
              <w:rPr>
                <w:rFonts w:hint="eastAsia"/>
                <w:color w:val="auto"/>
                <w:sz w:val="24"/>
                <w:szCs w:val="24"/>
                <w:vertAlign w:val="superscript"/>
              </w:rPr>
              <w:t>3</w:t>
            </w:r>
            <w:r>
              <w:rPr>
                <w:rFonts w:hint="eastAsia"/>
                <w:color w:val="auto"/>
                <w:sz w:val="24"/>
                <w:szCs w:val="24"/>
              </w:rPr>
              <w:t>的事故应急池，可满足事故水贮存需求，保证发生泄漏事故时，泄漏物料能迅速、安全地集中到事故应急池。企业应针对水质实际情况进行必要的处理，避免对评价范围内的农田和河流造成影响。</w:t>
            </w:r>
          </w:p>
        </w:tc>
      </w:tr>
      <w:tr w14:paraId="7CE8D68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159" w:hRule="atLeast"/>
          <w:jc w:val="center"/>
        </w:trPr>
        <w:tc>
          <w:tcPr>
            <w:tcW w:w="1680" w:type="dxa"/>
            <w:vAlign w:val="center"/>
          </w:tcPr>
          <w:p w14:paraId="6AD5F135">
            <w:pPr>
              <w:adjustRightInd w:val="0"/>
              <w:snapToGrid w:val="0"/>
              <w:jc w:val="center"/>
              <w:rPr>
                <w:color w:val="auto"/>
                <w:spacing w:val="-8"/>
                <w:sz w:val="24"/>
                <w:szCs w:val="24"/>
              </w:rPr>
            </w:pPr>
            <w:r>
              <w:rPr>
                <w:color w:val="auto"/>
                <w:spacing w:val="-8"/>
                <w:sz w:val="24"/>
                <w:szCs w:val="24"/>
              </w:rPr>
              <w:t>其他环境</w:t>
            </w:r>
          </w:p>
          <w:p w14:paraId="6A88DE26">
            <w:pPr>
              <w:adjustRightInd w:val="0"/>
              <w:snapToGrid w:val="0"/>
              <w:jc w:val="center"/>
              <w:rPr>
                <w:color w:val="auto"/>
                <w:spacing w:val="-8"/>
                <w:sz w:val="24"/>
                <w:szCs w:val="24"/>
              </w:rPr>
            </w:pPr>
            <w:r>
              <w:rPr>
                <w:color w:val="auto"/>
                <w:spacing w:val="-8"/>
                <w:sz w:val="24"/>
                <w:szCs w:val="24"/>
              </w:rPr>
              <w:t>管理要求</w:t>
            </w:r>
          </w:p>
        </w:tc>
        <w:tc>
          <w:tcPr>
            <w:tcW w:w="7120" w:type="dxa"/>
            <w:gridSpan w:val="5"/>
          </w:tcPr>
          <w:p w14:paraId="54D399C6">
            <w:pPr>
              <w:keepNext/>
              <w:widowControl/>
              <w:spacing w:line="360" w:lineRule="auto"/>
              <w:ind w:firstLine="480" w:firstLineChars="200"/>
              <w:rPr>
                <w:color w:val="auto"/>
                <w:sz w:val="24"/>
                <w:szCs w:val="24"/>
              </w:rPr>
            </w:pPr>
            <w:r>
              <w:rPr>
                <w:color w:val="auto"/>
                <w:sz w:val="24"/>
                <w:szCs w:val="24"/>
              </w:rPr>
              <w:t>1、</w:t>
            </w:r>
            <w:r>
              <w:rPr>
                <w:rFonts w:hint="eastAsia"/>
                <w:color w:val="auto"/>
                <w:sz w:val="24"/>
                <w:szCs w:val="24"/>
              </w:rPr>
              <w:t>严格执行“三同时”制度，在项目筹备、设计和施工建设不同阶段，均应严格执行“三同时”制度，确保污染处理设施能够与生产工艺设施“同时设计、同时施工、同时投产使用”。建设项目竣工后，按照规定的标准和程序实施竣工环境保护验收，验收合格后方可投入生产。</w:t>
            </w:r>
          </w:p>
          <w:p w14:paraId="0171E490">
            <w:pPr>
              <w:spacing w:line="360" w:lineRule="auto"/>
              <w:ind w:firstLine="480" w:firstLineChars="200"/>
              <w:rPr>
                <w:rFonts w:hint="eastAsia" w:ascii="Times New Roman" w:hAnsi="Times New Roman" w:eastAsia="宋体" w:cs="Times New Roman"/>
                <w:color w:val="auto"/>
                <w:sz w:val="24"/>
                <w:szCs w:val="24"/>
                <w:lang w:val="en-US" w:eastAsia="zh-CN"/>
              </w:rPr>
            </w:pPr>
            <w:r>
              <w:rPr>
                <w:color w:val="auto"/>
                <w:sz w:val="24"/>
                <w:szCs w:val="24"/>
              </w:rPr>
              <w:t>2、</w:t>
            </w:r>
            <w:r>
              <w:rPr>
                <w:rFonts w:hint="eastAsia"/>
                <w:color w:val="auto"/>
                <w:sz w:val="24"/>
                <w:szCs w:val="24"/>
              </w:rPr>
              <w:t>本项目行业分类为[C3534]饲料生产专用设备制造。根据《固定污染源排污许可分类管理名录》（2019年版），本项目属于“三十、专用设备制造业 35</w:t>
            </w:r>
            <w:r>
              <w:rPr>
                <w:rFonts w:hint="eastAsia"/>
                <w:color w:val="auto"/>
                <w:sz w:val="24"/>
                <w:szCs w:val="24"/>
                <w:lang w:val="en-US" w:eastAsia="zh-CN"/>
              </w:rPr>
              <w:t>-</w:t>
            </w:r>
            <w:r>
              <w:rPr>
                <w:rFonts w:hint="eastAsia"/>
                <w:color w:val="auto"/>
                <w:sz w:val="24"/>
                <w:szCs w:val="24"/>
              </w:rPr>
              <w:t>食品、饮料、烟草及饲料生产专用设备制造 353</w:t>
            </w:r>
            <w:r>
              <w:rPr>
                <w:rFonts w:hint="eastAsia"/>
                <w:color w:val="auto"/>
                <w:sz w:val="24"/>
                <w:szCs w:val="24"/>
                <w:lang w:val="en-US" w:eastAsia="zh-CN"/>
              </w:rPr>
              <w:t>-涉及通用工序简化管理的</w:t>
            </w:r>
            <w:r>
              <w:rPr>
                <w:rFonts w:hint="eastAsia"/>
                <w:color w:val="auto"/>
                <w:sz w:val="24"/>
                <w:szCs w:val="24"/>
              </w:rPr>
              <w:t>”</w:t>
            </w:r>
            <w:r>
              <w:rPr>
                <w:rFonts w:hint="eastAsia"/>
                <w:color w:val="auto"/>
                <w:sz w:val="24"/>
                <w:szCs w:val="24"/>
                <w:lang w:eastAsia="zh-CN"/>
              </w:rPr>
              <w:t>、“五十一、通用工序</w:t>
            </w:r>
            <w:r>
              <w:rPr>
                <w:rFonts w:hint="eastAsia"/>
                <w:color w:val="auto"/>
                <w:sz w:val="24"/>
                <w:szCs w:val="24"/>
                <w:lang w:val="en-US" w:eastAsia="zh-CN"/>
              </w:rPr>
              <w:t>-111、表面处理-除纳入重点排污单位名录的，有淬火等工序的”，应实施简化管理</w:t>
            </w:r>
            <w:r>
              <w:rPr>
                <w:rFonts w:hint="eastAsia"/>
                <w:color w:val="auto"/>
                <w:sz w:val="24"/>
                <w:szCs w:val="24"/>
              </w:rPr>
              <w:t>。</w:t>
            </w:r>
            <w:r>
              <w:rPr>
                <w:rFonts w:hint="eastAsia"/>
                <w:color w:val="auto"/>
                <w:sz w:val="24"/>
                <w:szCs w:val="24"/>
                <w:lang w:val="en-US" w:eastAsia="zh-CN"/>
              </w:rPr>
              <w:t>综上，本项目</w:t>
            </w:r>
            <w:r>
              <w:rPr>
                <w:rFonts w:hint="eastAsia"/>
                <w:color w:val="auto"/>
                <w:sz w:val="24"/>
                <w:szCs w:val="24"/>
              </w:rPr>
              <w:t>应实施简化管理，根据要求</w:t>
            </w:r>
            <w:r>
              <w:rPr>
                <w:rFonts w:hint="eastAsia"/>
                <w:color w:val="auto"/>
                <w:sz w:val="24"/>
                <w:szCs w:val="24"/>
                <w:lang w:val="en-US" w:eastAsia="zh-CN"/>
              </w:rPr>
              <w:t>变更</w:t>
            </w:r>
            <w:r>
              <w:rPr>
                <w:rFonts w:hint="eastAsia"/>
                <w:color w:val="auto"/>
                <w:sz w:val="24"/>
                <w:szCs w:val="24"/>
              </w:rPr>
              <w:t>排污许可证</w:t>
            </w:r>
            <w:r>
              <w:rPr>
                <w:rFonts w:hint="eastAsia"/>
                <w:color w:val="auto"/>
                <w:lang w:eastAsia="zh-CN"/>
              </w:rPr>
              <w:t>。</w:t>
            </w:r>
          </w:p>
          <w:p w14:paraId="75670889">
            <w:pPr>
              <w:spacing w:line="360" w:lineRule="auto"/>
              <w:ind w:firstLine="480" w:firstLineChars="200"/>
              <w:rPr>
                <w:color w:val="auto"/>
                <w:sz w:val="24"/>
                <w:szCs w:val="24"/>
              </w:rPr>
            </w:pPr>
            <w:r>
              <w:rPr>
                <w:color w:val="auto"/>
                <w:sz w:val="24"/>
                <w:szCs w:val="24"/>
              </w:rPr>
              <w:t>3、《报告表》经批准后，项目的性质、规模、地点、采用的生产工艺或者防治污染、防治生态破坏的措施发生重大变动的，应当重新报批该项目的环境影响报告表。</w:t>
            </w:r>
          </w:p>
          <w:p w14:paraId="7AA5B50F">
            <w:pPr>
              <w:widowControl/>
              <w:spacing w:line="360" w:lineRule="auto"/>
              <w:ind w:firstLine="480" w:firstLineChars="200"/>
              <w:rPr>
                <w:color w:val="auto"/>
                <w:sz w:val="24"/>
                <w:szCs w:val="24"/>
              </w:rPr>
            </w:pPr>
            <w:r>
              <w:rPr>
                <w:color w:val="auto"/>
                <w:sz w:val="24"/>
                <w:szCs w:val="24"/>
              </w:rPr>
              <w:t>4、自环评批复文件批准之日起超过五年，方决定该项目开工建设的，其环境影响报告表应当报</w:t>
            </w:r>
            <w:r>
              <w:rPr>
                <w:rFonts w:hint="eastAsia"/>
                <w:color w:val="auto"/>
                <w:sz w:val="24"/>
                <w:szCs w:val="24"/>
              </w:rPr>
              <w:t>江苏省海安高新技术产业开发区管理委员会</w:t>
            </w:r>
            <w:r>
              <w:rPr>
                <w:color w:val="auto"/>
                <w:sz w:val="24"/>
                <w:szCs w:val="24"/>
              </w:rPr>
              <w:t>重新审核。</w:t>
            </w:r>
          </w:p>
          <w:p w14:paraId="513085E9">
            <w:pPr>
              <w:spacing w:line="360" w:lineRule="auto"/>
              <w:ind w:firstLine="480" w:firstLineChars="200"/>
              <w:rPr>
                <w:color w:val="auto"/>
                <w:sz w:val="24"/>
                <w:szCs w:val="24"/>
              </w:rPr>
            </w:pPr>
            <w:r>
              <w:rPr>
                <w:color w:val="auto"/>
                <w:sz w:val="24"/>
                <w:szCs w:val="24"/>
              </w:rPr>
              <w:t>5、建设单位应根据《关于做好生态环境和应急管理部门联动工作的意见》（苏环办</w:t>
            </w:r>
            <w:r>
              <w:rPr>
                <w:rFonts w:hint="eastAsia"/>
                <w:color w:val="auto"/>
                <w:sz w:val="24"/>
                <w:szCs w:val="24"/>
              </w:rPr>
              <w:t>〔2020〕</w:t>
            </w:r>
            <w:r>
              <w:rPr>
                <w:color w:val="auto"/>
                <w:sz w:val="24"/>
                <w:szCs w:val="24"/>
              </w:rPr>
              <w:t>101号），开展环保设施安全风险辨识，健全内部污染防治设施稳定运行和管理责任制度，严格依据标准规范建设环境治理设施，确保环境治理设施安全、稳定、有效运行</w:t>
            </w:r>
            <w:r>
              <w:rPr>
                <w:rFonts w:hint="eastAsia"/>
                <w:color w:val="auto"/>
                <w:sz w:val="24"/>
                <w:szCs w:val="24"/>
                <w:lang w:eastAsia="zh-CN"/>
              </w:rPr>
              <w:t>。</w:t>
            </w:r>
          </w:p>
          <w:p w14:paraId="7C9412BF">
            <w:pPr>
              <w:rPr>
                <w:color w:val="auto"/>
              </w:rPr>
            </w:pPr>
          </w:p>
        </w:tc>
      </w:tr>
    </w:tbl>
    <w:p w14:paraId="6D632BA7">
      <w:pPr>
        <w:pStyle w:val="22"/>
        <w:jc w:val="center"/>
        <w:outlineLvl w:val="0"/>
        <w:rPr>
          <w:rFonts w:ascii="黑体" w:hAnsi="黑体" w:eastAsia="黑体"/>
          <w:snapToGrid w:val="0"/>
          <w:color w:val="auto"/>
          <w:sz w:val="30"/>
          <w:szCs w:val="30"/>
        </w:rPr>
      </w:pPr>
      <w:bookmarkStart w:id="38" w:name="PageNo100830082"/>
      <w:r>
        <w:rPr>
          <w:snapToGrid w:val="0"/>
          <w:color w:val="auto"/>
        </w:rPr>
        <w:br w:type="page"/>
      </w:r>
      <w:bookmarkEnd w:id="38"/>
      <w:bookmarkStart w:id="39" w:name="PageNo100840083"/>
      <w:r>
        <w:rPr>
          <w:rFonts w:hint="eastAsia" w:ascii="黑体" w:hAnsi="黑体" w:eastAsia="黑体"/>
          <w:snapToGrid w:val="0"/>
          <w:color w:val="auto"/>
          <w:sz w:val="30"/>
          <w:szCs w:val="30"/>
        </w:rPr>
        <w:t>六</w:t>
      </w:r>
      <w:bookmarkEnd w:id="39"/>
      <w:r>
        <w:rPr>
          <w:rFonts w:hint="eastAsia" w:ascii="黑体" w:hAnsi="黑体" w:eastAsia="黑体"/>
          <w:snapToGrid w:val="0"/>
          <w:color w:val="auto"/>
          <w:sz w:val="30"/>
          <w:szCs w:val="30"/>
        </w:rPr>
        <w:t>、结论</w:t>
      </w:r>
    </w:p>
    <w:tbl>
      <w:tblPr>
        <w:tblStyle w:val="26"/>
        <w:tblW w:w="886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865"/>
      </w:tblGrid>
      <w:tr w14:paraId="23DA1E3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991" w:hRule="atLeast"/>
          <w:jc w:val="center"/>
        </w:trPr>
        <w:tc>
          <w:tcPr>
            <w:tcW w:w="8865" w:type="dxa"/>
            <w:vAlign w:val="center"/>
          </w:tcPr>
          <w:p w14:paraId="48AE440F">
            <w:pPr>
              <w:spacing w:line="360" w:lineRule="auto"/>
              <w:ind w:firstLine="480" w:firstLineChars="200"/>
              <w:rPr>
                <w:rFonts w:ascii="宋体" w:cs="宋体"/>
                <w:color w:val="auto"/>
                <w:sz w:val="24"/>
              </w:rPr>
            </w:pPr>
            <w:r>
              <w:rPr>
                <w:rFonts w:ascii="宋体" w:hAnsi="宋体" w:cs="宋体"/>
                <w:color w:val="auto"/>
                <w:sz w:val="24"/>
                <w:szCs w:val="24"/>
              </w:rPr>
              <w:t>本项目符合国家及地方产业政策，</w:t>
            </w:r>
            <w:r>
              <w:rPr>
                <w:rFonts w:hint="eastAsia" w:ascii="宋体" w:hAnsi="宋体" w:cs="宋体"/>
                <w:color w:val="auto"/>
                <w:sz w:val="24"/>
                <w:szCs w:val="24"/>
              </w:rPr>
              <w:t>选址</w:t>
            </w:r>
            <w:r>
              <w:rPr>
                <w:rFonts w:ascii="宋体" w:hAnsi="宋体" w:cs="宋体"/>
                <w:color w:val="auto"/>
                <w:sz w:val="24"/>
                <w:szCs w:val="24"/>
              </w:rPr>
              <w:t>符合</w:t>
            </w:r>
            <w:r>
              <w:rPr>
                <w:rFonts w:hint="eastAsia" w:ascii="宋体" w:hAnsi="宋体" w:cs="宋体"/>
                <w:color w:val="auto"/>
                <w:sz w:val="24"/>
                <w:szCs w:val="24"/>
              </w:rPr>
              <w:t>相关</w:t>
            </w:r>
            <w:r>
              <w:rPr>
                <w:rFonts w:ascii="宋体" w:hAnsi="宋体" w:cs="宋体"/>
                <w:color w:val="auto"/>
                <w:sz w:val="24"/>
                <w:szCs w:val="24"/>
              </w:rPr>
              <w:t>规划要求；项目生产过程中产生的污染在采取有效的治理措施之后，对周围环境影响较小，不会改变当地环境质量现状</w:t>
            </w:r>
            <w:r>
              <w:rPr>
                <w:rFonts w:hint="eastAsia" w:ascii="宋体" w:hAnsi="宋体" w:cs="宋体"/>
                <w:color w:val="auto"/>
                <w:sz w:val="24"/>
                <w:szCs w:val="24"/>
              </w:rPr>
              <w:t>。</w:t>
            </w:r>
            <w:r>
              <w:rPr>
                <w:rFonts w:ascii="宋体" w:hAnsi="宋体" w:cs="宋体"/>
                <w:color w:val="auto"/>
                <w:sz w:val="24"/>
                <w:szCs w:val="24"/>
              </w:rPr>
              <w:t>因此，从环保的角度出发，该项目在坚持“三同时”原则并按照本报告中提出的各项环保措施治理后</w:t>
            </w:r>
            <w:r>
              <w:rPr>
                <w:rFonts w:hint="eastAsia" w:ascii="宋体" w:hAnsi="宋体" w:cs="宋体"/>
                <w:color w:val="auto"/>
                <w:sz w:val="24"/>
                <w:szCs w:val="24"/>
              </w:rPr>
              <w:t>，</w:t>
            </w:r>
            <w:r>
              <w:rPr>
                <w:rFonts w:ascii="宋体" w:hAnsi="宋体" w:cs="宋体"/>
                <w:color w:val="auto"/>
                <w:sz w:val="24"/>
                <w:szCs w:val="24"/>
              </w:rPr>
              <w:t>环境影响是可行的</w:t>
            </w:r>
            <w:r>
              <w:rPr>
                <w:rFonts w:hint="eastAsia" w:ascii="宋体" w:cs="宋体"/>
                <w:color w:val="auto"/>
                <w:sz w:val="24"/>
                <w:szCs w:val="24"/>
              </w:rPr>
              <w:t>。</w:t>
            </w:r>
          </w:p>
        </w:tc>
      </w:tr>
    </w:tbl>
    <w:p w14:paraId="6AAB84F5">
      <w:pPr>
        <w:rPr>
          <w:rFonts w:ascii="宋体"/>
          <w:color w:val="auto"/>
        </w:rPr>
        <w:sectPr>
          <w:pgSz w:w="11906" w:h="16838"/>
          <w:pgMar w:top="1701" w:right="1531" w:bottom="1701" w:left="1531" w:header="851" w:footer="851" w:gutter="0"/>
          <w:pgBorders>
            <w:top w:val="none" w:sz="0" w:space="0"/>
            <w:left w:val="none" w:sz="0" w:space="0"/>
            <w:bottom w:val="none" w:sz="0" w:space="0"/>
            <w:right w:val="none" w:sz="0" w:space="0"/>
          </w:pgBorders>
          <w:cols w:space="720" w:num="1"/>
          <w:docGrid w:linePitch="312" w:charSpace="0"/>
        </w:sectPr>
      </w:pPr>
    </w:p>
    <w:p w14:paraId="131A8F52">
      <w:pPr>
        <w:pStyle w:val="22"/>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tLeast"/>
        <w:textAlignment w:val="auto"/>
        <w:outlineLvl w:val="0"/>
        <w:rPr>
          <w:rFonts w:ascii="黑体" w:hAnsi="黑体" w:eastAsia="黑体"/>
          <w:snapToGrid w:val="0"/>
          <w:color w:val="auto"/>
          <w:sz w:val="32"/>
          <w:szCs w:val="32"/>
        </w:rPr>
      </w:pPr>
      <w:bookmarkStart w:id="40" w:name="PageNo100850084"/>
      <w:r>
        <w:rPr>
          <w:rFonts w:hint="eastAsia" w:ascii="黑体" w:hAnsi="黑体" w:eastAsia="黑体"/>
          <w:snapToGrid w:val="0"/>
          <w:color w:val="auto"/>
          <w:sz w:val="32"/>
          <w:szCs w:val="32"/>
        </w:rPr>
        <w:t>附</w:t>
      </w:r>
      <w:bookmarkEnd w:id="40"/>
      <w:r>
        <w:rPr>
          <w:rFonts w:hint="eastAsia" w:ascii="黑体" w:hAnsi="黑体" w:eastAsia="黑体"/>
          <w:snapToGrid w:val="0"/>
          <w:color w:val="auto"/>
          <w:sz w:val="32"/>
          <w:szCs w:val="32"/>
        </w:rPr>
        <w:t>表</w:t>
      </w:r>
    </w:p>
    <w:p w14:paraId="2953D45E">
      <w:pPr>
        <w:pStyle w:val="22"/>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tLeast"/>
        <w:jc w:val="center"/>
        <w:textAlignment w:val="auto"/>
        <w:outlineLvl w:val="0"/>
        <w:rPr>
          <w:rFonts w:ascii="方正小标宋_GBK" w:hAnsi="黑体" w:eastAsia="方正小标宋_GBK"/>
          <w:snapToGrid w:val="0"/>
          <w:color w:val="auto"/>
          <w:sz w:val="38"/>
          <w:szCs w:val="38"/>
        </w:rPr>
      </w:pPr>
      <w:r>
        <w:rPr>
          <w:rFonts w:hint="eastAsia" w:ascii="方正小标宋_GBK" w:hAnsi="黑体" w:eastAsia="方正小标宋_GBK"/>
          <w:snapToGrid w:val="0"/>
          <w:color w:val="auto"/>
          <w:sz w:val="38"/>
          <w:szCs w:val="38"/>
        </w:rPr>
        <w:t>建设项目污染物排放量汇总表</w:t>
      </w:r>
    </w:p>
    <w:tbl>
      <w:tblPr>
        <w:tblStyle w:val="26"/>
        <w:tblW w:w="13788"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94"/>
        <w:gridCol w:w="794"/>
        <w:gridCol w:w="1848"/>
        <w:gridCol w:w="1409"/>
        <w:gridCol w:w="1137"/>
        <w:gridCol w:w="1701"/>
        <w:gridCol w:w="1559"/>
        <w:gridCol w:w="1761"/>
        <w:gridCol w:w="1651"/>
        <w:gridCol w:w="1134"/>
      </w:tblGrid>
      <w:tr w14:paraId="77DF339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12" w:hRule="atLeast"/>
        </w:trPr>
        <w:tc>
          <w:tcPr>
            <w:tcW w:w="1588" w:type="dxa"/>
            <w:gridSpan w:val="2"/>
            <w:tcBorders>
              <w:tl2br w:val="single" w:color="auto" w:sz="4" w:space="0"/>
            </w:tcBorders>
            <w:tcMar>
              <w:left w:w="28" w:type="dxa"/>
              <w:right w:w="28" w:type="dxa"/>
            </w:tcMar>
            <w:vAlign w:val="center"/>
          </w:tcPr>
          <w:p w14:paraId="5779C988">
            <w:pPr>
              <w:pStyle w:val="34"/>
              <w:spacing w:before="24" w:after="24" w:line="240" w:lineRule="auto"/>
              <w:jc w:val="right"/>
              <w:rPr>
                <w:rFonts w:ascii="Times New Roman"/>
                <w:snapToGrid w:val="0"/>
                <w:color w:val="auto"/>
                <w:spacing w:val="-6"/>
                <w:kern w:val="21"/>
                <w:sz w:val="21"/>
                <w:szCs w:val="21"/>
              </w:rPr>
            </w:pPr>
            <w:r>
              <w:rPr>
                <w:rFonts w:ascii="Times New Roman"/>
                <w:snapToGrid w:val="0"/>
                <w:color w:val="auto"/>
                <w:spacing w:val="-6"/>
                <w:kern w:val="21"/>
                <w:sz w:val="21"/>
                <w:szCs w:val="21"/>
              </w:rPr>
              <w:t>项目</w:t>
            </w:r>
          </w:p>
          <w:p w14:paraId="0A985232">
            <w:pPr>
              <w:pStyle w:val="34"/>
              <w:spacing w:before="24" w:after="24" w:line="240" w:lineRule="auto"/>
              <w:jc w:val="left"/>
              <w:rPr>
                <w:rFonts w:ascii="Times New Roman"/>
                <w:snapToGrid w:val="0"/>
                <w:color w:val="auto"/>
                <w:spacing w:val="-6"/>
                <w:kern w:val="21"/>
                <w:sz w:val="21"/>
                <w:szCs w:val="21"/>
              </w:rPr>
            </w:pPr>
            <w:r>
              <w:rPr>
                <w:rFonts w:ascii="Times New Roman"/>
                <w:snapToGrid w:val="0"/>
                <w:color w:val="auto"/>
                <w:spacing w:val="-6"/>
                <w:kern w:val="21"/>
                <w:sz w:val="21"/>
                <w:szCs w:val="21"/>
              </w:rPr>
              <w:t>分类</w:t>
            </w:r>
          </w:p>
        </w:tc>
        <w:tc>
          <w:tcPr>
            <w:tcW w:w="1848" w:type="dxa"/>
            <w:tcMar>
              <w:left w:w="28" w:type="dxa"/>
              <w:right w:w="28" w:type="dxa"/>
            </w:tcMar>
            <w:vAlign w:val="center"/>
          </w:tcPr>
          <w:p w14:paraId="654CFA2E">
            <w:pPr>
              <w:pStyle w:val="34"/>
              <w:spacing w:before="24" w:after="24" w:line="240" w:lineRule="auto"/>
              <w:rPr>
                <w:rFonts w:ascii="Times New Roman"/>
                <w:snapToGrid w:val="0"/>
                <w:color w:val="auto"/>
                <w:spacing w:val="-6"/>
                <w:kern w:val="21"/>
                <w:sz w:val="21"/>
                <w:szCs w:val="21"/>
              </w:rPr>
            </w:pPr>
            <w:r>
              <w:rPr>
                <w:rFonts w:ascii="Times New Roman"/>
                <w:snapToGrid w:val="0"/>
                <w:color w:val="auto"/>
                <w:spacing w:val="-6"/>
                <w:kern w:val="21"/>
                <w:sz w:val="21"/>
                <w:szCs w:val="21"/>
              </w:rPr>
              <w:t>污染物名称</w:t>
            </w:r>
          </w:p>
        </w:tc>
        <w:tc>
          <w:tcPr>
            <w:tcW w:w="1409" w:type="dxa"/>
            <w:tcMar>
              <w:left w:w="28" w:type="dxa"/>
              <w:right w:w="28" w:type="dxa"/>
            </w:tcMar>
            <w:vAlign w:val="center"/>
          </w:tcPr>
          <w:p w14:paraId="3C57D470">
            <w:pPr>
              <w:pStyle w:val="34"/>
              <w:spacing w:before="24" w:after="24" w:line="240" w:lineRule="auto"/>
              <w:rPr>
                <w:rFonts w:ascii="Times New Roman"/>
                <w:snapToGrid w:val="0"/>
                <w:color w:val="auto"/>
                <w:spacing w:val="-6"/>
                <w:kern w:val="21"/>
                <w:sz w:val="21"/>
                <w:szCs w:val="21"/>
              </w:rPr>
            </w:pPr>
            <w:r>
              <w:rPr>
                <w:rFonts w:ascii="Times New Roman"/>
                <w:snapToGrid w:val="0"/>
                <w:color w:val="auto"/>
                <w:spacing w:val="-6"/>
                <w:kern w:val="21"/>
                <w:sz w:val="21"/>
                <w:szCs w:val="21"/>
              </w:rPr>
              <w:t>现有工程</w:t>
            </w:r>
          </w:p>
          <w:p w14:paraId="2E42BCF5">
            <w:pPr>
              <w:pStyle w:val="34"/>
              <w:spacing w:before="24" w:after="24" w:line="240" w:lineRule="auto"/>
              <w:rPr>
                <w:rFonts w:ascii="Times New Roman"/>
                <w:snapToGrid w:val="0"/>
                <w:color w:val="auto"/>
                <w:spacing w:val="-6"/>
                <w:kern w:val="21"/>
                <w:sz w:val="21"/>
                <w:szCs w:val="21"/>
              </w:rPr>
            </w:pPr>
            <w:r>
              <w:rPr>
                <w:rFonts w:ascii="Times New Roman"/>
                <w:snapToGrid w:val="0"/>
                <w:color w:val="auto"/>
                <w:spacing w:val="-6"/>
                <w:kern w:val="21"/>
                <w:sz w:val="21"/>
                <w:szCs w:val="21"/>
              </w:rPr>
              <w:t>排放量（固体废物产生量）</w:t>
            </w:r>
            <w:r>
              <w:rPr>
                <w:rFonts w:ascii="Times New Roman"/>
                <w:snapToGrid w:val="0"/>
                <w:color w:val="auto"/>
                <w:spacing w:val="-6"/>
                <w:kern w:val="21"/>
                <w:sz w:val="21"/>
                <w:szCs w:val="21"/>
              </w:rPr>
              <w:fldChar w:fldCharType="begin"/>
            </w:r>
            <w:r>
              <w:rPr>
                <w:rFonts w:ascii="Times New Roman"/>
                <w:snapToGrid w:val="0"/>
                <w:color w:val="auto"/>
                <w:spacing w:val="-6"/>
                <w:kern w:val="21"/>
                <w:sz w:val="21"/>
                <w:szCs w:val="21"/>
              </w:rPr>
              <w:instrText xml:space="preserve"> = 1 \* GB3 \* MERGEFORMAT </w:instrText>
            </w:r>
            <w:r>
              <w:rPr>
                <w:rFonts w:ascii="Times New Roman"/>
                <w:snapToGrid w:val="0"/>
                <w:color w:val="auto"/>
                <w:spacing w:val="-6"/>
                <w:kern w:val="21"/>
                <w:sz w:val="21"/>
                <w:szCs w:val="21"/>
              </w:rPr>
              <w:fldChar w:fldCharType="separate"/>
            </w:r>
            <w:r>
              <w:rPr>
                <w:rFonts w:ascii="Times New Roman"/>
                <w:color w:val="auto"/>
                <w:kern w:val="2"/>
                <w:sz w:val="21"/>
                <w:szCs w:val="21"/>
              </w:rPr>
              <w:t>①</w:t>
            </w:r>
            <w:r>
              <w:rPr>
                <w:rFonts w:ascii="Times New Roman"/>
                <w:snapToGrid w:val="0"/>
                <w:color w:val="auto"/>
                <w:spacing w:val="-6"/>
                <w:kern w:val="21"/>
                <w:sz w:val="21"/>
                <w:szCs w:val="21"/>
              </w:rPr>
              <w:fldChar w:fldCharType="end"/>
            </w:r>
          </w:p>
        </w:tc>
        <w:tc>
          <w:tcPr>
            <w:tcW w:w="1137" w:type="dxa"/>
            <w:tcMar>
              <w:left w:w="28" w:type="dxa"/>
              <w:right w:w="28" w:type="dxa"/>
            </w:tcMar>
            <w:vAlign w:val="center"/>
          </w:tcPr>
          <w:p w14:paraId="3E74953F">
            <w:pPr>
              <w:pStyle w:val="34"/>
              <w:spacing w:before="24" w:after="24" w:line="240" w:lineRule="auto"/>
              <w:rPr>
                <w:rFonts w:ascii="Times New Roman"/>
                <w:snapToGrid w:val="0"/>
                <w:color w:val="auto"/>
                <w:spacing w:val="-6"/>
                <w:kern w:val="21"/>
                <w:sz w:val="21"/>
                <w:szCs w:val="21"/>
              </w:rPr>
            </w:pPr>
            <w:r>
              <w:rPr>
                <w:rFonts w:ascii="Times New Roman"/>
                <w:snapToGrid w:val="0"/>
                <w:color w:val="auto"/>
                <w:spacing w:val="-6"/>
                <w:kern w:val="21"/>
                <w:sz w:val="21"/>
                <w:szCs w:val="21"/>
              </w:rPr>
              <w:t>现有工程</w:t>
            </w:r>
          </w:p>
          <w:p w14:paraId="4212BAC4">
            <w:pPr>
              <w:pStyle w:val="34"/>
              <w:spacing w:before="24" w:after="24" w:line="240" w:lineRule="auto"/>
              <w:rPr>
                <w:rFonts w:ascii="Times New Roman"/>
                <w:snapToGrid w:val="0"/>
                <w:color w:val="auto"/>
                <w:spacing w:val="-6"/>
                <w:kern w:val="21"/>
                <w:sz w:val="21"/>
                <w:szCs w:val="21"/>
              </w:rPr>
            </w:pPr>
            <w:r>
              <w:rPr>
                <w:rFonts w:ascii="Times New Roman"/>
                <w:snapToGrid w:val="0"/>
                <w:color w:val="auto"/>
                <w:spacing w:val="-6"/>
                <w:kern w:val="21"/>
                <w:sz w:val="21"/>
                <w:szCs w:val="21"/>
              </w:rPr>
              <w:t>许可排放量</w:t>
            </w:r>
          </w:p>
          <w:p w14:paraId="05EAFF5F">
            <w:pPr>
              <w:pStyle w:val="34"/>
              <w:spacing w:before="24" w:after="24"/>
              <w:rPr>
                <w:rFonts w:ascii="Times New Roman"/>
                <w:snapToGrid w:val="0"/>
                <w:color w:val="auto"/>
                <w:spacing w:val="-6"/>
                <w:kern w:val="21"/>
                <w:sz w:val="21"/>
                <w:szCs w:val="21"/>
              </w:rPr>
            </w:pPr>
            <w:r>
              <w:rPr>
                <w:rFonts w:ascii="Times New Roman"/>
                <w:snapToGrid w:val="0"/>
                <w:color w:val="auto"/>
                <w:spacing w:val="-6"/>
                <w:kern w:val="21"/>
                <w:sz w:val="21"/>
                <w:szCs w:val="21"/>
              </w:rPr>
              <w:fldChar w:fldCharType="begin"/>
            </w:r>
            <w:r>
              <w:rPr>
                <w:rFonts w:ascii="Times New Roman"/>
                <w:snapToGrid w:val="0"/>
                <w:color w:val="auto"/>
                <w:spacing w:val="-6"/>
                <w:kern w:val="21"/>
                <w:sz w:val="21"/>
                <w:szCs w:val="21"/>
              </w:rPr>
              <w:instrText xml:space="preserve"> = 2 \* GB3 \* MERGEFORMAT </w:instrText>
            </w:r>
            <w:r>
              <w:rPr>
                <w:rFonts w:ascii="Times New Roman"/>
                <w:snapToGrid w:val="0"/>
                <w:color w:val="auto"/>
                <w:spacing w:val="-6"/>
                <w:kern w:val="21"/>
                <w:sz w:val="21"/>
                <w:szCs w:val="21"/>
              </w:rPr>
              <w:fldChar w:fldCharType="separate"/>
            </w:r>
            <w:r>
              <w:rPr>
                <w:rFonts w:ascii="Times New Roman"/>
                <w:snapToGrid w:val="0"/>
                <w:color w:val="auto"/>
                <w:spacing w:val="-6"/>
                <w:kern w:val="21"/>
                <w:sz w:val="21"/>
                <w:szCs w:val="21"/>
              </w:rPr>
              <w:t>②</w:t>
            </w:r>
            <w:r>
              <w:rPr>
                <w:rFonts w:ascii="Times New Roman"/>
                <w:snapToGrid w:val="0"/>
                <w:color w:val="auto"/>
                <w:spacing w:val="-6"/>
                <w:kern w:val="21"/>
                <w:sz w:val="21"/>
                <w:szCs w:val="21"/>
              </w:rPr>
              <w:fldChar w:fldCharType="end"/>
            </w:r>
          </w:p>
        </w:tc>
        <w:tc>
          <w:tcPr>
            <w:tcW w:w="1701" w:type="dxa"/>
            <w:tcMar>
              <w:left w:w="28" w:type="dxa"/>
              <w:right w:w="28" w:type="dxa"/>
            </w:tcMar>
            <w:vAlign w:val="center"/>
          </w:tcPr>
          <w:p w14:paraId="23F3E301">
            <w:pPr>
              <w:pStyle w:val="34"/>
              <w:spacing w:before="24" w:after="24" w:line="240" w:lineRule="auto"/>
              <w:rPr>
                <w:rFonts w:ascii="Times New Roman"/>
                <w:snapToGrid w:val="0"/>
                <w:color w:val="auto"/>
                <w:spacing w:val="-6"/>
                <w:kern w:val="21"/>
                <w:sz w:val="21"/>
                <w:szCs w:val="21"/>
              </w:rPr>
            </w:pPr>
            <w:r>
              <w:rPr>
                <w:rFonts w:ascii="Times New Roman"/>
                <w:snapToGrid w:val="0"/>
                <w:color w:val="auto"/>
                <w:spacing w:val="-6"/>
                <w:kern w:val="21"/>
                <w:sz w:val="21"/>
                <w:szCs w:val="21"/>
              </w:rPr>
              <w:t>在建工程</w:t>
            </w:r>
          </w:p>
          <w:p w14:paraId="78F72109">
            <w:pPr>
              <w:pStyle w:val="34"/>
              <w:spacing w:before="24" w:after="24" w:line="240" w:lineRule="auto"/>
              <w:rPr>
                <w:rFonts w:ascii="Times New Roman"/>
                <w:snapToGrid w:val="0"/>
                <w:color w:val="auto"/>
                <w:spacing w:val="-6"/>
                <w:kern w:val="21"/>
                <w:sz w:val="21"/>
                <w:szCs w:val="21"/>
              </w:rPr>
            </w:pPr>
            <w:r>
              <w:rPr>
                <w:rFonts w:ascii="Times New Roman"/>
                <w:snapToGrid w:val="0"/>
                <w:color w:val="auto"/>
                <w:spacing w:val="-6"/>
                <w:kern w:val="21"/>
                <w:sz w:val="21"/>
                <w:szCs w:val="21"/>
              </w:rPr>
              <w:t>排放量（固体废物产生量）</w:t>
            </w:r>
            <w:r>
              <w:rPr>
                <w:rFonts w:ascii="Times New Roman"/>
                <w:snapToGrid w:val="0"/>
                <w:color w:val="auto"/>
                <w:spacing w:val="-6"/>
                <w:kern w:val="21"/>
                <w:sz w:val="21"/>
                <w:szCs w:val="21"/>
              </w:rPr>
              <w:fldChar w:fldCharType="begin"/>
            </w:r>
            <w:r>
              <w:rPr>
                <w:rFonts w:ascii="Times New Roman"/>
                <w:snapToGrid w:val="0"/>
                <w:color w:val="auto"/>
                <w:spacing w:val="-6"/>
                <w:kern w:val="21"/>
                <w:sz w:val="21"/>
                <w:szCs w:val="21"/>
              </w:rPr>
              <w:instrText xml:space="preserve"> = 3 \* GB3 \* MERGEFORMAT </w:instrText>
            </w:r>
            <w:r>
              <w:rPr>
                <w:rFonts w:ascii="Times New Roman"/>
                <w:snapToGrid w:val="0"/>
                <w:color w:val="auto"/>
                <w:spacing w:val="-6"/>
                <w:kern w:val="21"/>
                <w:sz w:val="21"/>
                <w:szCs w:val="21"/>
              </w:rPr>
              <w:fldChar w:fldCharType="separate"/>
            </w:r>
            <w:r>
              <w:rPr>
                <w:rFonts w:ascii="Times New Roman"/>
                <w:color w:val="auto"/>
                <w:kern w:val="2"/>
                <w:sz w:val="21"/>
                <w:szCs w:val="21"/>
              </w:rPr>
              <w:t>③</w:t>
            </w:r>
            <w:r>
              <w:rPr>
                <w:rFonts w:ascii="Times New Roman"/>
                <w:snapToGrid w:val="0"/>
                <w:color w:val="auto"/>
                <w:spacing w:val="-6"/>
                <w:kern w:val="21"/>
                <w:sz w:val="21"/>
                <w:szCs w:val="21"/>
              </w:rPr>
              <w:fldChar w:fldCharType="end"/>
            </w:r>
          </w:p>
        </w:tc>
        <w:tc>
          <w:tcPr>
            <w:tcW w:w="1559" w:type="dxa"/>
            <w:tcMar>
              <w:left w:w="28" w:type="dxa"/>
              <w:right w:w="28" w:type="dxa"/>
            </w:tcMar>
            <w:vAlign w:val="center"/>
          </w:tcPr>
          <w:p w14:paraId="7C1630F2">
            <w:pPr>
              <w:pStyle w:val="34"/>
              <w:spacing w:before="24" w:after="24" w:line="240" w:lineRule="auto"/>
              <w:rPr>
                <w:rFonts w:ascii="Times New Roman"/>
                <w:snapToGrid w:val="0"/>
                <w:color w:val="auto"/>
                <w:spacing w:val="-6"/>
                <w:kern w:val="21"/>
                <w:sz w:val="21"/>
                <w:szCs w:val="21"/>
              </w:rPr>
            </w:pPr>
            <w:r>
              <w:rPr>
                <w:rFonts w:ascii="Times New Roman"/>
                <w:snapToGrid w:val="0"/>
                <w:color w:val="auto"/>
                <w:spacing w:val="-6"/>
                <w:kern w:val="21"/>
                <w:sz w:val="21"/>
                <w:szCs w:val="21"/>
              </w:rPr>
              <w:t>本项目</w:t>
            </w:r>
          </w:p>
          <w:p w14:paraId="48A45382">
            <w:pPr>
              <w:pStyle w:val="34"/>
              <w:spacing w:before="24" w:after="24" w:line="240" w:lineRule="auto"/>
              <w:rPr>
                <w:rFonts w:ascii="Times New Roman"/>
                <w:snapToGrid w:val="0"/>
                <w:color w:val="auto"/>
                <w:spacing w:val="-6"/>
                <w:kern w:val="21"/>
                <w:sz w:val="21"/>
                <w:szCs w:val="21"/>
              </w:rPr>
            </w:pPr>
            <w:r>
              <w:rPr>
                <w:rFonts w:ascii="Times New Roman"/>
                <w:snapToGrid w:val="0"/>
                <w:color w:val="auto"/>
                <w:spacing w:val="-6"/>
                <w:kern w:val="21"/>
                <w:sz w:val="21"/>
                <w:szCs w:val="21"/>
              </w:rPr>
              <w:t>排放量（固体废物产生量）</w:t>
            </w:r>
            <w:r>
              <w:rPr>
                <w:rFonts w:ascii="Times New Roman"/>
                <w:snapToGrid w:val="0"/>
                <w:color w:val="auto"/>
                <w:spacing w:val="-6"/>
                <w:kern w:val="21"/>
                <w:sz w:val="21"/>
                <w:szCs w:val="21"/>
              </w:rPr>
              <w:fldChar w:fldCharType="begin"/>
            </w:r>
            <w:r>
              <w:rPr>
                <w:rFonts w:ascii="Times New Roman"/>
                <w:snapToGrid w:val="0"/>
                <w:color w:val="auto"/>
                <w:spacing w:val="-6"/>
                <w:kern w:val="21"/>
                <w:sz w:val="21"/>
                <w:szCs w:val="21"/>
              </w:rPr>
              <w:instrText xml:space="preserve"> = 4 \* GB3 \* MERGEFORMAT </w:instrText>
            </w:r>
            <w:r>
              <w:rPr>
                <w:rFonts w:ascii="Times New Roman"/>
                <w:snapToGrid w:val="0"/>
                <w:color w:val="auto"/>
                <w:spacing w:val="-6"/>
                <w:kern w:val="21"/>
                <w:sz w:val="21"/>
                <w:szCs w:val="21"/>
              </w:rPr>
              <w:fldChar w:fldCharType="separate"/>
            </w:r>
            <w:r>
              <w:rPr>
                <w:rFonts w:ascii="Times New Roman"/>
                <w:color w:val="auto"/>
                <w:kern w:val="2"/>
                <w:sz w:val="21"/>
                <w:szCs w:val="21"/>
              </w:rPr>
              <w:t>④</w:t>
            </w:r>
            <w:r>
              <w:rPr>
                <w:rFonts w:ascii="Times New Roman"/>
                <w:snapToGrid w:val="0"/>
                <w:color w:val="auto"/>
                <w:spacing w:val="-6"/>
                <w:kern w:val="21"/>
                <w:sz w:val="21"/>
                <w:szCs w:val="21"/>
              </w:rPr>
              <w:fldChar w:fldCharType="end"/>
            </w:r>
          </w:p>
        </w:tc>
        <w:tc>
          <w:tcPr>
            <w:tcW w:w="1761" w:type="dxa"/>
            <w:tcMar>
              <w:left w:w="28" w:type="dxa"/>
              <w:right w:w="28" w:type="dxa"/>
            </w:tcMar>
            <w:vAlign w:val="center"/>
          </w:tcPr>
          <w:p w14:paraId="095A037B">
            <w:pPr>
              <w:pStyle w:val="34"/>
              <w:spacing w:before="24" w:after="24" w:line="240" w:lineRule="auto"/>
              <w:rPr>
                <w:rFonts w:ascii="Times New Roman"/>
                <w:snapToGrid w:val="0"/>
                <w:color w:val="auto"/>
                <w:spacing w:val="-16"/>
                <w:kern w:val="21"/>
                <w:sz w:val="21"/>
                <w:szCs w:val="21"/>
              </w:rPr>
            </w:pPr>
            <w:r>
              <w:rPr>
                <w:rFonts w:ascii="Times New Roman"/>
                <w:snapToGrid w:val="0"/>
                <w:color w:val="auto"/>
                <w:spacing w:val="-16"/>
                <w:kern w:val="21"/>
                <w:sz w:val="21"/>
                <w:szCs w:val="21"/>
              </w:rPr>
              <w:t>以新带老削减量</w:t>
            </w:r>
          </w:p>
          <w:p w14:paraId="3EE2D9BC">
            <w:pPr>
              <w:pStyle w:val="34"/>
              <w:spacing w:before="24" w:after="24" w:line="240" w:lineRule="auto"/>
              <w:rPr>
                <w:rFonts w:ascii="Times New Roman"/>
                <w:snapToGrid w:val="0"/>
                <w:color w:val="auto"/>
                <w:spacing w:val="-16"/>
                <w:kern w:val="21"/>
                <w:sz w:val="21"/>
                <w:szCs w:val="21"/>
              </w:rPr>
            </w:pPr>
            <w:r>
              <w:rPr>
                <w:rFonts w:ascii="Times New Roman"/>
                <w:snapToGrid w:val="0"/>
                <w:color w:val="auto"/>
                <w:spacing w:val="-16"/>
                <w:kern w:val="21"/>
                <w:sz w:val="21"/>
                <w:szCs w:val="21"/>
              </w:rPr>
              <w:t>（新建项目不填）</w:t>
            </w:r>
            <w:r>
              <w:rPr>
                <w:rFonts w:ascii="Times New Roman"/>
                <w:snapToGrid w:val="0"/>
                <w:color w:val="auto"/>
                <w:spacing w:val="-16"/>
                <w:kern w:val="21"/>
                <w:sz w:val="21"/>
                <w:szCs w:val="21"/>
              </w:rPr>
              <w:fldChar w:fldCharType="begin"/>
            </w:r>
            <w:r>
              <w:rPr>
                <w:rFonts w:ascii="Times New Roman"/>
                <w:snapToGrid w:val="0"/>
                <w:color w:val="auto"/>
                <w:spacing w:val="-16"/>
                <w:kern w:val="21"/>
                <w:sz w:val="21"/>
                <w:szCs w:val="21"/>
              </w:rPr>
              <w:instrText xml:space="preserve"> = 5 \* GB3 \* MERGEFORMAT </w:instrText>
            </w:r>
            <w:r>
              <w:rPr>
                <w:rFonts w:ascii="Times New Roman"/>
                <w:snapToGrid w:val="0"/>
                <w:color w:val="auto"/>
                <w:spacing w:val="-16"/>
                <w:kern w:val="21"/>
                <w:sz w:val="21"/>
                <w:szCs w:val="21"/>
              </w:rPr>
              <w:fldChar w:fldCharType="separate"/>
            </w:r>
            <w:r>
              <w:rPr>
                <w:rFonts w:ascii="Times New Roman"/>
                <w:color w:val="auto"/>
                <w:kern w:val="2"/>
                <w:sz w:val="21"/>
                <w:szCs w:val="21"/>
              </w:rPr>
              <w:t>⑤</w:t>
            </w:r>
            <w:r>
              <w:rPr>
                <w:rFonts w:ascii="Times New Roman"/>
                <w:snapToGrid w:val="0"/>
                <w:color w:val="auto"/>
                <w:spacing w:val="-16"/>
                <w:kern w:val="21"/>
                <w:sz w:val="21"/>
                <w:szCs w:val="21"/>
              </w:rPr>
              <w:fldChar w:fldCharType="end"/>
            </w:r>
          </w:p>
        </w:tc>
        <w:tc>
          <w:tcPr>
            <w:tcW w:w="1651" w:type="dxa"/>
            <w:tcMar>
              <w:left w:w="28" w:type="dxa"/>
              <w:right w:w="28" w:type="dxa"/>
            </w:tcMar>
            <w:vAlign w:val="center"/>
          </w:tcPr>
          <w:p w14:paraId="711A65F9">
            <w:pPr>
              <w:pStyle w:val="34"/>
              <w:spacing w:before="24" w:after="24" w:line="240" w:lineRule="auto"/>
              <w:rPr>
                <w:rFonts w:ascii="Times New Roman"/>
                <w:snapToGrid w:val="0"/>
                <w:color w:val="auto"/>
                <w:spacing w:val="-16"/>
                <w:kern w:val="21"/>
                <w:sz w:val="21"/>
                <w:szCs w:val="21"/>
              </w:rPr>
            </w:pPr>
            <w:r>
              <w:rPr>
                <w:rFonts w:ascii="Times New Roman"/>
                <w:snapToGrid w:val="0"/>
                <w:color w:val="auto"/>
                <w:spacing w:val="-16"/>
                <w:kern w:val="21"/>
                <w:sz w:val="21"/>
                <w:szCs w:val="21"/>
              </w:rPr>
              <w:t>本项目建成后</w:t>
            </w:r>
          </w:p>
          <w:p w14:paraId="06BB034E">
            <w:pPr>
              <w:pStyle w:val="34"/>
              <w:spacing w:before="24" w:after="24" w:line="240" w:lineRule="auto"/>
              <w:rPr>
                <w:rFonts w:ascii="Times New Roman"/>
                <w:snapToGrid w:val="0"/>
                <w:color w:val="auto"/>
                <w:spacing w:val="-16"/>
                <w:kern w:val="21"/>
                <w:sz w:val="21"/>
                <w:szCs w:val="21"/>
              </w:rPr>
            </w:pPr>
            <w:r>
              <w:rPr>
                <w:rFonts w:ascii="Times New Roman"/>
                <w:snapToGrid w:val="0"/>
                <w:color w:val="auto"/>
                <w:spacing w:val="-16"/>
                <w:kern w:val="21"/>
                <w:sz w:val="21"/>
                <w:szCs w:val="21"/>
              </w:rPr>
              <w:t>全厂排放量（固体废物产生量）</w:t>
            </w:r>
            <w:r>
              <w:rPr>
                <w:rFonts w:ascii="Times New Roman"/>
                <w:snapToGrid w:val="0"/>
                <w:color w:val="auto"/>
                <w:spacing w:val="-16"/>
                <w:kern w:val="21"/>
                <w:sz w:val="21"/>
                <w:szCs w:val="21"/>
              </w:rPr>
              <w:fldChar w:fldCharType="begin"/>
            </w:r>
            <w:r>
              <w:rPr>
                <w:rFonts w:ascii="Times New Roman"/>
                <w:snapToGrid w:val="0"/>
                <w:color w:val="auto"/>
                <w:spacing w:val="-16"/>
                <w:kern w:val="21"/>
                <w:sz w:val="21"/>
                <w:szCs w:val="21"/>
              </w:rPr>
              <w:instrText xml:space="preserve"> = 6 \* GB3 \* MERGEFORMAT </w:instrText>
            </w:r>
            <w:r>
              <w:rPr>
                <w:rFonts w:ascii="Times New Roman"/>
                <w:snapToGrid w:val="0"/>
                <w:color w:val="auto"/>
                <w:spacing w:val="-16"/>
                <w:kern w:val="21"/>
                <w:sz w:val="21"/>
                <w:szCs w:val="21"/>
              </w:rPr>
              <w:fldChar w:fldCharType="separate"/>
            </w:r>
            <w:r>
              <w:rPr>
                <w:rFonts w:ascii="Times New Roman"/>
                <w:color w:val="auto"/>
                <w:kern w:val="2"/>
                <w:sz w:val="21"/>
                <w:szCs w:val="21"/>
              </w:rPr>
              <w:t>⑥</w:t>
            </w:r>
            <w:r>
              <w:rPr>
                <w:rFonts w:ascii="Times New Roman"/>
                <w:snapToGrid w:val="0"/>
                <w:color w:val="auto"/>
                <w:spacing w:val="-16"/>
                <w:kern w:val="21"/>
                <w:sz w:val="21"/>
                <w:szCs w:val="21"/>
              </w:rPr>
              <w:fldChar w:fldCharType="end"/>
            </w:r>
          </w:p>
        </w:tc>
        <w:tc>
          <w:tcPr>
            <w:tcW w:w="1134" w:type="dxa"/>
            <w:tcMar>
              <w:left w:w="28" w:type="dxa"/>
              <w:right w:w="28" w:type="dxa"/>
            </w:tcMar>
            <w:vAlign w:val="center"/>
          </w:tcPr>
          <w:p w14:paraId="45390C29">
            <w:pPr>
              <w:pStyle w:val="34"/>
              <w:spacing w:before="24" w:after="24" w:line="240" w:lineRule="auto"/>
              <w:rPr>
                <w:rFonts w:ascii="Times New Roman"/>
                <w:snapToGrid w:val="0"/>
                <w:color w:val="auto"/>
                <w:spacing w:val="-6"/>
                <w:kern w:val="21"/>
                <w:sz w:val="21"/>
                <w:szCs w:val="21"/>
              </w:rPr>
            </w:pPr>
            <w:r>
              <w:rPr>
                <w:rFonts w:ascii="Times New Roman"/>
                <w:snapToGrid w:val="0"/>
                <w:color w:val="auto"/>
                <w:spacing w:val="-6"/>
                <w:kern w:val="21"/>
                <w:sz w:val="21"/>
                <w:szCs w:val="21"/>
              </w:rPr>
              <w:t>变化量</w:t>
            </w:r>
          </w:p>
          <w:p w14:paraId="1CEFB460">
            <w:pPr>
              <w:pStyle w:val="34"/>
              <w:spacing w:before="24" w:after="24" w:line="240" w:lineRule="auto"/>
              <w:rPr>
                <w:rFonts w:ascii="Times New Roman"/>
                <w:snapToGrid w:val="0"/>
                <w:color w:val="auto"/>
                <w:spacing w:val="-6"/>
                <w:kern w:val="21"/>
                <w:sz w:val="21"/>
                <w:szCs w:val="21"/>
              </w:rPr>
            </w:pPr>
            <w:r>
              <w:rPr>
                <w:rFonts w:ascii="Times New Roman"/>
                <w:snapToGrid w:val="0"/>
                <w:color w:val="auto"/>
                <w:spacing w:val="-6"/>
                <w:kern w:val="21"/>
                <w:sz w:val="21"/>
                <w:szCs w:val="21"/>
              </w:rPr>
              <w:fldChar w:fldCharType="begin"/>
            </w:r>
            <w:r>
              <w:rPr>
                <w:rFonts w:ascii="Times New Roman"/>
                <w:snapToGrid w:val="0"/>
                <w:color w:val="auto"/>
                <w:spacing w:val="-6"/>
                <w:kern w:val="21"/>
                <w:sz w:val="21"/>
                <w:szCs w:val="21"/>
              </w:rPr>
              <w:instrText xml:space="preserve"> = 7 \* GB3 \* MERGEFORMAT </w:instrText>
            </w:r>
            <w:r>
              <w:rPr>
                <w:rFonts w:ascii="Times New Roman"/>
                <w:snapToGrid w:val="0"/>
                <w:color w:val="auto"/>
                <w:spacing w:val="-6"/>
                <w:kern w:val="21"/>
                <w:sz w:val="21"/>
                <w:szCs w:val="21"/>
              </w:rPr>
              <w:fldChar w:fldCharType="separate"/>
            </w:r>
            <w:r>
              <w:rPr>
                <w:rFonts w:ascii="Times New Roman"/>
                <w:color w:val="auto"/>
                <w:kern w:val="2"/>
                <w:sz w:val="21"/>
                <w:szCs w:val="21"/>
              </w:rPr>
              <w:t>⑦</w:t>
            </w:r>
            <w:r>
              <w:rPr>
                <w:rFonts w:ascii="Times New Roman"/>
                <w:snapToGrid w:val="0"/>
                <w:color w:val="auto"/>
                <w:spacing w:val="-6"/>
                <w:kern w:val="21"/>
                <w:sz w:val="21"/>
                <w:szCs w:val="21"/>
              </w:rPr>
              <w:fldChar w:fldCharType="end"/>
            </w:r>
          </w:p>
        </w:tc>
      </w:tr>
      <w:tr w14:paraId="2326BD0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94" w:type="dxa"/>
            <w:vMerge w:val="restart"/>
            <w:vAlign w:val="center"/>
          </w:tcPr>
          <w:p w14:paraId="33841F6B">
            <w:pPr>
              <w:pStyle w:val="34"/>
              <w:spacing w:before="24" w:after="24" w:line="240" w:lineRule="auto"/>
              <w:rPr>
                <w:rFonts w:ascii="Times New Roman"/>
                <w:snapToGrid w:val="0"/>
                <w:color w:val="auto"/>
                <w:kern w:val="21"/>
                <w:sz w:val="21"/>
                <w:szCs w:val="21"/>
              </w:rPr>
            </w:pPr>
            <w:r>
              <w:rPr>
                <w:rFonts w:hint="eastAsia" w:ascii="Times New Roman"/>
                <w:snapToGrid w:val="0"/>
                <w:color w:val="auto"/>
                <w:kern w:val="21"/>
                <w:sz w:val="21"/>
                <w:szCs w:val="21"/>
              </w:rPr>
              <w:t>废气</w:t>
            </w:r>
          </w:p>
        </w:tc>
        <w:tc>
          <w:tcPr>
            <w:tcW w:w="794" w:type="dxa"/>
            <w:vAlign w:val="center"/>
          </w:tcPr>
          <w:p w14:paraId="4DEE7D14">
            <w:pPr>
              <w:pStyle w:val="34"/>
              <w:keepNext w:val="0"/>
              <w:keepLines w:val="0"/>
              <w:pageBreakBefore w:val="0"/>
              <w:kinsoku/>
              <w:wordWrap/>
              <w:overflowPunct/>
              <w:topLinePunct w:val="0"/>
              <w:autoSpaceDE/>
              <w:autoSpaceDN/>
              <w:bidi w:val="0"/>
              <w:spacing w:before="16" w:beforeLines="0" w:after="16" w:afterLines="0" w:line="240" w:lineRule="auto"/>
              <w:rPr>
                <w:rFonts w:hint="eastAsia" w:ascii="Times New Roman" w:eastAsia="黑体"/>
                <w:snapToGrid w:val="0"/>
                <w:color w:val="auto"/>
                <w:kern w:val="21"/>
                <w:sz w:val="21"/>
                <w:szCs w:val="21"/>
                <w:lang w:val="en-US" w:eastAsia="zh-CN"/>
              </w:rPr>
            </w:pPr>
            <w:r>
              <w:rPr>
                <w:rFonts w:hint="eastAsia" w:ascii="Times New Roman"/>
                <w:snapToGrid w:val="0"/>
                <w:color w:val="auto"/>
                <w:kern w:val="21"/>
                <w:sz w:val="21"/>
                <w:szCs w:val="21"/>
                <w:lang w:val="en-US" w:eastAsia="zh-CN"/>
              </w:rPr>
              <w:t>有组织</w:t>
            </w:r>
          </w:p>
        </w:tc>
        <w:tc>
          <w:tcPr>
            <w:tcW w:w="1848" w:type="dxa"/>
            <w:shd w:val="clear" w:color="auto" w:fill="auto"/>
            <w:vAlign w:val="center"/>
          </w:tcPr>
          <w:p w14:paraId="330F53CA">
            <w:pPr>
              <w:pStyle w:val="34"/>
              <w:keepNext w:val="0"/>
              <w:keepLines w:val="0"/>
              <w:pageBreakBefore w:val="0"/>
              <w:kinsoku/>
              <w:wordWrap/>
              <w:overflowPunct/>
              <w:topLinePunct w:val="0"/>
              <w:autoSpaceDE/>
              <w:autoSpaceDN/>
              <w:bidi w:val="0"/>
              <w:spacing w:before="0" w:beforeLines="0" w:after="0" w:afterLines="0" w:line="240" w:lineRule="auto"/>
              <w:ind w:firstLine="0" w:firstLineChars="0"/>
              <w:rPr>
                <w:rFonts w:hint="eastAsia" w:ascii="Times New Roman" w:hAnsi="宋体" w:cs="Times New Roman"/>
                <w:snapToGrid w:val="0"/>
                <w:color w:val="auto"/>
                <w:kern w:val="21"/>
                <w:sz w:val="21"/>
                <w:szCs w:val="21"/>
                <w:lang w:val="en-US" w:eastAsia="zh-CN"/>
              </w:rPr>
            </w:pPr>
            <w:r>
              <w:rPr>
                <w:rFonts w:hint="eastAsia" w:ascii="Times New Roman" w:hAnsi="宋体" w:cs="Times New Roman"/>
                <w:snapToGrid w:val="0"/>
                <w:color w:val="auto"/>
                <w:kern w:val="21"/>
                <w:sz w:val="21"/>
                <w:szCs w:val="21"/>
                <w:lang w:val="en-US" w:eastAsia="zh-CN"/>
              </w:rPr>
              <w:t>颗粒物</w:t>
            </w:r>
          </w:p>
        </w:tc>
        <w:tc>
          <w:tcPr>
            <w:tcW w:w="1409" w:type="dxa"/>
            <w:shd w:val="clear" w:color="auto" w:fill="auto"/>
            <w:vAlign w:val="center"/>
          </w:tcPr>
          <w:p w14:paraId="5A8BBA01">
            <w:pPr>
              <w:keepNext w:val="0"/>
              <w:keepLines w:val="0"/>
              <w:pageBreakBefore w:val="0"/>
              <w:widowControl/>
              <w:suppressLineNumbers w:val="0"/>
              <w:kinsoku/>
              <w:wordWrap/>
              <w:overflowPunct/>
              <w:topLinePunct w:val="0"/>
              <w:autoSpaceDE/>
              <w:autoSpaceDN/>
              <w:bidi w:val="0"/>
              <w:spacing w:beforeAutospacing="0" w:afterAutospacing="0"/>
              <w:ind w:left="0" w:leftChars="0" w:right="0" w:rightChars="0"/>
              <w:jc w:val="center"/>
              <w:textAlignment w:val="center"/>
              <w:rPr>
                <w:rFonts w:hint="eastAsia"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w:t>
            </w:r>
          </w:p>
        </w:tc>
        <w:tc>
          <w:tcPr>
            <w:tcW w:w="1137" w:type="dxa"/>
            <w:shd w:val="clear" w:color="auto" w:fill="auto"/>
            <w:vAlign w:val="center"/>
          </w:tcPr>
          <w:p w14:paraId="67B17CBC">
            <w:pPr>
              <w:keepNext w:val="0"/>
              <w:keepLines w:val="0"/>
              <w:pageBreakBefore w:val="0"/>
              <w:widowControl/>
              <w:suppressLineNumbers w:val="0"/>
              <w:kinsoku/>
              <w:wordWrap/>
              <w:overflowPunct/>
              <w:topLinePunct w:val="0"/>
              <w:autoSpaceDE/>
              <w:autoSpaceDN/>
              <w:bidi w:val="0"/>
              <w:spacing w:beforeAutospacing="0" w:afterAutospacing="0"/>
              <w:ind w:left="0" w:leftChars="0" w:right="0" w:rightChars="0"/>
              <w:jc w:val="center"/>
              <w:textAlignment w:val="center"/>
              <w:rPr>
                <w:rFonts w:hint="eastAsia"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w:t>
            </w:r>
          </w:p>
        </w:tc>
        <w:tc>
          <w:tcPr>
            <w:tcW w:w="1701" w:type="dxa"/>
            <w:shd w:val="clear" w:color="auto" w:fill="auto"/>
            <w:vAlign w:val="center"/>
          </w:tcPr>
          <w:p w14:paraId="135D826F">
            <w:pPr>
              <w:pStyle w:val="34"/>
              <w:keepNext w:val="0"/>
              <w:keepLines w:val="0"/>
              <w:pageBreakBefore w:val="0"/>
              <w:kinsoku/>
              <w:wordWrap/>
              <w:overflowPunct/>
              <w:topLinePunct w:val="0"/>
              <w:autoSpaceDE/>
              <w:autoSpaceDN/>
              <w:bidi w:val="0"/>
              <w:spacing w:before="0" w:beforeLines="0" w:after="0" w:afterLines="0" w:line="240" w:lineRule="auto"/>
              <w:ind w:firstLine="0" w:firstLineChars="0"/>
              <w:rPr>
                <w:rFonts w:hint="default" w:ascii="Times New Roman" w:hAnsi="宋体" w:eastAsia="黑体" w:cs="Times New Roman"/>
                <w:snapToGrid w:val="0"/>
                <w:color w:val="auto"/>
                <w:spacing w:val="-10"/>
                <w:kern w:val="21"/>
                <w:sz w:val="21"/>
                <w:szCs w:val="21"/>
                <w:lang w:val="en-US" w:eastAsia="zh-CN" w:bidi="ar"/>
              </w:rPr>
            </w:pPr>
            <w:r>
              <w:rPr>
                <w:rFonts w:ascii="Times New Roman"/>
                <w:snapToGrid w:val="0"/>
                <w:color w:val="auto"/>
                <w:kern w:val="21"/>
                <w:sz w:val="21"/>
                <w:szCs w:val="21"/>
              </w:rPr>
              <w:t>/</w:t>
            </w:r>
          </w:p>
        </w:tc>
        <w:tc>
          <w:tcPr>
            <w:tcW w:w="1559" w:type="dxa"/>
            <w:shd w:val="clear" w:color="auto" w:fill="auto"/>
            <w:vAlign w:val="center"/>
          </w:tcPr>
          <w:p w14:paraId="43C9EA7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0.0086</w:t>
            </w:r>
          </w:p>
        </w:tc>
        <w:tc>
          <w:tcPr>
            <w:tcW w:w="1761" w:type="dxa"/>
            <w:shd w:val="clear" w:color="auto" w:fill="auto"/>
            <w:vAlign w:val="center"/>
          </w:tcPr>
          <w:p w14:paraId="580E08E9">
            <w:pPr>
              <w:keepNext w:val="0"/>
              <w:keepLines w:val="0"/>
              <w:pageBreakBefore w:val="0"/>
              <w:widowControl/>
              <w:suppressLineNumbers w:val="0"/>
              <w:kinsoku/>
              <w:wordWrap/>
              <w:overflowPunct/>
              <w:topLinePunct w:val="0"/>
              <w:autoSpaceDE/>
              <w:autoSpaceDN/>
              <w:bidi w:val="0"/>
              <w:spacing w:beforeAutospacing="0" w:afterAutospacing="0"/>
              <w:ind w:left="0" w:leftChars="0" w:right="0" w:rightChars="0"/>
              <w:jc w:val="center"/>
              <w:textAlignment w:val="center"/>
              <w:rPr>
                <w:rFonts w:hint="default" w:cs="Times New Roman"/>
                <w:color w:val="auto"/>
                <w:kern w:val="2"/>
                <w:sz w:val="21"/>
                <w:szCs w:val="21"/>
                <w:lang w:val="en-US" w:eastAsia="zh-CN" w:bidi="ar"/>
              </w:rPr>
            </w:pPr>
            <w:r>
              <w:rPr>
                <w:rFonts w:hint="eastAsia" w:cs="Times New Roman"/>
                <w:color w:val="auto"/>
                <w:kern w:val="2"/>
                <w:sz w:val="21"/>
                <w:szCs w:val="21"/>
                <w:lang w:val="en-US" w:eastAsia="zh-CN" w:bidi="ar"/>
              </w:rPr>
              <w:t>/</w:t>
            </w:r>
          </w:p>
        </w:tc>
        <w:tc>
          <w:tcPr>
            <w:tcW w:w="1651" w:type="dxa"/>
            <w:shd w:val="clear" w:color="auto" w:fill="auto"/>
            <w:vAlign w:val="center"/>
          </w:tcPr>
          <w:p w14:paraId="6C02CD2E">
            <w:pPr>
              <w:keepNext w:val="0"/>
              <w:keepLines w:val="0"/>
              <w:pageBreakBefore w:val="0"/>
              <w:kinsoku/>
              <w:wordWrap/>
              <w:overflowPunct/>
              <w:topLinePunct w:val="0"/>
              <w:autoSpaceDE/>
              <w:autoSpaceDN/>
              <w:bidi w:val="0"/>
              <w:jc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0.0086</w:t>
            </w:r>
          </w:p>
        </w:tc>
        <w:tc>
          <w:tcPr>
            <w:tcW w:w="1134" w:type="dxa"/>
            <w:shd w:val="clear" w:color="auto" w:fill="auto"/>
            <w:vAlign w:val="center"/>
          </w:tcPr>
          <w:p w14:paraId="33D1FE9C">
            <w:pPr>
              <w:keepNext w:val="0"/>
              <w:keepLines w:val="0"/>
              <w:widowControl/>
              <w:suppressLineNumbers w:val="0"/>
              <w:jc w:val="center"/>
              <w:textAlignment w:val="center"/>
              <w:rPr>
                <w:rFonts w:hint="eastAsia" w:ascii="Times New Roman" w:hAnsi="Times New Roman"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w:t>
            </w:r>
            <w:r>
              <w:rPr>
                <w:rFonts w:hint="default" w:ascii="Times New Roman" w:hAnsi="Times New Roman" w:eastAsia="宋体" w:cs="Times New Roman"/>
                <w:i w:val="0"/>
                <w:iCs w:val="0"/>
                <w:color w:val="auto"/>
                <w:kern w:val="0"/>
                <w:sz w:val="21"/>
                <w:szCs w:val="21"/>
                <w:u w:val="none"/>
                <w:lang w:val="en-US" w:eastAsia="zh-CN" w:bidi="ar"/>
              </w:rPr>
              <w:t>0.0086</w:t>
            </w:r>
          </w:p>
        </w:tc>
      </w:tr>
      <w:tr w14:paraId="2496529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94" w:type="dxa"/>
            <w:vMerge w:val="continue"/>
            <w:vAlign w:val="center"/>
          </w:tcPr>
          <w:p w14:paraId="20AEA8B6">
            <w:pPr>
              <w:pStyle w:val="34"/>
              <w:spacing w:before="24" w:after="24" w:line="240" w:lineRule="auto"/>
              <w:rPr>
                <w:rFonts w:ascii="Times New Roman"/>
                <w:snapToGrid w:val="0"/>
                <w:color w:val="auto"/>
                <w:kern w:val="21"/>
                <w:sz w:val="21"/>
                <w:szCs w:val="21"/>
              </w:rPr>
            </w:pPr>
          </w:p>
        </w:tc>
        <w:tc>
          <w:tcPr>
            <w:tcW w:w="794" w:type="dxa"/>
            <w:vMerge w:val="restart"/>
            <w:vAlign w:val="center"/>
          </w:tcPr>
          <w:p w14:paraId="480D69CB">
            <w:pPr>
              <w:pStyle w:val="34"/>
              <w:keepNext w:val="0"/>
              <w:keepLines w:val="0"/>
              <w:pageBreakBefore w:val="0"/>
              <w:kinsoku/>
              <w:wordWrap/>
              <w:overflowPunct/>
              <w:topLinePunct w:val="0"/>
              <w:autoSpaceDE/>
              <w:autoSpaceDN/>
              <w:bidi w:val="0"/>
              <w:spacing w:before="16" w:beforeLines="0" w:after="16" w:afterLines="0" w:line="240" w:lineRule="auto"/>
              <w:rPr>
                <w:rFonts w:ascii="Times New Roman"/>
                <w:snapToGrid w:val="0"/>
                <w:color w:val="auto"/>
                <w:kern w:val="21"/>
                <w:sz w:val="21"/>
                <w:szCs w:val="21"/>
              </w:rPr>
            </w:pPr>
            <w:r>
              <w:rPr>
                <w:rFonts w:hint="eastAsia" w:ascii="Times New Roman"/>
                <w:snapToGrid w:val="0"/>
                <w:color w:val="auto"/>
                <w:kern w:val="21"/>
                <w:sz w:val="21"/>
                <w:szCs w:val="21"/>
              </w:rPr>
              <w:t>无组织</w:t>
            </w:r>
          </w:p>
        </w:tc>
        <w:tc>
          <w:tcPr>
            <w:tcW w:w="1848" w:type="dxa"/>
            <w:shd w:val="clear" w:color="auto" w:fill="auto"/>
            <w:vAlign w:val="center"/>
          </w:tcPr>
          <w:p w14:paraId="369B7054">
            <w:pPr>
              <w:pStyle w:val="34"/>
              <w:keepNext w:val="0"/>
              <w:keepLines w:val="0"/>
              <w:pageBreakBefore w:val="0"/>
              <w:kinsoku/>
              <w:wordWrap/>
              <w:overflowPunct/>
              <w:topLinePunct w:val="0"/>
              <w:autoSpaceDE/>
              <w:autoSpaceDN/>
              <w:bidi w:val="0"/>
              <w:spacing w:before="0" w:beforeLines="0" w:after="0" w:afterLines="0" w:line="240" w:lineRule="auto"/>
              <w:ind w:firstLine="0" w:firstLineChars="0"/>
              <w:rPr>
                <w:rFonts w:hint="default" w:ascii="Times New Roman" w:hAnsi="宋体" w:eastAsia="黑体" w:cs="Times New Roman"/>
                <w:snapToGrid w:val="0"/>
                <w:color w:val="auto"/>
                <w:spacing w:val="-10"/>
                <w:kern w:val="21"/>
                <w:sz w:val="21"/>
                <w:szCs w:val="21"/>
                <w:lang w:val="en-US" w:eastAsia="zh-CN" w:bidi="ar"/>
              </w:rPr>
            </w:pPr>
            <w:r>
              <w:rPr>
                <w:rFonts w:hint="eastAsia" w:ascii="Times New Roman" w:hAnsi="宋体" w:cs="Times New Roman"/>
                <w:snapToGrid w:val="0"/>
                <w:color w:val="auto"/>
                <w:kern w:val="21"/>
                <w:sz w:val="21"/>
                <w:szCs w:val="21"/>
                <w:lang w:val="en-US" w:eastAsia="zh-CN"/>
              </w:rPr>
              <w:t>颗粒物</w:t>
            </w:r>
          </w:p>
        </w:tc>
        <w:tc>
          <w:tcPr>
            <w:tcW w:w="1409" w:type="dxa"/>
            <w:shd w:val="clear" w:color="auto" w:fill="auto"/>
            <w:vAlign w:val="center"/>
          </w:tcPr>
          <w:p w14:paraId="604FB006">
            <w:pPr>
              <w:keepNext w:val="0"/>
              <w:keepLines w:val="0"/>
              <w:pageBreakBefore w:val="0"/>
              <w:widowControl/>
              <w:suppressLineNumbers w:val="0"/>
              <w:kinsoku/>
              <w:wordWrap/>
              <w:overflowPunct/>
              <w:topLinePunct w:val="0"/>
              <w:autoSpaceDE/>
              <w:autoSpaceDN/>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w:t>
            </w:r>
          </w:p>
        </w:tc>
        <w:tc>
          <w:tcPr>
            <w:tcW w:w="1137" w:type="dxa"/>
            <w:shd w:val="clear" w:color="auto" w:fill="auto"/>
            <w:vAlign w:val="center"/>
          </w:tcPr>
          <w:p w14:paraId="142F2634">
            <w:pPr>
              <w:keepNext w:val="0"/>
              <w:keepLines w:val="0"/>
              <w:pageBreakBefore w:val="0"/>
              <w:widowControl/>
              <w:suppressLineNumbers w:val="0"/>
              <w:kinsoku/>
              <w:wordWrap/>
              <w:overflowPunct/>
              <w:topLinePunct w:val="0"/>
              <w:autoSpaceDE/>
              <w:autoSpaceDN/>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w:t>
            </w:r>
          </w:p>
        </w:tc>
        <w:tc>
          <w:tcPr>
            <w:tcW w:w="1701" w:type="dxa"/>
            <w:shd w:val="clear" w:color="auto" w:fill="auto"/>
            <w:vAlign w:val="center"/>
          </w:tcPr>
          <w:p w14:paraId="7965587B">
            <w:pPr>
              <w:pStyle w:val="34"/>
              <w:keepNext w:val="0"/>
              <w:keepLines w:val="0"/>
              <w:pageBreakBefore w:val="0"/>
              <w:kinsoku/>
              <w:wordWrap/>
              <w:overflowPunct/>
              <w:topLinePunct w:val="0"/>
              <w:autoSpaceDE/>
              <w:autoSpaceDN/>
              <w:bidi w:val="0"/>
              <w:spacing w:before="0" w:beforeLines="0" w:after="0" w:afterLines="0" w:line="240" w:lineRule="auto"/>
              <w:ind w:firstLine="0" w:firstLineChars="0"/>
              <w:rPr>
                <w:rFonts w:hint="default" w:ascii="Times New Roman" w:hAnsi="宋体" w:eastAsia="黑体" w:cs="Times New Roman"/>
                <w:snapToGrid w:val="0"/>
                <w:color w:val="auto"/>
                <w:spacing w:val="-10"/>
                <w:kern w:val="21"/>
                <w:sz w:val="21"/>
                <w:szCs w:val="21"/>
                <w:lang w:val="en-US" w:eastAsia="zh-CN" w:bidi="ar"/>
              </w:rPr>
            </w:pPr>
            <w:r>
              <w:rPr>
                <w:rFonts w:ascii="Times New Roman"/>
                <w:snapToGrid w:val="0"/>
                <w:color w:val="auto"/>
                <w:kern w:val="21"/>
                <w:sz w:val="21"/>
                <w:szCs w:val="21"/>
              </w:rPr>
              <w:t>/</w:t>
            </w:r>
          </w:p>
        </w:tc>
        <w:tc>
          <w:tcPr>
            <w:tcW w:w="1559" w:type="dxa"/>
            <w:shd w:val="clear" w:color="auto" w:fill="auto"/>
            <w:vAlign w:val="center"/>
          </w:tcPr>
          <w:p w14:paraId="6CE03591">
            <w:pPr>
              <w:keepNext w:val="0"/>
              <w:keepLines w:val="0"/>
              <w:widowControl/>
              <w:suppressLineNumbers w:val="0"/>
              <w:jc w:val="center"/>
              <w:textAlignment w:val="center"/>
              <w:rPr>
                <w:rFonts w:hint="default" w:ascii="Times New Roman" w:hAnsi="Times New Roman" w:eastAsia="宋体" w:cs="Times New Roman"/>
                <w:color w:val="auto"/>
                <w:kern w:val="2"/>
                <w:sz w:val="21"/>
                <w:szCs w:val="21"/>
                <w:lang w:val="en-US" w:eastAsia="zh-CN" w:bidi="ar"/>
              </w:rPr>
            </w:pPr>
            <w:r>
              <w:rPr>
                <w:rFonts w:hint="default" w:ascii="Times New Roman" w:hAnsi="Times New Roman" w:eastAsia="宋体" w:cs="Times New Roman"/>
                <w:color w:val="auto"/>
                <w:kern w:val="2"/>
                <w:sz w:val="21"/>
                <w:szCs w:val="21"/>
                <w:lang w:val="en-US" w:eastAsia="zh-CN" w:bidi="ar"/>
              </w:rPr>
              <w:t>0.0431</w:t>
            </w:r>
          </w:p>
        </w:tc>
        <w:tc>
          <w:tcPr>
            <w:tcW w:w="1761" w:type="dxa"/>
            <w:shd w:val="clear" w:color="auto" w:fill="auto"/>
            <w:vAlign w:val="center"/>
          </w:tcPr>
          <w:p w14:paraId="0E7C14D0">
            <w:pPr>
              <w:keepNext w:val="0"/>
              <w:keepLines w:val="0"/>
              <w:pageBreakBefore w:val="0"/>
              <w:widowControl/>
              <w:suppressLineNumbers w:val="0"/>
              <w:kinsoku/>
              <w:wordWrap/>
              <w:overflowPunct/>
              <w:topLinePunct w:val="0"/>
              <w:autoSpaceDE/>
              <w:autoSpaceDN/>
              <w:bidi w:val="0"/>
              <w:spacing w:beforeAutospacing="0" w:afterAutospacing="0"/>
              <w:ind w:left="0" w:leftChars="0" w:right="0" w:rightChars="0"/>
              <w:jc w:val="center"/>
              <w:textAlignment w:val="center"/>
              <w:rPr>
                <w:rFonts w:hint="default" w:ascii="Times New Roman" w:hAnsi="Times New Roman" w:eastAsia="宋体" w:cs="Times New Roman"/>
                <w:color w:val="auto"/>
                <w:kern w:val="2"/>
                <w:sz w:val="21"/>
                <w:szCs w:val="21"/>
                <w:lang w:val="en-US" w:eastAsia="zh-CN" w:bidi="ar"/>
              </w:rPr>
            </w:pPr>
            <w:r>
              <w:rPr>
                <w:rFonts w:hint="eastAsia" w:cs="Times New Roman"/>
                <w:color w:val="auto"/>
                <w:kern w:val="2"/>
                <w:sz w:val="21"/>
                <w:szCs w:val="21"/>
                <w:lang w:val="en-US" w:eastAsia="zh-CN" w:bidi="ar"/>
              </w:rPr>
              <w:t>/</w:t>
            </w:r>
          </w:p>
        </w:tc>
        <w:tc>
          <w:tcPr>
            <w:tcW w:w="1651" w:type="dxa"/>
            <w:shd w:val="clear" w:color="auto" w:fill="auto"/>
            <w:vAlign w:val="center"/>
          </w:tcPr>
          <w:p w14:paraId="36CF49E2">
            <w:pPr>
              <w:keepNext w:val="0"/>
              <w:keepLines w:val="0"/>
              <w:pageBreakBefore w:val="0"/>
              <w:kinsoku/>
              <w:wordWrap/>
              <w:overflowPunct/>
              <w:topLinePunct w:val="0"/>
              <w:autoSpaceDE/>
              <w:autoSpaceDN/>
              <w:bidi w:val="0"/>
              <w:jc w:val="center"/>
              <w:rPr>
                <w:rFonts w:hint="eastAsia" w:ascii="Times New Roman" w:hAnsi="Times New Roman" w:eastAsia="宋体" w:cs="Times New Roman"/>
                <w:color w:val="auto"/>
                <w:kern w:val="2"/>
                <w:sz w:val="21"/>
                <w:szCs w:val="21"/>
                <w:lang w:val="en-US" w:eastAsia="zh-CN" w:bidi="ar"/>
              </w:rPr>
            </w:pPr>
            <w:r>
              <w:rPr>
                <w:rFonts w:hint="default" w:ascii="Times New Roman" w:hAnsi="Times New Roman" w:eastAsia="宋体" w:cs="Times New Roman"/>
                <w:color w:val="auto"/>
                <w:kern w:val="2"/>
                <w:sz w:val="21"/>
                <w:szCs w:val="21"/>
                <w:lang w:val="en-US" w:eastAsia="zh-CN" w:bidi="ar"/>
              </w:rPr>
              <w:t>0.0431</w:t>
            </w:r>
          </w:p>
        </w:tc>
        <w:tc>
          <w:tcPr>
            <w:tcW w:w="1134" w:type="dxa"/>
            <w:shd w:val="clear" w:color="auto" w:fill="auto"/>
            <w:vAlign w:val="center"/>
          </w:tcPr>
          <w:p w14:paraId="20A48C5F">
            <w:pPr>
              <w:keepNext w:val="0"/>
              <w:keepLines w:val="0"/>
              <w:widowControl/>
              <w:suppressLineNumbers w:val="0"/>
              <w:jc w:val="center"/>
              <w:textAlignment w:val="center"/>
              <w:rPr>
                <w:rFonts w:hint="default" w:ascii="Times New Roman" w:hAnsi="Times New Roman" w:eastAsia="宋体" w:cs="Times New Roman"/>
                <w:color w:val="auto"/>
                <w:kern w:val="2"/>
                <w:sz w:val="21"/>
                <w:szCs w:val="21"/>
                <w:lang w:val="en-US" w:eastAsia="zh-CN" w:bidi="ar"/>
              </w:rPr>
            </w:pPr>
            <w:r>
              <w:rPr>
                <w:rFonts w:hint="eastAsia" w:ascii="Times New Roman" w:hAnsi="Times New Roman" w:cs="Times New Roman"/>
                <w:i w:val="0"/>
                <w:iCs w:val="0"/>
                <w:color w:val="auto"/>
                <w:kern w:val="0"/>
                <w:sz w:val="21"/>
                <w:szCs w:val="21"/>
                <w:u w:val="none"/>
                <w:lang w:val="en-US" w:eastAsia="zh-CN" w:bidi="ar"/>
              </w:rPr>
              <w:t>+</w:t>
            </w:r>
            <w:r>
              <w:rPr>
                <w:rFonts w:hint="default" w:ascii="Times New Roman" w:hAnsi="Times New Roman" w:eastAsia="宋体" w:cs="Times New Roman"/>
                <w:color w:val="auto"/>
                <w:kern w:val="2"/>
                <w:sz w:val="21"/>
                <w:szCs w:val="21"/>
                <w:lang w:val="en-US" w:eastAsia="zh-CN" w:bidi="ar"/>
              </w:rPr>
              <w:t>0.0431</w:t>
            </w:r>
          </w:p>
        </w:tc>
      </w:tr>
      <w:tr w14:paraId="2E34BF7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94" w:type="dxa"/>
            <w:vMerge w:val="continue"/>
            <w:vAlign w:val="center"/>
          </w:tcPr>
          <w:p w14:paraId="555ED4DF">
            <w:pPr>
              <w:pStyle w:val="34"/>
              <w:spacing w:before="24" w:after="24" w:line="240" w:lineRule="auto"/>
              <w:rPr>
                <w:rFonts w:ascii="Times New Roman"/>
                <w:snapToGrid w:val="0"/>
                <w:color w:val="auto"/>
                <w:kern w:val="21"/>
                <w:sz w:val="21"/>
                <w:szCs w:val="21"/>
              </w:rPr>
            </w:pPr>
          </w:p>
        </w:tc>
        <w:tc>
          <w:tcPr>
            <w:tcW w:w="794" w:type="dxa"/>
            <w:vMerge w:val="continue"/>
            <w:vAlign w:val="center"/>
          </w:tcPr>
          <w:p w14:paraId="2EFFDBC3">
            <w:pPr>
              <w:pStyle w:val="34"/>
              <w:keepNext w:val="0"/>
              <w:keepLines w:val="0"/>
              <w:pageBreakBefore w:val="0"/>
              <w:kinsoku/>
              <w:wordWrap/>
              <w:overflowPunct/>
              <w:topLinePunct w:val="0"/>
              <w:autoSpaceDE/>
              <w:autoSpaceDN/>
              <w:bidi w:val="0"/>
              <w:spacing w:before="16" w:beforeLines="0" w:after="16" w:afterLines="0" w:line="240" w:lineRule="auto"/>
              <w:rPr>
                <w:rFonts w:ascii="Times New Roman"/>
                <w:snapToGrid w:val="0"/>
                <w:color w:val="auto"/>
                <w:kern w:val="21"/>
                <w:sz w:val="21"/>
                <w:szCs w:val="21"/>
              </w:rPr>
            </w:pPr>
          </w:p>
        </w:tc>
        <w:tc>
          <w:tcPr>
            <w:tcW w:w="1848" w:type="dxa"/>
            <w:shd w:val="clear" w:color="auto" w:fill="auto"/>
            <w:vAlign w:val="center"/>
          </w:tcPr>
          <w:p w14:paraId="0FB018E9">
            <w:pPr>
              <w:pStyle w:val="34"/>
              <w:keepNext w:val="0"/>
              <w:keepLines w:val="0"/>
              <w:pageBreakBefore w:val="0"/>
              <w:kinsoku/>
              <w:wordWrap/>
              <w:overflowPunct/>
              <w:topLinePunct w:val="0"/>
              <w:autoSpaceDE/>
              <w:autoSpaceDN/>
              <w:bidi w:val="0"/>
              <w:spacing w:before="0" w:beforeLines="0" w:after="0" w:afterLines="0" w:line="240" w:lineRule="auto"/>
              <w:ind w:firstLine="0" w:firstLineChars="0"/>
              <w:rPr>
                <w:rFonts w:hint="default" w:ascii="Times New Roman" w:hAnsi="宋体" w:eastAsia="黑体" w:cs="Times New Roman"/>
                <w:snapToGrid w:val="0"/>
                <w:color w:val="auto"/>
                <w:spacing w:val="-10"/>
                <w:kern w:val="21"/>
                <w:sz w:val="21"/>
                <w:szCs w:val="21"/>
                <w:lang w:val="en-US" w:eastAsia="zh-CN" w:bidi="ar"/>
              </w:rPr>
            </w:pPr>
            <w:r>
              <w:rPr>
                <w:rFonts w:hint="eastAsia" w:ascii="Times New Roman" w:hAnsi="宋体" w:cs="Times New Roman"/>
                <w:snapToGrid w:val="0"/>
                <w:color w:val="auto"/>
                <w:kern w:val="21"/>
                <w:sz w:val="21"/>
                <w:szCs w:val="21"/>
                <w:lang w:val="en-US" w:eastAsia="zh-CN"/>
              </w:rPr>
              <w:t>非甲烷总烃</w:t>
            </w:r>
          </w:p>
        </w:tc>
        <w:tc>
          <w:tcPr>
            <w:tcW w:w="1409" w:type="dxa"/>
            <w:shd w:val="clear" w:color="auto" w:fill="auto"/>
            <w:vAlign w:val="center"/>
          </w:tcPr>
          <w:p w14:paraId="1CF4A2D1">
            <w:pPr>
              <w:keepNext w:val="0"/>
              <w:keepLines w:val="0"/>
              <w:pageBreakBefore w:val="0"/>
              <w:widowControl/>
              <w:suppressLineNumbers w:val="0"/>
              <w:kinsoku/>
              <w:wordWrap/>
              <w:overflowPunct/>
              <w:topLinePunct w:val="0"/>
              <w:autoSpaceDE/>
              <w:autoSpaceDN/>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0.0049</w:t>
            </w:r>
          </w:p>
        </w:tc>
        <w:tc>
          <w:tcPr>
            <w:tcW w:w="1137" w:type="dxa"/>
            <w:shd w:val="clear" w:color="auto" w:fill="auto"/>
            <w:vAlign w:val="center"/>
          </w:tcPr>
          <w:p w14:paraId="29A6ED7E">
            <w:pPr>
              <w:keepNext w:val="0"/>
              <w:keepLines w:val="0"/>
              <w:pageBreakBefore w:val="0"/>
              <w:widowControl/>
              <w:suppressLineNumbers w:val="0"/>
              <w:kinsoku/>
              <w:wordWrap/>
              <w:overflowPunct/>
              <w:topLinePunct w:val="0"/>
              <w:autoSpaceDE/>
              <w:autoSpaceDN/>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cs="Times New Roman"/>
                <w:i w:val="0"/>
                <w:iCs w:val="0"/>
                <w:color w:val="auto"/>
                <w:kern w:val="0"/>
                <w:sz w:val="21"/>
                <w:szCs w:val="21"/>
                <w:u w:val="none"/>
                <w:lang w:val="en-US" w:eastAsia="zh-CN" w:bidi="ar"/>
              </w:rPr>
              <w:t>/</w:t>
            </w:r>
          </w:p>
        </w:tc>
        <w:tc>
          <w:tcPr>
            <w:tcW w:w="1701" w:type="dxa"/>
            <w:shd w:val="clear" w:color="auto" w:fill="auto"/>
            <w:vAlign w:val="center"/>
          </w:tcPr>
          <w:p w14:paraId="686F5B0F">
            <w:pPr>
              <w:pStyle w:val="34"/>
              <w:keepNext w:val="0"/>
              <w:keepLines w:val="0"/>
              <w:pageBreakBefore w:val="0"/>
              <w:kinsoku/>
              <w:wordWrap/>
              <w:overflowPunct/>
              <w:topLinePunct w:val="0"/>
              <w:autoSpaceDE/>
              <w:autoSpaceDN/>
              <w:bidi w:val="0"/>
              <w:spacing w:before="0" w:beforeLines="0" w:after="0" w:afterLines="0" w:line="240" w:lineRule="auto"/>
              <w:ind w:firstLine="0" w:firstLineChars="0"/>
              <w:rPr>
                <w:rFonts w:hint="default" w:ascii="Times New Roman" w:hAnsi="宋体" w:eastAsia="黑体" w:cs="Times New Roman"/>
                <w:snapToGrid w:val="0"/>
                <w:color w:val="auto"/>
                <w:spacing w:val="-10"/>
                <w:kern w:val="21"/>
                <w:sz w:val="21"/>
                <w:szCs w:val="21"/>
                <w:lang w:val="en-US" w:eastAsia="zh-CN" w:bidi="ar"/>
              </w:rPr>
            </w:pPr>
            <w:r>
              <w:rPr>
                <w:rFonts w:ascii="Times New Roman"/>
                <w:snapToGrid w:val="0"/>
                <w:color w:val="auto"/>
                <w:kern w:val="21"/>
                <w:sz w:val="21"/>
                <w:szCs w:val="21"/>
              </w:rPr>
              <w:t>/</w:t>
            </w:r>
          </w:p>
        </w:tc>
        <w:tc>
          <w:tcPr>
            <w:tcW w:w="1559" w:type="dxa"/>
            <w:shd w:val="clear" w:color="auto" w:fill="auto"/>
            <w:vAlign w:val="center"/>
          </w:tcPr>
          <w:p w14:paraId="2BB44DE7">
            <w:pPr>
              <w:keepNext w:val="0"/>
              <w:keepLines w:val="0"/>
              <w:pageBreakBefore w:val="0"/>
              <w:kinsoku/>
              <w:wordWrap/>
              <w:overflowPunct/>
              <w:topLinePunct w:val="0"/>
              <w:autoSpaceDE/>
              <w:autoSpaceDN/>
              <w:bidi w:val="0"/>
              <w:spacing w:line="240" w:lineRule="auto"/>
              <w:ind w:left="0" w:leftChars="0"/>
              <w:jc w:val="center"/>
              <w:rPr>
                <w:rFonts w:hint="default" w:ascii="Times New Roman" w:hAnsi="Times New Roman" w:eastAsia="宋体" w:cs="Times New Roman"/>
                <w:color w:val="auto"/>
                <w:kern w:val="2"/>
                <w:sz w:val="21"/>
                <w:szCs w:val="21"/>
                <w:lang w:val="en-US" w:eastAsia="zh-CN" w:bidi="ar"/>
              </w:rPr>
            </w:pPr>
            <w:r>
              <w:rPr>
                <w:rFonts w:hint="default" w:ascii="Times New Roman" w:hAnsi="Times New Roman" w:eastAsia="宋体" w:cs="Times New Roman"/>
                <w:color w:val="auto"/>
                <w:kern w:val="2"/>
                <w:sz w:val="21"/>
                <w:szCs w:val="21"/>
                <w:lang w:val="en-US" w:eastAsia="zh-CN" w:bidi="ar"/>
              </w:rPr>
              <w:t>0.0395</w:t>
            </w:r>
          </w:p>
        </w:tc>
        <w:tc>
          <w:tcPr>
            <w:tcW w:w="1761" w:type="dxa"/>
            <w:shd w:val="clear" w:color="auto" w:fill="auto"/>
            <w:vAlign w:val="center"/>
          </w:tcPr>
          <w:p w14:paraId="2725E6E7">
            <w:pPr>
              <w:keepNext w:val="0"/>
              <w:keepLines w:val="0"/>
              <w:pageBreakBefore w:val="0"/>
              <w:suppressLineNumbers w:val="0"/>
              <w:kinsoku/>
              <w:wordWrap/>
              <w:overflowPunct/>
              <w:topLinePunct w:val="0"/>
              <w:autoSpaceDE/>
              <w:autoSpaceDN/>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kern w:val="2"/>
                <w:sz w:val="21"/>
                <w:szCs w:val="21"/>
                <w:lang w:val="en-US" w:eastAsia="zh-CN" w:bidi="ar"/>
              </w:rPr>
            </w:pPr>
            <w:r>
              <w:rPr>
                <w:rFonts w:hint="eastAsia" w:cs="Times New Roman"/>
                <w:color w:val="auto"/>
                <w:kern w:val="2"/>
                <w:sz w:val="21"/>
                <w:szCs w:val="21"/>
                <w:lang w:val="en-US" w:eastAsia="zh-CN" w:bidi="ar"/>
              </w:rPr>
              <w:t>/</w:t>
            </w:r>
          </w:p>
        </w:tc>
        <w:tc>
          <w:tcPr>
            <w:tcW w:w="1651" w:type="dxa"/>
            <w:shd w:val="clear" w:color="auto" w:fill="auto"/>
            <w:vAlign w:val="center"/>
          </w:tcPr>
          <w:p w14:paraId="148E2311">
            <w:pPr>
              <w:keepNext w:val="0"/>
              <w:keepLines w:val="0"/>
              <w:widowControl/>
              <w:suppressLineNumbers w:val="0"/>
              <w:jc w:val="center"/>
              <w:textAlignment w:val="center"/>
              <w:rPr>
                <w:rFonts w:hint="default" w:ascii="Times New Roman" w:hAnsi="Times New Roman" w:eastAsia="宋体" w:cs="Times New Roman"/>
                <w:color w:val="auto"/>
                <w:kern w:val="2"/>
                <w:sz w:val="21"/>
                <w:szCs w:val="21"/>
                <w:lang w:val="en-US" w:eastAsia="zh-CN" w:bidi="ar"/>
              </w:rPr>
            </w:pPr>
            <w:r>
              <w:rPr>
                <w:rFonts w:hint="eastAsia" w:cs="Times New Roman"/>
                <w:color w:val="auto"/>
                <w:kern w:val="2"/>
                <w:sz w:val="21"/>
                <w:szCs w:val="21"/>
                <w:lang w:val="en-US" w:eastAsia="zh-CN" w:bidi="ar"/>
              </w:rPr>
              <w:t>0.0444</w:t>
            </w:r>
          </w:p>
        </w:tc>
        <w:tc>
          <w:tcPr>
            <w:tcW w:w="1134" w:type="dxa"/>
            <w:shd w:val="clear" w:color="auto" w:fill="auto"/>
            <w:vAlign w:val="center"/>
          </w:tcPr>
          <w:p w14:paraId="28E1FEF9">
            <w:pPr>
              <w:keepNext w:val="0"/>
              <w:keepLines w:val="0"/>
              <w:pageBreakBefore w:val="0"/>
              <w:kinsoku/>
              <w:wordWrap/>
              <w:overflowPunct/>
              <w:topLinePunct w:val="0"/>
              <w:autoSpaceDE/>
              <w:autoSpaceDN/>
              <w:bidi w:val="0"/>
              <w:spacing w:line="240" w:lineRule="auto"/>
              <w:ind w:left="0" w:leftChars="0"/>
              <w:jc w:val="center"/>
              <w:rPr>
                <w:rFonts w:hint="default" w:ascii="Times New Roman" w:hAnsi="Times New Roman" w:eastAsia="宋体" w:cs="Times New Roman"/>
                <w:color w:val="auto"/>
                <w:kern w:val="2"/>
                <w:sz w:val="21"/>
                <w:szCs w:val="21"/>
                <w:lang w:val="en-US" w:eastAsia="zh-CN" w:bidi="ar"/>
              </w:rPr>
            </w:pPr>
            <w:r>
              <w:rPr>
                <w:rFonts w:hint="eastAsia" w:ascii="Times New Roman" w:hAnsi="Times New Roman" w:cs="Times New Roman"/>
                <w:color w:val="auto"/>
                <w:kern w:val="2"/>
                <w:sz w:val="21"/>
                <w:szCs w:val="21"/>
                <w:lang w:val="en-US" w:eastAsia="zh-CN" w:bidi="ar"/>
              </w:rPr>
              <w:t>+</w:t>
            </w:r>
            <w:r>
              <w:rPr>
                <w:rFonts w:hint="default" w:ascii="Times New Roman" w:hAnsi="Times New Roman" w:eastAsia="宋体" w:cs="Times New Roman"/>
                <w:color w:val="auto"/>
                <w:kern w:val="2"/>
                <w:sz w:val="21"/>
                <w:szCs w:val="21"/>
                <w:lang w:val="en-US" w:eastAsia="zh-CN" w:bidi="ar-SA"/>
              </w:rPr>
              <w:t>0.0395</w:t>
            </w:r>
          </w:p>
        </w:tc>
      </w:tr>
      <w:tr w14:paraId="4D22FCF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588" w:type="dxa"/>
            <w:gridSpan w:val="2"/>
            <w:vMerge w:val="restart"/>
            <w:vAlign w:val="center"/>
          </w:tcPr>
          <w:p w14:paraId="185B3384">
            <w:pPr>
              <w:pStyle w:val="34"/>
              <w:keepNext w:val="0"/>
              <w:keepLines w:val="0"/>
              <w:pageBreakBefore w:val="0"/>
              <w:kinsoku/>
              <w:wordWrap/>
              <w:overflowPunct/>
              <w:topLinePunct w:val="0"/>
              <w:autoSpaceDE/>
              <w:autoSpaceDN/>
              <w:bidi w:val="0"/>
              <w:spacing w:before="16" w:beforeLines="0" w:after="16" w:afterLines="0" w:line="240" w:lineRule="auto"/>
              <w:rPr>
                <w:rFonts w:ascii="Times New Roman"/>
                <w:snapToGrid w:val="0"/>
                <w:color w:val="auto"/>
                <w:kern w:val="21"/>
                <w:sz w:val="21"/>
                <w:szCs w:val="21"/>
              </w:rPr>
            </w:pPr>
            <w:r>
              <w:rPr>
                <w:rFonts w:ascii="Times New Roman"/>
                <w:snapToGrid w:val="0"/>
                <w:color w:val="auto"/>
                <w:kern w:val="21"/>
                <w:sz w:val="21"/>
                <w:szCs w:val="21"/>
              </w:rPr>
              <w:t>废水</w:t>
            </w:r>
          </w:p>
        </w:tc>
        <w:tc>
          <w:tcPr>
            <w:tcW w:w="1848" w:type="dxa"/>
            <w:vAlign w:val="center"/>
          </w:tcPr>
          <w:p w14:paraId="6C418EE8">
            <w:pPr>
              <w:pStyle w:val="34"/>
              <w:keepNext w:val="0"/>
              <w:keepLines w:val="0"/>
              <w:pageBreakBefore w:val="0"/>
              <w:kinsoku/>
              <w:wordWrap/>
              <w:overflowPunct/>
              <w:topLinePunct w:val="0"/>
              <w:autoSpaceDE/>
              <w:autoSpaceDN/>
              <w:bidi w:val="0"/>
              <w:spacing w:before="0" w:beforeLines="0" w:after="0" w:afterLines="0" w:line="240" w:lineRule="auto"/>
              <w:rPr>
                <w:rFonts w:hint="eastAsia" w:ascii="Times New Roman" w:hAnsi="宋体" w:cs="Times New Roman"/>
                <w:snapToGrid w:val="0"/>
                <w:color w:val="auto"/>
                <w:kern w:val="21"/>
                <w:sz w:val="21"/>
                <w:szCs w:val="21"/>
                <w:lang w:val="en-US" w:eastAsia="zh-CN"/>
              </w:rPr>
            </w:pPr>
            <w:r>
              <w:rPr>
                <w:rFonts w:hint="eastAsia" w:ascii="Times New Roman" w:hAnsi="宋体" w:cs="Times New Roman"/>
                <w:snapToGrid w:val="0"/>
                <w:color w:val="auto"/>
                <w:kern w:val="21"/>
                <w:sz w:val="21"/>
                <w:szCs w:val="21"/>
                <w:lang w:val="en-US" w:eastAsia="zh-CN"/>
              </w:rPr>
              <w:t>废水</w:t>
            </w:r>
          </w:p>
        </w:tc>
        <w:tc>
          <w:tcPr>
            <w:tcW w:w="1409" w:type="dxa"/>
            <w:shd w:val="clear" w:color="auto" w:fill="auto"/>
            <w:vAlign w:val="center"/>
          </w:tcPr>
          <w:p w14:paraId="2486CB18">
            <w:pPr>
              <w:pStyle w:val="34"/>
              <w:spacing w:before="24" w:after="24" w:line="240" w:lineRule="auto"/>
              <w:ind w:firstLine="0" w:firstLineChars="0"/>
              <w:jc w:val="center"/>
              <w:rPr>
                <w:rFonts w:hint="default" w:ascii="Times New Roman" w:hAnsi="宋体" w:eastAsia="宋体" w:cs="Times New Roman"/>
                <w:color w:val="auto"/>
                <w:spacing w:val="-10"/>
                <w:kern w:val="0"/>
                <w:sz w:val="21"/>
                <w:szCs w:val="21"/>
                <w:lang w:val="en-US" w:eastAsia="zh-CN" w:bidi="ar"/>
              </w:rPr>
            </w:pPr>
            <w:r>
              <w:rPr>
                <w:rFonts w:hint="eastAsia" w:ascii="Times New Roman" w:eastAsia="宋体"/>
                <w:color w:val="auto"/>
                <w:szCs w:val="21"/>
                <w:lang w:val="en-US" w:eastAsia="zh-CN"/>
              </w:rPr>
              <w:t>1600</w:t>
            </w:r>
          </w:p>
        </w:tc>
        <w:tc>
          <w:tcPr>
            <w:tcW w:w="1137" w:type="dxa"/>
            <w:shd w:val="clear" w:color="auto" w:fill="auto"/>
            <w:vAlign w:val="center"/>
          </w:tcPr>
          <w:p w14:paraId="2C3DEC1D">
            <w:pPr>
              <w:pStyle w:val="34"/>
              <w:spacing w:before="24" w:after="24" w:line="240" w:lineRule="auto"/>
              <w:ind w:firstLine="0" w:firstLineChars="0"/>
              <w:jc w:val="center"/>
              <w:rPr>
                <w:rFonts w:hint="default" w:ascii="Times New Roman" w:hAnsi="宋体" w:eastAsia="宋体" w:cs="Times New Roman"/>
                <w:color w:val="auto"/>
                <w:spacing w:val="-10"/>
                <w:kern w:val="0"/>
                <w:sz w:val="21"/>
                <w:szCs w:val="21"/>
                <w:lang w:val="en-US" w:eastAsia="zh-CN" w:bidi="ar"/>
              </w:rPr>
            </w:pPr>
            <w:r>
              <w:rPr>
                <w:rFonts w:hint="eastAsia" w:ascii="Times New Roman" w:eastAsia="宋体"/>
                <w:color w:val="auto"/>
                <w:szCs w:val="21"/>
                <w:lang w:val="en-US" w:eastAsia="zh-CN"/>
              </w:rPr>
              <w:t>1600</w:t>
            </w:r>
          </w:p>
        </w:tc>
        <w:tc>
          <w:tcPr>
            <w:tcW w:w="1701" w:type="dxa"/>
            <w:vAlign w:val="center"/>
          </w:tcPr>
          <w:p w14:paraId="0184A05C">
            <w:pPr>
              <w:keepNext w:val="0"/>
              <w:keepLines w:val="0"/>
              <w:pageBreakBefore w:val="0"/>
              <w:kinsoku/>
              <w:wordWrap/>
              <w:overflowPunct/>
              <w:topLinePunct w:val="0"/>
              <w:autoSpaceDE/>
              <w:autoSpaceDN/>
              <w:bidi w:val="0"/>
              <w:spacing w:line="240" w:lineRule="auto"/>
              <w:jc w:val="center"/>
              <w:rPr>
                <w:rFonts w:ascii="Times New Roman"/>
                <w:snapToGrid w:val="0"/>
                <w:color w:val="auto"/>
                <w:kern w:val="21"/>
                <w:sz w:val="21"/>
                <w:szCs w:val="21"/>
              </w:rPr>
            </w:pPr>
            <w:r>
              <w:rPr>
                <w:rFonts w:ascii="Times New Roman"/>
                <w:snapToGrid w:val="0"/>
                <w:color w:val="auto"/>
                <w:kern w:val="21"/>
                <w:sz w:val="21"/>
                <w:szCs w:val="21"/>
              </w:rPr>
              <w:t>/</w:t>
            </w:r>
          </w:p>
        </w:tc>
        <w:tc>
          <w:tcPr>
            <w:tcW w:w="1559" w:type="dxa"/>
            <w:shd w:val="clear" w:color="auto" w:fill="auto"/>
            <w:vAlign w:val="center"/>
          </w:tcPr>
          <w:p w14:paraId="10F842EF">
            <w:pPr>
              <w:keepNext w:val="0"/>
              <w:keepLines w:val="0"/>
              <w:pageBreakBefore w:val="0"/>
              <w:kinsoku/>
              <w:wordWrap/>
              <w:overflowPunct/>
              <w:topLinePunct w:val="0"/>
              <w:autoSpaceDE/>
              <w:autoSpaceDN/>
              <w:bidi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宋体" w:eastAsia="宋体" w:cs="Times New Roman"/>
                <w:color w:val="auto"/>
                <w:spacing w:val="-10"/>
                <w:kern w:val="0"/>
                <w:sz w:val="21"/>
                <w:szCs w:val="21"/>
                <w:lang w:val="en-US" w:eastAsia="zh-CN" w:bidi="ar"/>
              </w:rPr>
              <w:t>558</w:t>
            </w:r>
          </w:p>
        </w:tc>
        <w:tc>
          <w:tcPr>
            <w:tcW w:w="1761" w:type="dxa"/>
            <w:shd w:val="clear" w:color="auto" w:fill="auto"/>
            <w:vAlign w:val="center"/>
          </w:tcPr>
          <w:p w14:paraId="6433B621">
            <w:pPr>
              <w:keepNext w:val="0"/>
              <w:keepLines w:val="0"/>
              <w:pageBreakBefore w:val="0"/>
              <w:suppressLineNumbers w:val="0"/>
              <w:kinsoku/>
              <w:wordWrap/>
              <w:overflowPunct/>
              <w:topLinePunct w:val="0"/>
              <w:autoSpaceDE/>
              <w:autoSpaceDN/>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kern w:val="2"/>
                <w:sz w:val="21"/>
                <w:szCs w:val="21"/>
                <w:lang w:val="en-US" w:eastAsia="zh-CN" w:bidi="ar"/>
              </w:rPr>
            </w:pPr>
            <w:r>
              <w:rPr>
                <w:rFonts w:hint="eastAsia" w:cs="Times New Roman"/>
                <w:color w:val="auto"/>
                <w:kern w:val="2"/>
                <w:sz w:val="21"/>
                <w:szCs w:val="21"/>
                <w:lang w:val="en-US" w:eastAsia="zh-CN" w:bidi="ar"/>
              </w:rPr>
              <w:t>/</w:t>
            </w:r>
          </w:p>
        </w:tc>
        <w:tc>
          <w:tcPr>
            <w:tcW w:w="1651" w:type="dxa"/>
            <w:shd w:val="clear" w:color="auto" w:fill="auto"/>
            <w:vAlign w:val="center"/>
          </w:tcPr>
          <w:p w14:paraId="6047914C">
            <w:pPr>
              <w:keepNext w:val="0"/>
              <w:keepLines w:val="0"/>
              <w:widowControl/>
              <w:suppressLineNumbers w:val="0"/>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2158</w:t>
            </w:r>
          </w:p>
        </w:tc>
        <w:tc>
          <w:tcPr>
            <w:tcW w:w="1134" w:type="dxa"/>
            <w:shd w:val="clear" w:color="auto" w:fill="auto"/>
            <w:vAlign w:val="center"/>
          </w:tcPr>
          <w:p w14:paraId="3068B54E">
            <w:pPr>
              <w:keepNext w:val="0"/>
              <w:keepLines w:val="0"/>
              <w:pageBreakBefore w:val="0"/>
              <w:kinsoku/>
              <w:wordWrap/>
              <w:overflowPunct/>
              <w:topLinePunct w:val="0"/>
              <w:autoSpaceDE/>
              <w:autoSpaceDN/>
              <w:bidi w:val="0"/>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宋体" w:eastAsia="宋体" w:cs="Times New Roman"/>
                <w:color w:val="auto"/>
                <w:spacing w:val="-10"/>
                <w:kern w:val="0"/>
                <w:sz w:val="21"/>
                <w:szCs w:val="21"/>
                <w:lang w:val="en-US" w:eastAsia="zh-CN" w:bidi="ar"/>
              </w:rPr>
              <w:t>+</w:t>
            </w:r>
            <w:r>
              <w:rPr>
                <w:rFonts w:hint="default" w:ascii="Times New Roman" w:hAnsi="宋体" w:eastAsia="宋体" w:cs="Times New Roman"/>
                <w:color w:val="auto"/>
                <w:spacing w:val="-10"/>
                <w:kern w:val="0"/>
                <w:sz w:val="21"/>
                <w:szCs w:val="21"/>
                <w:lang w:val="en-US" w:eastAsia="zh-CN" w:bidi="ar"/>
              </w:rPr>
              <w:t>558</w:t>
            </w:r>
          </w:p>
        </w:tc>
      </w:tr>
      <w:tr w14:paraId="34A84CD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588" w:type="dxa"/>
            <w:gridSpan w:val="2"/>
            <w:vMerge w:val="continue"/>
            <w:vAlign w:val="center"/>
          </w:tcPr>
          <w:p w14:paraId="0616F3BE">
            <w:pPr>
              <w:pStyle w:val="34"/>
              <w:keepNext w:val="0"/>
              <w:keepLines w:val="0"/>
              <w:pageBreakBefore w:val="0"/>
              <w:kinsoku/>
              <w:wordWrap/>
              <w:overflowPunct/>
              <w:topLinePunct w:val="0"/>
              <w:autoSpaceDE/>
              <w:autoSpaceDN/>
              <w:bidi w:val="0"/>
              <w:spacing w:before="16" w:beforeLines="0" w:after="16" w:afterLines="0" w:line="240" w:lineRule="auto"/>
              <w:rPr>
                <w:rFonts w:ascii="Times New Roman"/>
                <w:snapToGrid w:val="0"/>
                <w:color w:val="auto"/>
                <w:kern w:val="21"/>
                <w:sz w:val="21"/>
                <w:szCs w:val="21"/>
              </w:rPr>
            </w:pPr>
          </w:p>
        </w:tc>
        <w:tc>
          <w:tcPr>
            <w:tcW w:w="1848" w:type="dxa"/>
            <w:shd w:val="clear" w:color="auto" w:fill="auto"/>
            <w:vAlign w:val="center"/>
          </w:tcPr>
          <w:p w14:paraId="53ECD860">
            <w:pPr>
              <w:keepNext w:val="0"/>
              <w:keepLines w:val="0"/>
              <w:pageBreakBefore w:val="0"/>
              <w:suppressLineNumbers w:val="0"/>
              <w:kinsoku/>
              <w:wordWrap/>
              <w:overflowPunct/>
              <w:topLinePunct w:val="0"/>
              <w:autoSpaceDE/>
              <w:autoSpaceDN/>
              <w:bidi w:val="0"/>
              <w:adjustRightInd w:val="0"/>
              <w:snapToGrid w:val="0"/>
              <w:spacing w:beforeAutospacing="0" w:afterAutospacing="0"/>
              <w:ind w:left="0" w:leftChars="0" w:right="0" w:rightChars="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bCs/>
                <w:color w:val="auto"/>
                <w:sz w:val="21"/>
                <w:szCs w:val="21"/>
              </w:rPr>
              <w:t>COD</w:t>
            </w:r>
          </w:p>
        </w:tc>
        <w:tc>
          <w:tcPr>
            <w:tcW w:w="1409" w:type="dxa"/>
            <w:shd w:val="clear" w:color="auto" w:fill="auto"/>
            <w:vAlign w:val="center"/>
          </w:tcPr>
          <w:p w14:paraId="1529063E">
            <w:pPr>
              <w:keepNext w:val="0"/>
              <w:keepLines w:val="0"/>
              <w:widowControl/>
              <w:suppressLineNumbers w:val="0"/>
              <w:jc w:val="center"/>
              <w:textAlignment w:val="center"/>
              <w:rPr>
                <w:rFonts w:hint="default" w:ascii="Times New Roman" w:hAnsi="宋体" w:eastAsia="宋体" w:cs="Times New Roman"/>
                <w:color w:val="auto"/>
                <w:kern w:val="2"/>
                <w:sz w:val="21"/>
                <w:szCs w:val="21"/>
                <w:lang w:val="en-US" w:eastAsia="zh-CN" w:bidi="ar"/>
              </w:rPr>
            </w:pPr>
            <w:r>
              <w:rPr>
                <w:rFonts w:hint="eastAsia" w:cs="Times New Roman"/>
                <w:i w:val="0"/>
                <w:iCs w:val="0"/>
                <w:color w:val="auto"/>
                <w:kern w:val="0"/>
                <w:sz w:val="21"/>
                <w:szCs w:val="21"/>
                <w:u w:val="none"/>
                <w:lang w:val="en-US" w:eastAsia="zh-CN" w:bidi="ar"/>
              </w:rPr>
              <w:t>0.56</w:t>
            </w:r>
          </w:p>
        </w:tc>
        <w:tc>
          <w:tcPr>
            <w:tcW w:w="1137" w:type="dxa"/>
            <w:shd w:val="clear" w:color="auto" w:fill="auto"/>
            <w:vAlign w:val="center"/>
          </w:tcPr>
          <w:p w14:paraId="62F5609F">
            <w:pPr>
              <w:keepNext w:val="0"/>
              <w:keepLines w:val="0"/>
              <w:widowControl/>
              <w:suppressLineNumbers w:val="0"/>
              <w:jc w:val="center"/>
              <w:textAlignment w:val="center"/>
              <w:rPr>
                <w:rFonts w:hint="default" w:ascii="Times New Roman" w:hAnsi="宋体" w:eastAsia="宋体" w:cs="Times New Roman"/>
                <w:color w:val="auto"/>
                <w:kern w:val="2"/>
                <w:sz w:val="21"/>
                <w:szCs w:val="21"/>
                <w:lang w:val="en-US" w:eastAsia="zh-CN" w:bidi="ar"/>
              </w:rPr>
            </w:pPr>
            <w:r>
              <w:rPr>
                <w:rFonts w:hint="eastAsia" w:cs="Times New Roman"/>
                <w:i w:val="0"/>
                <w:iCs w:val="0"/>
                <w:color w:val="auto"/>
                <w:kern w:val="0"/>
                <w:sz w:val="21"/>
                <w:szCs w:val="21"/>
                <w:u w:val="none"/>
                <w:lang w:val="en-US" w:eastAsia="zh-CN" w:bidi="ar"/>
              </w:rPr>
              <w:t>0.56</w:t>
            </w:r>
          </w:p>
        </w:tc>
        <w:tc>
          <w:tcPr>
            <w:tcW w:w="1701" w:type="dxa"/>
            <w:vAlign w:val="center"/>
          </w:tcPr>
          <w:p w14:paraId="57C59E92">
            <w:pPr>
              <w:keepNext w:val="0"/>
              <w:keepLines w:val="0"/>
              <w:pageBreakBefore w:val="0"/>
              <w:kinsoku/>
              <w:wordWrap/>
              <w:overflowPunct/>
              <w:topLinePunct w:val="0"/>
              <w:autoSpaceDE/>
              <w:autoSpaceDN/>
              <w:bidi w:val="0"/>
              <w:spacing w:line="240" w:lineRule="auto"/>
              <w:jc w:val="center"/>
              <w:rPr>
                <w:rFonts w:ascii="Times New Roman"/>
                <w:snapToGrid w:val="0"/>
                <w:color w:val="auto"/>
                <w:kern w:val="21"/>
                <w:sz w:val="21"/>
                <w:szCs w:val="21"/>
              </w:rPr>
            </w:pPr>
            <w:r>
              <w:rPr>
                <w:rFonts w:ascii="Times New Roman"/>
                <w:snapToGrid w:val="0"/>
                <w:color w:val="auto"/>
                <w:kern w:val="21"/>
                <w:sz w:val="21"/>
                <w:szCs w:val="21"/>
              </w:rPr>
              <w:t>/</w:t>
            </w:r>
          </w:p>
        </w:tc>
        <w:tc>
          <w:tcPr>
            <w:tcW w:w="1559" w:type="dxa"/>
            <w:shd w:val="clear" w:color="auto" w:fill="auto"/>
            <w:vAlign w:val="center"/>
          </w:tcPr>
          <w:p w14:paraId="40E4DA4A">
            <w:pPr>
              <w:keepNext w:val="0"/>
              <w:keepLines w:val="0"/>
              <w:widowControl/>
              <w:suppressLineNumbers w:val="0"/>
              <w:jc w:val="center"/>
              <w:textAlignment w:val="center"/>
              <w:rPr>
                <w:rFonts w:hint="default" w:ascii="Times New Roman" w:hAnsi="Times New Roman" w:eastAsia="宋体" w:cs="Times New Roman"/>
                <w:bCs/>
                <w:color w:val="auto"/>
                <w:spacing w:val="4"/>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0.1953</w:t>
            </w:r>
          </w:p>
        </w:tc>
        <w:tc>
          <w:tcPr>
            <w:tcW w:w="1761" w:type="dxa"/>
            <w:shd w:val="clear" w:color="auto" w:fill="auto"/>
            <w:vAlign w:val="center"/>
          </w:tcPr>
          <w:p w14:paraId="4A454A33">
            <w:pPr>
              <w:keepNext w:val="0"/>
              <w:keepLines w:val="0"/>
              <w:pageBreakBefore w:val="0"/>
              <w:suppressLineNumbers w:val="0"/>
              <w:kinsoku/>
              <w:wordWrap/>
              <w:overflowPunct/>
              <w:topLinePunct w:val="0"/>
              <w:autoSpaceDE/>
              <w:autoSpaceDN/>
              <w:bidi w:val="0"/>
              <w:adjustRightInd w:val="0"/>
              <w:snapToGrid w:val="0"/>
              <w:spacing w:beforeAutospacing="0" w:afterAutospacing="0"/>
              <w:ind w:left="0" w:leftChars="0" w:right="0" w:rightChars="0"/>
              <w:jc w:val="center"/>
              <w:rPr>
                <w:rFonts w:hint="default" w:ascii="Times New Roman" w:hAnsi="宋体" w:eastAsia="宋体" w:cs="Times New Roman"/>
                <w:color w:val="auto"/>
                <w:kern w:val="2"/>
                <w:sz w:val="21"/>
                <w:szCs w:val="21"/>
                <w:lang w:val="en-US" w:eastAsia="zh-CN" w:bidi="ar"/>
              </w:rPr>
            </w:pPr>
            <w:r>
              <w:rPr>
                <w:rFonts w:hint="eastAsia" w:hAnsi="宋体" w:cs="Times New Roman"/>
                <w:color w:val="auto"/>
                <w:kern w:val="2"/>
                <w:sz w:val="21"/>
                <w:szCs w:val="21"/>
                <w:lang w:val="en-US" w:eastAsia="zh-CN" w:bidi="ar"/>
              </w:rPr>
              <w:t>/</w:t>
            </w:r>
          </w:p>
        </w:tc>
        <w:tc>
          <w:tcPr>
            <w:tcW w:w="1651" w:type="dxa"/>
            <w:shd w:val="clear" w:color="auto" w:fill="auto"/>
            <w:vAlign w:val="center"/>
          </w:tcPr>
          <w:p w14:paraId="35AC4B40">
            <w:pPr>
              <w:keepNext w:val="0"/>
              <w:keepLines w:val="0"/>
              <w:widowControl/>
              <w:suppressLineNumbers w:val="0"/>
              <w:jc w:val="center"/>
              <w:textAlignment w:val="center"/>
              <w:rPr>
                <w:rFonts w:hint="default" w:ascii="Times New Roman" w:hAnsi="Times New Roman" w:eastAsia="宋体" w:cs="Times New Roman"/>
                <w:bCs/>
                <w:color w:val="auto"/>
                <w:spacing w:val="4"/>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0.7553</w:t>
            </w:r>
          </w:p>
        </w:tc>
        <w:tc>
          <w:tcPr>
            <w:tcW w:w="1134" w:type="dxa"/>
            <w:shd w:val="clear" w:color="auto" w:fill="auto"/>
            <w:vAlign w:val="center"/>
          </w:tcPr>
          <w:p w14:paraId="5C0EE9D3">
            <w:pPr>
              <w:keepNext w:val="0"/>
              <w:keepLines w:val="0"/>
              <w:widowControl/>
              <w:suppressLineNumbers w:val="0"/>
              <w:jc w:val="center"/>
              <w:textAlignment w:val="center"/>
              <w:rPr>
                <w:rFonts w:hint="default" w:ascii="Times New Roman" w:hAnsi="Times New Roman" w:eastAsia="宋体" w:cs="Times New Roman"/>
                <w:bCs/>
                <w:color w:val="auto"/>
                <w:spacing w:val="4"/>
                <w:kern w:val="0"/>
                <w:sz w:val="21"/>
                <w:szCs w:val="21"/>
                <w:lang w:val="en-US" w:eastAsia="zh-CN" w:bidi="ar-SA"/>
              </w:rPr>
            </w:pPr>
            <w:r>
              <w:rPr>
                <w:rFonts w:hint="eastAsia" w:ascii="Times New Roman" w:hAnsi="Times New Roman" w:eastAsia="宋体" w:cs="Times New Roman"/>
                <w:i w:val="0"/>
                <w:iCs w:val="0"/>
                <w:color w:val="auto"/>
                <w:kern w:val="0"/>
                <w:sz w:val="21"/>
                <w:szCs w:val="21"/>
                <w:u w:val="none"/>
                <w:lang w:val="en-US" w:eastAsia="zh-CN" w:bidi="ar"/>
              </w:rPr>
              <w:t>+</w:t>
            </w:r>
            <w:r>
              <w:rPr>
                <w:rFonts w:hint="default" w:ascii="Times New Roman" w:hAnsi="Times New Roman" w:eastAsia="宋体" w:cs="Times New Roman"/>
                <w:i w:val="0"/>
                <w:iCs w:val="0"/>
                <w:color w:val="auto"/>
                <w:kern w:val="0"/>
                <w:sz w:val="21"/>
                <w:szCs w:val="21"/>
                <w:u w:val="none"/>
                <w:lang w:val="en-US" w:eastAsia="zh-CN" w:bidi="ar"/>
              </w:rPr>
              <w:t>0.1953</w:t>
            </w:r>
          </w:p>
        </w:tc>
      </w:tr>
      <w:tr w14:paraId="731C0EE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588" w:type="dxa"/>
            <w:gridSpan w:val="2"/>
            <w:vMerge w:val="continue"/>
            <w:vAlign w:val="center"/>
          </w:tcPr>
          <w:p w14:paraId="1D32F676">
            <w:pPr>
              <w:pStyle w:val="34"/>
              <w:keepNext w:val="0"/>
              <w:keepLines w:val="0"/>
              <w:pageBreakBefore w:val="0"/>
              <w:kinsoku/>
              <w:wordWrap/>
              <w:overflowPunct/>
              <w:topLinePunct w:val="0"/>
              <w:autoSpaceDE/>
              <w:autoSpaceDN/>
              <w:bidi w:val="0"/>
              <w:spacing w:before="16" w:beforeLines="0" w:after="16" w:afterLines="0" w:line="240" w:lineRule="auto"/>
              <w:rPr>
                <w:rFonts w:ascii="Times New Roman"/>
                <w:snapToGrid w:val="0"/>
                <w:color w:val="auto"/>
                <w:kern w:val="21"/>
                <w:sz w:val="21"/>
                <w:szCs w:val="21"/>
              </w:rPr>
            </w:pPr>
          </w:p>
        </w:tc>
        <w:tc>
          <w:tcPr>
            <w:tcW w:w="1848" w:type="dxa"/>
            <w:shd w:val="clear" w:color="auto" w:fill="auto"/>
            <w:vAlign w:val="center"/>
          </w:tcPr>
          <w:p w14:paraId="7C192126">
            <w:pPr>
              <w:keepNext w:val="0"/>
              <w:keepLines w:val="0"/>
              <w:pageBreakBefore w:val="0"/>
              <w:suppressLineNumbers w:val="0"/>
              <w:kinsoku/>
              <w:wordWrap/>
              <w:overflowPunct/>
              <w:topLinePunct w:val="0"/>
              <w:autoSpaceDE/>
              <w:autoSpaceDN/>
              <w:bidi w:val="0"/>
              <w:adjustRightInd w:val="0"/>
              <w:snapToGrid w:val="0"/>
              <w:spacing w:beforeAutospacing="0" w:afterAutospacing="0"/>
              <w:ind w:left="0" w:leftChars="0" w:right="0" w:rightChars="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bCs/>
                <w:color w:val="auto"/>
                <w:sz w:val="21"/>
                <w:szCs w:val="21"/>
              </w:rPr>
              <w:t>SS</w:t>
            </w:r>
          </w:p>
        </w:tc>
        <w:tc>
          <w:tcPr>
            <w:tcW w:w="1409" w:type="dxa"/>
            <w:shd w:val="clear" w:color="auto" w:fill="auto"/>
            <w:vAlign w:val="center"/>
          </w:tcPr>
          <w:p w14:paraId="55CD56F5">
            <w:pPr>
              <w:keepNext w:val="0"/>
              <w:keepLines w:val="0"/>
              <w:widowControl/>
              <w:suppressLineNumbers w:val="0"/>
              <w:jc w:val="center"/>
              <w:textAlignment w:val="center"/>
              <w:rPr>
                <w:rFonts w:hint="default" w:ascii="Times New Roman" w:hAnsi="Times New Roman" w:eastAsia="宋体" w:cs="Times New Roman"/>
                <w:color w:val="auto"/>
                <w:kern w:val="2"/>
                <w:sz w:val="21"/>
                <w:szCs w:val="21"/>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w:t>
            </w:r>
            <w:r>
              <w:rPr>
                <w:rFonts w:hint="eastAsia" w:cs="Times New Roman"/>
                <w:i w:val="0"/>
                <w:iCs w:val="0"/>
                <w:color w:val="auto"/>
                <w:kern w:val="0"/>
                <w:sz w:val="21"/>
                <w:szCs w:val="21"/>
                <w:u w:val="none"/>
                <w:lang w:val="en-US" w:eastAsia="zh-CN" w:bidi="ar"/>
              </w:rPr>
              <w:t>4</w:t>
            </w:r>
          </w:p>
        </w:tc>
        <w:tc>
          <w:tcPr>
            <w:tcW w:w="1137" w:type="dxa"/>
            <w:shd w:val="clear" w:color="auto" w:fill="auto"/>
            <w:vAlign w:val="center"/>
          </w:tcPr>
          <w:p w14:paraId="2FD0A2FC">
            <w:pPr>
              <w:keepNext w:val="0"/>
              <w:keepLines w:val="0"/>
              <w:widowControl/>
              <w:suppressLineNumbers w:val="0"/>
              <w:jc w:val="center"/>
              <w:textAlignment w:val="center"/>
              <w:rPr>
                <w:rFonts w:hint="default" w:ascii="Times New Roman" w:hAnsi="Times New Roman" w:eastAsia="宋体" w:cs="Times New Roman"/>
                <w:color w:val="auto"/>
                <w:kern w:val="2"/>
                <w:sz w:val="21"/>
                <w:szCs w:val="21"/>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w:t>
            </w:r>
            <w:r>
              <w:rPr>
                <w:rFonts w:hint="eastAsia" w:cs="Times New Roman"/>
                <w:i w:val="0"/>
                <w:iCs w:val="0"/>
                <w:color w:val="auto"/>
                <w:kern w:val="0"/>
                <w:sz w:val="21"/>
                <w:szCs w:val="21"/>
                <w:u w:val="none"/>
                <w:lang w:val="en-US" w:eastAsia="zh-CN" w:bidi="ar"/>
              </w:rPr>
              <w:t>4</w:t>
            </w:r>
          </w:p>
        </w:tc>
        <w:tc>
          <w:tcPr>
            <w:tcW w:w="1701" w:type="dxa"/>
            <w:vAlign w:val="center"/>
          </w:tcPr>
          <w:p w14:paraId="379AA980">
            <w:pPr>
              <w:keepNext w:val="0"/>
              <w:keepLines w:val="0"/>
              <w:pageBreakBefore w:val="0"/>
              <w:kinsoku/>
              <w:wordWrap/>
              <w:overflowPunct/>
              <w:topLinePunct w:val="0"/>
              <w:autoSpaceDE/>
              <w:autoSpaceDN/>
              <w:bidi w:val="0"/>
              <w:spacing w:line="240" w:lineRule="auto"/>
              <w:jc w:val="center"/>
              <w:rPr>
                <w:rFonts w:ascii="Times New Roman"/>
                <w:snapToGrid w:val="0"/>
                <w:color w:val="auto"/>
                <w:kern w:val="21"/>
                <w:sz w:val="21"/>
                <w:szCs w:val="21"/>
              </w:rPr>
            </w:pPr>
            <w:r>
              <w:rPr>
                <w:rFonts w:ascii="Times New Roman"/>
                <w:snapToGrid w:val="0"/>
                <w:color w:val="auto"/>
                <w:kern w:val="21"/>
                <w:sz w:val="21"/>
                <w:szCs w:val="21"/>
              </w:rPr>
              <w:t>/</w:t>
            </w:r>
          </w:p>
        </w:tc>
        <w:tc>
          <w:tcPr>
            <w:tcW w:w="1559" w:type="dxa"/>
            <w:shd w:val="clear" w:color="auto" w:fill="auto"/>
            <w:vAlign w:val="center"/>
          </w:tcPr>
          <w:p w14:paraId="063A1E47">
            <w:pPr>
              <w:keepNext w:val="0"/>
              <w:keepLines w:val="0"/>
              <w:widowControl/>
              <w:suppressLineNumbers w:val="0"/>
              <w:jc w:val="center"/>
              <w:textAlignment w:val="center"/>
              <w:rPr>
                <w:rFonts w:hint="default" w:ascii="Times New Roman" w:hAnsi="Times New Roman" w:eastAsia="宋体" w:cs="Times New Roman"/>
                <w:bCs/>
                <w:color w:val="auto"/>
                <w:spacing w:val="4"/>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0.1395</w:t>
            </w:r>
          </w:p>
        </w:tc>
        <w:tc>
          <w:tcPr>
            <w:tcW w:w="1761" w:type="dxa"/>
            <w:shd w:val="clear" w:color="auto" w:fill="auto"/>
            <w:vAlign w:val="center"/>
          </w:tcPr>
          <w:p w14:paraId="34628295">
            <w:pPr>
              <w:keepNext w:val="0"/>
              <w:keepLines w:val="0"/>
              <w:pageBreakBefore w:val="0"/>
              <w:suppressLineNumbers w:val="0"/>
              <w:kinsoku/>
              <w:wordWrap/>
              <w:overflowPunct/>
              <w:topLinePunct w:val="0"/>
              <w:autoSpaceDE/>
              <w:autoSpaceDN/>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kern w:val="2"/>
                <w:sz w:val="21"/>
                <w:szCs w:val="21"/>
                <w:lang w:val="en-US" w:eastAsia="zh-CN" w:bidi="ar"/>
              </w:rPr>
            </w:pPr>
            <w:r>
              <w:rPr>
                <w:rFonts w:hint="eastAsia" w:cs="Times New Roman"/>
                <w:color w:val="auto"/>
                <w:kern w:val="2"/>
                <w:sz w:val="21"/>
                <w:szCs w:val="21"/>
                <w:lang w:val="en-US" w:eastAsia="zh-CN" w:bidi="ar"/>
              </w:rPr>
              <w:t>/</w:t>
            </w:r>
          </w:p>
        </w:tc>
        <w:tc>
          <w:tcPr>
            <w:tcW w:w="1651" w:type="dxa"/>
            <w:shd w:val="clear" w:color="auto" w:fill="auto"/>
            <w:vAlign w:val="center"/>
          </w:tcPr>
          <w:p w14:paraId="672D058B">
            <w:pPr>
              <w:keepNext w:val="0"/>
              <w:keepLines w:val="0"/>
              <w:widowControl/>
              <w:suppressLineNumbers w:val="0"/>
              <w:jc w:val="center"/>
              <w:textAlignment w:val="center"/>
              <w:rPr>
                <w:rFonts w:hint="default" w:ascii="Times New Roman" w:hAnsi="Times New Roman" w:eastAsia="宋体" w:cs="Times New Roman"/>
                <w:bCs/>
                <w:color w:val="auto"/>
                <w:spacing w:val="4"/>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0.5395</w:t>
            </w:r>
          </w:p>
        </w:tc>
        <w:tc>
          <w:tcPr>
            <w:tcW w:w="1134" w:type="dxa"/>
            <w:shd w:val="clear" w:color="auto" w:fill="auto"/>
            <w:vAlign w:val="center"/>
          </w:tcPr>
          <w:p w14:paraId="0E59EF79">
            <w:pPr>
              <w:keepNext w:val="0"/>
              <w:keepLines w:val="0"/>
              <w:widowControl/>
              <w:suppressLineNumbers w:val="0"/>
              <w:jc w:val="center"/>
              <w:textAlignment w:val="center"/>
              <w:rPr>
                <w:rFonts w:hint="default" w:ascii="Times New Roman" w:hAnsi="Times New Roman" w:eastAsia="宋体" w:cs="Times New Roman"/>
                <w:bCs/>
                <w:color w:val="auto"/>
                <w:spacing w:val="4"/>
                <w:kern w:val="0"/>
                <w:sz w:val="21"/>
                <w:szCs w:val="21"/>
                <w:lang w:val="en-US" w:eastAsia="zh-CN" w:bidi="ar-SA"/>
              </w:rPr>
            </w:pPr>
            <w:r>
              <w:rPr>
                <w:rFonts w:hint="eastAsia" w:ascii="Times New Roman" w:hAnsi="Times New Roman" w:eastAsia="宋体" w:cs="Times New Roman"/>
                <w:i w:val="0"/>
                <w:iCs w:val="0"/>
                <w:color w:val="auto"/>
                <w:kern w:val="0"/>
                <w:sz w:val="21"/>
                <w:szCs w:val="21"/>
                <w:u w:val="none"/>
                <w:lang w:val="en-US" w:eastAsia="zh-CN" w:bidi="ar"/>
              </w:rPr>
              <w:t>+</w:t>
            </w:r>
            <w:r>
              <w:rPr>
                <w:rFonts w:hint="default" w:ascii="Times New Roman" w:hAnsi="Times New Roman" w:eastAsia="宋体" w:cs="Times New Roman"/>
                <w:i w:val="0"/>
                <w:iCs w:val="0"/>
                <w:color w:val="auto"/>
                <w:kern w:val="0"/>
                <w:sz w:val="21"/>
                <w:szCs w:val="21"/>
                <w:u w:val="none"/>
                <w:lang w:val="en-US" w:eastAsia="zh-CN" w:bidi="ar"/>
              </w:rPr>
              <w:t>0.1395</w:t>
            </w:r>
          </w:p>
        </w:tc>
      </w:tr>
      <w:tr w14:paraId="37CBA04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588" w:type="dxa"/>
            <w:gridSpan w:val="2"/>
            <w:vMerge w:val="continue"/>
            <w:vAlign w:val="center"/>
          </w:tcPr>
          <w:p w14:paraId="21C16E1E">
            <w:pPr>
              <w:pStyle w:val="34"/>
              <w:keepNext w:val="0"/>
              <w:keepLines w:val="0"/>
              <w:pageBreakBefore w:val="0"/>
              <w:kinsoku/>
              <w:wordWrap/>
              <w:overflowPunct/>
              <w:topLinePunct w:val="0"/>
              <w:autoSpaceDE/>
              <w:autoSpaceDN/>
              <w:bidi w:val="0"/>
              <w:spacing w:before="16" w:beforeLines="0" w:after="16" w:afterLines="0" w:line="240" w:lineRule="auto"/>
              <w:rPr>
                <w:rFonts w:ascii="Times New Roman"/>
                <w:snapToGrid w:val="0"/>
                <w:color w:val="auto"/>
                <w:kern w:val="21"/>
                <w:sz w:val="21"/>
                <w:szCs w:val="21"/>
              </w:rPr>
            </w:pPr>
          </w:p>
        </w:tc>
        <w:tc>
          <w:tcPr>
            <w:tcW w:w="1848" w:type="dxa"/>
            <w:shd w:val="clear" w:color="auto" w:fill="auto"/>
            <w:vAlign w:val="center"/>
          </w:tcPr>
          <w:p w14:paraId="2728C505">
            <w:pPr>
              <w:keepNext w:val="0"/>
              <w:keepLines w:val="0"/>
              <w:pageBreakBefore w:val="0"/>
              <w:suppressLineNumbers w:val="0"/>
              <w:kinsoku/>
              <w:wordWrap/>
              <w:overflowPunct/>
              <w:topLinePunct w:val="0"/>
              <w:autoSpaceDE/>
              <w:autoSpaceDN/>
              <w:bidi w:val="0"/>
              <w:adjustRightInd w:val="0"/>
              <w:snapToGrid w:val="0"/>
              <w:spacing w:beforeAutospacing="0" w:afterAutospacing="0"/>
              <w:ind w:left="0" w:leftChars="0" w:right="0" w:rightChars="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bCs/>
                <w:color w:val="auto"/>
                <w:sz w:val="21"/>
                <w:szCs w:val="21"/>
              </w:rPr>
              <w:t>NH</w:t>
            </w:r>
            <w:r>
              <w:rPr>
                <w:rFonts w:hint="default" w:ascii="Times New Roman" w:hAnsi="Times New Roman" w:eastAsia="宋体" w:cs="Times New Roman"/>
                <w:bCs/>
                <w:color w:val="auto"/>
                <w:sz w:val="21"/>
                <w:szCs w:val="21"/>
                <w:vertAlign w:val="subscript"/>
              </w:rPr>
              <w:t>3</w:t>
            </w:r>
            <w:r>
              <w:rPr>
                <w:rFonts w:hint="default" w:ascii="Times New Roman" w:hAnsi="Times New Roman" w:eastAsia="宋体" w:cs="Times New Roman"/>
                <w:bCs/>
                <w:color w:val="auto"/>
                <w:sz w:val="21"/>
                <w:szCs w:val="21"/>
              </w:rPr>
              <w:t>-N</w:t>
            </w:r>
          </w:p>
        </w:tc>
        <w:tc>
          <w:tcPr>
            <w:tcW w:w="1409" w:type="dxa"/>
            <w:shd w:val="clear" w:color="auto" w:fill="auto"/>
            <w:vAlign w:val="center"/>
          </w:tcPr>
          <w:p w14:paraId="3AEC4D53">
            <w:pPr>
              <w:keepNext w:val="0"/>
              <w:keepLines w:val="0"/>
              <w:widowControl/>
              <w:suppressLineNumbers w:val="0"/>
              <w:jc w:val="center"/>
              <w:textAlignment w:val="center"/>
              <w:rPr>
                <w:rFonts w:hint="default" w:ascii="Times New Roman" w:hAnsi="Times New Roman" w:eastAsia="宋体" w:cs="Times New Roman"/>
                <w:color w:val="auto"/>
                <w:kern w:val="2"/>
                <w:sz w:val="21"/>
                <w:szCs w:val="21"/>
                <w:lang w:val="en-US" w:eastAsia="zh-CN" w:bidi="ar"/>
              </w:rPr>
            </w:pPr>
            <w:r>
              <w:rPr>
                <w:rFonts w:hint="eastAsia" w:cs="Times New Roman"/>
                <w:color w:val="auto"/>
                <w:kern w:val="2"/>
                <w:sz w:val="21"/>
                <w:szCs w:val="21"/>
                <w:lang w:val="en-US" w:eastAsia="zh-CN" w:bidi="ar"/>
              </w:rPr>
              <w:t>0.04</w:t>
            </w:r>
          </w:p>
        </w:tc>
        <w:tc>
          <w:tcPr>
            <w:tcW w:w="1137" w:type="dxa"/>
            <w:shd w:val="clear" w:color="auto" w:fill="auto"/>
            <w:vAlign w:val="center"/>
          </w:tcPr>
          <w:p w14:paraId="1D3B5F9D">
            <w:pPr>
              <w:keepNext w:val="0"/>
              <w:keepLines w:val="0"/>
              <w:widowControl/>
              <w:suppressLineNumbers w:val="0"/>
              <w:jc w:val="center"/>
              <w:textAlignment w:val="center"/>
              <w:rPr>
                <w:rFonts w:hint="default" w:ascii="Times New Roman" w:hAnsi="Times New Roman" w:eastAsia="宋体" w:cs="Times New Roman"/>
                <w:color w:val="auto"/>
                <w:kern w:val="2"/>
                <w:sz w:val="21"/>
                <w:szCs w:val="21"/>
                <w:lang w:val="en-US" w:eastAsia="zh-CN" w:bidi="ar"/>
              </w:rPr>
            </w:pPr>
            <w:r>
              <w:rPr>
                <w:rFonts w:hint="eastAsia" w:cs="Times New Roman"/>
                <w:color w:val="auto"/>
                <w:kern w:val="2"/>
                <w:sz w:val="21"/>
                <w:szCs w:val="21"/>
                <w:lang w:val="en-US" w:eastAsia="zh-CN" w:bidi="ar"/>
              </w:rPr>
              <w:t>0.04</w:t>
            </w:r>
          </w:p>
        </w:tc>
        <w:tc>
          <w:tcPr>
            <w:tcW w:w="1701" w:type="dxa"/>
            <w:vAlign w:val="center"/>
          </w:tcPr>
          <w:p w14:paraId="0449F46F">
            <w:pPr>
              <w:keepNext w:val="0"/>
              <w:keepLines w:val="0"/>
              <w:pageBreakBefore w:val="0"/>
              <w:kinsoku/>
              <w:wordWrap/>
              <w:overflowPunct/>
              <w:topLinePunct w:val="0"/>
              <w:autoSpaceDE/>
              <w:autoSpaceDN/>
              <w:bidi w:val="0"/>
              <w:spacing w:line="240" w:lineRule="auto"/>
              <w:jc w:val="center"/>
              <w:rPr>
                <w:rFonts w:ascii="Times New Roman"/>
                <w:snapToGrid w:val="0"/>
                <w:color w:val="auto"/>
                <w:kern w:val="21"/>
                <w:sz w:val="21"/>
                <w:szCs w:val="21"/>
              </w:rPr>
            </w:pPr>
            <w:r>
              <w:rPr>
                <w:rFonts w:ascii="Times New Roman"/>
                <w:snapToGrid w:val="0"/>
                <w:color w:val="auto"/>
                <w:kern w:val="21"/>
                <w:sz w:val="21"/>
                <w:szCs w:val="21"/>
              </w:rPr>
              <w:t>/</w:t>
            </w:r>
          </w:p>
        </w:tc>
        <w:tc>
          <w:tcPr>
            <w:tcW w:w="1559" w:type="dxa"/>
            <w:shd w:val="clear" w:color="auto" w:fill="auto"/>
            <w:vAlign w:val="center"/>
          </w:tcPr>
          <w:p w14:paraId="4AFD5F81">
            <w:pPr>
              <w:keepNext w:val="0"/>
              <w:keepLines w:val="0"/>
              <w:widowControl/>
              <w:suppressLineNumbers w:val="0"/>
              <w:jc w:val="center"/>
              <w:textAlignment w:val="center"/>
              <w:rPr>
                <w:rFonts w:hint="default" w:ascii="Times New Roman" w:hAnsi="Times New Roman" w:eastAsia="宋体" w:cs="Times New Roman"/>
                <w:bCs/>
                <w:color w:val="auto"/>
                <w:spacing w:val="4"/>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0.0140</w:t>
            </w:r>
          </w:p>
        </w:tc>
        <w:tc>
          <w:tcPr>
            <w:tcW w:w="1761" w:type="dxa"/>
            <w:shd w:val="clear" w:color="auto" w:fill="auto"/>
            <w:vAlign w:val="center"/>
          </w:tcPr>
          <w:p w14:paraId="02BB90E6">
            <w:pPr>
              <w:keepNext w:val="0"/>
              <w:keepLines w:val="0"/>
              <w:pageBreakBefore w:val="0"/>
              <w:suppressLineNumbers w:val="0"/>
              <w:kinsoku/>
              <w:wordWrap/>
              <w:overflowPunct/>
              <w:topLinePunct w:val="0"/>
              <w:autoSpaceDE/>
              <w:autoSpaceDN/>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lang w:val="en-US" w:eastAsia="zh-CN" w:bidi="ar"/>
              </w:rPr>
              <w:t>/</w:t>
            </w:r>
          </w:p>
        </w:tc>
        <w:tc>
          <w:tcPr>
            <w:tcW w:w="1651" w:type="dxa"/>
            <w:shd w:val="clear" w:color="auto" w:fill="auto"/>
            <w:vAlign w:val="center"/>
          </w:tcPr>
          <w:p w14:paraId="673197D6">
            <w:pPr>
              <w:keepNext w:val="0"/>
              <w:keepLines w:val="0"/>
              <w:widowControl/>
              <w:suppressLineNumbers w:val="0"/>
              <w:jc w:val="center"/>
              <w:textAlignment w:val="center"/>
              <w:rPr>
                <w:rFonts w:hint="default" w:ascii="Times New Roman" w:hAnsi="Times New Roman" w:eastAsia="宋体" w:cs="Times New Roman"/>
                <w:bCs/>
                <w:color w:val="auto"/>
                <w:spacing w:val="4"/>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0.0540</w:t>
            </w:r>
          </w:p>
        </w:tc>
        <w:tc>
          <w:tcPr>
            <w:tcW w:w="1134" w:type="dxa"/>
            <w:shd w:val="clear" w:color="auto" w:fill="auto"/>
            <w:vAlign w:val="center"/>
          </w:tcPr>
          <w:p w14:paraId="22CD9587">
            <w:pPr>
              <w:keepNext w:val="0"/>
              <w:keepLines w:val="0"/>
              <w:widowControl/>
              <w:suppressLineNumbers w:val="0"/>
              <w:jc w:val="center"/>
              <w:textAlignment w:val="center"/>
              <w:rPr>
                <w:rFonts w:hint="default" w:ascii="Times New Roman" w:hAnsi="Times New Roman" w:eastAsia="宋体" w:cs="Times New Roman"/>
                <w:bCs/>
                <w:color w:val="auto"/>
                <w:spacing w:val="4"/>
                <w:kern w:val="0"/>
                <w:sz w:val="21"/>
                <w:szCs w:val="21"/>
                <w:lang w:val="en-US" w:eastAsia="zh-CN" w:bidi="ar-SA"/>
              </w:rPr>
            </w:pPr>
            <w:r>
              <w:rPr>
                <w:rFonts w:hint="eastAsia" w:ascii="Times New Roman" w:hAnsi="Times New Roman" w:eastAsia="宋体" w:cs="Times New Roman"/>
                <w:i w:val="0"/>
                <w:iCs w:val="0"/>
                <w:color w:val="auto"/>
                <w:kern w:val="0"/>
                <w:sz w:val="21"/>
                <w:szCs w:val="21"/>
                <w:u w:val="none"/>
                <w:lang w:val="en-US" w:eastAsia="zh-CN" w:bidi="ar"/>
              </w:rPr>
              <w:t>+</w:t>
            </w:r>
            <w:r>
              <w:rPr>
                <w:rFonts w:hint="default" w:ascii="Times New Roman" w:hAnsi="Times New Roman" w:eastAsia="宋体" w:cs="Times New Roman"/>
                <w:i w:val="0"/>
                <w:iCs w:val="0"/>
                <w:color w:val="auto"/>
                <w:kern w:val="0"/>
                <w:sz w:val="21"/>
                <w:szCs w:val="21"/>
                <w:u w:val="none"/>
                <w:lang w:val="en-US" w:eastAsia="zh-CN" w:bidi="ar"/>
              </w:rPr>
              <w:t>0.0140</w:t>
            </w:r>
          </w:p>
        </w:tc>
      </w:tr>
      <w:tr w14:paraId="014DF9B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588" w:type="dxa"/>
            <w:gridSpan w:val="2"/>
            <w:vMerge w:val="continue"/>
            <w:vAlign w:val="center"/>
          </w:tcPr>
          <w:p w14:paraId="6B21CC01">
            <w:pPr>
              <w:pStyle w:val="34"/>
              <w:keepNext w:val="0"/>
              <w:keepLines w:val="0"/>
              <w:pageBreakBefore w:val="0"/>
              <w:kinsoku/>
              <w:wordWrap/>
              <w:overflowPunct/>
              <w:topLinePunct w:val="0"/>
              <w:autoSpaceDE/>
              <w:autoSpaceDN/>
              <w:bidi w:val="0"/>
              <w:spacing w:before="16" w:beforeLines="0" w:after="16" w:afterLines="0" w:line="240" w:lineRule="auto"/>
              <w:rPr>
                <w:rFonts w:ascii="Times New Roman"/>
                <w:snapToGrid w:val="0"/>
                <w:color w:val="auto"/>
                <w:kern w:val="21"/>
                <w:sz w:val="21"/>
                <w:szCs w:val="21"/>
              </w:rPr>
            </w:pPr>
          </w:p>
        </w:tc>
        <w:tc>
          <w:tcPr>
            <w:tcW w:w="1848" w:type="dxa"/>
            <w:shd w:val="clear" w:color="auto" w:fill="auto"/>
            <w:vAlign w:val="center"/>
          </w:tcPr>
          <w:p w14:paraId="040A887C">
            <w:pPr>
              <w:keepNext w:val="0"/>
              <w:keepLines w:val="0"/>
              <w:pageBreakBefore w:val="0"/>
              <w:suppressLineNumbers w:val="0"/>
              <w:kinsoku/>
              <w:wordWrap/>
              <w:overflowPunct/>
              <w:topLinePunct w:val="0"/>
              <w:autoSpaceDE/>
              <w:autoSpaceDN/>
              <w:bidi w:val="0"/>
              <w:adjustRightInd w:val="0"/>
              <w:snapToGrid w:val="0"/>
              <w:spacing w:beforeAutospacing="0" w:afterAutospacing="0"/>
              <w:ind w:left="0" w:leftChars="0" w:right="0" w:rightChars="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bCs/>
                <w:color w:val="auto"/>
                <w:sz w:val="21"/>
                <w:szCs w:val="21"/>
              </w:rPr>
              <w:t>TP</w:t>
            </w:r>
          </w:p>
        </w:tc>
        <w:tc>
          <w:tcPr>
            <w:tcW w:w="1409" w:type="dxa"/>
            <w:shd w:val="clear" w:color="auto" w:fill="auto"/>
            <w:vAlign w:val="center"/>
          </w:tcPr>
          <w:p w14:paraId="0BF4244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0.0048</w:t>
            </w:r>
          </w:p>
        </w:tc>
        <w:tc>
          <w:tcPr>
            <w:tcW w:w="1137" w:type="dxa"/>
            <w:shd w:val="clear" w:color="auto" w:fill="auto"/>
            <w:vAlign w:val="center"/>
          </w:tcPr>
          <w:p w14:paraId="2D984246">
            <w:pPr>
              <w:keepNext w:val="0"/>
              <w:keepLines w:val="0"/>
              <w:widowControl/>
              <w:suppressLineNumbers w:val="0"/>
              <w:jc w:val="center"/>
              <w:textAlignment w:val="center"/>
              <w:rPr>
                <w:rFonts w:hint="default" w:ascii="Times New Roman" w:hAnsi="Times New Roman" w:eastAsia="宋体" w:cs="Times New Roman"/>
                <w:color w:val="auto"/>
                <w:kern w:val="2"/>
                <w:sz w:val="21"/>
                <w:szCs w:val="21"/>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0.0048</w:t>
            </w:r>
          </w:p>
        </w:tc>
        <w:tc>
          <w:tcPr>
            <w:tcW w:w="1701" w:type="dxa"/>
            <w:vAlign w:val="center"/>
          </w:tcPr>
          <w:p w14:paraId="1A19571C">
            <w:pPr>
              <w:keepNext w:val="0"/>
              <w:keepLines w:val="0"/>
              <w:pageBreakBefore w:val="0"/>
              <w:kinsoku/>
              <w:wordWrap/>
              <w:overflowPunct/>
              <w:topLinePunct w:val="0"/>
              <w:autoSpaceDE/>
              <w:autoSpaceDN/>
              <w:bidi w:val="0"/>
              <w:spacing w:line="240" w:lineRule="auto"/>
              <w:jc w:val="center"/>
              <w:rPr>
                <w:rFonts w:ascii="Times New Roman"/>
                <w:snapToGrid w:val="0"/>
                <w:color w:val="auto"/>
                <w:kern w:val="21"/>
                <w:sz w:val="21"/>
                <w:szCs w:val="21"/>
              </w:rPr>
            </w:pPr>
            <w:r>
              <w:rPr>
                <w:rFonts w:ascii="Times New Roman"/>
                <w:snapToGrid w:val="0"/>
                <w:color w:val="auto"/>
                <w:kern w:val="21"/>
                <w:sz w:val="21"/>
                <w:szCs w:val="21"/>
              </w:rPr>
              <w:t>/</w:t>
            </w:r>
          </w:p>
        </w:tc>
        <w:tc>
          <w:tcPr>
            <w:tcW w:w="1559" w:type="dxa"/>
            <w:shd w:val="clear" w:color="auto" w:fill="auto"/>
            <w:vAlign w:val="center"/>
          </w:tcPr>
          <w:p w14:paraId="5BA76637">
            <w:pPr>
              <w:keepNext w:val="0"/>
              <w:keepLines w:val="0"/>
              <w:widowControl/>
              <w:suppressLineNumbers w:val="0"/>
              <w:jc w:val="center"/>
              <w:textAlignment w:val="center"/>
              <w:rPr>
                <w:rFonts w:hint="default" w:ascii="Times New Roman" w:hAnsi="Times New Roman" w:eastAsia="宋体" w:cs="Times New Roman"/>
                <w:bCs/>
                <w:color w:val="auto"/>
                <w:spacing w:val="4"/>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0.0017</w:t>
            </w:r>
          </w:p>
        </w:tc>
        <w:tc>
          <w:tcPr>
            <w:tcW w:w="1761" w:type="dxa"/>
            <w:shd w:val="clear" w:color="auto" w:fill="auto"/>
            <w:vAlign w:val="center"/>
          </w:tcPr>
          <w:p w14:paraId="02725444">
            <w:pPr>
              <w:keepNext w:val="0"/>
              <w:keepLines w:val="0"/>
              <w:pageBreakBefore w:val="0"/>
              <w:suppressLineNumbers w:val="0"/>
              <w:kinsoku/>
              <w:wordWrap/>
              <w:overflowPunct/>
              <w:topLinePunct w:val="0"/>
              <w:autoSpaceDE/>
              <w:autoSpaceDN/>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lang w:val="en-US" w:eastAsia="zh-CN" w:bidi="ar"/>
              </w:rPr>
              <w:t>/</w:t>
            </w:r>
          </w:p>
        </w:tc>
        <w:tc>
          <w:tcPr>
            <w:tcW w:w="1651" w:type="dxa"/>
            <w:shd w:val="clear" w:color="auto" w:fill="auto"/>
            <w:vAlign w:val="center"/>
          </w:tcPr>
          <w:p w14:paraId="5E75764B">
            <w:pPr>
              <w:keepNext w:val="0"/>
              <w:keepLines w:val="0"/>
              <w:widowControl/>
              <w:suppressLineNumbers w:val="0"/>
              <w:jc w:val="center"/>
              <w:textAlignment w:val="center"/>
              <w:rPr>
                <w:rFonts w:hint="default" w:ascii="Times New Roman" w:hAnsi="Times New Roman" w:eastAsia="宋体" w:cs="Times New Roman"/>
                <w:bCs/>
                <w:color w:val="auto"/>
                <w:spacing w:val="4"/>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0.0065</w:t>
            </w:r>
          </w:p>
        </w:tc>
        <w:tc>
          <w:tcPr>
            <w:tcW w:w="1134" w:type="dxa"/>
            <w:shd w:val="clear" w:color="auto" w:fill="auto"/>
            <w:vAlign w:val="center"/>
          </w:tcPr>
          <w:p w14:paraId="2A53D54E">
            <w:pPr>
              <w:keepNext w:val="0"/>
              <w:keepLines w:val="0"/>
              <w:widowControl/>
              <w:suppressLineNumbers w:val="0"/>
              <w:jc w:val="center"/>
              <w:textAlignment w:val="center"/>
              <w:rPr>
                <w:rFonts w:hint="default" w:ascii="Times New Roman" w:hAnsi="Times New Roman" w:eastAsia="宋体" w:cs="Times New Roman"/>
                <w:bCs/>
                <w:color w:val="auto"/>
                <w:spacing w:val="4"/>
                <w:kern w:val="0"/>
                <w:sz w:val="21"/>
                <w:szCs w:val="21"/>
                <w:lang w:val="en-US" w:eastAsia="zh-CN" w:bidi="ar-SA"/>
              </w:rPr>
            </w:pPr>
            <w:r>
              <w:rPr>
                <w:rFonts w:hint="eastAsia" w:ascii="Times New Roman" w:hAnsi="Times New Roman" w:eastAsia="宋体" w:cs="Times New Roman"/>
                <w:i w:val="0"/>
                <w:iCs w:val="0"/>
                <w:color w:val="auto"/>
                <w:kern w:val="0"/>
                <w:sz w:val="21"/>
                <w:szCs w:val="21"/>
                <w:u w:val="none"/>
                <w:lang w:val="en-US" w:eastAsia="zh-CN" w:bidi="ar"/>
              </w:rPr>
              <w:t>+</w:t>
            </w:r>
            <w:r>
              <w:rPr>
                <w:rFonts w:hint="default" w:ascii="Times New Roman" w:hAnsi="Times New Roman" w:eastAsia="宋体" w:cs="Times New Roman"/>
                <w:i w:val="0"/>
                <w:iCs w:val="0"/>
                <w:color w:val="auto"/>
                <w:kern w:val="0"/>
                <w:sz w:val="21"/>
                <w:szCs w:val="21"/>
                <w:u w:val="none"/>
                <w:lang w:val="en-US" w:eastAsia="zh-CN" w:bidi="ar"/>
              </w:rPr>
              <w:t>0.0017</w:t>
            </w:r>
          </w:p>
        </w:tc>
      </w:tr>
      <w:tr w14:paraId="150227D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588" w:type="dxa"/>
            <w:gridSpan w:val="2"/>
            <w:vMerge w:val="continue"/>
            <w:vAlign w:val="center"/>
          </w:tcPr>
          <w:p w14:paraId="305CF2CA">
            <w:pPr>
              <w:pStyle w:val="34"/>
              <w:keepNext w:val="0"/>
              <w:keepLines w:val="0"/>
              <w:pageBreakBefore w:val="0"/>
              <w:kinsoku/>
              <w:wordWrap/>
              <w:overflowPunct/>
              <w:topLinePunct w:val="0"/>
              <w:autoSpaceDE/>
              <w:autoSpaceDN/>
              <w:bidi w:val="0"/>
              <w:spacing w:before="16" w:beforeLines="0" w:after="16" w:afterLines="0" w:line="240" w:lineRule="auto"/>
              <w:rPr>
                <w:rFonts w:ascii="Times New Roman"/>
                <w:snapToGrid w:val="0"/>
                <w:color w:val="auto"/>
                <w:kern w:val="21"/>
                <w:sz w:val="21"/>
                <w:szCs w:val="21"/>
              </w:rPr>
            </w:pPr>
          </w:p>
        </w:tc>
        <w:tc>
          <w:tcPr>
            <w:tcW w:w="1848" w:type="dxa"/>
            <w:shd w:val="clear" w:color="auto" w:fill="auto"/>
            <w:vAlign w:val="center"/>
          </w:tcPr>
          <w:p w14:paraId="3C2360CC">
            <w:pPr>
              <w:keepNext w:val="0"/>
              <w:keepLines w:val="0"/>
              <w:pageBreakBefore w:val="0"/>
              <w:suppressLineNumbers w:val="0"/>
              <w:kinsoku/>
              <w:wordWrap/>
              <w:overflowPunct/>
              <w:topLinePunct w:val="0"/>
              <w:autoSpaceDE/>
              <w:autoSpaceDN/>
              <w:bidi w:val="0"/>
              <w:adjustRightInd w:val="0"/>
              <w:snapToGrid w:val="0"/>
              <w:spacing w:beforeAutospacing="0" w:afterAutospacing="0"/>
              <w:ind w:left="0" w:leftChars="0" w:right="0" w:rightChars="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bCs/>
                <w:color w:val="auto"/>
                <w:sz w:val="21"/>
                <w:szCs w:val="21"/>
              </w:rPr>
              <w:t>TN</w:t>
            </w:r>
          </w:p>
        </w:tc>
        <w:tc>
          <w:tcPr>
            <w:tcW w:w="1409" w:type="dxa"/>
            <w:shd w:val="clear" w:color="auto" w:fill="auto"/>
            <w:vAlign w:val="center"/>
          </w:tcPr>
          <w:p w14:paraId="360580F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0.056</w:t>
            </w:r>
          </w:p>
        </w:tc>
        <w:tc>
          <w:tcPr>
            <w:tcW w:w="1137" w:type="dxa"/>
            <w:shd w:val="clear" w:color="auto" w:fill="auto"/>
            <w:vAlign w:val="center"/>
          </w:tcPr>
          <w:p w14:paraId="5E9C24F8">
            <w:pPr>
              <w:keepNext w:val="0"/>
              <w:keepLines w:val="0"/>
              <w:widowControl/>
              <w:suppressLineNumbers w:val="0"/>
              <w:jc w:val="center"/>
              <w:textAlignment w:val="center"/>
              <w:rPr>
                <w:rFonts w:hint="default" w:ascii="Times New Roman" w:hAnsi="Times New Roman" w:eastAsia="宋体" w:cs="Times New Roman"/>
                <w:color w:val="auto"/>
                <w:kern w:val="2"/>
                <w:sz w:val="21"/>
                <w:szCs w:val="21"/>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0.056</w:t>
            </w:r>
          </w:p>
        </w:tc>
        <w:tc>
          <w:tcPr>
            <w:tcW w:w="1701" w:type="dxa"/>
            <w:vAlign w:val="center"/>
          </w:tcPr>
          <w:p w14:paraId="5DA643C7">
            <w:pPr>
              <w:keepNext w:val="0"/>
              <w:keepLines w:val="0"/>
              <w:pageBreakBefore w:val="0"/>
              <w:kinsoku/>
              <w:wordWrap/>
              <w:overflowPunct/>
              <w:topLinePunct w:val="0"/>
              <w:autoSpaceDE/>
              <w:autoSpaceDN/>
              <w:bidi w:val="0"/>
              <w:spacing w:line="240" w:lineRule="auto"/>
              <w:jc w:val="center"/>
              <w:rPr>
                <w:rFonts w:ascii="Times New Roman"/>
                <w:snapToGrid w:val="0"/>
                <w:color w:val="auto"/>
                <w:kern w:val="21"/>
                <w:sz w:val="21"/>
                <w:szCs w:val="21"/>
              </w:rPr>
            </w:pPr>
            <w:r>
              <w:rPr>
                <w:rFonts w:ascii="Times New Roman"/>
                <w:snapToGrid w:val="0"/>
                <w:color w:val="auto"/>
                <w:kern w:val="21"/>
                <w:sz w:val="21"/>
                <w:szCs w:val="21"/>
              </w:rPr>
              <w:t>/</w:t>
            </w:r>
          </w:p>
        </w:tc>
        <w:tc>
          <w:tcPr>
            <w:tcW w:w="1559" w:type="dxa"/>
            <w:shd w:val="clear" w:color="auto" w:fill="auto"/>
            <w:vAlign w:val="center"/>
          </w:tcPr>
          <w:p w14:paraId="41600CFA">
            <w:pPr>
              <w:keepNext w:val="0"/>
              <w:keepLines w:val="0"/>
              <w:widowControl/>
              <w:suppressLineNumbers w:val="0"/>
              <w:jc w:val="center"/>
              <w:textAlignment w:val="center"/>
              <w:rPr>
                <w:rFonts w:hint="default" w:ascii="Times New Roman" w:hAnsi="Times New Roman" w:eastAsia="宋体" w:cs="Times New Roman"/>
                <w:bCs/>
                <w:color w:val="auto"/>
                <w:spacing w:val="4"/>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0.0195</w:t>
            </w:r>
          </w:p>
        </w:tc>
        <w:tc>
          <w:tcPr>
            <w:tcW w:w="1761" w:type="dxa"/>
            <w:shd w:val="clear" w:color="auto" w:fill="auto"/>
            <w:vAlign w:val="center"/>
          </w:tcPr>
          <w:p w14:paraId="570F3364">
            <w:pPr>
              <w:keepNext w:val="0"/>
              <w:keepLines w:val="0"/>
              <w:pageBreakBefore w:val="0"/>
              <w:suppressLineNumbers w:val="0"/>
              <w:kinsoku/>
              <w:wordWrap/>
              <w:overflowPunct/>
              <w:topLinePunct w:val="0"/>
              <w:autoSpaceDE/>
              <w:autoSpaceDN/>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lang w:val="en-US" w:eastAsia="zh-CN" w:bidi="ar"/>
              </w:rPr>
              <w:t>/</w:t>
            </w:r>
          </w:p>
        </w:tc>
        <w:tc>
          <w:tcPr>
            <w:tcW w:w="1651" w:type="dxa"/>
            <w:shd w:val="clear" w:color="auto" w:fill="auto"/>
            <w:vAlign w:val="center"/>
          </w:tcPr>
          <w:p w14:paraId="36C823C2">
            <w:pPr>
              <w:keepNext w:val="0"/>
              <w:keepLines w:val="0"/>
              <w:widowControl/>
              <w:suppressLineNumbers w:val="0"/>
              <w:jc w:val="center"/>
              <w:textAlignment w:val="center"/>
              <w:rPr>
                <w:rFonts w:hint="default" w:ascii="Times New Roman" w:hAnsi="Times New Roman" w:eastAsia="宋体" w:cs="Times New Roman"/>
                <w:bCs/>
                <w:color w:val="auto"/>
                <w:spacing w:val="4"/>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0.0755</w:t>
            </w:r>
          </w:p>
        </w:tc>
        <w:tc>
          <w:tcPr>
            <w:tcW w:w="1134" w:type="dxa"/>
            <w:shd w:val="clear" w:color="auto" w:fill="auto"/>
            <w:vAlign w:val="center"/>
          </w:tcPr>
          <w:p w14:paraId="2021EC7D">
            <w:pPr>
              <w:keepNext w:val="0"/>
              <w:keepLines w:val="0"/>
              <w:widowControl/>
              <w:suppressLineNumbers w:val="0"/>
              <w:jc w:val="center"/>
              <w:textAlignment w:val="center"/>
              <w:rPr>
                <w:rFonts w:hint="default" w:ascii="Times New Roman" w:hAnsi="Times New Roman" w:eastAsia="宋体" w:cs="Times New Roman"/>
                <w:bCs/>
                <w:color w:val="auto"/>
                <w:spacing w:val="4"/>
                <w:kern w:val="0"/>
                <w:sz w:val="21"/>
                <w:szCs w:val="21"/>
                <w:lang w:val="en-US" w:eastAsia="zh-CN" w:bidi="ar-SA"/>
              </w:rPr>
            </w:pPr>
            <w:r>
              <w:rPr>
                <w:rFonts w:hint="eastAsia" w:ascii="Times New Roman" w:hAnsi="Times New Roman" w:eastAsia="宋体" w:cs="Times New Roman"/>
                <w:i w:val="0"/>
                <w:iCs w:val="0"/>
                <w:color w:val="auto"/>
                <w:kern w:val="0"/>
                <w:sz w:val="21"/>
                <w:szCs w:val="21"/>
                <w:u w:val="none"/>
                <w:lang w:val="en-US" w:eastAsia="zh-CN" w:bidi="ar"/>
              </w:rPr>
              <w:t>+</w:t>
            </w:r>
            <w:r>
              <w:rPr>
                <w:rFonts w:hint="default" w:ascii="Times New Roman" w:hAnsi="Times New Roman" w:eastAsia="宋体" w:cs="Times New Roman"/>
                <w:i w:val="0"/>
                <w:iCs w:val="0"/>
                <w:color w:val="auto"/>
                <w:kern w:val="0"/>
                <w:sz w:val="21"/>
                <w:szCs w:val="21"/>
                <w:u w:val="none"/>
                <w:lang w:val="en-US" w:eastAsia="zh-CN" w:bidi="ar"/>
              </w:rPr>
              <w:t>0.0195</w:t>
            </w:r>
          </w:p>
        </w:tc>
      </w:tr>
      <w:tr w14:paraId="0EAC624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588" w:type="dxa"/>
            <w:gridSpan w:val="2"/>
            <w:vMerge w:val="restart"/>
            <w:vAlign w:val="center"/>
          </w:tcPr>
          <w:p w14:paraId="782F51BD">
            <w:pPr>
              <w:pStyle w:val="34"/>
              <w:keepNext w:val="0"/>
              <w:keepLines w:val="0"/>
              <w:pageBreakBefore w:val="0"/>
              <w:kinsoku/>
              <w:wordWrap/>
              <w:overflowPunct/>
              <w:topLinePunct w:val="0"/>
              <w:autoSpaceDE/>
              <w:autoSpaceDN/>
              <w:bidi w:val="0"/>
              <w:spacing w:before="16" w:beforeLines="0" w:after="16" w:afterLines="0" w:line="240" w:lineRule="auto"/>
              <w:rPr>
                <w:rFonts w:ascii="Times New Roman"/>
                <w:snapToGrid w:val="0"/>
                <w:color w:val="auto"/>
                <w:kern w:val="21"/>
                <w:sz w:val="21"/>
                <w:szCs w:val="21"/>
              </w:rPr>
            </w:pPr>
            <w:r>
              <w:rPr>
                <w:rFonts w:ascii="Times New Roman"/>
                <w:snapToGrid w:val="0"/>
                <w:color w:val="auto"/>
                <w:kern w:val="21"/>
                <w:sz w:val="21"/>
                <w:szCs w:val="21"/>
              </w:rPr>
              <w:t>一般工业</w:t>
            </w:r>
          </w:p>
          <w:p w14:paraId="3B340459">
            <w:pPr>
              <w:pStyle w:val="34"/>
              <w:keepNext w:val="0"/>
              <w:keepLines w:val="0"/>
              <w:pageBreakBefore w:val="0"/>
              <w:kinsoku/>
              <w:wordWrap/>
              <w:overflowPunct/>
              <w:topLinePunct w:val="0"/>
              <w:autoSpaceDE/>
              <w:autoSpaceDN/>
              <w:bidi w:val="0"/>
              <w:spacing w:before="16" w:beforeLines="0" w:after="16" w:afterLines="0" w:line="240" w:lineRule="auto"/>
              <w:rPr>
                <w:rFonts w:ascii="Times New Roman"/>
                <w:snapToGrid w:val="0"/>
                <w:color w:val="auto"/>
                <w:kern w:val="21"/>
                <w:sz w:val="21"/>
                <w:szCs w:val="21"/>
              </w:rPr>
            </w:pPr>
            <w:r>
              <w:rPr>
                <w:rFonts w:ascii="Times New Roman"/>
                <w:snapToGrid w:val="0"/>
                <w:color w:val="auto"/>
                <w:kern w:val="21"/>
                <w:sz w:val="21"/>
                <w:szCs w:val="21"/>
              </w:rPr>
              <w:t>固体废物</w:t>
            </w:r>
          </w:p>
        </w:tc>
        <w:tc>
          <w:tcPr>
            <w:tcW w:w="1848" w:type="dxa"/>
            <w:shd w:val="clear" w:color="auto" w:fill="auto"/>
            <w:vAlign w:val="center"/>
          </w:tcPr>
          <w:p w14:paraId="0B484009">
            <w:pPr>
              <w:pStyle w:val="34"/>
              <w:keepNext w:val="0"/>
              <w:keepLines w:val="0"/>
              <w:pageBreakBefore w:val="0"/>
              <w:kinsoku/>
              <w:wordWrap/>
              <w:overflowPunct/>
              <w:topLinePunct w:val="0"/>
              <w:autoSpaceDE/>
              <w:autoSpaceDN/>
              <w:bidi w:val="0"/>
              <w:spacing w:before="0" w:beforeLines="0" w:after="0" w:afterLines="0" w:line="240" w:lineRule="auto"/>
              <w:rPr>
                <w:rFonts w:hint="default" w:ascii="Times New Roman" w:hAnsi="宋体" w:cs="Times New Roman"/>
                <w:snapToGrid w:val="0"/>
                <w:color w:val="auto"/>
                <w:kern w:val="21"/>
                <w:sz w:val="21"/>
                <w:szCs w:val="21"/>
                <w:lang w:val="en-US" w:eastAsia="zh-CN"/>
              </w:rPr>
            </w:pPr>
            <w:r>
              <w:rPr>
                <w:rFonts w:hint="eastAsia" w:ascii="Times New Roman" w:hAnsi="宋体" w:cs="Times New Roman"/>
                <w:snapToGrid w:val="0"/>
                <w:color w:val="auto"/>
                <w:kern w:val="21"/>
                <w:sz w:val="21"/>
                <w:szCs w:val="21"/>
                <w:lang w:val="en-US" w:eastAsia="zh-CN"/>
              </w:rPr>
              <w:t>生活垃圾</w:t>
            </w:r>
          </w:p>
        </w:tc>
        <w:tc>
          <w:tcPr>
            <w:tcW w:w="1409" w:type="dxa"/>
            <w:shd w:val="clear" w:color="auto" w:fill="auto"/>
            <w:vAlign w:val="center"/>
          </w:tcPr>
          <w:p w14:paraId="6E4C1923">
            <w:pPr>
              <w:keepNext w:val="0"/>
              <w:keepLines w:val="0"/>
              <w:widowControl/>
              <w:suppressLineNumbers w:val="0"/>
              <w:jc w:val="center"/>
              <w:textAlignment w:val="center"/>
              <w:rPr>
                <w:rFonts w:hint="default" w:ascii="Times New Roman" w:hAnsi="Times New Roman" w:eastAsia="宋体" w:cs="Times New Roman"/>
                <w:color w:val="auto"/>
                <w:kern w:val="2"/>
                <w:sz w:val="21"/>
                <w:szCs w:val="21"/>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w:t>
            </w:r>
          </w:p>
        </w:tc>
        <w:tc>
          <w:tcPr>
            <w:tcW w:w="1137" w:type="dxa"/>
            <w:vAlign w:val="center"/>
          </w:tcPr>
          <w:p w14:paraId="169CDB06">
            <w:pPr>
              <w:keepNext w:val="0"/>
              <w:keepLines w:val="0"/>
              <w:pageBreakBefore w:val="0"/>
              <w:kinsoku/>
              <w:wordWrap/>
              <w:overflowPunct/>
              <w:topLinePunct w:val="0"/>
              <w:autoSpaceDE/>
              <w:autoSpaceDN/>
              <w:bidi w:val="0"/>
              <w:spacing w:line="240" w:lineRule="auto"/>
              <w:jc w:val="center"/>
              <w:rPr>
                <w:rFonts w:hint="eastAsia" w:ascii="Times New Roman" w:hAnsi="Times New Roman" w:eastAsia="黑体"/>
                <w:snapToGrid w:val="0"/>
                <w:color w:val="auto"/>
                <w:kern w:val="21"/>
                <w:sz w:val="21"/>
                <w:szCs w:val="21"/>
                <w:lang w:eastAsia="zh-CN"/>
              </w:rPr>
            </w:pPr>
            <w:r>
              <w:rPr>
                <w:rFonts w:hint="eastAsia" w:ascii="Times New Roman" w:hAnsi="Times New Roman" w:eastAsia="宋体" w:cs="Times New Roman"/>
                <w:color w:val="auto"/>
                <w:kern w:val="2"/>
                <w:sz w:val="21"/>
                <w:szCs w:val="21"/>
                <w:lang w:val="en-US" w:eastAsia="zh-CN" w:bidi="ar"/>
              </w:rPr>
              <w:t>0</w:t>
            </w:r>
          </w:p>
        </w:tc>
        <w:tc>
          <w:tcPr>
            <w:tcW w:w="1701" w:type="dxa"/>
            <w:vAlign w:val="center"/>
          </w:tcPr>
          <w:p w14:paraId="61FA0D79">
            <w:pPr>
              <w:keepNext w:val="0"/>
              <w:keepLines w:val="0"/>
              <w:pageBreakBefore w:val="0"/>
              <w:kinsoku/>
              <w:wordWrap/>
              <w:overflowPunct/>
              <w:topLinePunct w:val="0"/>
              <w:autoSpaceDE/>
              <w:autoSpaceDN/>
              <w:bidi w:val="0"/>
              <w:spacing w:line="240" w:lineRule="auto"/>
              <w:jc w:val="center"/>
              <w:rPr>
                <w:rFonts w:ascii="Times New Roman" w:hAnsi="Times New Roman"/>
                <w:snapToGrid w:val="0"/>
                <w:color w:val="auto"/>
                <w:kern w:val="21"/>
                <w:sz w:val="21"/>
                <w:szCs w:val="21"/>
              </w:rPr>
            </w:pPr>
            <w:r>
              <w:rPr>
                <w:rFonts w:ascii="Times New Roman"/>
                <w:snapToGrid w:val="0"/>
                <w:color w:val="auto"/>
                <w:kern w:val="21"/>
                <w:sz w:val="21"/>
                <w:szCs w:val="21"/>
              </w:rPr>
              <w:t>/</w:t>
            </w:r>
          </w:p>
        </w:tc>
        <w:tc>
          <w:tcPr>
            <w:tcW w:w="1559" w:type="dxa"/>
            <w:shd w:val="clear" w:color="auto" w:fill="auto"/>
            <w:vAlign w:val="center"/>
          </w:tcPr>
          <w:p w14:paraId="6C113DE6">
            <w:pPr>
              <w:widowControl/>
              <w:jc w:val="center"/>
              <w:rPr>
                <w:rFonts w:hint="default" w:ascii="Times New Roman" w:hAnsi="Times New Roman" w:eastAsia="宋体" w:cs="Times New Roman"/>
                <w:bCs/>
                <w:snapToGrid w:val="0"/>
                <w:color w:val="auto"/>
                <w:spacing w:val="6"/>
                <w:kern w:val="2"/>
                <w:sz w:val="21"/>
                <w:szCs w:val="21"/>
                <w:lang w:val="en-US" w:eastAsia="zh-CN" w:bidi="ar"/>
              </w:rPr>
            </w:pPr>
            <w:r>
              <w:rPr>
                <w:rFonts w:hint="eastAsia" w:ascii="Times New Roman" w:hAnsi="Times New Roman" w:eastAsia="宋体" w:cs="Times New Roman"/>
                <w:bCs/>
                <w:snapToGrid w:val="0"/>
                <w:color w:val="auto"/>
                <w:spacing w:val="6"/>
                <w:kern w:val="2"/>
                <w:sz w:val="21"/>
                <w:szCs w:val="21"/>
                <w:lang w:val="en-US" w:eastAsia="zh-CN" w:bidi="ar"/>
              </w:rPr>
              <w:t>12.39</w:t>
            </w:r>
          </w:p>
        </w:tc>
        <w:tc>
          <w:tcPr>
            <w:tcW w:w="1761" w:type="dxa"/>
            <w:vAlign w:val="center"/>
          </w:tcPr>
          <w:p w14:paraId="3F162C5A">
            <w:pPr>
              <w:keepNext w:val="0"/>
              <w:keepLines w:val="0"/>
              <w:pageBreakBefore w:val="0"/>
              <w:widowControl/>
              <w:kinsoku/>
              <w:wordWrap/>
              <w:overflowPunct/>
              <w:topLinePunct w:val="0"/>
              <w:autoSpaceDE/>
              <w:autoSpaceDN/>
              <w:bidi w:val="0"/>
              <w:jc w:val="center"/>
              <w:rPr>
                <w:color w:val="auto"/>
                <w:sz w:val="21"/>
                <w:szCs w:val="21"/>
              </w:rPr>
            </w:pPr>
            <w:r>
              <w:rPr>
                <w:rFonts w:ascii="Times New Roman"/>
                <w:snapToGrid w:val="0"/>
                <w:color w:val="auto"/>
                <w:kern w:val="21"/>
                <w:sz w:val="21"/>
                <w:szCs w:val="21"/>
              </w:rPr>
              <w:t>/</w:t>
            </w:r>
          </w:p>
        </w:tc>
        <w:tc>
          <w:tcPr>
            <w:tcW w:w="1651" w:type="dxa"/>
            <w:shd w:val="clear" w:color="auto" w:fill="auto"/>
            <w:vAlign w:val="center"/>
          </w:tcPr>
          <w:p w14:paraId="0A839EC4">
            <w:pPr>
              <w:widowControl/>
              <w:jc w:val="center"/>
              <w:rPr>
                <w:rFonts w:hint="default" w:ascii="Times New Roman" w:hAnsi="Times New Roman" w:eastAsia="宋体" w:cs="Times New Roman"/>
                <w:bCs/>
                <w:snapToGrid w:val="0"/>
                <w:color w:val="auto"/>
                <w:spacing w:val="6"/>
                <w:kern w:val="2"/>
                <w:sz w:val="21"/>
                <w:szCs w:val="21"/>
                <w:lang w:val="en-US" w:eastAsia="zh-CN" w:bidi="ar"/>
              </w:rPr>
            </w:pPr>
            <w:r>
              <w:rPr>
                <w:rFonts w:hint="eastAsia" w:ascii="Times New Roman" w:hAnsi="Times New Roman" w:eastAsia="宋体" w:cs="Times New Roman"/>
                <w:bCs/>
                <w:snapToGrid w:val="0"/>
                <w:color w:val="auto"/>
                <w:spacing w:val="6"/>
                <w:kern w:val="2"/>
                <w:sz w:val="21"/>
                <w:szCs w:val="21"/>
                <w:lang w:val="en-US" w:eastAsia="zh-CN" w:bidi="ar"/>
              </w:rPr>
              <w:t>14.39</w:t>
            </w:r>
          </w:p>
        </w:tc>
        <w:tc>
          <w:tcPr>
            <w:tcW w:w="1134" w:type="dxa"/>
            <w:shd w:val="clear" w:color="auto" w:fill="auto"/>
            <w:vAlign w:val="center"/>
          </w:tcPr>
          <w:p w14:paraId="43FF340C">
            <w:pPr>
              <w:widowControl/>
              <w:jc w:val="center"/>
              <w:rPr>
                <w:rFonts w:hint="default" w:ascii="Times New Roman" w:hAnsi="Times New Roman" w:eastAsia="宋体" w:cs="Times New Roman"/>
                <w:bCs/>
                <w:snapToGrid w:val="0"/>
                <w:color w:val="auto"/>
                <w:spacing w:val="6"/>
                <w:kern w:val="2"/>
                <w:sz w:val="21"/>
                <w:szCs w:val="21"/>
                <w:lang w:val="en-US" w:eastAsia="zh-CN" w:bidi="ar"/>
              </w:rPr>
            </w:pPr>
            <w:r>
              <w:rPr>
                <w:rFonts w:hint="eastAsia" w:ascii="Times New Roman" w:hAnsi="Times New Roman" w:cs="Times New Roman"/>
                <w:bCs/>
                <w:snapToGrid w:val="0"/>
                <w:color w:val="auto"/>
                <w:spacing w:val="6"/>
                <w:kern w:val="2"/>
                <w:sz w:val="21"/>
                <w:szCs w:val="21"/>
                <w:lang w:val="en-US" w:eastAsia="zh-CN" w:bidi="ar"/>
              </w:rPr>
              <w:t>+</w:t>
            </w:r>
            <w:r>
              <w:rPr>
                <w:rFonts w:hint="eastAsia" w:ascii="Times New Roman" w:hAnsi="Times New Roman" w:eastAsia="宋体" w:cs="Times New Roman"/>
                <w:bCs/>
                <w:snapToGrid w:val="0"/>
                <w:color w:val="auto"/>
                <w:spacing w:val="6"/>
                <w:kern w:val="2"/>
                <w:sz w:val="21"/>
                <w:szCs w:val="21"/>
                <w:lang w:val="en-US" w:eastAsia="zh-CN" w:bidi="ar"/>
              </w:rPr>
              <w:t>12.39</w:t>
            </w:r>
          </w:p>
        </w:tc>
      </w:tr>
      <w:tr w14:paraId="0F9B1FA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72" w:hRule="atLeast"/>
        </w:trPr>
        <w:tc>
          <w:tcPr>
            <w:tcW w:w="1588" w:type="dxa"/>
            <w:gridSpan w:val="2"/>
            <w:vMerge w:val="continue"/>
            <w:vAlign w:val="center"/>
          </w:tcPr>
          <w:p w14:paraId="09946D05">
            <w:pPr>
              <w:pStyle w:val="34"/>
              <w:keepNext w:val="0"/>
              <w:keepLines w:val="0"/>
              <w:pageBreakBefore w:val="0"/>
              <w:kinsoku/>
              <w:wordWrap/>
              <w:overflowPunct/>
              <w:topLinePunct w:val="0"/>
              <w:autoSpaceDE/>
              <w:autoSpaceDN/>
              <w:bidi w:val="0"/>
              <w:spacing w:before="16" w:beforeLines="0" w:after="16" w:afterLines="0" w:line="240" w:lineRule="auto"/>
              <w:rPr>
                <w:rFonts w:ascii="Times New Roman"/>
                <w:snapToGrid w:val="0"/>
                <w:color w:val="auto"/>
                <w:kern w:val="21"/>
                <w:sz w:val="21"/>
                <w:szCs w:val="21"/>
              </w:rPr>
            </w:pPr>
          </w:p>
        </w:tc>
        <w:tc>
          <w:tcPr>
            <w:tcW w:w="1848" w:type="dxa"/>
            <w:shd w:val="clear" w:color="auto" w:fill="auto"/>
            <w:vAlign w:val="center"/>
          </w:tcPr>
          <w:p w14:paraId="279E54D3">
            <w:pPr>
              <w:pStyle w:val="34"/>
              <w:keepNext w:val="0"/>
              <w:keepLines w:val="0"/>
              <w:pageBreakBefore w:val="0"/>
              <w:kinsoku/>
              <w:wordWrap/>
              <w:overflowPunct/>
              <w:topLinePunct w:val="0"/>
              <w:autoSpaceDE/>
              <w:autoSpaceDN/>
              <w:bidi w:val="0"/>
              <w:spacing w:before="0" w:beforeLines="0" w:after="0" w:afterLines="0" w:line="240" w:lineRule="auto"/>
              <w:rPr>
                <w:rFonts w:hint="default" w:ascii="Times New Roman" w:hAnsi="宋体" w:cs="Times New Roman"/>
                <w:snapToGrid w:val="0"/>
                <w:color w:val="auto"/>
                <w:kern w:val="21"/>
                <w:sz w:val="21"/>
                <w:szCs w:val="21"/>
                <w:lang w:val="en-US" w:eastAsia="zh-CN"/>
              </w:rPr>
            </w:pPr>
            <w:r>
              <w:rPr>
                <w:rFonts w:hint="default" w:ascii="Times New Roman" w:hAnsi="宋体" w:cs="Times New Roman"/>
                <w:snapToGrid w:val="0"/>
                <w:color w:val="auto"/>
                <w:kern w:val="21"/>
                <w:sz w:val="21"/>
                <w:szCs w:val="21"/>
                <w:lang w:val="en-US" w:eastAsia="zh-CN"/>
              </w:rPr>
              <w:t>边角料</w:t>
            </w:r>
          </w:p>
        </w:tc>
        <w:tc>
          <w:tcPr>
            <w:tcW w:w="1409" w:type="dxa"/>
            <w:shd w:val="clear" w:color="auto" w:fill="auto"/>
            <w:vAlign w:val="center"/>
          </w:tcPr>
          <w:p w14:paraId="1EA1915C">
            <w:pPr>
              <w:keepNext w:val="0"/>
              <w:keepLines w:val="0"/>
              <w:widowControl/>
              <w:suppressLineNumbers w:val="0"/>
              <w:jc w:val="center"/>
              <w:textAlignment w:val="center"/>
              <w:rPr>
                <w:rFonts w:hint="default" w:ascii="Times New Roman" w:hAnsi="Times New Roman" w:eastAsia="宋体" w:cs="Times New Roman"/>
                <w:color w:val="auto"/>
                <w:kern w:val="2"/>
                <w:sz w:val="21"/>
                <w:szCs w:val="21"/>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30</w:t>
            </w:r>
          </w:p>
        </w:tc>
        <w:tc>
          <w:tcPr>
            <w:tcW w:w="1137" w:type="dxa"/>
            <w:vAlign w:val="center"/>
          </w:tcPr>
          <w:p w14:paraId="74112FC0">
            <w:pPr>
              <w:keepNext w:val="0"/>
              <w:keepLines w:val="0"/>
              <w:pageBreakBefore w:val="0"/>
              <w:kinsoku/>
              <w:wordWrap/>
              <w:overflowPunct/>
              <w:topLinePunct w:val="0"/>
              <w:autoSpaceDE/>
              <w:autoSpaceDN/>
              <w:bidi w:val="0"/>
              <w:spacing w:line="240" w:lineRule="auto"/>
              <w:jc w:val="center"/>
              <w:rPr>
                <w:rFonts w:hint="eastAsia" w:ascii="Times New Roman" w:hAnsi="Times New Roman" w:eastAsia="宋体"/>
                <w:snapToGrid w:val="0"/>
                <w:color w:val="auto"/>
                <w:kern w:val="21"/>
                <w:sz w:val="21"/>
                <w:szCs w:val="21"/>
                <w:lang w:val="en-US" w:eastAsia="zh-CN"/>
              </w:rPr>
            </w:pPr>
            <w:r>
              <w:rPr>
                <w:rFonts w:hint="eastAsia"/>
                <w:snapToGrid w:val="0"/>
                <w:color w:val="auto"/>
                <w:kern w:val="21"/>
                <w:sz w:val="21"/>
                <w:szCs w:val="21"/>
                <w:lang w:val="en-US" w:eastAsia="zh-CN"/>
              </w:rPr>
              <w:t>0</w:t>
            </w:r>
          </w:p>
        </w:tc>
        <w:tc>
          <w:tcPr>
            <w:tcW w:w="1701" w:type="dxa"/>
            <w:vAlign w:val="center"/>
          </w:tcPr>
          <w:p w14:paraId="008DB289">
            <w:pPr>
              <w:keepNext w:val="0"/>
              <w:keepLines w:val="0"/>
              <w:pageBreakBefore w:val="0"/>
              <w:kinsoku/>
              <w:wordWrap/>
              <w:overflowPunct/>
              <w:topLinePunct w:val="0"/>
              <w:autoSpaceDE/>
              <w:autoSpaceDN/>
              <w:bidi w:val="0"/>
              <w:spacing w:line="240" w:lineRule="auto"/>
              <w:jc w:val="center"/>
              <w:rPr>
                <w:rFonts w:ascii="Times New Roman" w:hAnsi="Times New Roman"/>
                <w:snapToGrid w:val="0"/>
                <w:color w:val="auto"/>
                <w:kern w:val="21"/>
                <w:sz w:val="21"/>
                <w:szCs w:val="21"/>
              </w:rPr>
            </w:pPr>
            <w:r>
              <w:rPr>
                <w:rFonts w:ascii="Times New Roman"/>
                <w:snapToGrid w:val="0"/>
                <w:color w:val="auto"/>
                <w:kern w:val="21"/>
                <w:sz w:val="21"/>
                <w:szCs w:val="21"/>
              </w:rPr>
              <w:t>/</w:t>
            </w:r>
          </w:p>
        </w:tc>
        <w:tc>
          <w:tcPr>
            <w:tcW w:w="1559" w:type="dxa"/>
            <w:shd w:val="clear" w:color="auto" w:fill="auto"/>
            <w:vAlign w:val="center"/>
          </w:tcPr>
          <w:p w14:paraId="220F7E64">
            <w:pPr>
              <w:widowControl/>
              <w:jc w:val="center"/>
              <w:rPr>
                <w:rFonts w:hint="eastAsia" w:ascii="Times New Roman" w:hAnsi="Times New Roman" w:eastAsia="宋体" w:cs="Times New Roman"/>
                <w:bCs/>
                <w:snapToGrid w:val="0"/>
                <w:color w:val="auto"/>
                <w:spacing w:val="6"/>
                <w:kern w:val="2"/>
                <w:sz w:val="21"/>
                <w:szCs w:val="21"/>
                <w:lang w:val="en-US" w:eastAsia="zh-CN" w:bidi="ar"/>
              </w:rPr>
            </w:pPr>
            <w:r>
              <w:rPr>
                <w:rFonts w:hint="eastAsia" w:ascii="Times New Roman" w:hAnsi="Times New Roman" w:eastAsia="宋体" w:cs="Times New Roman"/>
                <w:bCs/>
                <w:snapToGrid w:val="0"/>
                <w:color w:val="auto"/>
                <w:spacing w:val="6"/>
                <w:kern w:val="2"/>
                <w:sz w:val="21"/>
                <w:szCs w:val="21"/>
                <w:lang w:val="en-US" w:eastAsia="zh-CN" w:bidi="ar"/>
              </w:rPr>
              <w:t>10</w:t>
            </w:r>
            <w:r>
              <w:rPr>
                <w:rFonts w:hint="eastAsia" w:cs="Times New Roman"/>
                <w:bCs/>
                <w:snapToGrid w:val="0"/>
                <w:color w:val="auto"/>
                <w:spacing w:val="6"/>
                <w:kern w:val="2"/>
                <w:sz w:val="21"/>
                <w:szCs w:val="21"/>
                <w:lang w:val="en-US" w:eastAsia="zh-CN" w:bidi="ar"/>
              </w:rPr>
              <w:t>0</w:t>
            </w:r>
          </w:p>
        </w:tc>
        <w:tc>
          <w:tcPr>
            <w:tcW w:w="1761" w:type="dxa"/>
            <w:vAlign w:val="center"/>
          </w:tcPr>
          <w:p w14:paraId="346DEAFC">
            <w:pPr>
              <w:keepNext w:val="0"/>
              <w:keepLines w:val="0"/>
              <w:pageBreakBefore w:val="0"/>
              <w:widowControl/>
              <w:kinsoku/>
              <w:wordWrap/>
              <w:overflowPunct/>
              <w:topLinePunct w:val="0"/>
              <w:autoSpaceDE/>
              <w:autoSpaceDN/>
              <w:bidi w:val="0"/>
              <w:jc w:val="center"/>
              <w:rPr>
                <w:color w:val="auto"/>
                <w:sz w:val="21"/>
                <w:szCs w:val="21"/>
              </w:rPr>
            </w:pPr>
            <w:r>
              <w:rPr>
                <w:rFonts w:ascii="Times New Roman"/>
                <w:snapToGrid w:val="0"/>
                <w:color w:val="auto"/>
                <w:kern w:val="21"/>
                <w:sz w:val="21"/>
                <w:szCs w:val="21"/>
              </w:rPr>
              <w:t>/</w:t>
            </w:r>
          </w:p>
        </w:tc>
        <w:tc>
          <w:tcPr>
            <w:tcW w:w="1651" w:type="dxa"/>
            <w:shd w:val="clear" w:color="auto" w:fill="auto"/>
            <w:vAlign w:val="center"/>
          </w:tcPr>
          <w:p w14:paraId="17AB0A74">
            <w:pPr>
              <w:widowControl/>
              <w:jc w:val="center"/>
              <w:rPr>
                <w:rFonts w:hint="eastAsia" w:ascii="Times New Roman" w:hAnsi="Times New Roman" w:eastAsia="宋体" w:cs="Times New Roman"/>
                <w:bCs/>
                <w:snapToGrid w:val="0"/>
                <w:color w:val="auto"/>
                <w:spacing w:val="6"/>
                <w:kern w:val="2"/>
                <w:sz w:val="21"/>
                <w:szCs w:val="21"/>
                <w:lang w:val="en-US" w:eastAsia="zh-CN" w:bidi="ar"/>
              </w:rPr>
            </w:pPr>
            <w:r>
              <w:rPr>
                <w:rFonts w:hint="eastAsia" w:ascii="Times New Roman" w:hAnsi="Times New Roman" w:eastAsia="宋体" w:cs="Times New Roman"/>
                <w:bCs/>
                <w:snapToGrid w:val="0"/>
                <w:color w:val="auto"/>
                <w:spacing w:val="6"/>
                <w:kern w:val="2"/>
                <w:sz w:val="21"/>
                <w:szCs w:val="21"/>
                <w:lang w:val="en-US" w:eastAsia="zh-CN" w:bidi="ar"/>
              </w:rPr>
              <w:t>130</w:t>
            </w:r>
          </w:p>
        </w:tc>
        <w:tc>
          <w:tcPr>
            <w:tcW w:w="1134" w:type="dxa"/>
            <w:shd w:val="clear" w:color="auto" w:fill="auto"/>
            <w:vAlign w:val="center"/>
          </w:tcPr>
          <w:p w14:paraId="6FD74B6E">
            <w:pPr>
              <w:widowControl/>
              <w:jc w:val="center"/>
              <w:rPr>
                <w:rFonts w:hint="eastAsia" w:ascii="Times New Roman" w:hAnsi="Times New Roman" w:eastAsia="宋体" w:cs="Times New Roman"/>
                <w:bCs/>
                <w:snapToGrid w:val="0"/>
                <w:color w:val="auto"/>
                <w:spacing w:val="6"/>
                <w:kern w:val="2"/>
                <w:sz w:val="21"/>
                <w:szCs w:val="21"/>
                <w:lang w:val="en-US" w:eastAsia="zh-CN" w:bidi="ar"/>
              </w:rPr>
            </w:pPr>
            <w:r>
              <w:rPr>
                <w:rFonts w:hint="eastAsia" w:ascii="Times New Roman" w:hAnsi="Times New Roman" w:cs="Times New Roman"/>
                <w:bCs/>
                <w:snapToGrid w:val="0"/>
                <w:color w:val="auto"/>
                <w:spacing w:val="6"/>
                <w:kern w:val="2"/>
                <w:sz w:val="21"/>
                <w:szCs w:val="21"/>
                <w:lang w:val="en-US" w:eastAsia="zh-CN" w:bidi="ar"/>
              </w:rPr>
              <w:t>+</w:t>
            </w:r>
            <w:r>
              <w:rPr>
                <w:rFonts w:hint="eastAsia" w:ascii="Times New Roman" w:hAnsi="Times New Roman" w:eastAsia="宋体" w:cs="Times New Roman"/>
                <w:bCs/>
                <w:snapToGrid w:val="0"/>
                <w:color w:val="auto"/>
                <w:spacing w:val="6"/>
                <w:kern w:val="2"/>
                <w:sz w:val="21"/>
                <w:szCs w:val="21"/>
                <w:lang w:val="en-US" w:eastAsia="zh-CN" w:bidi="ar"/>
              </w:rPr>
              <w:t>10</w:t>
            </w:r>
            <w:r>
              <w:rPr>
                <w:rFonts w:hint="eastAsia" w:cs="Times New Roman"/>
                <w:bCs/>
                <w:snapToGrid w:val="0"/>
                <w:color w:val="auto"/>
                <w:spacing w:val="6"/>
                <w:kern w:val="2"/>
                <w:sz w:val="21"/>
                <w:szCs w:val="21"/>
                <w:lang w:val="en-US" w:eastAsia="zh-CN" w:bidi="ar"/>
              </w:rPr>
              <w:t>0</w:t>
            </w:r>
          </w:p>
        </w:tc>
      </w:tr>
      <w:tr w14:paraId="558BDE0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588" w:type="dxa"/>
            <w:gridSpan w:val="2"/>
            <w:vMerge w:val="continue"/>
            <w:vAlign w:val="center"/>
          </w:tcPr>
          <w:p w14:paraId="7B981ADA">
            <w:pPr>
              <w:pStyle w:val="34"/>
              <w:keepNext w:val="0"/>
              <w:keepLines w:val="0"/>
              <w:pageBreakBefore w:val="0"/>
              <w:kinsoku/>
              <w:wordWrap/>
              <w:overflowPunct/>
              <w:topLinePunct w:val="0"/>
              <w:autoSpaceDE/>
              <w:autoSpaceDN/>
              <w:bidi w:val="0"/>
              <w:spacing w:before="16" w:beforeLines="0" w:after="16" w:afterLines="0" w:line="240" w:lineRule="auto"/>
              <w:rPr>
                <w:rFonts w:ascii="Times New Roman"/>
                <w:snapToGrid w:val="0"/>
                <w:color w:val="auto"/>
                <w:kern w:val="21"/>
                <w:sz w:val="21"/>
                <w:szCs w:val="21"/>
              </w:rPr>
            </w:pPr>
          </w:p>
        </w:tc>
        <w:tc>
          <w:tcPr>
            <w:tcW w:w="1848" w:type="dxa"/>
            <w:shd w:val="clear" w:color="auto" w:fill="auto"/>
            <w:vAlign w:val="center"/>
          </w:tcPr>
          <w:p w14:paraId="278631FE">
            <w:pPr>
              <w:pStyle w:val="34"/>
              <w:keepNext w:val="0"/>
              <w:keepLines w:val="0"/>
              <w:pageBreakBefore w:val="0"/>
              <w:kinsoku/>
              <w:wordWrap/>
              <w:overflowPunct/>
              <w:topLinePunct w:val="0"/>
              <w:autoSpaceDE/>
              <w:autoSpaceDN/>
              <w:bidi w:val="0"/>
              <w:spacing w:before="0" w:beforeLines="0" w:after="0" w:afterLines="0" w:line="240" w:lineRule="auto"/>
              <w:rPr>
                <w:rFonts w:hint="default" w:ascii="Times New Roman" w:hAnsi="宋体" w:cs="Times New Roman"/>
                <w:snapToGrid w:val="0"/>
                <w:color w:val="auto"/>
                <w:kern w:val="21"/>
                <w:sz w:val="21"/>
                <w:szCs w:val="21"/>
                <w:lang w:val="en-US" w:eastAsia="zh-CN"/>
              </w:rPr>
            </w:pPr>
            <w:r>
              <w:rPr>
                <w:rFonts w:hint="default" w:ascii="Times New Roman" w:hAnsi="宋体" w:cs="Times New Roman"/>
                <w:snapToGrid w:val="0"/>
                <w:color w:val="auto"/>
                <w:kern w:val="21"/>
                <w:sz w:val="21"/>
                <w:szCs w:val="21"/>
                <w:lang w:val="en-US" w:eastAsia="zh-CN"/>
              </w:rPr>
              <w:t>废布袋</w:t>
            </w:r>
          </w:p>
        </w:tc>
        <w:tc>
          <w:tcPr>
            <w:tcW w:w="1409" w:type="dxa"/>
            <w:shd w:val="clear" w:color="auto" w:fill="auto"/>
            <w:vAlign w:val="center"/>
          </w:tcPr>
          <w:p w14:paraId="110DD438">
            <w:pPr>
              <w:keepNext w:val="0"/>
              <w:keepLines w:val="0"/>
              <w:widowControl/>
              <w:suppressLineNumbers w:val="0"/>
              <w:jc w:val="center"/>
              <w:textAlignment w:val="center"/>
              <w:rPr>
                <w:rFonts w:hint="default" w:ascii="Times New Roman" w:hAnsi="Times New Roman" w:eastAsia="宋体" w:cs="Times New Roman"/>
                <w:color w:val="auto"/>
                <w:kern w:val="2"/>
                <w:sz w:val="21"/>
                <w:szCs w:val="21"/>
                <w:lang w:val="en-US" w:eastAsia="zh-CN" w:bidi="ar"/>
              </w:rPr>
            </w:pPr>
            <w:r>
              <w:rPr>
                <w:rFonts w:ascii="Times New Roman"/>
                <w:snapToGrid w:val="0"/>
                <w:color w:val="auto"/>
                <w:kern w:val="21"/>
                <w:sz w:val="21"/>
                <w:szCs w:val="21"/>
              </w:rPr>
              <w:t>/</w:t>
            </w:r>
          </w:p>
        </w:tc>
        <w:tc>
          <w:tcPr>
            <w:tcW w:w="1137" w:type="dxa"/>
            <w:shd w:val="clear" w:color="auto" w:fill="auto"/>
            <w:vAlign w:val="center"/>
          </w:tcPr>
          <w:p w14:paraId="5E3B171D">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eastAsia="黑体" w:cs="Times New Roman"/>
                <w:snapToGrid w:val="0"/>
                <w:color w:val="auto"/>
                <w:spacing w:val="-10"/>
                <w:kern w:val="21"/>
                <w:sz w:val="21"/>
                <w:szCs w:val="21"/>
                <w:lang w:val="en-US" w:eastAsia="zh-CN" w:bidi="ar-SA"/>
              </w:rPr>
            </w:pPr>
            <w:r>
              <w:rPr>
                <w:rFonts w:ascii="Times New Roman"/>
                <w:snapToGrid w:val="0"/>
                <w:color w:val="auto"/>
                <w:kern w:val="21"/>
                <w:sz w:val="21"/>
                <w:szCs w:val="21"/>
              </w:rPr>
              <w:t>/</w:t>
            </w:r>
          </w:p>
        </w:tc>
        <w:tc>
          <w:tcPr>
            <w:tcW w:w="1701" w:type="dxa"/>
            <w:shd w:val="clear" w:color="auto" w:fill="auto"/>
            <w:vAlign w:val="center"/>
          </w:tcPr>
          <w:p w14:paraId="2D9981C8">
            <w:pPr>
              <w:keepNext w:val="0"/>
              <w:keepLines w:val="0"/>
              <w:pageBreakBefore w:val="0"/>
              <w:kinsoku/>
              <w:wordWrap/>
              <w:overflowPunct/>
              <w:topLinePunct w:val="0"/>
              <w:autoSpaceDE/>
              <w:autoSpaceDN/>
              <w:bidi w:val="0"/>
              <w:spacing w:line="240" w:lineRule="auto"/>
              <w:ind w:firstLine="0" w:firstLineChars="0"/>
              <w:jc w:val="center"/>
              <w:rPr>
                <w:rFonts w:ascii="Times New Roman" w:hAnsi="Times New Roman" w:eastAsia="黑体" w:cs="Times New Roman"/>
                <w:snapToGrid w:val="0"/>
                <w:color w:val="auto"/>
                <w:spacing w:val="-10"/>
                <w:kern w:val="21"/>
                <w:sz w:val="21"/>
                <w:szCs w:val="21"/>
                <w:lang w:val="en-US" w:eastAsia="zh-CN" w:bidi="ar-SA"/>
              </w:rPr>
            </w:pPr>
            <w:r>
              <w:rPr>
                <w:rFonts w:ascii="Times New Roman"/>
                <w:snapToGrid w:val="0"/>
                <w:color w:val="auto"/>
                <w:kern w:val="21"/>
                <w:sz w:val="21"/>
                <w:szCs w:val="21"/>
              </w:rPr>
              <w:t>/</w:t>
            </w:r>
          </w:p>
        </w:tc>
        <w:tc>
          <w:tcPr>
            <w:tcW w:w="1559" w:type="dxa"/>
            <w:shd w:val="clear" w:color="auto" w:fill="auto"/>
            <w:vAlign w:val="center"/>
          </w:tcPr>
          <w:p w14:paraId="7DF2DEA2">
            <w:pPr>
              <w:widowControl/>
              <w:jc w:val="center"/>
              <w:rPr>
                <w:rFonts w:hint="eastAsia" w:ascii="Times New Roman" w:hAnsi="Times New Roman" w:eastAsia="宋体" w:cs="Times New Roman"/>
                <w:bCs/>
                <w:snapToGrid w:val="0"/>
                <w:color w:val="auto"/>
                <w:spacing w:val="6"/>
                <w:kern w:val="2"/>
                <w:sz w:val="21"/>
                <w:szCs w:val="21"/>
                <w:lang w:val="en-US" w:eastAsia="zh-CN" w:bidi="ar"/>
              </w:rPr>
            </w:pPr>
            <w:r>
              <w:rPr>
                <w:rFonts w:hint="eastAsia" w:cs="Times New Roman"/>
                <w:bCs/>
                <w:snapToGrid w:val="0"/>
                <w:color w:val="auto"/>
                <w:spacing w:val="6"/>
                <w:kern w:val="2"/>
                <w:sz w:val="21"/>
                <w:szCs w:val="21"/>
                <w:lang w:val="en-US" w:eastAsia="zh-CN" w:bidi="ar"/>
              </w:rPr>
              <w:t>0.05</w:t>
            </w:r>
          </w:p>
        </w:tc>
        <w:tc>
          <w:tcPr>
            <w:tcW w:w="1761" w:type="dxa"/>
            <w:vAlign w:val="center"/>
          </w:tcPr>
          <w:p w14:paraId="4FAA5A2B">
            <w:pPr>
              <w:keepNext w:val="0"/>
              <w:keepLines w:val="0"/>
              <w:pageBreakBefore w:val="0"/>
              <w:widowControl/>
              <w:kinsoku/>
              <w:wordWrap/>
              <w:overflowPunct/>
              <w:topLinePunct w:val="0"/>
              <w:autoSpaceDE/>
              <w:autoSpaceDN/>
              <w:bidi w:val="0"/>
              <w:jc w:val="center"/>
              <w:rPr>
                <w:rFonts w:hint="eastAsia"/>
                <w:color w:val="auto"/>
                <w:sz w:val="21"/>
                <w:szCs w:val="21"/>
              </w:rPr>
            </w:pPr>
            <w:r>
              <w:rPr>
                <w:rFonts w:ascii="Times New Roman"/>
                <w:snapToGrid w:val="0"/>
                <w:color w:val="auto"/>
                <w:kern w:val="21"/>
                <w:sz w:val="21"/>
                <w:szCs w:val="21"/>
              </w:rPr>
              <w:t>/</w:t>
            </w:r>
          </w:p>
        </w:tc>
        <w:tc>
          <w:tcPr>
            <w:tcW w:w="1651" w:type="dxa"/>
            <w:shd w:val="clear" w:color="auto" w:fill="auto"/>
            <w:vAlign w:val="center"/>
          </w:tcPr>
          <w:p w14:paraId="53ECFD60">
            <w:pPr>
              <w:widowControl/>
              <w:jc w:val="center"/>
              <w:rPr>
                <w:rFonts w:hint="eastAsia" w:ascii="Times New Roman" w:hAnsi="Times New Roman" w:eastAsia="宋体" w:cs="Times New Roman"/>
                <w:bCs/>
                <w:snapToGrid w:val="0"/>
                <w:color w:val="auto"/>
                <w:spacing w:val="6"/>
                <w:kern w:val="2"/>
                <w:sz w:val="21"/>
                <w:szCs w:val="21"/>
                <w:lang w:val="en-US" w:eastAsia="zh-CN" w:bidi="ar"/>
              </w:rPr>
            </w:pPr>
            <w:r>
              <w:rPr>
                <w:rFonts w:hint="eastAsia" w:cs="Times New Roman"/>
                <w:bCs/>
                <w:snapToGrid w:val="0"/>
                <w:color w:val="auto"/>
                <w:spacing w:val="6"/>
                <w:kern w:val="2"/>
                <w:sz w:val="21"/>
                <w:szCs w:val="21"/>
                <w:lang w:val="en-US" w:eastAsia="zh-CN" w:bidi="ar"/>
              </w:rPr>
              <w:t>0.05</w:t>
            </w:r>
          </w:p>
        </w:tc>
        <w:tc>
          <w:tcPr>
            <w:tcW w:w="1134" w:type="dxa"/>
            <w:shd w:val="clear" w:color="auto" w:fill="auto"/>
            <w:vAlign w:val="center"/>
          </w:tcPr>
          <w:p w14:paraId="06E2B6C8">
            <w:pPr>
              <w:widowControl/>
              <w:jc w:val="center"/>
              <w:rPr>
                <w:rFonts w:hint="eastAsia" w:ascii="Times New Roman" w:hAnsi="Times New Roman" w:eastAsia="宋体" w:cs="Times New Roman"/>
                <w:bCs/>
                <w:snapToGrid w:val="0"/>
                <w:color w:val="auto"/>
                <w:spacing w:val="6"/>
                <w:kern w:val="2"/>
                <w:sz w:val="21"/>
                <w:szCs w:val="21"/>
                <w:lang w:val="en-US" w:eastAsia="zh-CN" w:bidi="ar"/>
              </w:rPr>
            </w:pPr>
            <w:r>
              <w:rPr>
                <w:rFonts w:hint="eastAsia" w:cs="Times New Roman"/>
                <w:bCs/>
                <w:snapToGrid w:val="0"/>
                <w:color w:val="auto"/>
                <w:spacing w:val="6"/>
                <w:kern w:val="2"/>
                <w:sz w:val="21"/>
                <w:szCs w:val="21"/>
                <w:lang w:val="en-US" w:eastAsia="zh-CN" w:bidi="ar"/>
              </w:rPr>
              <w:t>+0.05</w:t>
            </w:r>
          </w:p>
        </w:tc>
      </w:tr>
      <w:tr w14:paraId="4854672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588" w:type="dxa"/>
            <w:gridSpan w:val="2"/>
            <w:vMerge w:val="continue"/>
            <w:vAlign w:val="center"/>
          </w:tcPr>
          <w:p w14:paraId="4B38F2B6">
            <w:pPr>
              <w:pStyle w:val="34"/>
              <w:keepNext w:val="0"/>
              <w:keepLines w:val="0"/>
              <w:pageBreakBefore w:val="0"/>
              <w:kinsoku/>
              <w:wordWrap/>
              <w:overflowPunct/>
              <w:topLinePunct w:val="0"/>
              <w:autoSpaceDE/>
              <w:autoSpaceDN/>
              <w:bidi w:val="0"/>
              <w:spacing w:before="16" w:beforeLines="0" w:after="16" w:afterLines="0" w:line="240" w:lineRule="auto"/>
              <w:rPr>
                <w:rFonts w:ascii="Times New Roman"/>
                <w:snapToGrid w:val="0"/>
                <w:color w:val="auto"/>
                <w:kern w:val="21"/>
                <w:sz w:val="21"/>
                <w:szCs w:val="21"/>
              </w:rPr>
            </w:pPr>
          </w:p>
        </w:tc>
        <w:tc>
          <w:tcPr>
            <w:tcW w:w="1848" w:type="dxa"/>
            <w:shd w:val="clear" w:color="auto" w:fill="auto"/>
            <w:vAlign w:val="center"/>
          </w:tcPr>
          <w:p w14:paraId="1D7E6C66">
            <w:pPr>
              <w:pStyle w:val="34"/>
              <w:keepNext w:val="0"/>
              <w:keepLines w:val="0"/>
              <w:pageBreakBefore w:val="0"/>
              <w:kinsoku/>
              <w:wordWrap/>
              <w:overflowPunct/>
              <w:topLinePunct w:val="0"/>
              <w:autoSpaceDE/>
              <w:autoSpaceDN/>
              <w:bidi w:val="0"/>
              <w:spacing w:before="0" w:beforeLines="0" w:after="0" w:afterLines="0" w:line="240" w:lineRule="auto"/>
              <w:rPr>
                <w:rFonts w:hint="default" w:ascii="Times New Roman" w:hAnsi="宋体" w:cs="Times New Roman"/>
                <w:snapToGrid w:val="0"/>
                <w:color w:val="auto"/>
                <w:kern w:val="21"/>
                <w:sz w:val="21"/>
                <w:szCs w:val="21"/>
                <w:lang w:val="en-US" w:eastAsia="zh-CN"/>
              </w:rPr>
            </w:pPr>
            <w:r>
              <w:rPr>
                <w:rFonts w:hint="default" w:ascii="Times New Roman" w:hAnsi="宋体" w:cs="Times New Roman"/>
                <w:snapToGrid w:val="0"/>
                <w:color w:val="auto"/>
                <w:kern w:val="21"/>
                <w:sz w:val="21"/>
                <w:szCs w:val="21"/>
                <w:lang w:val="en-US" w:eastAsia="zh-CN"/>
              </w:rPr>
              <w:t>收集尘</w:t>
            </w:r>
          </w:p>
        </w:tc>
        <w:tc>
          <w:tcPr>
            <w:tcW w:w="1409" w:type="dxa"/>
            <w:shd w:val="clear" w:color="auto" w:fill="auto"/>
            <w:vAlign w:val="center"/>
          </w:tcPr>
          <w:p w14:paraId="49E6F18F">
            <w:pPr>
              <w:keepNext w:val="0"/>
              <w:keepLines w:val="0"/>
              <w:widowControl/>
              <w:suppressLineNumbers w:val="0"/>
              <w:jc w:val="center"/>
              <w:textAlignment w:val="center"/>
              <w:rPr>
                <w:rFonts w:hint="default" w:ascii="Times New Roman" w:hAnsi="Times New Roman" w:eastAsia="宋体" w:cs="Times New Roman"/>
                <w:color w:val="auto"/>
                <w:kern w:val="2"/>
                <w:sz w:val="21"/>
                <w:szCs w:val="21"/>
                <w:lang w:val="en-US" w:eastAsia="zh-CN" w:bidi="ar"/>
              </w:rPr>
            </w:pPr>
            <w:r>
              <w:rPr>
                <w:rFonts w:ascii="Times New Roman"/>
                <w:snapToGrid w:val="0"/>
                <w:color w:val="auto"/>
                <w:kern w:val="21"/>
                <w:sz w:val="21"/>
                <w:szCs w:val="21"/>
              </w:rPr>
              <w:t>/</w:t>
            </w:r>
          </w:p>
        </w:tc>
        <w:tc>
          <w:tcPr>
            <w:tcW w:w="1137" w:type="dxa"/>
            <w:vAlign w:val="center"/>
          </w:tcPr>
          <w:p w14:paraId="4E63C386">
            <w:pPr>
              <w:keepNext w:val="0"/>
              <w:keepLines w:val="0"/>
              <w:pageBreakBefore w:val="0"/>
              <w:kinsoku/>
              <w:wordWrap/>
              <w:overflowPunct/>
              <w:topLinePunct w:val="0"/>
              <w:autoSpaceDE/>
              <w:autoSpaceDN/>
              <w:bidi w:val="0"/>
              <w:spacing w:line="240" w:lineRule="auto"/>
              <w:jc w:val="center"/>
              <w:rPr>
                <w:rFonts w:hint="eastAsia" w:ascii="Times New Roman" w:hAnsi="Times New Roman" w:eastAsia="宋体"/>
                <w:snapToGrid w:val="0"/>
                <w:color w:val="auto"/>
                <w:kern w:val="21"/>
                <w:sz w:val="21"/>
                <w:szCs w:val="21"/>
                <w:lang w:val="en-US" w:eastAsia="zh-CN"/>
              </w:rPr>
            </w:pPr>
            <w:r>
              <w:rPr>
                <w:rFonts w:ascii="Times New Roman"/>
                <w:snapToGrid w:val="0"/>
                <w:color w:val="auto"/>
                <w:kern w:val="21"/>
                <w:sz w:val="21"/>
                <w:szCs w:val="21"/>
              </w:rPr>
              <w:t>/</w:t>
            </w:r>
          </w:p>
        </w:tc>
        <w:tc>
          <w:tcPr>
            <w:tcW w:w="1701" w:type="dxa"/>
            <w:vAlign w:val="center"/>
          </w:tcPr>
          <w:p w14:paraId="57EAD478">
            <w:pPr>
              <w:keepNext w:val="0"/>
              <w:keepLines w:val="0"/>
              <w:pageBreakBefore w:val="0"/>
              <w:kinsoku/>
              <w:wordWrap/>
              <w:overflowPunct/>
              <w:topLinePunct w:val="0"/>
              <w:autoSpaceDE/>
              <w:autoSpaceDN/>
              <w:bidi w:val="0"/>
              <w:spacing w:line="240" w:lineRule="auto"/>
              <w:jc w:val="center"/>
              <w:rPr>
                <w:rFonts w:ascii="Times New Roman" w:hAnsi="Times New Roman"/>
                <w:snapToGrid w:val="0"/>
                <w:color w:val="auto"/>
                <w:kern w:val="21"/>
                <w:sz w:val="21"/>
                <w:szCs w:val="21"/>
              </w:rPr>
            </w:pPr>
            <w:r>
              <w:rPr>
                <w:rFonts w:ascii="Times New Roman"/>
                <w:snapToGrid w:val="0"/>
                <w:color w:val="auto"/>
                <w:kern w:val="21"/>
                <w:sz w:val="21"/>
                <w:szCs w:val="21"/>
              </w:rPr>
              <w:t>/</w:t>
            </w:r>
          </w:p>
        </w:tc>
        <w:tc>
          <w:tcPr>
            <w:tcW w:w="1559" w:type="dxa"/>
            <w:shd w:val="clear" w:color="auto" w:fill="auto"/>
            <w:vAlign w:val="center"/>
          </w:tcPr>
          <w:p w14:paraId="00776D91">
            <w:pPr>
              <w:widowControl/>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0.1637</w:t>
            </w:r>
          </w:p>
        </w:tc>
        <w:tc>
          <w:tcPr>
            <w:tcW w:w="1761" w:type="dxa"/>
            <w:vAlign w:val="center"/>
          </w:tcPr>
          <w:p w14:paraId="2CB2FC7C">
            <w:pPr>
              <w:keepNext w:val="0"/>
              <w:keepLines w:val="0"/>
              <w:pageBreakBefore w:val="0"/>
              <w:widowControl/>
              <w:kinsoku/>
              <w:wordWrap/>
              <w:overflowPunct/>
              <w:topLinePunct w:val="0"/>
              <w:autoSpaceDE/>
              <w:autoSpaceDN/>
              <w:bidi w:val="0"/>
              <w:jc w:val="center"/>
              <w:rPr>
                <w:color w:val="auto"/>
                <w:sz w:val="21"/>
                <w:szCs w:val="21"/>
              </w:rPr>
            </w:pPr>
            <w:r>
              <w:rPr>
                <w:rFonts w:ascii="Times New Roman"/>
                <w:snapToGrid w:val="0"/>
                <w:color w:val="auto"/>
                <w:kern w:val="21"/>
                <w:sz w:val="21"/>
                <w:szCs w:val="21"/>
              </w:rPr>
              <w:t>/</w:t>
            </w:r>
          </w:p>
        </w:tc>
        <w:tc>
          <w:tcPr>
            <w:tcW w:w="1651" w:type="dxa"/>
            <w:shd w:val="clear" w:color="auto" w:fill="auto"/>
            <w:vAlign w:val="center"/>
          </w:tcPr>
          <w:p w14:paraId="6368DDE3">
            <w:pPr>
              <w:widowControl/>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0.1637</w:t>
            </w:r>
          </w:p>
        </w:tc>
        <w:tc>
          <w:tcPr>
            <w:tcW w:w="1134" w:type="dxa"/>
            <w:shd w:val="clear" w:color="auto" w:fill="auto"/>
            <w:vAlign w:val="center"/>
          </w:tcPr>
          <w:p w14:paraId="2A34986F">
            <w:pPr>
              <w:widowControl/>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kern w:val="2"/>
                <w:sz w:val="21"/>
                <w:szCs w:val="21"/>
                <w:lang w:val="en-US" w:eastAsia="zh-CN" w:bidi="ar-SA"/>
              </w:rPr>
              <w:t>+</w:t>
            </w:r>
            <w:r>
              <w:rPr>
                <w:rFonts w:hint="eastAsia" w:ascii="Times New Roman" w:hAnsi="Times New Roman" w:eastAsia="宋体" w:cs="Times New Roman"/>
                <w:color w:val="auto"/>
                <w:kern w:val="2"/>
                <w:sz w:val="21"/>
                <w:szCs w:val="21"/>
                <w:lang w:val="en-US" w:eastAsia="zh-CN" w:bidi="ar-SA"/>
              </w:rPr>
              <w:t>0.1637</w:t>
            </w:r>
          </w:p>
        </w:tc>
      </w:tr>
      <w:tr w14:paraId="6A83A2E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588" w:type="dxa"/>
            <w:gridSpan w:val="2"/>
            <w:vMerge w:val="continue"/>
            <w:vAlign w:val="center"/>
          </w:tcPr>
          <w:p w14:paraId="032CD104">
            <w:pPr>
              <w:pStyle w:val="34"/>
              <w:keepNext w:val="0"/>
              <w:keepLines w:val="0"/>
              <w:pageBreakBefore w:val="0"/>
              <w:kinsoku/>
              <w:wordWrap/>
              <w:overflowPunct/>
              <w:topLinePunct w:val="0"/>
              <w:autoSpaceDE/>
              <w:autoSpaceDN/>
              <w:bidi w:val="0"/>
              <w:spacing w:before="16" w:beforeLines="0" w:after="16" w:afterLines="0" w:line="240" w:lineRule="auto"/>
              <w:rPr>
                <w:rFonts w:ascii="Times New Roman"/>
                <w:snapToGrid w:val="0"/>
                <w:color w:val="auto"/>
                <w:kern w:val="21"/>
                <w:sz w:val="21"/>
                <w:szCs w:val="21"/>
              </w:rPr>
            </w:pPr>
          </w:p>
        </w:tc>
        <w:tc>
          <w:tcPr>
            <w:tcW w:w="1848" w:type="dxa"/>
            <w:shd w:val="clear" w:color="auto" w:fill="auto"/>
            <w:vAlign w:val="center"/>
          </w:tcPr>
          <w:p w14:paraId="6B83A749">
            <w:pPr>
              <w:pStyle w:val="34"/>
              <w:keepNext w:val="0"/>
              <w:keepLines w:val="0"/>
              <w:pageBreakBefore w:val="0"/>
              <w:kinsoku/>
              <w:wordWrap/>
              <w:overflowPunct/>
              <w:topLinePunct w:val="0"/>
              <w:autoSpaceDE/>
              <w:autoSpaceDN/>
              <w:bidi w:val="0"/>
              <w:spacing w:before="0" w:beforeLines="0" w:after="0" w:afterLines="0" w:line="240" w:lineRule="auto"/>
              <w:rPr>
                <w:rFonts w:hint="default" w:ascii="Times New Roman" w:hAnsi="宋体" w:cs="Times New Roman"/>
                <w:snapToGrid w:val="0"/>
                <w:color w:val="auto"/>
                <w:kern w:val="21"/>
                <w:sz w:val="21"/>
                <w:szCs w:val="21"/>
                <w:lang w:val="en-US" w:eastAsia="zh-CN"/>
              </w:rPr>
            </w:pPr>
            <w:r>
              <w:rPr>
                <w:rFonts w:hint="default" w:ascii="Times New Roman" w:hAnsi="宋体" w:cs="Times New Roman"/>
                <w:snapToGrid w:val="0"/>
                <w:color w:val="auto"/>
                <w:kern w:val="21"/>
                <w:sz w:val="21"/>
                <w:szCs w:val="21"/>
                <w:lang w:val="en-US" w:eastAsia="zh-CN"/>
              </w:rPr>
              <w:t>废包装材料</w:t>
            </w:r>
          </w:p>
        </w:tc>
        <w:tc>
          <w:tcPr>
            <w:tcW w:w="1409" w:type="dxa"/>
            <w:shd w:val="clear" w:color="auto" w:fill="auto"/>
            <w:vAlign w:val="center"/>
          </w:tcPr>
          <w:p w14:paraId="2821140B">
            <w:pPr>
              <w:keepNext w:val="0"/>
              <w:keepLines w:val="0"/>
              <w:widowControl/>
              <w:suppressLineNumbers w:val="0"/>
              <w:jc w:val="center"/>
              <w:textAlignment w:val="center"/>
              <w:rPr>
                <w:rFonts w:hint="default" w:ascii="Times New Roman" w:hAnsi="Times New Roman" w:eastAsia="宋体" w:cs="Times New Roman"/>
                <w:color w:val="auto"/>
                <w:kern w:val="2"/>
                <w:sz w:val="21"/>
                <w:szCs w:val="21"/>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0.15</w:t>
            </w:r>
          </w:p>
        </w:tc>
        <w:tc>
          <w:tcPr>
            <w:tcW w:w="1137" w:type="dxa"/>
            <w:vAlign w:val="center"/>
          </w:tcPr>
          <w:p w14:paraId="08546ECA">
            <w:pPr>
              <w:keepNext w:val="0"/>
              <w:keepLines w:val="0"/>
              <w:pageBreakBefore w:val="0"/>
              <w:kinsoku/>
              <w:wordWrap/>
              <w:overflowPunct/>
              <w:topLinePunct w:val="0"/>
              <w:autoSpaceDE/>
              <w:autoSpaceDN/>
              <w:bidi w:val="0"/>
              <w:spacing w:line="240" w:lineRule="auto"/>
              <w:jc w:val="center"/>
              <w:rPr>
                <w:rFonts w:hint="eastAsia" w:ascii="Times New Roman" w:hAnsi="Times New Roman" w:eastAsia="宋体"/>
                <w:snapToGrid w:val="0"/>
                <w:color w:val="auto"/>
                <w:kern w:val="21"/>
                <w:sz w:val="21"/>
                <w:szCs w:val="21"/>
                <w:lang w:val="en-US" w:eastAsia="zh-CN"/>
              </w:rPr>
            </w:pPr>
            <w:r>
              <w:rPr>
                <w:rFonts w:hint="eastAsia" w:eastAsia="黑体" w:cs="Times New Roman"/>
                <w:snapToGrid w:val="0"/>
                <w:color w:val="auto"/>
                <w:spacing w:val="-10"/>
                <w:kern w:val="21"/>
                <w:sz w:val="21"/>
                <w:szCs w:val="21"/>
                <w:lang w:val="en-US" w:eastAsia="zh-CN" w:bidi="ar-SA"/>
              </w:rPr>
              <w:t>0</w:t>
            </w:r>
          </w:p>
        </w:tc>
        <w:tc>
          <w:tcPr>
            <w:tcW w:w="1701" w:type="dxa"/>
            <w:vAlign w:val="center"/>
          </w:tcPr>
          <w:p w14:paraId="74576FE6">
            <w:pPr>
              <w:keepNext w:val="0"/>
              <w:keepLines w:val="0"/>
              <w:pageBreakBefore w:val="0"/>
              <w:kinsoku/>
              <w:wordWrap/>
              <w:overflowPunct/>
              <w:topLinePunct w:val="0"/>
              <w:autoSpaceDE/>
              <w:autoSpaceDN/>
              <w:bidi w:val="0"/>
              <w:spacing w:line="240" w:lineRule="auto"/>
              <w:jc w:val="center"/>
              <w:rPr>
                <w:rFonts w:ascii="Times New Roman"/>
                <w:snapToGrid w:val="0"/>
                <w:color w:val="auto"/>
                <w:kern w:val="21"/>
                <w:sz w:val="21"/>
                <w:szCs w:val="21"/>
              </w:rPr>
            </w:pPr>
            <w:r>
              <w:rPr>
                <w:rFonts w:ascii="Times New Roman"/>
                <w:snapToGrid w:val="0"/>
                <w:color w:val="auto"/>
                <w:kern w:val="21"/>
                <w:sz w:val="21"/>
                <w:szCs w:val="21"/>
              </w:rPr>
              <w:t>/</w:t>
            </w:r>
          </w:p>
        </w:tc>
        <w:tc>
          <w:tcPr>
            <w:tcW w:w="1559" w:type="dxa"/>
            <w:shd w:val="clear" w:color="auto" w:fill="auto"/>
            <w:vAlign w:val="center"/>
          </w:tcPr>
          <w:p w14:paraId="1DC0ADC4">
            <w:pPr>
              <w:widowControl/>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0.5</w:t>
            </w:r>
          </w:p>
        </w:tc>
        <w:tc>
          <w:tcPr>
            <w:tcW w:w="1761" w:type="dxa"/>
            <w:vAlign w:val="center"/>
          </w:tcPr>
          <w:p w14:paraId="7D428EDC">
            <w:pPr>
              <w:keepNext w:val="0"/>
              <w:keepLines w:val="0"/>
              <w:pageBreakBefore w:val="0"/>
              <w:widowControl/>
              <w:kinsoku/>
              <w:wordWrap/>
              <w:overflowPunct/>
              <w:topLinePunct w:val="0"/>
              <w:autoSpaceDE/>
              <w:autoSpaceDN/>
              <w:bidi w:val="0"/>
              <w:jc w:val="center"/>
              <w:rPr>
                <w:rFonts w:hint="eastAsia"/>
                <w:color w:val="auto"/>
                <w:sz w:val="21"/>
                <w:szCs w:val="21"/>
              </w:rPr>
            </w:pPr>
            <w:r>
              <w:rPr>
                <w:rFonts w:ascii="Times New Roman"/>
                <w:snapToGrid w:val="0"/>
                <w:color w:val="auto"/>
                <w:kern w:val="21"/>
                <w:sz w:val="21"/>
                <w:szCs w:val="21"/>
              </w:rPr>
              <w:t>/</w:t>
            </w:r>
          </w:p>
        </w:tc>
        <w:tc>
          <w:tcPr>
            <w:tcW w:w="1651" w:type="dxa"/>
            <w:shd w:val="clear" w:color="auto" w:fill="auto"/>
            <w:vAlign w:val="center"/>
          </w:tcPr>
          <w:p w14:paraId="10B1CACF">
            <w:pPr>
              <w:widowControl/>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0.65</w:t>
            </w:r>
          </w:p>
        </w:tc>
        <w:tc>
          <w:tcPr>
            <w:tcW w:w="1134" w:type="dxa"/>
            <w:shd w:val="clear" w:color="auto" w:fill="auto"/>
            <w:vAlign w:val="center"/>
          </w:tcPr>
          <w:p w14:paraId="0C9DC44A">
            <w:pPr>
              <w:widowControl/>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kern w:val="2"/>
                <w:sz w:val="21"/>
                <w:szCs w:val="21"/>
                <w:lang w:val="en-US" w:eastAsia="zh-CN" w:bidi="ar-SA"/>
              </w:rPr>
              <w:t>+</w:t>
            </w:r>
            <w:r>
              <w:rPr>
                <w:rFonts w:hint="eastAsia" w:ascii="Times New Roman" w:hAnsi="Times New Roman" w:eastAsia="宋体" w:cs="Times New Roman"/>
                <w:color w:val="auto"/>
                <w:kern w:val="2"/>
                <w:sz w:val="21"/>
                <w:szCs w:val="21"/>
                <w:lang w:val="en-US" w:eastAsia="zh-CN" w:bidi="ar-SA"/>
              </w:rPr>
              <w:t>0.5</w:t>
            </w:r>
          </w:p>
        </w:tc>
      </w:tr>
      <w:tr w14:paraId="65C0BAE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588" w:type="dxa"/>
            <w:gridSpan w:val="2"/>
            <w:vMerge w:val="continue"/>
            <w:vAlign w:val="center"/>
          </w:tcPr>
          <w:p w14:paraId="26D26ADD">
            <w:pPr>
              <w:pStyle w:val="34"/>
              <w:keepNext w:val="0"/>
              <w:keepLines w:val="0"/>
              <w:pageBreakBefore w:val="0"/>
              <w:kinsoku/>
              <w:wordWrap/>
              <w:overflowPunct/>
              <w:topLinePunct w:val="0"/>
              <w:autoSpaceDE/>
              <w:autoSpaceDN/>
              <w:bidi w:val="0"/>
              <w:spacing w:before="16" w:beforeLines="0" w:after="16" w:afterLines="0" w:line="240" w:lineRule="auto"/>
              <w:rPr>
                <w:rFonts w:ascii="Times New Roman"/>
                <w:snapToGrid w:val="0"/>
                <w:color w:val="auto"/>
                <w:kern w:val="21"/>
                <w:sz w:val="21"/>
                <w:szCs w:val="21"/>
              </w:rPr>
            </w:pPr>
          </w:p>
        </w:tc>
        <w:tc>
          <w:tcPr>
            <w:tcW w:w="1848" w:type="dxa"/>
            <w:shd w:val="clear" w:color="auto" w:fill="auto"/>
            <w:vAlign w:val="center"/>
          </w:tcPr>
          <w:p w14:paraId="3CC779B2">
            <w:pPr>
              <w:pStyle w:val="34"/>
              <w:keepNext w:val="0"/>
              <w:keepLines w:val="0"/>
              <w:pageBreakBefore w:val="0"/>
              <w:kinsoku/>
              <w:wordWrap/>
              <w:overflowPunct/>
              <w:topLinePunct w:val="0"/>
              <w:autoSpaceDE/>
              <w:autoSpaceDN/>
              <w:bidi w:val="0"/>
              <w:spacing w:before="0" w:beforeLines="0" w:after="0" w:afterLines="0" w:line="240" w:lineRule="auto"/>
              <w:rPr>
                <w:rFonts w:hint="default" w:ascii="Times New Roman" w:hAnsi="宋体" w:cs="Times New Roman"/>
                <w:snapToGrid w:val="0"/>
                <w:color w:val="auto"/>
                <w:kern w:val="21"/>
                <w:sz w:val="21"/>
                <w:szCs w:val="21"/>
                <w:lang w:val="en-US" w:eastAsia="zh-CN"/>
              </w:rPr>
            </w:pPr>
            <w:r>
              <w:rPr>
                <w:rFonts w:hint="default" w:ascii="Times New Roman" w:hAnsi="Times New Roman" w:eastAsia="宋体" w:cs="Times New Roman"/>
                <w:bCs/>
                <w:snapToGrid w:val="0"/>
                <w:color w:val="auto"/>
                <w:spacing w:val="6"/>
                <w:sz w:val="21"/>
                <w:szCs w:val="21"/>
              </w:rPr>
              <w:t>废耐火材料</w:t>
            </w:r>
          </w:p>
        </w:tc>
        <w:tc>
          <w:tcPr>
            <w:tcW w:w="1409" w:type="dxa"/>
            <w:shd w:val="clear" w:color="auto" w:fill="auto"/>
            <w:vAlign w:val="center"/>
          </w:tcPr>
          <w:p w14:paraId="16D6E9A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color w:val="auto"/>
                <w:kern w:val="2"/>
                <w:sz w:val="21"/>
                <w:szCs w:val="21"/>
                <w:lang w:val="en-US" w:eastAsia="zh-CN" w:bidi="ar-SA"/>
              </w:rPr>
              <w:t>0.3t/5a</w:t>
            </w:r>
          </w:p>
        </w:tc>
        <w:tc>
          <w:tcPr>
            <w:tcW w:w="1137" w:type="dxa"/>
            <w:vAlign w:val="center"/>
          </w:tcPr>
          <w:p w14:paraId="0C4452B6">
            <w:pPr>
              <w:keepNext w:val="0"/>
              <w:keepLines w:val="0"/>
              <w:pageBreakBefore w:val="0"/>
              <w:kinsoku/>
              <w:wordWrap/>
              <w:overflowPunct/>
              <w:topLinePunct w:val="0"/>
              <w:autoSpaceDE/>
              <w:autoSpaceDN/>
              <w:bidi w:val="0"/>
              <w:spacing w:line="240" w:lineRule="auto"/>
              <w:jc w:val="center"/>
              <w:rPr>
                <w:rFonts w:hint="default" w:eastAsia="黑体" w:cs="Times New Roman"/>
                <w:snapToGrid w:val="0"/>
                <w:color w:val="auto"/>
                <w:spacing w:val="-10"/>
                <w:kern w:val="21"/>
                <w:sz w:val="21"/>
                <w:szCs w:val="21"/>
                <w:lang w:val="en-US" w:eastAsia="zh-CN" w:bidi="ar-SA"/>
              </w:rPr>
            </w:pPr>
            <w:r>
              <w:rPr>
                <w:rFonts w:hint="eastAsia" w:eastAsia="黑体" w:cs="Times New Roman"/>
                <w:snapToGrid w:val="0"/>
                <w:color w:val="auto"/>
                <w:spacing w:val="-10"/>
                <w:kern w:val="21"/>
                <w:sz w:val="21"/>
                <w:szCs w:val="21"/>
                <w:lang w:val="en-US" w:eastAsia="zh-CN" w:bidi="ar-SA"/>
              </w:rPr>
              <w:t>0</w:t>
            </w:r>
          </w:p>
        </w:tc>
        <w:tc>
          <w:tcPr>
            <w:tcW w:w="1701" w:type="dxa"/>
            <w:vAlign w:val="center"/>
          </w:tcPr>
          <w:p w14:paraId="23418E4E">
            <w:pPr>
              <w:keepNext w:val="0"/>
              <w:keepLines w:val="0"/>
              <w:pageBreakBefore w:val="0"/>
              <w:kinsoku/>
              <w:wordWrap/>
              <w:overflowPunct/>
              <w:topLinePunct w:val="0"/>
              <w:autoSpaceDE/>
              <w:autoSpaceDN/>
              <w:bidi w:val="0"/>
              <w:spacing w:line="240" w:lineRule="auto"/>
              <w:jc w:val="center"/>
              <w:rPr>
                <w:rFonts w:hint="eastAsia" w:ascii="Times New Roman" w:eastAsia="宋体"/>
                <w:snapToGrid w:val="0"/>
                <w:color w:val="auto"/>
                <w:kern w:val="21"/>
                <w:sz w:val="21"/>
                <w:szCs w:val="21"/>
                <w:lang w:val="en-US" w:eastAsia="zh-CN"/>
              </w:rPr>
            </w:pPr>
            <w:r>
              <w:rPr>
                <w:rFonts w:hint="eastAsia"/>
                <w:snapToGrid w:val="0"/>
                <w:color w:val="auto"/>
                <w:kern w:val="21"/>
                <w:sz w:val="21"/>
                <w:szCs w:val="21"/>
                <w:lang w:val="en-US" w:eastAsia="zh-CN"/>
              </w:rPr>
              <w:t>/</w:t>
            </w:r>
          </w:p>
        </w:tc>
        <w:tc>
          <w:tcPr>
            <w:tcW w:w="1559" w:type="dxa"/>
            <w:shd w:val="clear" w:color="auto" w:fill="auto"/>
            <w:vAlign w:val="center"/>
          </w:tcPr>
          <w:p w14:paraId="7B39E5F6">
            <w:pPr>
              <w:widowControl/>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0.3t/5a</w:t>
            </w:r>
          </w:p>
        </w:tc>
        <w:tc>
          <w:tcPr>
            <w:tcW w:w="1761" w:type="dxa"/>
            <w:vAlign w:val="center"/>
          </w:tcPr>
          <w:p w14:paraId="1A78DE07">
            <w:pPr>
              <w:keepNext w:val="0"/>
              <w:keepLines w:val="0"/>
              <w:pageBreakBefore w:val="0"/>
              <w:widowControl/>
              <w:kinsoku/>
              <w:wordWrap/>
              <w:overflowPunct/>
              <w:topLinePunct w:val="0"/>
              <w:autoSpaceDE/>
              <w:autoSpaceDN/>
              <w:bidi w:val="0"/>
              <w:jc w:val="center"/>
              <w:rPr>
                <w:rFonts w:hint="eastAsia" w:ascii="Times New Roman" w:eastAsia="宋体"/>
                <w:snapToGrid w:val="0"/>
                <w:color w:val="auto"/>
                <w:kern w:val="21"/>
                <w:sz w:val="21"/>
                <w:szCs w:val="21"/>
                <w:lang w:val="en-US" w:eastAsia="zh-CN"/>
              </w:rPr>
            </w:pPr>
            <w:r>
              <w:rPr>
                <w:rFonts w:hint="eastAsia"/>
                <w:snapToGrid w:val="0"/>
                <w:color w:val="auto"/>
                <w:kern w:val="21"/>
                <w:sz w:val="21"/>
                <w:szCs w:val="21"/>
                <w:lang w:val="en-US" w:eastAsia="zh-CN"/>
              </w:rPr>
              <w:t>/</w:t>
            </w:r>
          </w:p>
        </w:tc>
        <w:tc>
          <w:tcPr>
            <w:tcW w:w="1651" w:type="dxa"/>
            <w:shd w:val="clear" w:color="auto" w:fill="auto"/>
            <w:vAlign w:val="center"/>
          </w:tcPr>
          <w:p w14:paraId="7C96A41C">
            <w:pPr>
              <w:widowControl/>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0.</w:t>
            </w:r>
            <w:r>
              <w:rPr>
                <w:rFonts w:hint="eastAsia" w:ascii="Times New Roman" w:hAnsi="Times New Roman" w:cs="Times New Roman"/>
                <w:color w:val="auto"/>
                <w:kern w:val="2"/>
                <w:sz w:val="21"/>
                <w:szCs w:val="21"/>
                <w:lang w:val="en-US" w:eastAsia="zh-CN" w:bidi="ar-SA"/>
              </w:rPr>
              <w:t>6</w:t>
            </w:r>
            <w:r>
              <w:rPr>
                <w:rFonts w:hint="eastAsia" w:ascii="Times New Roman" w:hAnsi="Times New Roman" w:eastAsia="宋体" w:cs="Times New Roman"/>
                <w:color w:val="auto"/>
                <w:kern w:val="2"/>
                <w:sz w:val="21"/>
                <w:szCs w:val="21"/>
                <w:lang w:val="en-US" w:eastAsia="zh-CN" w:bidi="ar-SA"/>
              </w:rPr>
              <w:t>t/5a</w:t>
            </w:r>
          </w:p>
        </w:tc>
        <w:tc>
          <w:tcPr>
            <w:tcW w:w="1134" w:type="dxa"/>
            <w:shd w:val="clear" w:color="auto" w:fill="auto"/>
            <w:vAlign w:val="center"/>
          </w:tcPr>
          <w:p w14:paraId="15C281AC">
            <w:pPr>
              <w:widowControl/>
              <w:jc w:val="center"/>
              <w:rPr>
                <w:rFonts w:hint="eastAsia" w:ascii="Times New Roman" w:hAnsi="Times New Roman" w:cs="Times New Roman"/>
                <w:color w:val="auto"/>
                <w:kern w:val="2"/>
                <w:sz w:val="21"/>
                <w:szCs w:val="21"/>
                <w:lang w:val="en-US" w:eastAsia="zh-CN" w:bidi="ar-SA"/>
              </w:rPr>
            </w:pPr>
            <w:r>
              <w:rPr>
                <w:rFonts w:hint="eastAsia" w:ascii="Times New Roman" w:hAnsi="Times New Roman" w:cs="Times New Roman"/>
                <w:color w:val="auto"/>
                <w:kern w:val="2"/>
                <w:sz w:val="21"/>
                <w:szCs w:val="21"/>
                <w:lang w:val="en-US" w:eastAsia="zh-CN" w:bidi="ar-SA"/>
              </w:rPr>
              <w:t>+</w:t>
            </w:r>
            <w:r>
              <w:rPr>
                <w:rFonts w:hint="eastAsia" w:ascii="Times New Roman" w:hAnsi="Times New Roman" w:eastAsia="宋体" w:cs="Times New Roman"/>
                <w:color w:val="auto"/>
                <w:kern w:val="2"/>
                <w:sz w:val="21"/>
                <w:szCs w:val="21"/>
                <w:lang w:val="en-US" w:eastAsia="zh-CN" w:bidi="ar-SA"/>
              </w:rPr>
              <w:t>0.3t/5a</w:t>
            </w:r>
          </w:p>
        </w:tc>
      </w:tr>
      <w:tr w14:paraId="45DF278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588" w:type="dxa"/>
            <w:gridSpan w:val="2"/>
            <w:vMerge w:val="restart"/>
            <w:vAlign w:val="center"/>
          </w:tcPr>
          <w:p w14:paraId="2A5B6CA3">
            <w:pPr>
              <w:pStyle w:val="34"/>
              <w:keepNext w:val="0"/>
              <w:keepLines w:val="0"/>
              <w:pageBreakBefore w:val="0"/>
              <w:kinsoku/>
              <w:wordWrap/>
              <w:overflowPunct/>
              <w:topLinePunct w:val="0"/>
              <w:autoSpaceDE/>
              <w:autoSpaceDN/>
              <w:bidi w:val="0"/>
              <w:spacing w:before="16" w:beforeLines="0" w:after="16" w:afterLines="0" w:line="240" w:lineRule="auto"/>
              <w:jc w:val="center"/>
              <w:rPr>
                <w:rFonts w:ascii="Times New Roman"/>
                <w:snapToGrid w:val="0"/>
                <w:color w:val="auto"/>
                <w:kern w:val="21"/>
                <w:sz w:val="21"/>
                <w:szCs w:val="21"/>
              </w:rPr>
            </w:pPr>
            <w:r>
              <w:rPr>
                <w:rFonts w:hint="eastAsia" w:ascii="Times New Roman"/>
                <w:snapToGrid w:val="0"/>
                <w:color w:val="auto"/>
                <w:kern w:val="21"/>
                <w:sz w:val="21"/>
                <w:szCs w:val="21"/>
              </w:rPr>
              <w:t>危险废物</w:t>
            </w:r>
          </w:p>
        </w:tc>
        <w:tc>
          <w:tcPr>
            <w:tcW w:w="1848" w:type="dxa"/>
            <w:shd w:val="clear" w:color="auto" w:fill="auto"/>
            <w:vAlign w:val="center"/>
          </w:tcPr>
          <w:p w14:paraId="105CDF25">
            <w:pPr>
              <w:pStyle w:val="34"/>
              <w:keepNext w:val="0"/>
              <w:keepLines w:val="0"/>
              <w:pageBreakBefore w:val="0"/>
              <w:kinsoku/>
              <w:wordWrap/>
              <w:overflowPunct/>
              <w:topLinePunct w:val="0"/>
              <w:autoSpaceDE/>
              <w:autoSpaceDN/>
              <w:bidi w:val="0"/>
              <w:spacing w:before="0" w:beforeLines="0" w:after="0" w:afterLines="0" w:line="240" w:lineRule="auto"/>
              <w:rPr>
                <w:rFonts w:hint="default" w:ascii="Times New Roman" w:hAnsi="宋体" w:cs="Times New Roman"/>
                <w:snapToGrid w:val="0"/>
                <w:color w:val="auto"/>
                <w:kern w:val="21"/>
                <w:sz w:val="21"/>
                <w:szCs w:val="21"/>
                <w:lang w:val="en-US" w:eastAsia="zh-CN"/>
              </w:rPr>
            </w:pPr>
            <w:r>
              <w:rPr>
                <w:rFonts w:hint="default" w:ascii="Times New Roman" w:hAnsi="宋体" w:cs="Times New Roman"/>
                <w:snapToGrid w:val="0"/>
                <w:color w:val="auto"/>
                <w:kern w:val="21"/>
                <w:sz w:val="21"/>
                <w:szCs w:val="21"/>
                <w:lang w:val="en-US" w:eastAsia="zh-CN"/>
              </w:rPr>
              <w:t>废深孔钻油</w:t>
            </w:r>
          </w:p>
        </w:tc>
        <w:tc>
          <w:tcPr>
            <w:tcW w:w="1409" w:type="dxa"/>
            <w:shd w:val="clear" w:color="auto" w:fill="auto"/>
            <w:vAlign w:val="center"/>
          </w:tcPr>
          <w:p w14:paraId="1BF9EFBA">
            <w:pPr>
              <w:keepNext w:val="0"/>
              <w:keepLines w:val="0"/>
              <w:widowControl/>
              <w:suppressLineNumbers w:val="0"/>
              <w:jc w:val="center"/>
              <w:textAlignment w:val="center"/>
              <w:rPr>
                <w:rFonts w:hint="default" w:ascii="Times New Roman" w:hAnsi="Times New Roman" w:eastAsia="宋体" w:cs="Times New Roman"/>
                <w:color w:val="auto"/>
                <w:kern w:val="2"/>
                <w:sz w:val="21"/>
                <w:szCs w:val="21"/>
                <w:lang w:val="en-US" w:eastAsia="zh-CN" w:bidi="ar"/>
              </w:rPr>
            </w:pPr>
            <w:r>
              <w:rPr>
                <w:rFonts w:hint="eastAsia" w:ascii="Times New Roman" w:hAnsi="Times New Roman" w:cs="Times New Roman"/>
                <w:b w:val="0"/>
                <w:bCs w:val="0"/>
                <w:color w:val="auto"/>
                <w:kern w:val="2"/>
                <w:sz w:val="21"/>
                <w:szCs w:val="21"/>
                <w:lang w:val="en-US" w:eastAsia="zh-CN" w:bidi="ar"/>
              </w:rPr>
              <w:t>1.35</w:t>
            </w:r>
          </w:p>
        </w:tc>
        <w:tc>
          <w:tcPr>
            <w:tcW w:w="1137" w:type="dxa"/>
            <w:shd w:val="clear" w:color="auto" w:fill="auto"/>
            <w:vAlign w:val="center"/>
          </w:tcPr>
          <w:p w14:paraId="6FF54021">
            <w:pPr>
              <w:keepNext w:val="0"/>
              <w:keepLines w:val="0"/>
              <w:pageBreakBefore w:val="0"/>
              <w:kinsoku/>
              <w:wordWrap/>
              <w:overflowPunct/>
              <w:topLinePunct w:val="0"/>
              <w:autoSpaceDE/>
              <w:autoSpaceDN/>
              <w:bidi w:val="0"/>
              <w:spacing w:line="240" w:lineRule="auto"/>
              <w:jc w:val="center"/>
              <w:rPr>
                <w:rFonts w:hint="eastAsia" w:ascii="Times New Roman" w:hAnsi="Times New Roman" w:eastAsia="宋体" w:cs="Times New Roman"/>
                <w:snapToGrid w:val="0"/>
                <w:color w:val="auto"/>
                <w:kern w:val="21"/>
                <w:sz w:val="21"/>
                <w:szCs w:val="21"/>
                <w:lang w:val="en-US" w:eastAsia="zh-CN" w:bidi="ar"/>
              </w:rPr>
            </w:pPr>
            <w:r>
              <w:rPr>
                <w:rFonts w:hint="eastAsia" w:eastAsia="黑体" w:cs="Times New Roman"/>
                <w:snapToGrid w:val="0"/>
                <w:color w:val="auto"/>
                <w:spacing w:val="-10"/>
                <w:kern w:val="21"/>
                <w:sz w:val="21"/>
                <w:szCs w:val="21"/>
                <w:lang w:val="en-US" w:eastAsia="zh-CN" w:bidi="ar-SA"/>
              </w:rPr>
              <w:t>0</w:t>
            </w:r>
          </w:p>
        </w:tc>
        <w:tc>
          <w:tcPr>
            <w:tcW w:w="1701" w:type="dxa"/>
            <w:shd w:val="clear" w:color="auto" w:fill="auto"/>
            <w:vAlign w:val="center"/>
          </w:tcPr>
          <w:p w14:paraId="2CEF84F1">
            <w:pPr>
              <w:keepNext w:val="0"/>
              <w:keepLines w:val="0"/>
              <w:pageBreakBefore w:val="0"/>
              <w:kinsoku/>
              <w:wordWrap/>
              <w:overflowPunct/>
              <w:topLinePunct w:val="0"/>
              <w:autoSpaceDE/>
              <w:autoSpaceDN/>
              <w:bidi w:val="0"/>
              <w:spacing w:line="240" w:lineRule="auto"/>
              <w:jc w:val="center"/>
              <w:rPr>
                <w:rFonts w:hint="default" w:ascii="Times New Roman" w:hAnsi="Times New Roman" w:eastAsia="宋体" w:cs="Times New Roman"/>
                <w:snapToGrid w:val="0"/>
                <w:color w:val="auto"/>
                <w:kern w:val="21"/>
                <w:sz w:val="21"/>
                <w:szCs w:val="21"/>
                <w:lang w:val="en-US" w:eastAsia="zh-CN" w:bidi="ar"/>
              </w:rPr>
            </w:pPr>
            <w:r>
              <w:rPr>
                <w:rFonts w:ascii="Times New Roman"/>
                <w:snapToGrid w:val="0"/>
                <w:color w:val="auto"/>
                <w:kern w:val="21"/>
                <w:sz w:val="21"/>
                <w:szCs w:val="21"/>
              </w:rPr>
              <w:t>/</w:t>
            </w:r>
          </w:p>
        </w:tc>
        <w:tc>
          <w:tcPr>
            <w:tcW w:w="1559" w:type="dxa"/>
            <w:shd w:val="clear" w:color="auto" w:fill="auto"/>
            <w:vAlign w:val="center"/>
          </w:tcPr>
          <w:p w14:paraId="0136104C">
            <w:pPr>
              <w:pStyle w:val="2"/>
              <w:spacing w:before="0" w:after="0" w:line="240" w:lineRule="auto"/>
              <w:jc w:val="center"/>
              <w:rPr>
                <w:rFonts w:hint="eastAsia" w:ascii="Times New Roman" w:hAnsi="Times New Roman" w:eastAsia="宋体" w:cs="Times New Roman"/>
                <w:b w:val="0"/>
                <w:bCs w:val="0"/>
                <w:color w:val="auto"/>
                <w:kern w:val="2"/>
                <w:sz w:val="21"/>
                <w:szCs w:val="21"/>
                <w:lang w:val="en-US" w:eastAsia="zh-CN" w:bidi="ar"/>
              </w:rPr>
            </w:pPr>
            <w:r>
              <w:rPr>
                <w:rFonts w:hint="eastAsia" w:ascii="Times New Roman" w:hAnsi="Times New Roman" w:eastAsia="宋体" w:cs="Times New Roman"/>
                <w:b w:val="0"/>
                <w:bCs w:val="0"/>
                <w:color w:val="auto"/>
                <w:kern w:val="2"/>
                <w:sz w:val="21"/>
                <w:szCs w:val="21"/>
                <w:lang w:val="en-US" w:eastAsia="zh-CN" w:bidi="ar"/>
              </w:rPr>
              <w:t>10.8</w:t>
            </w:r>
          </w:p>
        </w:tc>
        <w:tc>
          <w:tcPr>
            <w:tcW w:w="1761" w:type="dxa"/>
            <w:vAlign w:val="center"/>
          </w:tcPr>
          <w:p w14:paraId="58286281">
            <w:pPr>
              <w:keepNext w:val="0"/>
              <w:keepLines w:val="0"/>
              <w:pageBreakBefore w:val="0"/>
              <w:widowControl/>
              <w:kinsoku/>
              <w:wordWrap/>
              <w:overflowPunct/>
              <w:topLinePunct w:val="0"/>
              <w:autoSpaceDE/>
              <w:autoSpaceDN/>
              <w:bidi w:val="0"/>
              <w:jc w:val="center"/>
              <w:rPr>
                <w:color w:val="auto"/>
                <w:sz w:val="21"/>
                <w:szCs w:val="21"/>
              </w:rPr>
            </w:pPr>
            <w:r>
              <w:rPr>
                <w:rFonts w:ascii="Times New Roman"/>
                <w:snapToGrid w:val="0"/>
                <w:color w:val="auto"/>
                <w:kern w:val="21"/>
                <w:sz w:val="21"/>
                <w:szCs w:val="21"/>
              </w:rPr>
              <w:t>/</w:t>
            </w:r>
          </w:p>
        </w:tc>
        <w:tc>
          <w:tcPr>
            <w:tcW w:w="1651" w:type="dxa"/>
            <w:shd w:val="clear" w:color="auto" w:fill="auto"/>
            <w:vAlign w:val="center"/>
          </w:tcPr>
          <w:p w14:paraId="0D38E955">
            <w:pPr>
              <w:pStyle w:val="2"/>
              <w:spacing w:before="0" w:after="0" w:line="240" w:lineRule="auto"/>
              <w:jc w:val="center"/>
              <w:rPr>
                <w:rFonts w:hint="eastAsia" w:ascii="Times New Roman" w:hAnsi="Times New Roman" w:eastAsia="宋体" w:cs="Times New Roman"/>
                <w:b w:val="0"/>
                <w:bCs w:val="0"/>
                <w:color w:val="auto"/>
                <w:kern w:val="2"/>
                <w:sz w:val="21"/>
                <w:szCs w:val="21"/>
                <w:lang w:val="en-US" w:eastAsia="zh-CN" w:bidi="ar"/>
              </w:rPr>
            </w:pPr>
            <w:r>
              <w:rPr>
                <w:rFonts w:hint="eastAsia" w:ascii="Times New Roman" w:hAnsi="Times New Roman" w:cs="Times New Roman"/>
                <w:b w:val="0"/>
                <w:bCs w:val="0"/>
                <w:color w:val="auto"/>
                <w:kern w:val="2"/>
                <w:sz w:val="21"/>
                <w:szCs w:val="21"/>
                <w:lang w:val="en-US" w:eastAsia="zh-CN" w:bidi="ar"/>
              </w:rPr>
              <w:t>12.15</w:t>
            </w:r>
          </w:p>
        </w:tc>
        <w:tc>
          <w:tcPr>
            <w:tcW w:w="1134" w:type="dxa"/>
            <w:shd w:val="clear" w:color="auto" w:fill="auto"/>
            <w:vAlign w:val="center"/>
          </w:tcPr>
          <w:p w14:paraId="717372C5">
            <w:pPr>
              <w:pStyle w:val="2"/>
              <w:spacing w:before="0" w:after="0" w:line="240" w:lineRule="auto"/>
              <w:jc w:val="center"/>
              <w:rPr>
                <w:rFonts w:hint="eastAsia" w:ascii="Times New Roman" w:hAnsi="Times New Roman" w:eastAsia="宋体" w:cs="Times New Roman"/>
                <w:b w:val="0"/>
                <w:bCs w:val="0"/>
                <w:color w:val="auto"/>
                <w:kern w:val="2"/>
                <w:sz w:val="21"/>
                <w:szCs w:val="21"/>
                <w:lang w:val="en-US" w:eastAsia="zh-CN" w:bidi="ar"/>
              </w:rPr>
            </w:pPr>
            <w:r>
              <w:rPr>
                <w:rFonts w:hint="eastAsia" w:ascii="Times New Roman" w:hAnsi="Times New Roman" w:cs="Times New Roman"/>
                <w:b w:val="0"/>
                <w:bCs w:val="0"/>
                <w:color w:val="auto"/>
                <w:kern w:val="2"/>
                <w:sz w:val="21"/>
                <w:szCs w:val="21"/>
                <w:lang w:val="en-US" w:eastAsia="zh-CN" w:bidi="ar"/>
              </w:rPr>
              <w:t>+</w:t>
            </w:r>
            <w:r>
              <w:rPr>
                <w:rFonts w:hint="eastAsia" w:ascii="Times New Roman" w:hAnsi="Times New Roman" w:eastAsia="宋体" w:cs="Times New Roman"/>
                <w:b w:val="0"/>
                <w:bCs w:val="0"/>
                <w:color w:val="auto"/>
                <w:kern w:val="2"/>
                <w:sz w:val="21"/>
                <w:szCs w:val="21"/>
                <w:lang w:val="en-US" w:eastAsia="zh-CN" w:bidi="ar"/>
              </w:rPr>
              <w:t>10.8</w:t>
            </w:r>
          </w:p>
        </w:tc>
      </w:tr>
      <w:tr w14:paraId="7E2E344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588" w:type="dxa"/>
            <w:gridSpan w:val="2"/>
            <w:vMerge w:val="continue"/>
            <w:vAlign w:val="center"/>
          </w:tcPr>
          <w:p w14:paraId="0CC90CD7">
            <w:pPr>
              <w:pStyle w:val="34"/>
              <w:keepNext w:val="0"/>
              <w:keepLines w:val="0"/>
              <w:pageBreakBefore w:val="0"/>
              <w:kinsoku/>
              <w:wordWrap/>
              <w:overflowPunct/>
              <w:topLinePunct w:val="0"/>
              <w:autoSpaceDE/>
              <w:autoSpaceDN/>
              <w:bidi w:val="0"/>
              <w:spacing w:before="16" w:beforeLines="0" w:after="16" w:afterLines="0" w:line="240" w:lineRule="auto"/>
              <w:jc w:val="center"/>
              <w:rPr>
                <w:rFonts w:hint="eastAsia" w:ascii="Times New Roman"/>
                <w:snapToGrid w:val="0"/>
                <w:color w:val="auto"/>
                <w:kern w:val="21"/>
                <w:sz w:val="21"/>
                <w:szCs w:val="21"/>
              </w:rPr>
            </w:pPr>
          </w:p>
        </w:tc>
        <w:tc>
          <w:tcPr>
            <w:tcW w:w="1848" w:type="dxa"/>
            <w:shd w:val="clear" w:color="auto" w:fill="auto"/>
            <w:vAlign w:val="center"/>
          </w:tcPr>
          <w:p w14:paraId="4C38B59E">
            <w:pPr>
              <w:pStyle w:val="34"/>
              <w:keepNext w:val="0"/>
              <w:keepLines w:val="0"/>
              <w:pageBreakBefore w:val="0"/>
              <w:kinsoku/>
              <w:wordWrap/>
              <w:overflowPunct/>
              <w:topLinePunct w:val="0"/>
              <w:autoSpaceDE/>
              <w:autoSpaceDN/>
              <w:bidi w:val="0"/>
              <w:spacing w:before="0" w:beforeLines="0" w:after="0" w:afterLines="0" w:line="240" w:lineRule="auto"/>
              <w:rPr>
                <w:rFonts w:hint="default" w:ascii="Times New Roman" w:hAnsi="宋体" w:cs="Times New Roman"/>
                <w:snapToGrid w:val="0"/>
                <w:color w:val="auto"/>
                <w:kern w:val="21"/>
                <w:sz w:val="21"/>
                <w:szCs w:val="21"/>
                <w:lang w:val="en-US" w:eastAsia="zh-CN"/>
              </w:rPr>
            </w:pPr>
            <w:r>
              <w:rPr>
                <w:rFonts w:hint="default" w:ascii="Times New Roman" w:hAnsi="宋体" w:cs="Times New Roman"/>
                <w:snapToGrid w:val="0"/>
                <w:color w:val="auto"/>
                <w:kern w:val="21"/>
                <w:sz w:val="21"/>
                <w:szCs w:val="21"/>
                <w:lang w:val="en-US" w:eastAsia="zh-CN"/>
              </w:rPr>
              <w:t>废切削液</w:t>
            </w:r>
          </w:p>
        </w:tc>
        <w:tc>
          <w:tcPr>
            <w:tcW w:w="1409" w:type="dxa"/>
            <w:shd w:val="clear" w:color="auto" w:fill="auto"/>
            <w:vAlign w:val="center"/>
          </w:tcPr>
          <w:p w14:paraId="51A4943F">
            <w:pPr>
              <w:keepNext w:val="0"/>
              <w:keepLines w:val="0"/>
              <w:widowControl/>
              <w:suppressLineNumbers w:val="0"/>
              <w:jc w:val="center"/>
              <w:textAlignment w:val="center"/>
              <w:rPr>
                <w:rFonts w:hint="default" w:ascii="Times New Roman" w:hAnsi="Times New Roman" w:eastAsia="宋体" w:cs="Times New Roman"/>
                <w:color w:val="auto"/>
                <w:kern w:val="2"/>
                <w:sz w:val="21"/>
                <w:szCs w:val="21"/>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1.72</w:t>
            </w:r>
          </w:p>
        </w:tc>
        <w:tc>
          <w:tcPr>
            <w:tcW w:w="1137" w:type="dxa"/>
            <w:vAlign w:val="center"/>
          </w:tcPr>
          <w:p w14:paraId="72749BC4">
            <w:pPr>
              <w:keepNext w:val="0"/>
              <w:keepLines w:val="0"/>
              <w:pageBreakBefore w:val="0"/>
              <w:kinsoku/>
              <w:wordWrap/>
              <w:overflowPunct/>
              <w:topLinePunct w:val="0"/>
              <w:autoSpaceDE/>
              <w:autoSpaceDN/>
              <w:bidi w:val="0"/>
              <w:spacing w:line="240" w:lineRule="auto"/>
              <w:jc w:val="center"/>
              <w:rPr>
                <w:rFonts w:hint="eastAsia" w:ascii="Times New Roman" w:hAnsi="Times New Roman" w:eastAsia="宋体"/>
                <w:snapToGrid w:val="0"/>
                <w:color w:val="auto"/>
                <w:kern w:val="21"/>
                <w:sz w:val="21"/>
                <w:szCs w:val="21"/>
                <w:lang w:val="en-US" w:eastAsia="zh-CN"/>
              </w:rPr>
            </w:pPr>
            <w:r>
              <w:rPr>
                <w:rFonts w:hint="eastAsia" w:eastAsia="黑体" w:cs="Times New Roman"/>
                <w:snapToGrid w:val="0"/>
                <w:color w:val="auto"/>
                <w:spacing w:val="-10"/>
                <w:kern w:val="21"/>
                <w:sz w:val="21"/>
                <w:szCs w:val="21"/>
                <w:lang w:val="en-US" w:eastAsia="zh-CN" w:bidi="ar-SA"/>
              </w:rPr>
              <w:t>0</w:t>
            </w:r>
          </w:p>
        </w:tc>
        <w:tc>
          <w:tcPr>
            <w:tcW w:w="1701" w:type="dxa"/>
            <w:vAlign w:val="center"/>
          </w:tcPr>
          <w:p w14:paraId="71B0E1B0">
            <w:pPr>
              <w:keepNext w:val="0"/>
              <w:keepLines w:val="0"/>
              <w:pageBreakBefore w:val="0"/>
              <w:kinsoku/>
              <w:wordWrap/>
              <w:overflowPunct/>
              <w:topLinePunct w:val="0"/>
              <w:autoSpaceDE/>
              <w:autoSpaceDN/>
              <w:bidi w:val="0"/>
              <w:spacing w:line="240" w:lineRule="auto"/>
              <w:jc w:val="center"/>
              <w:rPr>
                <w:rFonts w:ascii="Times New Roman" w:hAnsi="Times New Roman"/>
                <w:snapToGrid w:val="0"/>
                <w:color w:val="auto"/>
                <w:kern w:val="21"/>
                <w:sz w:val="21"/>
                <w:szCs w:val="21"/>
              </w:rPr>
            </w:pPr>
            <w:r>
              <w:rPr>
                <w:rFonts w:ascii="Times New Roman"/>
                <w:snapToGrid w:val="0"/>
                <w:color w:val="auto"/>
                <w:kern w:val="21"/>
                <w:sz w:val="21"/>
                <w:szCs w:val="21"/>
              </w:rPr>
              <w:t>/</w:t>
            </w:r>
          </w:p>
        </w:tc>
        <w:tc>
          <w:tcPr>
            <w:tcW w:w="1559" w:type="dxa"/>
            <w:shd w:val="clear" w:color="auto" w:fill="auto"/>
            <w:vAlign w:val="center"/>
          </w:tcPr>
          <w:p w14:paraId="7B73CF01">
            <w:pPr>
              <w:pStyle w:val="2"/>
              <w:spacing w:before="0" w:after="0" w:line="240" w:lineRule="auto"/>
              <w:jc w:val="center"/>
              <w:rPr>
                <w:rFonts w:hint="eastAsia" w:ascii="Times New Roman" w:hAnsi="Times New Roman" w:eastAsia="宋体" w:cs="Times New Roman"/>
                <w:b w:val="0"/>
                <w:bCs w:val="0"/>
                <w:color w:val="auto"/>
                <w:kern w:val="2"/>
                <w:sz w:val="21"/>
                <w:szCs w:val="21"/>
                <w:lang w:val="en-US" w:eastAsia="zh-CN" w:bidi="ar"/>
              </w:rPr>
            </w:pPr>
            <w:r>
              <w:rPr>
                <w:rFonts w:hint="eastAsia" w:ascii="Times New Roman" w:hAnsi="Times New Roman" w:eastAsia="宋体" w:cs="Times New Roman"/>
                <w:b w:val="0"/>
                <w:bCs w:val="0"/>
                <w:color w:val="auto"/>
                <w:kern w:val="2"/>
                <w:sz w:val="21"/>
                <w:szCs w:val="21"/>
                <w:lang w:val="en-US" w:eastAsia="zh-CN" w:bidi="ar"/>
              </w:rPr>
              <w:t>14</w:t>
            </w:r>
          </w:p>
        </w:tc>
        <w:tc>
          <w:tcPr>
            <w:tcW w:w="1761" w:type="dxa"/>
            <w:vAlign w:val="center"/>
          </w:tcPr>
          <w:p w14:paraId="46700EAB">
            <w:pPr>
              <w:keepNext w:val="0"/>
              <w:keepLines w:val="0"/>
              <w:pageBreakBefore w:val="0"/>
              <w:widowControl/>
              <w:kinsoku/>
              <w:wordWrap/>
              <w:overflowPunct/>
              <w:topLinePunct w:val="0"/>
              <w:autoSpaceDE/>
              <w:autoSpaceDN/>
              <w:bidi w:val="0"/>
              <w:jc w:val="center"/>
              <w:rPr>
                <w:rFonts w:hint="eastAsia"/>
                <w:color w:val="auto"/>
                <w:sz w:val="21"/>
                <w:szCs w:val="21"/>
              </w:rPr>
            </w:pPr>
            <w:r>
              <w:rPr>
                <w:rFonts w:ascii="Times New Roman"/>
                <w:snapToGrid w:val="0"/>
                <w:color w:val="auto"/>
                <w:kern w:val="21"/>
                <w:sz w:val="21"/>
                <w:szCs w:val="21"/>
              </w:rPr>
              <w:t>/</w:t>
            </w:r>
          </w:p>
        </w:tc>
        <w:tc>
          <w:tcPr>
            <w:tcW w:w="1651" w:type="dxa"/>
            <w:shd w:val="clear" w:color="auto" w:fill="auto"/>
            <w:vAlign w:val="center"/>
          </w:tcPr>
          <w:p w14:paraId="082C6EB8">
            <w:pPr>
              <w:pStyle w:val="2"/>
              <w:spacing w:before="0" w:after="0" w:line="240" w:lineRule="auto"/>
              <w:jc w:val="center"/>
              <w:rPr>
                <w:rFonts w:hint="eastAsia" w:ascii="Times New Roman" w:hAnsi="Times New Roman" w:eastAsia="宋体" w:cs="Times New Roman"/>
                <w:b w:val="0"/>
                <w:bCs w:val="0"/>
                <w:color w:val="auto"/>
                <w:kern w:val="2"/>
                <w:sz w:val="21"/>
                <w:szCs w:val="21"/>
                <w:lang w:val="en-US" w:eastAsia="zh-CN" w:bidi="ar"/>
              </w:rPr>
            </w:pPr>
            <w:r>
              <w:rPr>
                <w:rFonts w:hint="eastAsia" w:ascii="Times New Roman" w:hAnsi="Times New Roman" w:eastAsia="宋体" w:cs="Times New Roman"/>
                <w:b w:val="0"/>
                <w:bCs w:val="0"/>
                <w:color w:val="auto"/>
                <w:kern w:val="2"/>
                <w:sz w:val="21"/>
                <w:szCs w:val="21"/>
                <w:lang w:val="en-US" w:eastAsia="zh-CN" w:bidi="ar"/>
              </w:rPr>
              <w:t>15.72</w:t>
            </w:r>
          </w:p>
        </w:tc>
        <w:tc>
          <w:tcPr>
            <w:tcW w:w="1134" w:type="dxa"/>
            <w:shd w:val="clear" w:color="auto" w:fill="auto"/>
            <w:vAlign w:val="center"/>
          </w:tcPr>
          <w:p w14:paraId="5420C4E6">
            <w:pPr>
              <w:pStyle w:val="2"/>
              <w:spacing w:before="0" w:after="0" w:line="240" w:lineRule="auto"/>
              <w:jc w:val="center"/>
              <w:rPr>
                <w:rFonts w:hint="eastAsia" w:ascii="Times New Roman" w:hAnsi="Times New Roman" w:eastAsia="宋体" w:cs="Times New Roman"/>
                <w:b w:val="0"/>
                <w:bCs w:val="0"/>
                <w:color w:val="auto"/>
                <w:kern w:val="2"/>
                <w:sz w:val="21"/>
                <w:szCs w:val="21"/>
                <w:lang w:val="en-US" w:eastAsia="zh-CN" w:bidi="ar"/>
              </w:rPr>
            </w:pPr>
            <w:r>
              <w:rPr>
                <w:rFonts w:hint="eastAsia" w:ascii="Times New Roman" w:hAnsi="Times New Roman" w:cs="Times New Roman"/>
                <w:b w:val="0"/>
                <w:bCs w:val="0"/>
                <w:color w:val="auto"/>
                <w:kern w:val="2"/>
                <w:sz w:val="21"/>
                <w:szCs w:val="21"/>
                <w:lang w:val="en-US" w:eastAsia="zh-CN" w:bidi="ar"/>
              </w:rPr>
              <w:t>+</w:t>
            </w:r>
            <w:r>
              <w:rPr>
                <w:rFonts w:hint="eastAsia" w:ascii="Times New Roman" w:hAnsi="Times New Roman" w:eastAsia="宋体" w:cs="Times New Roman"/>
                <w:b w:val="0"/>
                <w:bCs w:val="0"/>
                <w:color w:val="auto"/>
                <w:kern w:val="2"/>
                <w:sz w:val="21"/>
                <w:szCs w:val="21"/>
                <w:lang w:val="en-US" w:eastAsia="zh-CN" w:bidi="ar"/>
              </w:rPr>
              <w:t>14</w:t>
            </w:r>
          </w:p>
        </w:tc>
      </w:tr>
      <w:tr w14:paraId="4C73595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588" w:type="dxa"/>
            <w:gridSpan w:val="2"/>
            <w:vMerge w:val="continue"/>
            <w:vAlign w:val="center"/>
          </w:tcPr>
          <w:p w14:paraId="36308743">
            <w:pPr>
              <w:pStyle w:val="34"/>
              <w:keepNext w:val="0"/>
              <w:keepLines w:val="0"/>
              <w:pageBreakBefore w:val="0"/>
              <w:kinsoku/>
              <w:wordWrap/>
              <w:overflowPunct/>
              <w:topLinePunct w:val="0"/>
              <w:autoSpaceDE/>
              <w:autoSpaceDN/>
              <w:bidi w:val="0"/>
              <w:spacing w:before="16" w:beforeLines="0" w:after="16" w:afterLines="0" w:line="240" w:lineRule="auto"/>
              <w:jc w:val="center"/>
              <w:rPr>
                <w:rFonts w:hint="eastAsia" w:ascii="Times New Roman"/>
                <w:snapToGrid w:val="0"/>
                <w:color w:val="auto"/>
                <w:kern w:val="21"/>
                <w:sz w:val="21"/>
                <w:szCs w:val="21"/>
              </w:rPr>
            </w:pPr>
          </w:p>
        </w:tc>
        <w:tc>
          <w:tcPr>
            <w:tcW w:w="1848" w:type="dxa"/>
            <w:shd w:val="clear" w:color="auto" w:fill="auto"/>
            <w:vAlign w:val="center"/>
          </w:tcPr>
          <w:p w14:paraId="77A03E04">
            <w:pPr>
              <w:pStyle w:val="34"/>
              <w:keepNext w:val="0"/>
              <w:keepLines w:val="0"/>
              <w:pageBreakBefore w:val="0"/>
              <w:kinsoku/>
              <w:wordWrap/>
              <w:overflowPunct/>
              <w:topLinePunct w:val="0"/>
              <w:autoSpaceDE/>
              <w:autoSpaceDN/>
              <w:bidi w:val="0"/>
              <w:spacing w:before="0" w:beforeLines="0" w:after="0" w:afterLines="0" w:line="240" w:lineRule="auto"/>
              <w:rPr>
                <w:rFonts w:hint="default" w:ascii="Times New Roman" w:hAnsi="宋体" w:cs="Times New Roman"/>
                <w:snapToGrid w:val="0"/>
                <w:color w:val="auto"/>
                <w:kern w:val="21"/>
                <w:sz w:val="21"/>
                <w:szCs w:val="21"/>
                <w:lang w:val="en-US" w:eastAsia="zh-CN"/>
              </w:rPr>
            </w:pPr>
            <w:r>
              <w:rPr>
                <w:rFonts w:hint="default" w:ascii="Times New Roman" w:hAnsi="宋体" w:cs="Times New Roman"/>
                <w:snapToGrid w:val="0"/>
                <w:color w:val="auto"/>
                <w:kern w:val="21"/>
                <w:sz w:val="21"/>
                <w:szCs w:val="21"/>
                <w:lang w:val="en-US" w:eastAsia="zh-CN"/>
              </w:rPr>
              <w:t>废刷子</w:t>
            </w:r>
          </w:p>
        </w:tc>
        <w:tc>
          <w:tcPr>
            <w:tcW w:w="1409" w:type="dxa"/>
            <w:shd w:val="clear" w:color="auto" w:fill="auto"/>
            <w:vAlign w:val="center"/>
          </w:tcPr>
          <w:p w14:paraId="42343820">
            <w:pPr>
              <w:keepNext w:val="0"/>
              <w:keepLines w:val="0"/>
              <w:widowControl/>
              <w:suppressLineNumbers w:val="0"/>
              <w:jc w:val="center"/>
              <w:textAlignment w:val="center"/>
              <w:rPr>
                <w:rFonts w:hint="default" w:ascii="Times New Roman" w:hAnsi="Times New Roman" w:eastAsia="宋体" w:cs="Times New Roman"/>
                <w:color w:val="auto"/>
                <w:kern w:val="2"/>
                <w:sz w:val="21"/>
                <w:szCs w:val="21"/>
                <w:lang w:val="en-US" w:eastAsia="zh-CN" w:bidi="ar"/>
              </w:rPr>
            </w:pPr>
            <w:r>
              <w:rPr>
                <w:rFonts w:ascii="Times New Roman"/>
                <w:snapToGrid w:val="0"/>
                <w:color w:val="auto"/>
                <w:kern w:val="21"/>
                <w:sz w:val="21"/>
                <w:szCs w:val="21"/>
              </w:rPr>
              <w:t>/</w:t>
            </w:r>
          </w:p>
        </w:tc>
        <w:tc>
          <w:tcPr>
            <w:tcW w:w="1137" w:type="dxa"/>
            <w:vAlign w:val="center"/>
          </w:tcPr>
          <w:p w14:paraId="51AF914D">
            <w:pPr>
              <w:keepNext w:val="0"/>
              <w:keepLines w:val="0"/>
              <w:pageBreakBefore w:val="0"/>
              <w:kinsoku/>
              <w:wordWrap/>
              <w:overflowPunct/>
              <w:topLinePunct w:val="0"/>
              <w:autoSpaceDE/>
              <w:autoSpaceDN/>
              <w:bidi w:val="0"/>
              <w:spacing w:line="240" w:lineRule="auto"/>
              <w:jc w:val="center"/>
              <w:rPr>
                <w:rFonts w:hint="eastAsia" w:ascii="Times New Roman" w:hAnsi="Times New Roman" w:eastAsia="宋体"/>
                <w:snapToGrid w:val="0"/>
                <w:color w:val="auto"/>
                <w:kern w:val="21"/>
                <w:sz w:val="21"/>
                <w:szCs w:val="21"/>
                <w:lang w:val="en-US" w:eastAsia="zh-CN"/>
              </w:rPr>
            </w:pPr>
            <w:r>
              <w:rPr>
                <w:rFonts w:ascii="Times New Roman"/>
                <w:snapToGrid w:val="0"/>
                <w:color w:val="auto"/>
                <w:kern w:val="21"/>
                <w:sz w:val="21"/>
                <w:szCs w:val="21"/>
              </w:rPr>
              <w:t>/</w:t>
            </w:r>
          </w:p>
        </w:tc>
        <w:tc>
          <w:tcPr>
            <w:tcW w:w="1701" w:type="dxa"/>
            <w:vAlign w:val="center"/>
          </w:tcPr>
          <w:p w14:paraId="5C56E034">
            <w:pPr>
              <w:keepNext w:val="0"/>
              <w:keepLines w:val="0"/>
              <w:pageBreakBefore w:val="0"/>
              <w:kinsoku/>
              <w:wordWrap/>
              <w:overflowPunct/>
              <w:topLinePunct w:val="0"/>
              <w:autoSpaceDE/>
              <w:autoSpaceDN/>
              <w:bidi w:val="0"/>
              <w:spacing w:line="240" w:lineRule="auto"/>
              <w:jc w:val="center"/>
              <w:rPr>
                <w:rFonts w:ascii="Times New Roman" w:hAnsi="Times New Roman"/>
                <w:snapToGrid w:val="0"/>
                <w:color w:val="auto"/>
                <w:kern w:val="21"/>
                <w:sz w:val="21"/>
                <w:szCs w:val="21"/>
              </w:rPr>
            </w:pPr>
            <w:r>
              <w:rPr>
                <w:rFonts w:ascii="Times New Roman"/>
                <w:snapToGrid w:val="0"/>
                <w:color w:val="auto"/>
                <w:kern w:val="21"/>
                <w:sz w:val="21"/>
                <w:szCs w:val="21"/>
              </w:rPr>
              <w:t>/</w:t>
            </w:r>
          </w:p>
        </w:tc>
        <w:tc>
          <w:tcPr>
            <w:tcW w:w="1559" w:type="dxa"/>
            <w:shd w:val="clear" w:color="auto" w:fill="auto"/>
            <w:vAlign w:val="center"/>
          </w:tcPr>
          <w:p w14:paraId="0107DE00">
            <w:pPr>
              <w:widowControl/>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0.3</w:t>
            </w:r>
          </w:p>
        </w:tc>
        <w:tc>
          <w:tcPr>
            <w:tcW w:w="1761" w:type="dxa"/>
            <w:vAlign w:val="center"/>
          </w:tcPr>
          <w:p w14:paraId="7566664D">
            <w:pPr>
              <w:keepNext w:val="0"/>
              <w:keepLines w:val="0"/>
              <w:pageBreakBefore w:val="0"/>
              <w:widowControl/>
              <w:kinsoku/>
              <w:wordWrap/>
              <w:overflowPunct/>
              <w:topLinePunct w:val="0"/>
              <w:autoSpaceDE/>
              <w:autoSpaceDN/>
              <w:bidi w:val="0"/>
              <w:jc w:val="center"/>
              <w:rPr>
                <w:rFonts w:hint="eastAsia"/>
                <w:color w:val="auto"/>
                <w:sz w:val="21"/>
                <w:szCs w:val="21"/>
              </w:rPr>
            </w:pPr>
            <w:r>
              <w:rPr>
                <w:rFonts w:ascii="Times New Roman"/>
                <w:snapToGrid w:val="0"/>
                <w:color w:val="auto"/>
                <w:kern w:val="21"/>
                <w:sz w:val="21"/>
                <w:szCs w:val="21"/>
              </w:rPr>
              <w:t>/</w:t>
            </w:r>
          </w:p>
        </w:tc>
        <w:tc>
          <w:tcPr>
            <w:tcW w:w="1651" w:type="dxa"/>
            <w:shd w:val="clear" w:color="auto" w:fill="auto"/>
            <w:vAlign w:val="center"/>
          </w:tcPr>
          <w:p w14:paraId="722C44E8">
            <w:pPr>
              <w:widowControl/>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0.3</w:t>
            </w:r>
          </w:p>
        </w:tc>
        <w:tc>
          <w:tcPr>
            <w:tcW w:w="1134" w:type="dxa"/>
            <w:shd w:val="clear" w:color="auto" w:fill="auto"/>
            <w:vAlign w:val="center"/>
          </w:tcPr>
          <w:p w14:paraId="0994FFC4">
            <w:pPr>
              <w:widowControl/>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kern w:val="2"/>
                <w:sz w:val="21"/>
                <w:szCs w:val="21"/>
                <w:lang w:val="en-US" w:eastAsia="zh-CN" w:bidi="ar-SA"/>
              </w:rPr>
              <w:t>+</w:t>
            </w:r>
            <w:r>
              <w:rPr>
                <w:rFonts w:hint="eastAsia" w:ascii="Times New Roman" w:hAnsi="Times New Roman" w:eastAsia="宋体" w:cs="Times New Roman"/>
                <w:color w:val="auto"/>
                <w:kern w:val="2"/>
                <w:sz w:val="21"/>
                <w:szCs w:val="21"/>
                <w:lang w:val="en-US" w:eastAsia="zh-CN" w:bidi="ar-SA"/>
              </w:rPr>
              <w:t>0.3</w:t>
            </w:r>
          </w:p>
        </w:tc>
      </w:tr>
      <w:tr w14:paraId="36FE5B7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588" w:type="dxa"/>
            <w:gridSpan w:val="2"/>
            <w:vMerge w:val="continue"/>
            <w:vAlign w:val="center"/>
          </w:tcPr>
          <w:p w14:paraId="1F0A4E35">
            <w:pPr>
              <w:pStyle w:val="34"/>
              <w:keepNext w:val="0"/>
              <w:keepLines w:val="0"/>
              <w:pageBreakBefore w:val="0"/>
              <w:kinsoku/>
              <w:wordWrap/>
              <w:overflowPunct/>
              <w:topLinePunct w:val="0"/>
              <w:autoSpaceDE/>
              <w:autoSpaceDN/>
              <w:bidi w:val="0"/>
              <w:spacing w:before="16" w:beforeLines="0" w:after="16" w:afterLines="0" w:line="240" w:lineRule="auto"/>
              <w:jc w:val="center"/>
              <w:rPr>
                <w:rFonts w:hint="eastAsia" w:ascii="Times New Roman"/>
                <w:snapToGrid w:val="0"/>
                <w:color w:val="auto"/>
                <w:kern w:val="21"/>
                <w:sz w:val="21"/>
                <w:szCs w:val="21"/>
              </w:rPr>
            </w:pPr>
          </w:p>
        </w:tc>
        <w:tc>
          <w:tcPr>
            <w:tcW w:w="1848" w:type="dxa"/>
            <w:shd w:val="clear" w:color="auto" w:fill="auto"/>
            <w:vAlign w:val="center"/>
          </w:tcPr>
          <w:p w14:paraId="5C815590">
            <w:pPr>
              <w:pStyle w:val="34"/>
              <w:keepNext w:val="0"/>
              <w:keepLines w:val="0"/>
              <w:pageBreakBefore w:val="0"/>
              <w:kinsoku/>
              <w:wordWrap/>
              <w:overflowPunct/>
              <w:topLinePunct w:val="0"/>
              <w:autoSpaceDE/>
              <w:autoSpaceDN/>
              <w:bidi w:val="0"/>
              <w:spacing w:before="0" w:beforeLines="0" w:after="0" w:afterLines="0" w:line="240" w:lineRule="auto"/>
              <w:rPr>
                <w:rFonts w:hint="default" w:ascii="Times New Roman" w:hAnsi="宋体" w:cs="Times New Roman"/>
                <w:snapToGrid w:val="0"/>
                <w:color w:val="auto"/>
                <w:kern w:val="21"/>
                <w:sz w:val="21"/>
                <w:szCs w:val="21"/>
                <w:lang w:val="en-US" w:eastAsia="zh-CN"/>
              </w:rPr>
            </w:pPr>
            <w:r>
              <w:rPr>
                <w:rFonts w:hint="default" w:ascii="Times New Roman" w:hAnsi="宋体" w:cs="Times New Roman"/>
                <w:snapToGrid w:val="0"/>
                <w:color w:val="auto"/>
                <w:kern w:val="21"/>
                <w:sz w:val="21"/>
                <w:szCs w:val="21"/>
                <w:lang w:val="en-US" w:eastAsia="zh-CN"/>
              </w:rPr>
              <w:t>废抹布及手套</w:t>
            </w:r>
          </w:p>
        </w:tc>
        <w:tc>
          <w:tcPr>
            <w:tcW w:w="1409" w:type="dxa"/>
            <w:shd w:val="clear" w:color="auto" w:fill="auto"/>
            <w:vAlign w:val="center"/>
          </w:tcPr>
          <w:p w14:paraId="71F4FB76">
            <w:pPr>
              <w:keepNext w:val="0"/>
              <w:keepLines w:val="0"/>
              <w:widowControl/>
              <w:suppressLineNumbers w:val="0"/>
              <w:jc w:val="center"/>
              <w:textAlignment w:val="center"/>
              <w:rPr>
                <w:rFonts w:hint="default" w:ascii="Times New Roman" w:hAnsi="Times New Roman" w:eastAsia="宋体" w:cs="Times New Roman"/>
                <w:color w:val="auto"/>
                <w:kern w:val="2"/>
                <w:sz w:val="21"/>
                <w:szCs w:val="21"/>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0.01</w:t>
            </w:r>
          </w:p>
        </w:tc>
        <w:tc>
          <w:tcPr>
            <w:tcW w:w="1137" w:type="dxa"/>
            <w:shd w:val="clear" w:color="auto" w:fill="auto"/>
            <w:vAlign w:val="center"/>
          </w:tcPr>
          <w:p w14:paraId="4F79EBA1">
            <w:pPr>
              <w:keepNext w:val="0"/>
              <w:keepLines w:val="0"/>
              <w:pageBreakBefore w:val="0"/>
              <w:kinsoku/>
              <w:wordWrap/>
              <w:overflowPunct/>
              <w:topLinePunct w:val="0"/>
              <w:autoSpaceDE/>
              <w:autoSpaceDN/>
              <w:bidi w:val="0"/>
              <w:spacing w:line="240" w:lineRule="auto"/>
              <w:jc w:val="center"/>
              <w:rPr>
                <w:rFonts w:hint="default" w:ascii="Times New Roman" w:hAnsi="Times New Roman" w:eastAsia="宋体" w:cs="Times New Roman"/>
                <w:snapToGrid w:val="0"/>
                <w:color w:val="auto"/>
                <w:kern w:val="21"/>
                <w:sz w:val="21"/>
                <w:szCs w:val="21"/>
                <w:lang w:val="en-US" w:eastAsia="zh-CN" w:bidi="ar"/>
              </w:rPr>
            </w:pPr>
            <w:r>
              <w:rPr>
                <w:rFonts w:hint="eastAsia" w:eastAsia="黑体" w:cs="Times New Roman"/>
                <w:snapToGrid w:val="0"/>
                <w:color w:val="auto"/>
                <w:spacing w:val="-10"/>
                <w:kern w:val="21"/>
                <w:sz w:val="21"/>
                <w:szCs w:val="21"/>
                <w:lang w:val="en-US" w:eastAsia="zh-CN" w:bidi="ar-SA"/>
              </w:rPr>
              <w:t>0</w:t>
            </w:r>
          </w:p>
        </w:tc>
        <w:tc>
          <w:tcPr>
            <w:tcW w:w="1701" w:type="dxa"/>
            <w:shd w:val="clear" w:color="auto" w:fill="auto"/>
            <w:vAlign w:val="center"/>
          </w:tcPr>
          <w:p w14:paraId="76CD509C">
            <w:pPr>
              <w:keepNext w:val="0"/>
              <w:keepLines w:val="0"/>
              <w:pageBreakBefore w:val="0"/>
              <w:kinsoku/>
              <w:wordWrap/>
              <w:overflowPunct/>
              <w:topLinePunct w:val="0"/>
              <w:autoSpaceDE/>
              <w:autoSpaceDN/>
              <w:bidi w:val="0"/>
              <w:spacing w:line="240" w:lineRule="auto"/>
              <w:jc w:val="center"/>
              <w:rPr>
                <w:rFonts w:hint="default" w:ascii="Times New Roman" w:hAnsi="Times New Roman" w:eastAsia="宋体" w:cs="Times New Roman"/>
                <w:snapToGrid w:val="0"/>
                <w:color w:val="auto"/>
                <w:kern w:val="21"/>
                <w:sz w:val="21"/>
                <w:szCs w:val="21"/>
                <w:lang w:val="en-US" w:eastAsia="zh-CN" w:bidi="ar"/>
              </w:rPr>
            </w:pPr>
            <w:r>
              <w:rPr>
                <w:rFonts w:ascii="Times New Roman"/>
                <w:snapToGrid w:val="0"/>
                <w:color w:val="auto"/>
                <w:kern w:val="21"/>
                <w:sz w:val="21"/>
                <w:szCs w:val="21"/>
              </w:rPr>
              <w:t>/</w:t>
            </w:r>
          </w:p>
        </w:tc>
        <w:tc>
          <w:tcPr>
            <w:tcW w:w="1559" w:type="dxa"/>
            <w:shd w:val="clear" w:color="auto" w:fill="auto"/>
            <w:vAlign w:val="center"/>
          </w:tcPr>
          <w:p w14:paraId="353917E1">
            <w:pPr>
              <w:widowControl/>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0.05</w:t>
            </w:r>
          </w:p>
        </w:tc>
        <w:tc>
          <w:tcPr>
            <w:tcW w:w="1761" w:type="dxa"/>
            <w:vAlign w:val="center"/>
          </w:tcPr>
          <w:p w14:paraId="5D5B42C5">
            <w:pPr>
              <w:keepNext w:val="0"/>
              <w:keepLines w:val="0"/>
              <w:pageBreakBefore w:val="0"/>
              <w:widowControl/>
              <w:kinsoku/>
              <w:wordWrap/>
              <w:overflowPunct/>
              <w:topLinePunct w:val="0"/>
              <w:autoSpaceDE/>
              <w:autoSpaceDN/>
              <w:bidi w:val="0"/>
              <w:jc w:val="center"/>
              <w:rPr>
                <w:rFonts w:hint="eastAsia"/>
                <w:color w:val="auto"/>
                <w:sz w:val="21"/>
                <w:szCs w:val="21"/>
              </w:rPr>
            </w:pPr>
            <w:r>
              <w:rPr>
                <w:rFonts w:ascii="Times New Roman"/>
                <w:snapToGrid w:val="0"/>
                <w:color w:val="auto"/>
                <w:kern w:val="21"/>
                <w:sz w:val="21"/>
                <w:szCs w:val="21"/>
              </w:rPr>
              <w:t>/</w:t>
            </w:r>
          </w:p>
        </w:tc>
        <w:tc>
          <w:tcPr>
            <w:tcW w:w="1651" w:type="dxa"/>
            <w:shd w:val="clear" w:color="auto" w:fill="auto"/>
            <w:vAlign w:val="center"/>
          </w:tcPr>
          <w:p w14:paraId="134E6F38">
            <w:pPr>
              <w:widowControl/>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0.06</w:t>
            </w:r>
          </w:p>
        </w:tc>
        <w:tc>
          <w:tcPr>
            <w:tcW w:w="1134" w:type="dxa"/>
            <w:shd w:val="clear" w:color="auto" w:fill="auto"/>
            <w:vAlign w:val="center"/>
          </w:tcPr>
          <w:p w14:paraId="74936FCF">
            <w:pPr>
              <w:widowControl/>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kern w:val="2"/>
                <w:sz w:val="21"/>
                <w:szCs w:val="21"/>
                <w:lang w:val="en-US" w:eastAsia="zh-CN" w:bidi="ar-SA"/>
              </w:rPr>
              <w:t>+</w:t>
            </w:r>
            <w:r>
              <w:rPr>
                <w:rFonts w:hint="eastAsia" w:ascii="Times New Roman" w:hAnsi="Times New Roman" w:eastAsia="宋体" w:cs="Times New Roman"/>
                <w:color w:val="auto"/>
                <w:kern w:val="2"/>
                <w:sz w:val="21"/>
                <w:szCs w:val="21"/>
                <w:lang w:val="en-US" w:eastAsia="zh-CN" w:bidi="ar-SA"/>
              </w:rPr>
              <w:t>0.05</w:t>
            </w:r>
          </w:p>
        </w:tc>
      </w:tr>
      <w:tr w14:paraId="74757DF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588" w:type="dxa"/>
            <w:gridSpan w:val="2"/>
            <w:vMerge w:val="continue"/>
            <w:vAlign w:val="center"/>
          </w:tcPr>
          <w:p w14:paraId="7F03CACD">
            <w:pPr>
              <w:pStyle w:val="34"/>
              <w:keepNext w:val="0"/>
              <w:keepLines w:val="0"/>
              <w:pageBreakBefore w:val="0"/>
              <w:kinsoku/>
              <w:wordWrap/>
              <w:overflowPunct/>
              <w:topLinePunct w:val="0"/>
              <w:autoSpaceDE/>
              <w:autoSpaceDN/>
              <w:bidi w:val="0"/>
              <w:spacing w:before="16" w:beforeLines="0" w:after="16" w:afterLines="0" w:line="240" w:lineRule="auto"/>
              <w:jc w:val="center"/>
              <w:rPr>
                <w:rFonts w:hint="eastAsia" w:ascii="Times New Roman"/>
                <w:snapToGrid w:val="0"/>
                <w:color w:val="auto"/>
                <w:kern w:val="21"/>
                <w:sz w:val="21"/>
                <w:szCs w:val="21"/>
              </w:rPr>
            </w:pPr>
          </w:p>
        </w:tc>
        <w:tc>
          <w:tcPr>
            <w:tcW w:w="1848" w:type="dxa"/>
            <w:shd w:val="clear" w:color="auto" w:fill="auto"/>
            <w:vAlign w:val="center"/>
          </w:tcPr>
          <w:p w14:paraId="3E619881">
            <w:pPr>
              <w:pStyle w:val="34"/>
              <w:keepNext w:val="0"/>
              <w:keepLines w:val="0"/>
              <w:pageBreakBefore w:val="0"/>
              <w:kinsoku/>
              <w:wordWrap/>
              <w:overflowPunct/>
              <w:topLinePunct w:val="0"/>
              <w:autoSpaceDE/>
              <w:autoSpaceDN/>
              <w:bidi w:val="0"/>
              <w:spacing w:before="0" w:beforeLines="0" w:after="0" w:afterLines="0" w:line="240" w:lineRule="auto"/>
              <w:rPr>
                <w:rFonts w:hint="default" w:ascii="Times New Roman" w:hAnsi="宋体" w:cs="Times New Roman"/>
                <w:snapToGrid w:val="0"/>
                <w:color w:val="auto"/>
                <w:kern w:val="21"/>
                <w:sz w:val="21"/>
                <w:szCs w:val="21"/>
                <w:lang w:val="en-US" w:eastAsia="zh-CN"/>
              </w:rPr>
            </w:pPr>
            <w:r>
              <w:rPr>
                <w:rFonts w:hint="default" w:ascii="Times New Roman" w:hAnsi="宋体" w:cs="Times New Roman"/>
                <w:snapToGrid w:val="0"/>
                <w:color w:val="auto"/>
                <w:kern w:val="21"/>
                <w:sz w:val="21"/>
                <w:szCs w:val="21"/>
                <w:lang w:val="en-US" w:eastAsia="zh-CN"/>
              </w:rPr>
              <w:t>废包装桶</w:t>
            </w:r>
          </w:p>
        </w:tc>
        <w:tc>
          <w:tcPr>
            <w:tcW w:w="1409" w:type="dxa"/>
            <w:shd w:val="clear" w:color="auto" w:fill="auto"/>
            <w:vAlign w:val="center"/>
          </w:tcPr>
          <w:p w14:paraId="6723ADEC">
            <w:pPr>
              <w:keepNext w:val="0"/>
              <w:keepLines w:val="0"/>
              <w:widowControl/>
              <w:suppressLineNumbers w:val="0"/>
              <w:jc w:val="center"/>
              <w:textAlignment w:val="center"/>
              <w:rPr>
                <w:rFonts w:hint="default" w:ascii="Times New Roman" w:hAnsi="Times New Roman" w:eastAsia="宋体" w:cs="Times New Roman"/>
                <w:color w:val="auto"/>
                <w:kern w:val="2"/>
                <w:sz w:val="21"/>
                <w:szCs w:val="21"/>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0.025</w:t>
            </w:r>
          </w:p>
        </w:tc>
        <w:tc>
          <w:tcPr>
            <w:tcW w:w="1137" w:type="dxa"/>
            <w:shd w:val="clear" w:color="auto" w:fill="auto"/>
            <w:vAlign w:val="center"/>
          </w:tcPr>
          <w:p w14:paraId="0AED5F7E">
            <w:pPr>
              <w:keepNext w:val="0"/>
              <w:keepLines w:val="0"/>
              <w:pageBreakBefore w:val="0"/>
              <w:kinsoku/>
              <w:wordWrap/>
              <w:overflowPunct/>
              <w:topLinePunct w:val="0"/>
              <w:autoSpaceDE/>
              <w:autoSpaceDN/>
              <w:bidi w:val="0"/>
              <w:spacing w:line="240" w:lineRule="auto"/>
              <w:jc w:val="center"/>
              <w:rPr>
                <w:rFonts w:hint="default" w:ascii="Times New Roman" w:hAnsi="Times New Roman" w:eastAsia="宋体" w:cs="Times New Roman"/>
                <w:snapToGrid w:val="0"/>
                <w:color w:val="auto"/>
                <w:kern w:val="21"/>
                <w:sz w:val="21"/>
                <w:szCs w:val="21"/>
                <w:lang w:val="en-US" w:eastAsia="zh-CN" w:bidi="ar"/>
              </w:rPr>
            </w:pPr>
            <w:r>
              <w:rPr>
                <w:rFonts w:hint="eastAsia" w:eastAsia="黑体" w:cs="Times New Roman"/>
                <w:snapToGrid w:val="0"/>
                <w:color w:val="auto"/>
                <w:spacing w:val="-10"/>
                <w:kern w:val="21"/>
                <w:sz w:val="21"/>
                <w:szCs w:val="21"/>
                <w:lang w:val="en-US" w:eastAsia="zh-CN" w:bidi="ar-SA"/>
              </w:rPr>
              <w:t>0</w:t>
            </w:r>
          </w:p>
        </w:tc>
        <w:tc>
          <w:tcPr>
            <w:tcW w:w="1701" w:type="dxa"/>
            <w:shd w:val="clear" w:color="auto" w:fill="auto"/>
            <w:vAlign w:val="center"/>
          </w:tcPr>
          <w:p w14:paraId="0B989397">
            <w:pPr>
              <w:keepNext w:val="0"/>
              <w:keepLines w:val="0"/>
              <w:pageBreakBefore w:val="0"/>
              <w:kinsoku/>
              <w:wordWrap/>
              <w:overflowPunct/>
              <w:topLinePunct w:val="0"/>
              <w:autoSpaceDE/>
              <w:autoSpaceDN/>
              <w:bidi w:val="0"/>
              <w:spacing w:line="240" w:lineRule="auto"/>
              <w:jc w:val="center"/>
              <w:rPr>
                <w:rFonts w:ascii="Times New Roman"/>
                <w:snapToGrid w:val="0"/>
                <w:color w:val="auto"/>
                <w:kern w:val="21"/>
                <w:sz w:val="21"/>
                <w:szCs w:val="21"/>
              </w:rPr>
            </w:pPr>
            <w:r>
              <w:rPr>
                <w:rFonts w:ascii="Times New Roman"/>
                <w:snapToGrid w:val="0"/>
                <w:color w:val="auto"/>
                <w:kern w:val="21"/>
                <w:sz w:val="21"/>
                <w:szCs w:val="21"/>
              </w:rPr>
              <w:t>/</w:t>
            </w:r>
          </w:p>
        </w:tc>
        <w:tc>
          <w:tcPr>
            <w:tcW w:w="1559" w:type="dxa"/>
            <w:shd w:val="clear" w:color="auto" w:fill="auto"/>
            <w:vAlign w:val="center"/>
          </w:tcPr>
          <w:p w14:paraId="3E42B14F">
            <w:pPr>
              <w:widowControl/>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0.195</w:t>
            </w:r>
          </w:p>
        </w:tc>
        <w:tc>
          <w:tcPr>
            <w:tcW w:w="1761" w:type="dxa"/>
            <w:vAlign w:val="center"/>
          </w:tcPr>
          <w:p w14:paraId="5DED5F4F">
            <w:pPr>
              <w:keepNext w:val="0"/>
              <w:keepLines w:val="0"/>
              <w:pageBreakBefore w:val="0"/>
              <w:widowControl/>
              <w:kinsoku/>
              <w:wordWrap/>
              <w:overflowPunct/>
              <w:topLinePunct w:val="0"/>
              <w:autoSpaceDE/>
              <w:autoSpaceDN/>
              <w:bidi w:val="0"/>
              <w:jc w:val="center"/>
              <w:rPr>
                <w:rFonts w:hint="eastAsia"/>
                <w:color w:val="auto"/>
                <w:sz w:val="21"/>
                <w:szCs w:val="21"/>
              </w:rPr>
            </w:pPr>
            <w:r>
              <w:rPr>
                <w:rFonts w:ascii="Times New Roman"/>
                <w:snapToGrid w:val="0"/>
                <w:color w:val="auto"/>
                <w:kern w:val="21"/>
                <w:sz w:val="21"/>
                <w:szCs w:val="21"/>
              </w:rPr>
              <w:t>/</w:t>
            </w:r>
          </w:p>
        </w:tc>
        <w:tc>
          <w:tcPr>
            <w:tcW w:w="1651" w:type="dxa"/>
            <w:shd w:val="clear" w:color="auto" w:fill="auto"/>
            <w:vAlign w:val="center"/>
          </w:tcPr>
          <w:p w14:paraId="2748D045">
            <w:pPr>
              <w:widowControl/>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0.22</w:t>
            </w:r>
          </w:p>
        </w:tc>
        <w:tc>
          <w:tcPr>
            <w:tcW w:w="1134" w:type="dxa"/>
            <w:shd w:val="clear" w:color="auto" w:fill="auto"/>
            <w:vAlign w:val="center"/>
          </w:tcPr>
          <w:p w14:paraId="24287CD2">
            <w:pPr>
              <w:widowControl/>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kern w:val="2"/>
                <w:sz w:val="21"/>
                <w:szCs w:val="21"/>
                <w:lang w:val="en-US" w:eastAsia="zh-CN" w:bidi="ar-SA"/>
              </w:rPr>
              <w:t>+</w:t>
            </w:r>
            <w:r>
              <w:rPr>
                <w:rFonts w:hint="eastAsia" w:ascii="Times New Roman" w:hAnsi="Times New Roman" w:eastAsia="宋体" w:cs="Times New Roman"/>
                <w:color w:val="auto"/>
                <w:kern w:val="2"/>
                <w:sz w:val="21"/>
                <w:szCs w:val="21"/>
                <w:lang w:val="en-US" w:eastAsia="zh-CN" w:bidi="ar-SA"/>
              </w:rPr>
              <w:t>0.195</w:t>
            </w:r>
          </w:p>
        </w:tc>
      </w:tr>
      <w:tr w14:paraId="21623E9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588" w:type="dxa"/>
            <w:gridSpan w:val="2"/>
            <w:vMerge w:val="continue"/>
            <w:vAlign w:val="center"/>
          </w:tcPr>
          <w:p w14:paraId="25FC11A3">
            <w:pPr>
              <w:pStyle w:val="34"/>
              <w:keepNext w:val="0"/>
              <w:keepLines w:val="0"/>
              <w:pageBreakBefore w:val="0"/>
              <w:kinsoku/>
              <w:wordWrap/>
              <w:overflowPunct/>
              <w:topLinePunct w:val="0"/>
              <w:autoSpaceDE/>
              <w:autoSpaceDN/>
              <w:bidi w:val="0"/>
              <w:spacing w:before="16" w:beforeLines="0" w:after="16" w:afterLines="0" w:line="240" w:lineRule="auto"/>
              <w:jc w:val="center"/>
              <w:rPr>
                <w:rFonts w:hint="eastAsia" w:ascii="Times New Roman"/>
                <w:snapToGrid w:val="0"/>
                <w:color w:val="auto"/>
                <w:kern w:val="21"/>
                <w:sz w:val="21"/>
                <w:szCs w:val="21"/>
              </w:rPr>
            </w:pPr>
          </w:p>
        </w:tc>
        <w:tc>
          <w:tcPr>
            <w:tcW w:w="1848" w:type="dxa"/>
            <w:shd w:val="clear" w:color="auto" w:fill="auto"/>
            <w:vAlign w:val="center"/>
          </w:tcPr>
          <w:p w14:paraId="4B7227AD">
            <w:pPr>
              <w:pStyle w:val="34"/>
              <w:keepNext w:val="0"/>
              <w:keepLines w:val="0"/>
              <w:pageBreakBefore w:val="0"/>
              <w:kinsoku/>
              <w:wordWrap/>
              <w:overflowPunct/>
              <w:topLinePunct w:val="0"/>
              <w:autoSpaceDE/>
              <w:autoSpaceDN/>
              <w:bidi w:val="0"/>
              <w:spacing w:before="0" w:beforeLines="0" w:after="0" w:afterLines="0" w:line="240" w:lineRule="auto"/>
              <w:rPr>
                <w:rFonts w:hint="default" w:ascii="Times New Roman" w:hAnsi="宋体" w:cs="Times New Roman"/>
                <w:snapToGrid w:val="0"/>
                <w:color w:val="auto"/>
                <w:kern w:val="21"/>
                <w:sz w:val="21"/>
                <w:szCs w:val="21"/>
                <w:lang w:val="en-US" w:eastAsia="zh-CN"/>
              </w:rPr>
            </w:pPr>
            <w:r>
              <w:rPr>
                <w:rFonts w:hint="default" w:ascii="Times New Roman" w:hAnsi="宋体" w:cs="Times New Roman"/>
                <w:snapToGrid w:val="0"/>
                <w:color w:val="auto"/>
                <w:kern w:val="21"/>
                <w:sz w:val="21"/>
                <w:szCs w:val="21"/>
                <w:lang w:val="en-US" w:eastAsia="zh-CN"/>
              </w:rPr>
              <w:t>废油桶</w:t>
            </w:r>
          </w:p>
        </w:tc>
        <w:tc>
          <w:tcPr>
            <w:tcW w:w="1409" w:type="dxa"/>
            <w:shd w:val="clear" w:color="auto" w:fill="auto"/>
            <w:vAlign w:val="center"/>
          </w:tcPr>
          <w:p w14:paraId="2FF5FA3E">
            <w:pPr>
              <w:keepNext w:val="0"/>
              <w:keepLines w:val="0"/>
              <w:widowControl/>
              <w:suppressLineNumbers w:val="0"/>
              <w:jc w:val="center"/>
              <w:textAlignment w:val="center"/>
              <w:rPr>
                <w:rFonts w:hint="default" w:ascii="Times New Roman" w:hAnsi="Times New Roman" w:eastAsia="宋体" w:cs="Times New Roman"/>
                <w:color w:val="auto"/>
                <w:kern w:val="2"/>
                <w:sz w:val="21"/>
                <w:szCs w:val="21"/>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0.04</w:t>
            </w:r>
          </w:p>
        </w:tc>
        <w:tc>
          <w:tcPr>
            <w:tcW w:w="1137" w:type="dxa"/>
            <w:shd w:val="clear" w:color="auto" w:fill="auto"/>
            <w:vAlign w:val="center"/>
          </w:tcPr>
          <w:p w14:paraId="44BC347B">
            <w:pPr>
              <w:keepNext w:val="0"/>
              <w:keepLines w:val="0"/>
              <w:pageBreakBefore w:val="0"/>
              <w:kinsoku/>
              <w:wordWrap/>
              <w:overflowPunct/>
              <w:topLinePunct w:val="0"/>
              <w:autoSpaceDE/>
              <w:autoSpaceDN/>
              <w:bidi w:val="0"/>
              <w:spacing w:line="240" w:lineRule="auto"/>
              <w:jc w:val="center"/>
              <w:rPr>
                <w:rFonts w:hint="default" w:ascii="Times New Roman" w:hAnsi="Times New Roman" w:eastAsia="宋体" w:cs="Times New Roman"/>
                <w:snapToGrid w:val="0"/>
                <w:color w:val="auto"/>
                <w:kern w:val="21"/>
                <w:sz w:val="21"/>
                <w:szCs w:val="21"/>
                <w:lang w:val="en-US" w:eastAsia="zh-CN" w:bidi="ar"/>
              </w:rPr>
            </w:pPr>
            <w:r>
              <w:rPr>
                <w:rFonts w:hint="eastAsia" w:eastAsia="黑体" w:cs="Times New Roman"/>
                <w:snapToGrid w:val="0"/>
                <w:color w:val="auto"/>
                <w:spacing w:val="-10"/>
                <w:kern w:val="21"/>
                <w:sz w:val="21"/>
                <w:szCs w:val="21"/>
                <w:lang w:val="en-US" w:eastAsia="zh-CN" w:bidi="ar-SA"/>
              </w:rPr>
              <w:t>0</w:t>
            </w:r>
          </w:p>
        </w:tc>
        <w:tc>
          <w:tcPr>
            <w:tcW w:w="1701" w:type="dxa"/>
            <w:shd w:val="clear" w:color="auto" w:fill="auto"/>
            <w:vAlign w:val="center"/>
          </w:tcPr>
          <w:p w14:paraId="36195BDD">
            <w:pPr>
              <w:keepNext w:val="0"/>
              <w:keepLines w:val="0"/>
              <w:pageBreakBefore w:val="0"/>
              <w:kinsoku/>
              <w:wordWrap/>
              <w:overflowPunct/>
              <w:topLinePunct w:val="0"/>
              <w:autoSpaceDE/>
              <w:autoSpaceDN/>
              <w:bidi w:val="0"/>
              <w:spacing w:line="240" w:lineRule="auto"/>
              <w:jc w:val="center"/>
              <w:rPr>
                <w:rFonts w:ascii="Times New Roman"/>
                <w:snapToGrid w:val="0"/>
                <w:color w:val="auto"/>
                <w:kern w:val="21"/>
                <w:sz w:val="21"/>
                <w:szCs w:val="21"/>
              </w:rPr>
            </w:pPr>
            <w:r>
              <w:rPr>
                <w:rFonts w:ascii="Times New Roman"/>
                <w:snapToGrid w:val="0"/>
                <w:color w:val="auto"/>
                <w:kern w:val="21"/>
                <w:sz w:val="21"/>
                <w:szCs w:val="21"/>
              </w:rPr>
              <w:t>/</w:t>
            </w:r>
          </w:p>
        </w:tc>
        <w:tc>
          <w:tcPr>
            <w:tcW w:w="1559" w:type="dxa"/>
            <w:shd w:val="clear" w:color="auto" w:fill="auto"/>
            <w:vAlign w:val="center"/>
          </w:tcPr>
          <w:p w14:paraId="464F0682">
            <w:pPr>
              <w:widowControl/>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0.665</w:t>
            </w:r>
          </w:p>
        </w:tc>
        <w:tc>
          <w:tcPr>
            <w:tcW w:w="1761" w:type="dxa"/>
            <w:vAlign w:val="center"/>
          </w:tcPr>
          <w:p w14:paraId="3BA2B8AE">
            <w:pPr>
              <w:keepNext w:val="0"/>
              <w:keepLines w:val="0"/>
              <w:pageBreakBefore w:val="0"/>
              <w:widowControl/>
              <w:kinsoku/>
              <w:wordWrap/>
              <w:overflowPunct/>
              <w:topLinePunct w:val="0"/>
              <w:autoSpaceDE/>
              <w:autoSpaceDN/>
              <w:bidi w:val="0"/>
              <w:jc w:val="center"/>
              <w:rPr>
                <w:rFonts w:hint="eastAsia"/>
                <w:color w:val="auto"/>
                <w:sz w:val="21"/>
                <w:szCs w:val="21"/>
              </w:rPr>
            </w:pPr>
            <w:r>
              <w:rPr>
                <w:rFonts w:ascii="Times New Roman"/>
                <w:snapToGrid w:val="0"/>
                <w:color w:val="auto"/>
                <w:kern w:val="21"/>
                <w:sz w:val="21"/>
                <w:szCs w:val="21"/>
              </w:rPr>
              <w:t>/</w:t>
            </w:r>
          </w:p>
        </w:tc>
        <w:tc>
          <w:tcPr>
            <w:tcW w:w="1651" w:type="dxa"/>
            <w:shd w:val="clear" w:color="auto" w:fill="auto"/>
            <w:vAlign w:val="center"/>
          </w:tcPr>
          <w:p w14:paraId="783F9CFC">
            <w:pPr>
              <w:widowControl/>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0.705</w:t>
            </w:r>
          </w:p>
        </w:tc>
        <w:tc>
          <w:tcPr>
            <w:tcW w:w="1134" w:type="dxa"/>
            <w:shd w:val="clear" w:color="auto" w:fill="auto"/>
            <w:vAlign w:val="center"/>
          </w:tcPr>
          <w:p w14:paraId="79C2A9AC">
            <w:pPr>
              <w:widowControl/>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kern w:val="2"/>
                <w:sz w:val="21"/>
                <w:szCs w:val="21"/>
                <w:lang w:val="en-US" w:eastAsia="zh-CN" w:bidi="ar-SA"/>
              </w:rPr>
              <w:t>+</w:t>
            </w:r>
            <w:r>
              <w:rPr>
                <w:rFonts w:hint="eastAsia" w:ascii="Times New Roman" w:hAnsi="Times New Roman" w:eastAsia="宋体" w:cs="Times New Roman"/>
                <w:color w:val="auto"/>
                <w:kern w:val="2"/>
                <w:sz w:val="21"/>
                <w:szCs w:val="21"/>
                <w:lang w:val="en-US" w:eastAsia="zh-CN" w:bidi="ar-SA"/>
              </w:rPr>
              <w:t>0.665</w:t>
            </w:r>
          </w:p>
        </w:tc>
      </w:tr>
      <w:tr w14:paraId="3C1AF76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588" w:type="dxa"/>
            <w:gridSpan w:val="2"/>
            <w:vMerge w:val="continue"/>
            <w:vAlign w:val="center"/>
          </w:tcPr>
          <w:p w14:paraId="081BB67D">
            <w:pPr>
              <w:pStyle w:val="34"/>
              <w:keepNext w:val="0"/>
              <w:keepLines w:val="0"/>
              <w:pageBreakBefore w:val="0"/>
              <w:kinsoku/>
              <w:wordWrap/>
              <w:overflowPunct/>
              <w:topLinePunct w:val="0"/>
              <w:autoSpaceDE/>
              <w:autoSpaceDN/>
              <w:bidi w:val="0"/>
              <w:spacing w:before="16" w:beforeLines="0" w:after="16" w:afterLines="0" w:line="240" w:lineRule="auto"/>
              <w:jc w:val="center"/>
              <w:rPr>
                <w:rFonts w:hint="eastAsia" w:ascii="Times New Roman"/>
                <w:snapToGrid w:val="0"/>
                <w:color w:val="auto"/>
                <w:kern w:val="21"/>
                <w:sz w:val="21"/>
                <w:szCs w:val="21"/>
              </w:rPr>
            </w:pPr>
          </w:p>
        </w:tc>
        <w:tc>
          <w:tcPr>
            <w:tcW w:w="1848" w:type="dxa"/>
            <w:shd w:val="clear" w:color="auto" w:fill="auto"/>
            <w:vAlign w:val="center"/>
          </w:tcPr>
          <w:p w14:paraId="3E4B2CC6">
            <w:pPr>
              <w:pStyle w:val="34"/>
              <w:keepNext w:val="0"/>
              <w:keepLines w:val="0"/>
              <w:pageBreakBefore w:val="0"/>
              <w:kinsoku/>
              <w:wordWrap/>
              <w:overflowPunct/>
              <w:topLinePunct w:val="0"/>
              <w:autoSpaceDE/>
              <w:autoSpaceDN/>
              <w:bidi w:val="0"/>
              <w:spacing w:before="0" w:beforeLines="0" w:after="0" w:afterLines="0" w:line="240" w:lineRule="auto"/>
              <w:rPr>
                <w:rFonts w:hint="default" w:ascii="Times New Roman" w:hAnsi="宋体" w:cs="Times New Roman"/>
                <w:snapToGrid w:val="0"/>
                <w:color w:val="auto"/>
                <w:kern w:val="21"/>
                <w:sz w:val="21"/>
                <w:szCs w:val="21"/>
                <w:lang w:val="en-US" w:eastAsia="zh-CN"/>
              </w:rPr>
            </w:pPr>
            <w:r>
              <w:rPr>
                <w:rFonts w:hint="default" w:ascii="Times New Roman" w:hAnsi="宋体" w:cs="Times New Roman"/>
                <w:snapToGrid w:val="0"/>
                <w:color w:val="auto"/>
                <w:kern w:val="21"/>
                <w:sz w:val="21"/>
                <w:szCs w:val="21"/>
                <w:lang w:val="en-US" w:eastAsia="zh-CN"/>
              </w:rPr>
              <w:t>废润滑油</w:t>
            </w:r>
          </w:p>
        </w:tc>
        <w:tc>
          <w:tcPr>
            <w:tcW w:w="1409" w:type="dxa"/>
            <w:shd w:val="clear" w:color="auto" w:fill="auto"/>
            <w:vAlign w:val="center"/>
          </w:tcPr>
          <w:p w14:paraId="5D06182F">
            <w:pPr>
              <w:keepNext w:val="0"/>
              <w:keepLines w:val="0"/>
              <w:widowControl/>
              <w:suppressLineNumbers w:val="0"/>
              <w:jc w:val="center"/>
              <w:textAlignment w:val="center"/>
              <w:rPr>
                <w:rFonts w:hint="default" w:ascii="Times New Roman" w:hAnsi="Times New Roman" w:eastAsia="宋体" w:cs="Times New Roman"/>
                <w:color w:val="auto"/>
                <w:kern w:val="2"/>
                <w:sz w:val="21"/>
                <w:szCs w:val="21"/>
                <w:lang w:val="en-US" w:eastAsia="zh-CN" w:bidi="ar"/>
              </w:rPr>
            </w:pPr>
            <w:r>
              <w:rPr>
                <w:rFonts w:ascii="Times New Roman"/>
                <w:snapToGrid w:val="0"/>
                <w:color w:val="auto"/>
                <w:kern w:val="21"/>
                <w:sz w:val="21"/>
                <w:szCs w:val="21"/>
              </w:rPr>
              <w:t>/</w:t>
            </w:r>
          </w:p>
        </w:tc>
        <w:tc>
          <w:tcPr>
            <w:tcW w:w="1137" w:type="dxa"/>
            <w:shd w:val="clear" w:color="auto" w:fill="auto"/>
            <w:vAlign w:val="center"/>
          </w:tcPr>
          <w:p w14:paraId="77C36928">
            <w:pPr>
              <w:keepNext w:val="0"/>
              <w:keepLines w:val="0"/>
              <w:pageBreakBefore w:val="0"/>
              <w:kinsoku/>
              <w:wordWrap/>
              <w:overflowPunct/>
              <w:topLinePunct w:val="0"/>
              <w:autoSpaceDE/>
              <w:autoSpaceDN/>
              <w:bidi w:val="0"/>
              <w:spacing w:line="240" w:lineRule="auto"/>
              <w:jc w:val="center"/>
              <w:rPr>
                <w:rFonts w:hint="default" w:ascii="Times New Roman" w:hAnsi="Times New Roman" w:eastAsia="宋体" w:cs="Times New Roman"/>
                <w:snapToGrid w:val="0"/>
                <w:color w:val="auto"/>
                <w:kern w:val="21"/>
                <w:sz w:val="21"/>
                <w:szCs w:val="21"/>
                <w:lang w:val="en-US" w:eastAsia="zh-CN" w:bidi="ar"/>
              </w:rPr>
            </w:pPr>
            <w:r>
              <w:rPr>
                <w:rFonts w:ascii="Times New Roman"/>
                <w:snapToGrid w:val="0"/>
                <w:color w:val="auto"/>
                <w:kern w:val="21"/>
                <w:sz w:val="21"/>
                <w:szCs w:val="21"/>
              </w:rPr>
              <w:t>/</w:t>
            </w:r>
          </w:p>
        </w:tc>
        <w:tc>
          <w:tcPr>
            <w:tcW w:w="1701" w:type="dxa"/>
            <w:shd w:val="clear" w:color="auto" w:fill="auto"/>
            <w:vAlign w:val="center"/>
          </w:tcPr>
          <w:p w14:paraId="0D4D4CD6">
            <w:pPr>
              <w:keepNext w:val="0"/>
              <w:keepLines w:val="0"/>
              <w:pageBreakBefore w:val="0"/>
              <w:kinsoku/>
              <w:wordWrap/>
              <w:overflowPunct/>
              <w:topLinePunct w:val="0"/>
              <w:autoSpaceDE/>
              <w:autoSpaceDN/>
              <w:bidi w:val="0"/>
              <w:spacing w:line="240" w:lineRule="auto"/>
              <w:jc w:val="center"/>
              <w:rPr>
                <w:rFonts w:ascii="Times New Roman"/>
                <w:snapToGrid w:val="0"/>
                <w:color w:val="auto"/>
                <w:kern w:val="21"/>
                <w:sz w:val="21"/>
                <w:szCs w:val="21"/>
              </w:rPr>
            </w:pPr>
            <w:r>
              <w:rPr>
                <w:rFonts w:ascii="Times New Roman"/>
                <w:snapToGrid w:val="0"/>
                <w:color w:val="auto"/>
                <w:kern w:val="21"/>
                <w:sz w:val="21"/>
                <w:szCs w:val="21"/>
              </w:rPr>
              <w:t>/</w:t>
            </w:r>
          </w:p>
        </w:tc>
        <w:tc>
          <w:tcPr>
            <w:tcW w:w="1559" w:type="dxa"/>
            <w:shd w:val="clear" w:color="auto" w:fill="auto"/>
            <w:vAlign w:val="center"/>
          </w:tcPr>
          <w:p w14:paraId="75681E8A">
            <w:pPr>
              <w:widowControl/>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6</w:t>
            </w:r>
          </w:p>
        </w:tc>
        <w:tc>
          <w:tcPr>
            <w:tcW w:w="1761" w:type="dxa"/>
            <w:vAlign w:val="center"/>
          </w:tcPr>
          <w:p w14:paraId="7EA9ACEE">
            <w:pPr>
              <w:keepNext w:val="0"/>
              <w:keepLines w:val="0"/>
              <w:pageBreakBefore w:val="0"/>
              <w:widowControl/>
              <w:kinsoku/>
              <w:wordWrap/>
              <w:overflowPunct/>
              <w:topLinePunct w:val="0"/>
              <w:autoSpaceDE/>
              <w:autoSpaceDN/>
              <w:bidi w:val="0"/>
              <w:jc w:val="center"/>
              <w:rPr>
                <w:rFonts w:hint="eastAsia"/>
                <w:color w:val="auto"/>
                <w:sz w:val="21"/>
                <w:szCs w:val="21"/>
              </w:rPr>
            </w:pPr>
            <w:r>
              <w:rPr>
                <w:rFonts w:ascii="Times New Roman"/>
                <w:snapToGrid w:val="0"/>
                <w:color w:val="auto"/>
                <w:kern w:val="21"/>
                <w:sz w:val="21"/>
                <w:szCs w:val="21"/>
              </w:rPr>
              <w:t>/</w:t>
            </w:r>
          </w:p>
        </w:tc>
        <w:tc>
          <w:tcPr>
            <w:tcW w:w="1651" w:type="dxa"/>
            <w:shd w:val="clear" w:color="auto" w:fill="auto"/>
            <w:vAlign w:val="center"/>
          </w:tcPr>
          <w:p w14:paraId="2F82CF23">
            <w:pPr>
              <w:widowControl/>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6</w:t>
            </w:r>
          </w:p>
        </w:tc>
        <w:tc>
          <w:tcPr>
            <w:tcW w:w="1134" w:type="dxa"/>
            <w:shd w:val="clear" w:color="auto" w:fill="auto"/>
            <w:vAlign w:val="center"/>
          </w:tcPr>
          <w:p w14:paraId="64CFFDA9">
            <w:pPr>
              <w:widowControl/>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kern w:val="2"/>
                <w:sz w:val="21"/>
                <w:szCs w:val="21"/>
                <w:lang w:val="en-US" w:eastAsia="zh-CN" w:bidi="ar-SA"/>
              </w:rPr>
              <w:t>+</w:t>
            </w:r>
            <w:r>
              <w:rPr>
                <w:rFonts w:hint="eastAsia" w:ascii="Times New Roman" w:hAnsi="Times New Roman" w:eastAsia="宋体" w:cs="Times New Roman"/>
                <w:color w:val="auto"/>
                <w:kern w:val="2"/>
                <w:sz w:val="21"/>
                <w:szCs w:val="21"/>
                <w:lang w:val="en-US" w:eastAsia="zh-CN" w:bidi="ar-SA"/>
              </w:rPr>
              <w:t>6</w:t>
            </w:r>
          </w:p>
        </w:tc>
      </w:tr>
      <w:tr w14:paraId="099BB0D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588" w:type="dxa"/>
            <w:gridSpan w:val="2"/>
            <w:vMerge w:val="continue"/>
            <w:vAlign w:val="center"/>
          </w:tcPr>
          <w:p w14:paraId="4179FEC6">
            <w:pPr>
              <w:pStyle w:val="34"/>
              <w:keepNext w:val="0"/>
              <w:keepLines w:val="0"/>
              <w:pageBreakBefore w:val="0"/>
              <w:kinsoku/>
              <w:wordWrap/>
              <w:overflowPunct/>
              <w:topLinePunct w:val="0"/>
              <w:autoSpaceDE/>
              <w:autoSpaceDN/>
              <w:bidi w:val="0"/>
              <w:spacing w:before="16" w:beforeLines="0" w:after="16" w:afterLines="0" w:line="240" w:lineRule="auto"/>
              <w:jc w:val="center"/>
              <w:rPr>
                <w:rFonts w:hint="eastAsia" w:ascii="Times New Roman"/>
                <w:snapToGrid w:val="0"/>
                <w:color w:val="auto"/>
                <w:kern w:val="21"/>
                <w:sz w:val="21"/>
                <w:szCs w:val="21"/>
              </w:rPr>
            </w:pPr>
          </w:p>
        </w:tc>
        <w:tc>
          <w:tcPr>
            <w:tcW w:w="1848" w:type="dxa"/>
            <w:shd w:val="clear" w:color="auto" w:fill="auto"/>
            <w:vAlign w:val="center"/>
          </w:tcPr>
          <w:p w14:paraId="008966E2">
            <w:pPr>
              <w:pStyle w:val="34"/>
              <w:keepNext w:val="0"/>
              <w:keepLines w:val="0"/>
              <w:pageBreakBefore w:val="0"/>
              <w:kinsoku/>
              <w:wordWrap/>
              <w:overflowPunct/>
              <w:topLinePunct w:val="0"/>
              <w:autoSpaceDE/>
              <w:autoSpaceDN/>
              <w:bidi w:val="0"/>
              <w:spacing w:before="0" w:beforeLines="0" w:after="0" w:afterLines="0" w:line="240" w:lineRule="auto"/>
              <w:rPr>
                <w:rFonts w:hint="default" w:ascii="Times New Roman" w:hAnsi="宋体" w:cs="Times New Roman"/>
                <w:snapToGrid w:val="0"/>
                <w:color w:val="auto"/>
                <w:kern w:val="21"/>
                <w:sz w:val="21"/>
                <w:szCs w:val="21"/>
                <w:lang w:val="en-US" w:eastAsia="zh-CN"/>
              </w:rPr>
            </w:pPr>
            <w:r>
              <w:rPr>
                <w:rFonts w:hint="default" w:ascii="Times New Roman" w:hAnsi="宋体" w:cs="Times New Roman"/>
                <w:snapToGrid w:val="0"/>
                <w:color w:val="auto"/>
                <w:kern w:val="21"/>
                <w:sz w:val="21"/>
                <w:szCs w:val="21"/>
                <w:lang w:val="en-US" w:eastAsia="zh-CN"/>
              </w:rPr>
              <w:t>废液压油</w:t>
            </w:r>
          </w:p>
        </w:tc>
        <w:tc>
          <w:tcPr>
            <w:tcW w:w="1409" w:type="dxa"/>
            <w:shd w:val="clear" w:color="auto" w:fill="auto"/>
            <w:vAlign w:val="center"/>
          </w:tcPr>
          <w:p w14:paraId="26330107">
            <w:pPr>
              <w:keepNext w:val="0"/>
              <w:keepLines w:val="0"/>
              <w:widowControl/>
              <w:suppressLineNumbers w:val="0"/>
              <w:jc w:val="center"/>
              <w:textAlignment w:val="center"/>
              <w:rPr>
                <w:rFonts w:hint="default" w:ascii="Times New Roman" w:hAnsi="Times New Roman" w:eastAsia="宋体" w:cs="Times New Roman"/>
                <w:color w:val="auto"/>
                <w:kern w:val="2"/>
                <w:sz w:val="21"/>
                <w:szCs w:val="21"/>
                <w:lang w:val="en-US" w:eastAsia="zh-CN" w:bidi="ar"/>
              </w:rPr>
            </w:pPr>
            <w:r>
              <w:rPr>
                <w:rFonts w:ascii="Times New Roman"/>
                <w:snapToGrid w:val="0"/>
                <w:color w:val="auto"/>
                <w:kern w:val="21"/>
                <w:sz w:val="21"/>
                <w:szCs w:val="21"/>
              </w:rPr>
              <w:t>/</w:t>
            </w:r>
          </w:p>
        </w:tc>
        <w:tc>
          <w:tcPr>
            <w:tcW w:w="1137" w:type="dxa"/>
            <w:shd w:val="clear" w:color="auto" w:fill="auto"/>
            <w:vAlign w:val="center"/>
          </w:tcPr>
          <w:p w14:paraId="6B29C967">
            <w:pPr>
              <w:keepNext w:val="0"/>
              <w:keepLines w:val="0"/>
              <w:pageBreakBefore w:val="0"/>
              <w:kinsoku/>
              <w:wordWrap/>
              <w:overflowPunct/>
              <w:topLinePunct w:val="0"/>
              <w:autoSpaceDE/>
              <w:autoSpaceDN/>
              <w:bidi w:val="0"/>
              <w:spacing w:line="240" w:lineRule="auto"/>
              <w:jc w:val="center"/>
              <w:rPr>
                <w:rFonts w:hint="eastAsia" w:cs="Times New Roman"/>
                <w:snapToGrid w:val="0"/>
                <w:color w:val="auto"/>
                <w:kern w:val="21"/>
                <w:sz w:val="21"/>
                <w:szCs w:val="21"/>
                <w:lang w:val="en-US" w:eastAsia="zh-CN" w:bidi="ar"/>
              </w:rPr>
            </w:pPr>
            <w:r>
              <w:rPr>
                <w:rFonts w:ascii="Times New Roman"/>
                <w:snapToGrid w:val="0"/>
                <w:color w:val="auto"/>
                <w:kern w:val="21"/>
                <w:sz w:val="21"/>
                <w:szCs w:val="21"/>
              </w:rPr>
              <w:t>/</w:t>
            </w:r>
          </w:p>
        </w:tc>
        <w:tc>
          <w:tcPr>
            <w:tcW w:w="1701" w:type="dxa"/>
            <w:shd w:val="clear" w:color="auto" w:fill="auto"/>
            <w:vAlign w:val="center"/>
          </w:tcPr>
          <w:p w14:paraId="6A7CD011">
            <w:pPr>
              <w:keepNext w:val="0"/>
              <w:keepLines w:val="0"/>
              <w:pageBreakBefore w:val="0"/>
              <w:kinsoku/>
              <w:wordWrap/>
              <w:overflowPunct/>
              <w:topLinePunct w:val="0"/>
              <w:autoSpaceDE/>
              <w:autoSpaceDN/>
              <w:bidi w:val="0"/>
              <w:spacing w:line="240" w:lineRule="auto"/>
              <w:jc w:val="center"/>
              <w:rPr>
                <w:rFonts w:ascii="Times New Roman"/>
                <w:snapToGrid w:val="0"/>
                <w:color w:val="auto"/>
                <w:kern w:val="21"/>
                <w:sz w:val="21"/>
                <w:szCs w:val="21"/>
              </w:rPr>
            </w:pPr>
            <w:r>
              <w:rPr>
                <w:rFonts w:ascii="Times New Roman"/>
                <w:snapToGrid w:val="0"/>
                <w:color w:val="auto"/>
                <w:kern w:val="21"/>
                <w:sz w:val="21"/>
                <w:szCs w:val="21"/>
              </w:rPr>
              <w:t>/</w:t>
            </w:r>
          </w:p>
        </w:tc>
        <w:tc>
          <w:tcPr>
            <w:tcW w:w="1559" w:type="dxa"/>
            <w:shd w:val="clear" w:color="auto" w:fill="auto"/>
            <w:vAlign w:val="center"/>
          </w:tcPr>
          <w:p w14:paraId="44A88B60">
            <w:pPr>
              <w:widowControl/>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2</w:t>
            </w:r>
          </w:p>
        </w:tc>
        <w:tc>
          <w:tcPr>
            <w:tcW w:w="1761" w:type="dxa"/>
            <w:vAlign w:val="center"/>
          </w:tcPr>
          <w:p w14:paraId="682B6B26">
            <w:pPr>
              <w:keepNext w:val="0"/>
              <w:keepLines w:val="0"/>
              <w:pageBreakBefore w:val="0"/>
              <w:widowControl/>
              <w:kinsoku/>
              <w:wordWrap/>
              <w:overflowPunct/>
              <w:topLinePunct w:val="0"/>
              <w:autoSpaceDE/>
              <w:autoSpaceDN/>
              <w:bidi w:val="0"/>
              <w:jc w:val="center"/>
              <w:rPr>
                <w:rFonts w:ascii="Times New Roman"/>
                <w:snapToGrid w:val="0"/>
                <w:color w:val="auto"/>
                <w:kern w:val="21"/>
                <w:sz w:val="21"/>
                <w:szCs w:val="21"/>
              </w:rPr>
            </w:pPr>
            <w:r>
              <w:rPr>
                <w:rFonts w:ascii="Times New Roman"/>
                <w:snapToGrid w:val="0"/>
                <w:color w:val="auto"/>
                <w:kern w:val="21"/>
                <w:sz w:val="21"/>
                <w:szCs w:val="21"/>
              </w:rPr>
              <w:t>/</w:t>
            </w:r>
          </w:p>
        </w:tc>
        <w:tc>
          <w:tcPr>
            <w:tcW w:w="1651" w:type="dxa"/>
            <w:shd w:val="clear" w:color="auto" w:fill="auto"/>
            <w:vAlign w:val="center"/>
          </w:tcPr>
          <w:p w14:paraId="48DFF4FB">
            <w:pPr>
              <w:widowControl/>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2</w:t>
            </w:r>
          </w:p>
        </w:tc>
        <w:tc>
          <w:tcPr>
            <w:tcW w:w="1134" w:type="dxa"/>
            <w:shd w:val="clear" w:color="auto" w:fill="auto"/>
            <w:vAlign w:val="center"/>
          </w:tcPr>
          <w:p w14:paraId="5F27BD62">
            <w:pPr>
              <w:widowControl/>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kern w:val="2"/>
                <w:sz w:val="21"/>
                <w:szCs w:val="21"/>
                <w:lang w:val="en-US" w:eastAsia="zh-CN" w:bidi="ar-SA"/>
              </w:rPr>
              <w:t>+</w:t>
            </w:r>
            <w:r>
              <w:rPr>
                <w:rFonts w:hint="eastAsia" w:ascii="Times New Roman" w:hAnsi="Times New Roman" w:eastAsia="宋体" w:cs="Times New Roman"/>
                <w:color w:val="auto"/>
                <w:kern w:val="2"/>
                <w:sz w:val="21"/>
                <w:szCs w:val="21"/>
                <w:lang w:val="en-US" w:eastAsia="zh-CN" w:bidi="ar-SA"/>
              </w:rPr>
              <w:t>2</w:t>
            </w:r>
          </w:p>
        </w:tc>
      </w:tr>
      <w:tr w14:paraId="40ED9A0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588" w:type="dxa"/>
            <w:gridSpan w:val="2"/>
            <w:vMerge w:val="continue"/>
            <w:vAlign w:val="center"/>
          </w:tcPr>
          <w:p w14:paraId="355ABD4A">
            <w:pPr>
              <w:pStyle w:val="34"/>
              <w:keepNext w:val="0"/>
              <w:keepLines w:val="0"/>
              <w:pageBreakBefore w:val="0"/>
              <w:kinsoku/>
              <w:wordWrap/>
              <w:overflowPunct/>
              <w:topLinePunct w:val="0"/>
              <w:autoSpaceDE/>
              <w:autoSpaceDN/>
              <w:bidi w:val="0"/>
              <w:spacing w:before="16" w:beforeLines="0" w:after="16" w:afterLines="0" w:line="240" w:lineRule="auto"/>
              <w:jc w:val="center"/>
              <w:rPr>
                <w:rFonts w:hint="eastAsia" w:ascii="Times New Roman"/>
                <w:snapToGrid w:val="0"/>
                <w:color w:val="auto"/>
                <w:kern w:val="21"/>
                <w:sz w:val="21"/>
                <w:szCs w:val="21"/>
              </w:rPr>
            </w:pPr>
          </w:p>
        </w:tc>
        <w:tc>
          <w:tcPr>
            <w:tcW w:w="1848" w:type="dxa"/>
            <w:shd w:val="clear" w:color="auto" w:fill="auto"/>
            <w:vAlign w:val="center"/>
          </w:tcPr>
          <w:p w14:paraId="36A2F0AB">
            <w:pPr>
              <w:pStyle w:val="34"/>
              <w:keepNext w:val="0"/>
              <w:keepLines w:val="0"/>
              <w:pageBreakBefore w:val="0"/>
              <w:kinsoku/>
              <w:wordWrap/>
              <w:overflowPunct/>
              <w:topLinePunct w:val="0"/>
              <w:autoSpaceDE/>
              <w:autoSpaceDN/>
              <w:bidi w:val="0"/>
              <w:spacing w:before="0" w:beforeLines="0" w:after="0" w:afterLines="0" w:line="240" w:lineRule="auto"/>
              <w:rPr>
                <w:rFonts w:hint="default" w:ascii="Times New Roman" w:hAnsi="宋体" w:cs="Times New Roman"/>
                <w:snapToGrid w:val="0"/>
                <w:color w:val="auto"/>
                <w:kern w:val="21"/>
                <w:sz w:val="21"/>
                <w:szCs w:val="21"/>
                <w:lang w:val="en-US" w:eastAsia="zh-CN"/>
              </w:rPr>
            </w:pPr>
            <w:r>
              <w:rPr>
                <w:rFonts w:hint="default" w:ascii="Times New Roman" w:hAnsi="宋体" w:cs="Times New Roman"/>
                <w:snapToGrid w:val="0"/>
                <w:color w:val="auto"/>
                <w:kern w:val="21"/>
                <w:sz w:val="21"/>
                <w:szCs w:val="21"/>
                <w:lang w:val="en-US" w:eastAsia="zh-CN"/>
              </w:rPr>
              <w:t>浓液</w:t>
            </w:r>
          </w:p>
        </w:tc>
        <w:tc>
          <w:tcPr>
            <w:tcW w:w="1409" w:type="dxa"/>
            <w:shd w:val="clear" w:color="auto" w:fill="auto"/>
            <w:vAlign w:val="center"/>
          </w:tcPr>
          <w:p w14:paraId="7A5B9415">
            <w:pPr>
              <w:keepNext w:val="0"/>
              <w:keepLines w:val="0"/>
              <w:widowControl/>
              <w:suppressLineNumbers w:val="0"/>
              <w:jc w:val="center"/>
              <w:textAlignment w:val="center"/>
              <w:rPr>
                <w:rFonts w:hint="default" w:ascii="Times New Roman" w:hAnsi="Times New Roman" w:eastAsia="宋体" w:cs="Times New Roman"/>
                <w:color w:val="auto"/>
                <w:kern w:val="2"/>
                <w:sz w:val="21"/>
                <w:szCs w:val="21"/>
                <w:lang w:val="en-US" w:eastAsia="zh-CN" w:bidi="ar"/>
              </w:rPr>
            </w:pPr>
            <w:r>
              <w:rPr>
                <w:rFonts w:ascii="Times New Roman"/>
                <w:snapToGrid w:val="0"/>
                <w:color w:val="auto"/>
                <w:kern w:val="21"/>
                <w:sz w:val="21"/>
                <w:szCs w:val="21"/>
              </w:rPr>
              <w:t>/</w:t>
            </w:r>
          </w:p>
        </w:tc>
        <w:tc>
          <w:tcPr>
            <w:tcW w:w="1137" w:type="dxa"/>
            <w:shd w:val="clear" w:color="auto" w:fill="auto"/>
            <w:vAlign w:val="center"/>
          </w:tcPr>
          <w:p w14:paraId="493A3F30">
            <w:pPr>
              <w:keepNext w:val="0"/>
              <w:keepLines w:val="0"/>
              <w:pageBreakBefore w:val="0"/>
              <w:kinsoku/>
              <w:wordWrap/>
              <w:overflowPunct/>
              <w:topLinePunct w:val="0"/>
              <w:autoSpaceDE/>
              <w:autoSpaceDN/>
              <w:bidi w:val="0"/>
              <w:spacing w:line="240" w:lineRule="auto"/>
              <w:jc w:val="center"/>
              <w:rPr>
                <w:rFonts w:hint="eastAsia" w:cs="Times New Roman"/>
                <w:snapToGrid w:val="0"/>
                <w:color w:val="auto"/>
                <w:kern w:val="21"/>
                <w:sz w:val="21"/>
                <w:szCs w:val="21"/>
                <w:lang w:val="en-US" w:eastAsia="zh-CN" w:bidi="ar"/>
              </w:rPr>
            </w:pPr>
            <w:r>
              <w:rPr>
                <w:rFonts w:ascii="Times New Roman"/>
                <w:snapToGrid w:val="0"/>
                <w:color w:val="auto"/>
                <w:kern w:val="21"/>
                <w:sz w:val="21"/>
                <w:szCs w:val="21"/>
              </w:rPr>
              <w:t>/</w:t>
            </w:r>
          </w:p>
        </w:tc>
        <w:tc>
          <w:tcPr>
            <w:tcW w:w="1701" w:type="dxa"/>
            <w:shd w:val="clear" w:color="auto" w:fill="auto"/>
            <w:vAlign w:val="center"/>
          </w:tcPr>
          <w:p w14:paraId="3DA93F26">
            <w:pPr>
              <w:keepNext w:val="0"/>
              <w:keepLines w:val="0"/>
              <w:pageBreakBefore w:val="0"/>
              <w:kinsoku/>
              <w:wordWrap/>
              <w:overflowPunct/>
              <w:topLinePunct w:val="0"/>
              <w:autoSpaceDE/>
              <w:autoSpaceDN/>
              <w:bidi w:val="0"/>
              <w:spacing w:line="240" w:lineRule="auto"/>
              <w:jc w:val="center"/>
              <w:rPr>
                <w:rFonts w:ascii="Times New Roman"/>
                <w:snapToGrid w:val="0"/>
                <w:color w:val="auto"/>
                <w:kern w:val="21"/>
                <w:sz w:val="21"/>
                <w:szCs w:val="21"/>
              </w:rPr>
            </w:pPr>
            <w:r>
              <w:rPr>
                <w:rFonts w:ascii="Times New Roman"/>
                <w:snapToGrid w:val="0"/>
                <w:color w:val="auto"/>
                <w:kern w:val="21"/>
                <w:sz w:val="21"/>
                <w:szCs w:val="21"/>
              </w:rPr>
              <w:t>/</w:t>
            </w:r>
          </w:p>
        </w:tc>
        <w:tc>
          <w:tcPr>
            <w:tcW w:w="1559" w:type="dxa"/>
            <w:shd w:val="clear" w:color="auto" w:fill="auto"/>
            <w:vAlign w:val="center"/>
          </w:tcPr>
          <w:p w14:paraId="34A9EBA5">
            <w:pPr>
              <w:widowControl/>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8.44</w:t>
            </w:r>
          </w:p>
        </w:tc>
        <w:tc>
          <w:tcPr>
            <w:tcW w:w="1761" w:type="dxa"/>
            <w:vAlign w:val="center"/>
          </w:tcPr>
          <w:p w14:paraId="7059295E">
            <w:pPr>
              <w:keepNext w:val="0"/>
              <w:keepLines w:val="0"/>
              <w:pageBreakBefore w:val="0"/>
              <w:widowControl/>
              <w:kinsoku/>
              <w:wordWrap/>
              <w:overflowPunct/>
              <w:topLinePunct w:val="0"/>
              <w:autoSpaceDE/>
              <w:autoSpaceDN/>
              <w:bidi w:val="0"/>
              <w:jc w:val="center"/>
              <w:rPr>
                <w:rFonts w:ascii="Times New Roman"/>
                <w:snapToGrid w:val="0"/>
                <w:color w:val="auto"/>
                <w:kern w:val="21"/>
                <w:sz w:val="21"/>
                <w:szCs w:val="21"/>
              </w:rPr>
            </w:pPr>
            <w:r>
              <w:rPr>
                <w:rFonts w:ascii="Times New Roman"/>
                <w:snapToGrid w:val="0"/>
                <w:color w:val="auto"/>
                <w:kern w:val="21"/>
                <w:sz w:val="21"/>
                <w:szCs w:val="21"/>
              </w:rPr>
              <w:t>/</w:t>
            </w:r>
          </w:p>
        </w:tc>
        <w:tc>
          <w:tcPr>
            <w:tcW w:w="1651" w:type="dxa"/>
            <w:shd w:val="clear" w:color="auto" w:fill="auto"/>
            <w:vAlign w:val="center"/>
          </w:tcPr>
          <w:p w14:paraId="525B3D53">
            <w:pPr>
              <w:widowControl/>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8.44</w:t>
            </w:r>
          </w:p>
        </w:tc>
        <w:tc>
          <w:tcPr>
            <w:tcW w:w="1134" w:type="dxa"/>
            <w:shd w:val="clear" w:color="auto" w:fill="auto"/>
            <w:vAlign w:val="center"/>
          </w:tcPr>
          <w:p w14:paraId="192B98CE">
            <w:pPr>
              <w:widowControl/>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kern w:val="2"/>
                <w:sz w:val="21"/>
                <w:szCs w:val="21"/>
                <w:lang w:val="en-US" w:eastAsia="zh-CN" w:bidi="ar-SA"/>
              </w:rPr>
              <w:t>+</w:t>
            </w:r>
            <w:r>
              <w:rPr>
                <w:rFonts w:hint="eastAsia" w:ascii="Times New Roman" w:hAnsi="Times New Roman" w:eastAsia="宋体" w:cs="Times New Roman"/>
                <w:color w:val="auto"/>
                <w:kern w:val="2"/>
                <w:sz w:val="21"/>
                <w:szCs w:val="21"/>
                <w:lang w:val="en-US" w:eastAsia="zh-CN" w:bidi="ar-SA"/>
              </w:rPr>
              <w:t>8.44</w:t>
            </w:r>
          </w:p>
        </w:tc>
      </w:tr>
      <w:tr w14:paraId="546E50A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588" w:type="dxa"/>
            <w:gridSpan w:val="2"/>
            <w:vMerge w:val="continue"/>
            <w:vAlign w:val="center"/>
          </w:tcPr>
          <w:p w14:paraId="70B587B7">
            <w:pPr>
              <w:pStyle w:val="34"/>
              <w:keepNext w:val="0"/>
              <w:keepLines w:val="0"/>
              <w:pageBreakBefore w:val="0"/>
              <w:kinsoku/>
              <w:wordWrap/>
              <w:overflowPunct/>
              <w:topLinePunct w:val="0"/>
              <w:autoSpaceDE/>
              <w:autoSpaceDN/>
              <w:bidi w:val="0"/>
              <w:spacing w:before="16" w:beforeLines="0" w:after="16" w:afterLines="0" w:line="240" w:lineRule="auto"/>
              <w:jc w:val="center"/>
              <w:rPr>
                <w:rFonts w:hint="eastAsia" w:ascii="Times New Roman"/>
                <w:snapToGrid w:val="0"/>
                <w:color w:val="auto"/>
                <w:kern w:val="21"/>
                <w:sz w:val="21"/>
                <w:szCs w:val="21"/>
              </w:rPr>
            </w:pPr>
          </w:p>
        </w:tc>
        <w:tc>
          <w:tcPr>
            <w:tcW w:w="1848" w:type="dxa"/>
            <w:shd w:val="clear" w:color="auto" w:fill="auto"/>
            <w:vAlign w:val="center"/>
          </w:tcPr>
          <w:p w14:paraId="6B13511D">
            <w:pPr>
              <w:pStyle w:val="34"/>
              <w:keepNext w:val="0"/>
              <w:keepLines w:val="0"/>
              <w:pageBreakBefore w:val="0"/>
              <w:kinsoku/>
              <w:wordWrap/>
              <w:overflowPunct/>
              <w:topLinePunct w:val="0"/>
              <w:autoSpaceDE/>
              <w:autoSpaceDN/>
              <w:bidi w:val="0"/>
              <w:spacing w:before="0" w:beforeLines="0" w:after="0" w:afterLines="0" w:line="240" w:lineRule="auto"/>
              <w:rPr>
                <w:rFonts w:hint="default" w:ascii="Times New Roman" w:hAnsi="宋体" w:cs="Times New Roman"/>
                <w:snapToGrid w:val="0"/>
                <w:color w:val="auto"/>
                <w:kern w:val="21"/>
                <w:sz w:val="21"/>
                <w:szCs w:val="21"/>
                <w:lang w:val="en-US" w:eastAsia="zh-CN"/>
              </w:rPr>
            </w:pPr>
            <w:r>
              <w:rPr>
                <w:rFonts w:hint="default" w:ascii="Times New Roman" w:hAnsi="宋体" w:cs="Times New Roman"/>
                <w:snapToGrid w:val="0"/>
                <w:color w:val="auto"/>
                <w:kern w:val="21"/>
                <w:sz w:val="21"/>
                <w:szCs w:val="21"/>
                <w:lang w:val="en-US" w:eastAsia="zh-CN"/>
              </w:rPr>
              <w:t>过滤材料</w:t>
            </w:r>
          </w:p>
        </w:tc>
        <w:tc>
          <w:tcPr>
            <w:tcW w:w="1409" w:type="dxa"/>
            <w:shd w:val="clear" w:color="auto" w:fill="auto"/>
            <w:vAlign w:val="center"/>
          </w:tcPr>
          <w:p w14:paraId="3936FF32">
            <w:pPr>
              <w:keepNext w:val="0"/>
              <w:keepLines w:val="0"/>
              <w:widowControl/>
              <w:suppressLineNumbers w:val="0"/>
              <w:jc w:val="center"/>
              <w:textAlignment w:val="center"/>
              <w:rPr>
                <w:rFonts w:hint="default" w:ascii="Times New Roman" w:hAnsi="Times New Roman" w:eastAsia="宋体" w:cs="Times New Roman"/>
                <w:color w:val="auto"/>
                <w:kern w:val="2"/>
                <w:sz w:val="21"/>
                <w:szCs w:val="21"/>
                <w:lang w:val="en-US" w:eastAsia="zh-CN" w:bidi="ar"/>
              </w:rPr>
            </w:pPr>
            <w:r>
              <w:rPr>
                <w:rFonts w:ascii="Times New Roman"/>
                <w:snapToGrid w:val="0"/>
                <w:color w:val="auto"/>
                <w:kern w:val="21"/>
                <w:sz w:val="21"/>
                <w:szCs w:val="21"/>
              </w:rPr>
              <w:t>/</w:t>
            </w:r>
          </w:p>
        </w:tc>
        <w:tc>
          <w:tcPr>
            <w:tcW w:w="1137" w:type="dxa"/>
            <w:shd w:val="clear" w:color="auto" w:fill="auto"/>
            <w:vAlign w:val="center"/>
          </w:tcPr>
          <w:p w14:paraId="6D345A05">
            <w:pPr>
              <w:keepNext w:val="0"/>
              <w:keepLines w:val="0"/>
              <w:pageBreakBefore w:val="0"/>
              <w:kinsoku/>
              <w:wordWrap/>
              <w:overflowPunct/>
              <w:topLinePunct w:val="0"/>
              <w:autoSpaceDE/>
              <w:autoSpaceDN/>
              <w:bidi w:val="0"/>
              <w:spacing w:line="240" w:lineRule="auto"/>
              <w:jc w:val="center"/>
              <w:rPr>
                <w:rFonts w:hint="eastAsia" w:cs="Times New Roman"/>
                <w:snapToGrid w:val="0"/>
                <w:color w:val="auto"/>
                <w:kern w:val="21"/>
                <w:sz w:val="21"/>
                <w:szCs w:val="21"/>
                <w:lang w:val="en-US" w:eastAsia="zh-CN" w:bidi="ar"/>
              </w:rPr>
            </w:pPr>
            <w:r>
              <w:rPr>
                <w:rFonts w:ascii="Times New Roman"/>
                <w:snapToGrid w:val="0"/>
                <w:color w:val="auto"/>
                <w:kern w:val="21"/>
                <w:sz w:val="21"/>
                <w:szCs w:val="21"/>
              </w:rPr>
              <w:t>/</w:t>
            </w:r>
          </w:p>
        </w:tc>
        <w:tc>
          <w:tcPr>
            <w:tcW w:w="1701" w:type="dxa"/>
            <w:shd w:val="clear" w:color="auto" w:fill="auto"/>
            <w:vAlign w:val="center"/>
          </w:tcPr>
          <w:p w14:paraId="5DFC3BCF">
            <w:pPr>
              <w:keepNext w:val="0"/>
              <w:keepLines w:val="0"/>
              <w:pageBreakBefore w:val="0"/>
              <w:kinsoku/>
              <w:wordWrap/>
              <w:overflowPunct/>
              <w:topLinePunct w:val="0"/>
              <w:autoSpaceDE/>
              <w:autoSpaceDN/>
              <w:bidi w:val="0"/>
              <w:spacing w:line="240" w:lineRule="auto"/>
              <w:jc w:val="center"/>
              <w:rPr>
                <w:rFonts w:ascii="Times New Roman"/>
                <w:snapToGrid w:val="0"/>
                <w:color w:val="auto"/>
                <w:kern w:val="21"/>
                <w:sz w:val="21"/>
                <w:szCs w:val="21"/>
              </w:rPr>
            </w:pPr>
            <w:r>
              <w:rPr>
                <w:rFonts w:ascii="Times New Roman"/>
                <w:snapToGrid w:val="0"/>
                <w:color w:val="auto"/>
                <w:kern w:val="21"/>
                <w:sz w:val="21"/>
                <w:szCs w:val="21"/>
              </w:rPr>
              <w:t>/</w:t>
            </w:r>
          </w:p>
        </w:tc>
        <w:tc>
          <w:tcPr>
            <w:tcW w:w="1559" w:type="dxa"/>
            <w:shd w:val="clear" w:color="auto" w:fill="auto"/>
            <w:vAlign w:val="center"/>
          </w:tcPr>
          <w:p w14:paraId="75B1EA7D">
            <w:pPr>
              <w:widowControl/>
              <w:jc w:val="center"/>
              <w:rPr>
                <w:rFonts w:hint="default" w:ascii="Times New Roman" w:hAnsi="Times New Roman" w:eastAsia="宋体" w:cs="Times New Roman"/>
                <w:color w:val="auto"/>
                <w:kern w:val="2"/>
                <w:sz w:val="21"/>
                <w:szCs w:val="21"/>
                <w:lang w:val="en-US" w:eastAsia="zh-CN" w:bidi="ar-SA"/>
              </w:rPr>
            </w:pPr>
            <w:r>
              <w:rPr>
                <w:rFonts w:hint="eastAsia"/>
                <w:bCs/>
                <w:color w:val="auto"/>
                <w:sz w:val="24"/>
                <w:szCs w:val="24"/>
                <w:lang w:val="en-US" w:eastAsia="zh-CN"/>
              </w:rPr>
              <w:t>0.5t/2a</w:t>
            </w:r>
          </w:p>
        </w:tc>
        <w:tc>
          <w:tcPr>
            <w:tcW w:w="1761" w:type="dxa"/>
            <w:vAlign w:val="center"/>
          </w:tcPr>
          <w:p w14:paraId="49EA65A2">
            <w:pPr>
              <w:widowControl/>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w:t>
            </w:r>
          </w:p>
        </w:tc>
        <w:tc>
          <w:tcPr>
            <w:tcW w:w="1651" w:type="dxa"/>
            <w:shd w:val="clear" w:color="auto" w:fill="auto"/>
            <w:vAlign w:val="center"/>
          </w:tcPr>
          <w:p w14:paraId="75BBB2DC">
            <w:pPr>
              <w:widowControl/>
              <w:jc w:val="center"/>
              <w:rPr>
                <w:rFonts w:hint="default" w:ascii="Times New Roman" w:hAnsi="Times New Roman" w:eastAsia="宋体" w:cs="Times New Roman"/>
                <w:color w:val="auto"/>
                <w:kern w:val="2"/>
                <w:sz w:val="21"/>
                <w:szCs w:val="21"/>
                <w:lang w:val="en-US" w:eastAsia="zh-CN" w:bidi="ar-SA"/>
              </w:rPr>
            </w:pPr>
            <w:r>
              <w:rPr>
                <w:rFonts w:hint="eastAsia"/>
                <w:bCs/>
                <w:color w:val="auto"/>
                <w:sz w:val="24"/>
                <w:szCs w:val="24"/>
                <w:lang w:val="en-US" w:eastAsia="zh-CN"/>
              </w:rPr>
              <w:t>0.5t/2a</w:t>
            </w:r>
          </w:p>
        </w:tc>
        <w:tc>
          <w:tcPr>
            <w:tcW w:w="1134" w:type="dxa"/>
            <w:shd w:val="clear" w:color="auto" w:fill="auto"/>
            <w:vAlign w:val="center"/>
          </w:tcPr>
          <w:p w14:paraId="23A6ADDA">
            <w:pPr>
              <w:widowControl/>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w:t>
            </w:r>
            <w:r>
              <w:rPr>
                <w:rFonts w:hint="eastAsia"/>
                <w:bCs/>
                <w:color w:val="auto"/>
                <w:sz w:val="24"/>
                <w:szCs w:val="24"/>
                <w:lang w:val="en-US" w:eastAsia="zh-CN"/>
              </w:rPr>
              <w:t>0.5t/2a</w:t>
            </w:r>
          </w:p>
        </w:tc>
      </w:tr>
      <w:tr w14:paraId="50193CE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588" w:type="dxa"/>
            <w:gridSpan w:val="2"/>
            <w:vMerge w:val="continue"/>
            <w:vAlign w:val="center"/>
          </w:tcPr>
          <w:p w14:paraId="5C06D0E7">
            <w:pPr>
              <w:pStyle w:val="34"/>
              <w:keepNext w:val="0"/>
              <w:keepLines w:val="0"/>
              <w:pageBreakBefore w:val="0"/>
              <w:kinsoku/>
              <w:wordWrap/>
              <w:overflowPunct/>
              <w:topLinePunct w:val="0"/>
              <w:autoSpaceDE/>
              <w:autoSpaceDN/>
              <w:bidi w:val="0"/>
              <w:spacing w:before="16" w:beforeLines="0" w:after="16" w:afterLines="0" w:line="240" w:lineRule="auto"/>
              <w:jc w:val="center"/>
              <w:rPr>
                <w:rFonts w:hint="eastAsia" w:ascii="Times New Roman"/>
                <w:snapToGrid w:val="0"/>
                <w:color w:val="auto"/>
                <w:kern w:val="21"/>
                <w:sz w:val="21"/>
                <w:szCs w:val="21"/>
              </w:rPr>
            </w:pPr>
          </w:p>
        </w:tc>
        <w:tc>
          <w:tcPr>
            <w:tcW w:w="1848" w:type="dxa"/>
            <w:shd w:val="clear" w:color="auto" w:fill="auto"/>
            <w:vAlign w:val="center"/>
          </w:tcPr>
          <w:p w14:paraId="43530487">
            <w:pPr>
              <w:pStyle w:val="34"/>
              <w:keepNext w:val="0"/>
              <w:keepLines w:val="0"/>
              <w:pageBreakBefore w:val="0"/>
              <w:kinsoku/>
              <w:wordWrap/>
              <w:overflowPunct/>
              <w:topLinePunct w:val="0"/>
              <w:autoSpaceDE/>
              <w:autoSpaceDN/>
              <w:bidi w:val="0"/>
              <w:spacing w:before="0" w:beforeLines="0" w:after="0" w:afterLines="0" w:line="240" w:lineRule="auto"/>
              <w:rPr>
                <w:rFonts w:hint="default" w:ascii="Times New Roman" w:hAnsi="宋体" w:cs="Times New Roman"/>
                <w:snapToGrid w:val="0"/>
                <w:color w:val="auto"/>
                <w:kern w:val="21"/>
                <w:sz w:val="21"/>
                <w:szCs w:val="21"/>
                <w:lang w:val="en-US" w:eastAsia="zh-CN"/>
              </w:rPr>
            </w:pPr>
            <w:r>
              <w:rPr>
                <w:rFonts w:hint="eastAsia"/>
                <w:bCs/>
                <w:snapToGrid w:val="0"/>
                <w:color w:val="auto"/>
                <w:spacing w:val="6"/>
              </w:rPr>
              <w:t>空压机含油废水</w:t>
            </w:r>
          </w:p>
        </w:tc>
        <w:tc>
          <w:tcPr>
            <w:tcW w:w="1409" w:type="dxa"/>
            <w:shd w:val="clear" w:color="auto" w:fill="auto"/>
            <w:vAlign w:val="center"/>
          </w:tcPr>
          <w:p w14:paraId="5E84D940">
            <w:pPr>
              <w:keepNext w:val="0"/>
              <w:keepLines w:val="0"/>
              <w:widowControl/>
              <w:suppressLineNumbers w:val="0"/>
              <w:jc w:val="center"/>
              <w:textAlignment w:val="center"/>
              <w:rPr>
                <w:rFonts w:hint="default" w:ascii="Times New Roman" w:eastAsia="宋体"/>
                <w:snapToGrid w:val="0"/>
                <w:color w:val="auto"/>
                <w:kern w:val="21"/>
                <w:sz w:val="21"/>
                <w:szCs w:val="21"/>
                <w:lang w:val="en-US" w:eastAsia="zh-CN"/>
              </w:rPr>
            </w:pPr>
            <w:r>
              <w:rPr>
                <w:rFonts w:hint="eastAsia"/>
                <w:snapToGrid w:val="0"/>
                <w:color w:val="auto"/>
                <w:kern w:val="21"/>
                <w:sz w:val="21"/>
                <w:szCs w:val="21"/>
                <w:lang w:val="en-US" w:eastAsia="zh-CN"/>
              </w:rPr>
              <w:t>0.1</w:t>
            </w:r>
          </w:p>
        </w:tc>
        <w:tc>
          <w:tcPr>
            <w:tcW w:w="1137" w:type="dxa"/>
            <w:shd w:val="clear" w:color="auto" w:fill="auto"/>
            <w:vAlign w:val="center"/>
          </w:tcPr>
          <w:p w14:paraId="32D15A61">
            <w:pPr>
              <w:keepNext w:val="0"/>
              <w:keepLines w:val="0"/>
              <w:pageBreakBefore w:val="0"/>
              <w:kinsoku/>
              <w:wordWrap/>
              <w:overflowPunct/>
              <w:topLinePunct w:val="0"/>
              <w:autoSpaceDE/>
              <w:autoSpaceDN/>
              <w:bidi w:val="0"/>
              <w:spacing w:line="240" w:lineRule="auto"/>
              <w:jc w:val="center"/>
              <w:rPr>
                <w:rFonts w:hint="eastAsia" w:ascii="Times New Roman" w:eastAsia="宋体"/>
                <w:snapToGrid w:val="0"/>
                <w:color w:val="auto"/>
                <w:kern w:val="21"/>
                <w:sz w:val="21"/>
                <w:szCs w:val="21"/>
                <w:lang w:val="en-US" w:eastAsia="zh-CN"/>
              </w:rPr>
            </w:pPr>
            <w:r>
              <w:rPr>
                <w:rFonts w:hint="eastAsia"/>
                <w:snapToGrid w:val="0"/>
                <w:color w:val="auto"/>
                <w:kern w:val="21"/>
                <w:sz w:val="21"/>
                <w:szCs w:val="21"/>
                <w:lang w:val="en-US" w:eastAsia="zh-CN"/>
              </w:rPr>
              <w:t>0</w:t>
            </w:r>
          </w:p>
        </w:tc>
        <w:tc>
          <w:tcPr>
            <w:tcW w:w="1701" w:type="dxa"/>
            <w:shd w:val="clear" w:color="auto" w:fill="auto"/>
            <w:vAlign w:val="center"/>
          </w:tcPr>
          <w:p w14:paraId="1A7CF83A">
            <w:pPr>
              <w:keepNext w:val="0"/>
              <w:keepLines w:val="0"/>
              <w:pageBreakBefore w:val="0"/>
              <w:kinsoku/>
              <w:wordWrap/>
              <w:overflowPunct/>
              <w:topLinePunct w:val="0"/>
              <w:autoSpaceDE/>
              <w:autoSpaceDN/>
              <w:bidi w:val="0"/>
              <w:spacing w:line="240" w:lineRule="auto"/>
              <w:jc w:val="center"/>
              <w:rPr>
                <w:rFonts w:ascii="Times New Roman"/>
                <w:snapToGrid w:val="0"/>
                <w:color w:val="auto"/>
                <w:kern w:val="21"/>
                <w:sz w:val="21"/>
                <w:szCs w:val="21"/>
              </w:rPr>
            </w:pPr>
            <w:r>
              <w:rPr>
                <w:rFonts w:ascii="Times New Roman"/>
                <w:snapToGrid w:val="0"/>
                <w:color w:val="auto"/>
                <w:kern w:val="21"/>
                <w:sz w:val="21"/>
                <w:szCs w:val="21"/>
              </w:rPr>
              <w:t>/</w:t>
            </w:r>
          </w:p>
        </w:tc>
        <w:tc>
          <w:tcPr>
            <w:tcW w:w="1559" w:type="dxa"/>
            <w:shd w:val="clear" w:color="auto" w:fill="auto"/>
            <w:vAlign w:val="center"/>
          </w:tcPr>
          <w:p w14:paraId="79411B8D">
            <w:pPr>
              <w:widowControl/>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0.1</w:t>
            </w:r>
          </w:p>
        </w:tc>
        <w:tc>
          <w:tcPr>
            <w:tcW w:w="1761" w:type="dxa"/>
            <w:vAlign w:val="center"/>
          </w:tcPr>
          <w:p w14:paraId="4B0E30A0">
            <w:pPr>
              <w:widowControl/>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w:t>
            </w:r>
          </w:p>
        </w:tc>
        <w:tc>
          <w:tcPr>
            <w:tcW w:w="1651" w:type="dxa"/>
            <w:shd w:val="clear" w:color="auto" w:fill="auto"/>
            <w:vAlign w:val="center"/>
          </w:tcPr>
          <w:p w14:paraId="785B9DCF">
            <w:pPr>
              <w:widowControl/>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0.2</w:t>
            </w:r>
          </w:p>
        </w:tc>
        <w:tc>
          <w:tcPr>
            <w:tcW w:w="1134" w:type="dxa"/>
            <w:shd w:val="clear" w:color="auto" w:fill="auto"/>
            <w:vAlign w:val="center"/>
          </w:tcPr>
          <w:p w14:paraId="1BCA6069">
            <w:pPr>
              <w:widowControl/>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+0.1</w:t>
            </w:r>
          </w:p>
        </w:tc>
      </w:tr>
      <w:tr w14:paraId="7CC2841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588" w:type="dxa"/>
            <w:gridSpan w:val="2"/>
            <w:vMerge w:val="continue"/>
            <w:vAlign w:val="center"/>
          </w:tcPr>
          <w:p w14:paraId="63EF6DB0">
            <w:pPr>
              <w:pStyle w:val="34"/>
              <w:keepNext w:val="0"/>
              <w:keepLines w:val="0"/>
              <w:pageBreakBefore w:val="0"/>
              <w:kinsoku/>
              <w:wordWrap/>
              <w:overflowPunct/>
              <w:topLinePunct w:val="0"/>
              <w:autoSpaceDE/>
              <w:autoSpaceDN/>
              <w:bidi w:val="0"/>
              <w:spacing w:before="16" w:beforeLines="0" w:after="16" w:afterLines="0" w:line="240" w:lineRule="auto"/>
              <w:jc w:val="center"/>
              <w:rPr>
                <w:rFonts w:hint="eastAsia" w:ascii="Times New Roman"/>
                <w:snapToGrid w:val="0"/>
                <w:color w:val="auto"/>
                <w:kern w:val="21"/>
                <w:sz w:val="21"/>
                <w:szCs w:val="21"/>
              </w:rPr>
            </w:pPr>
          </w:p>
        </w:tc>
        <w:tc>
          <w:tcPr>
            <w:tcW w:w="1848" w:type="dxa"/>
            <w:shd w:val="clear" w:color="auto" w:fill="auto"/>
            <w:vAlign w:val="center"/>
          </w:tcPr>
          <w:p w14:paraId="11873DDF">
            <w:pPr>
              <w:widowControl/>
              <w:jc w:val="center"/>
              <w:rPr>
                <w:rFonts w:hint="eastAsia" w:ascii="Times New Roman" w:hAnsi="Times New Roman" w:eastAsia="宋体" w:cs="Times New Roman"/>
                <w:bCs/>
                <w:snapToGrid w:val="0"/>
                <w:color w:val="auto"/>
                <w:spacing w:val="6"/>
                <w:kern w:val="2"/>
                <w:sz w:val="21"/>
                <w:szCs w:val="21"/>
                <w:lang w:val="en-US" w:eastAsia="zh-CN" w:bidi="ar"/>
              </w:rPr>
            </w:pPr>
            <w:r>
              <w:rPr>
                <w:rFonts w:hint="default" w:ascii="Times New Roman" w:hAnsi="Times New Roman" w:eastAsia="宋体" w:cs="Times New Roman"/>
                <w:bCs/>
                <w:snapToGrid w:val="0"/>
                <w:color w:val="auto"/>
                <w:spacing w:val="6"/>
                <w:sz w:val="21"/>
                <w:szCs w:val="21"/>
              </w:rPr>
              <w:t>抛光废料</w:t>
            </w:r>
          </w:p>
        </w:tc>
        <w:tc>
          <w:tcPr>
            <w:tcW w:w="1409" w:type="dxa"/>
            <w:shd w:val="clear" w:color="auto" w:fill="auto"/>
            <w:vAlign w:val="center"/>
          </w:tcPr>
          <w:p w14:paraId="17EA5616">
            <w:pPr>
              <w:keepNext w:val="0"/>
              <w:keepLines w:val="0"/>
              <w:widowControl/>
              <w:suppressLineNumbers w:val="0"/>
              <w:jc w:val="center"/>
              <w:textAlignment w:val="center"/>
              <w:rPr>
                <w:rFonts w:hint="eastAsia" w:ascii="Times New Roman" w:hAnsi="Times New Roman" w:eastAsia="宋体" w:cs="Times New Roman"/>
                <w:color w:val="auto"/>
                <w:kern w:val="2"/>
                <w:sz w:val="21"/>
                <w:szCs w:val="21"/>
                <w:lang w:val="en-US" w:eastAsia="zh-CN" w:bidi="ar"/>
              </w:rPr>
            </w:pPr>
            <w:r>
              <w:rPr>
                <w:rFonts w:ascii="Times New Roman"/>
                <w:snapToGrid w:val="0"/>
                <w:color w:val="auto"/>
                <w:kern w:val="21"/>
                <w:sz w:val="21"/>
                <w:szCs w:val="21"/>
              </w:rPr>
              <w:t>/</w:t>
            </w:r>
          </w:p>
        </w:tc>
        <w:tc>
          <w:tcPr>
            <w:tcW w:w="1137" w:type="dxa"/>
            <w:shd w:val="clear" w:color="auto" w:fill="auto"/>
            <w:vAlign w:val="center"/>
          </w:tcPr>
          <w:p w14:paraId="049B6BBC">
            <w:pPr>
              <w:keepNext w:val="0"/>
              <w:keepLines w:val="0"/>
              <w:pageBreakBefore w:val="0"/>
              <w:kinsoku/>
              <w:wordWrap/>
              <w:overflowPunct/>
              <w:topLinePunct w:val="0"/>
              <w:autoSpaceDE/>
              <w:autoSpaceDN/>
              <w:bidi w:val="0"/>
              <w:spacing w:line="240" w:lineRule="auto"/>
              <w:jc w:val="center"/>
              <w:rPr>
                <w:rFonts w:hint="eastAsia" w:ascii="Times New Roman" w:hAnsi="Times New Roman" w:eastAsia="宋体" w:cs="Times New Roman"/>
                <w:snapToGrid w:val="0"/>
                <w:color w:val="auto"/>
                <w:kern w:val="21"/>
                <w:sz w:val="21"/>
                <w:szCs w:val="21"/>
                <w:lang w:val="en-US" w:eastAsia="zh-CN" w:bidi="ar"/>
              </w:rPr>
            </w:pPr>
            <w:r>
              <w:rPr>
                <w:rFonts w:ascii="Times New Roman"/>
                <w:snapToGrid w:val="0"/>
                <w:color w:val="auto"/>
                <w:kern w:val="21"/>
                <w:sz w:val="21"/>
                <w:szCs w:val="21"/>
              </w:rPr>
              <w:t>/</w:t>
            </w:r>
          </w:p>
        </w:tc>
        <w:tc>
          <w:tcPr>
            <w:tcW w:w="1701" w:type="dxa"/>
            <w:shd w:val="clear" w:color="auto" w:fill="auto"/>
            <w:vAlign w:val="center"/>
          </w:tcPr>
          <w:p w14:paraId="6E755B0B">
            <w:pPr>
              <w:keepNext w:val="0"/>
              <w:keepLines w:val="0"/>
              <w:pageBreakBefore w:val="0"/>
              <w:kinsoku/>
              <w:wordWrap/>
              <w:overflowPunct/>
              <w:topLinePunct w:val="0"/>
              <w:autoSpaceDE/>
              <w:autoSpaceDN/>
              <w:bidi w:val="0"/>
              <w:spacing w:line="240" w:lineRule="auto"/>
              <w:jc w:val="center"/>
              <w:rPr>
                <w:rFonts w:ascii="Times New Roman"/>
                <w:snapToGrid w:val="0"/>
                <w:color w:val="auto"/>
                <w:kern w:val="21"/>
                <w:sz w:val="21"/>
                <w:szCs w:val="21"/>
              </w:rPr>
            </w:pPr>
            <w:r>
              <w:rPr>
                <w:rFonts w:ascii="Times New Roman"/>
                <w:snapToGrid w:val="0"/>
                <w:color w:val="auto"/>
                <w:kern w:val="21"/>
                <w:sz w:val="21"/>
                <w:szCs w:val="21"/>
              </w:rPr>
              <w:t>/</w:t>
            </w:r>
          </w:p>
        </w:tc>
        <w:tc>
          <w:tcPr>
            <w:tcW w:w="1559" w:type="dxa"/>
            <w:shd w:val="clear" w:color="auto" w:fill="auto"/>
            <w:vAlign w:val="center"/>
          </w:tcPr>
          <w:p w14:paraId="37346EED">
            <w:pPr>
              <w:widowControl/>
              <w:jc w:val="center"/>
              <w:rPr>
                <w:rFonts w:hint="eastAsia" w:ascii="Times New Roman" w:hAnsi="Times New Roman" w:eastAsia="宋体" w:cs="Times New Roman"/>
                <w:bCs/>
                <w:snapToGrid w:val="0"/>
                <w:color w:val="auto"/>
                <w:spacing w:val="6"/>
                <w:kern w:val="2"/>
                <w:sz w:val="21"/>
                <w:szCs w:val="21"/>
                <w:lang w:val="en-US" w:eastAsia="zh-CN" w:bidi="ar"/>
              </w:rPr>
            </w:pPr>
            <w:r>
              <w:rPr>
                <w:rFonts w:hint="eastAsia" w:ascii="Times New Roman" w:hAnsi="Times New Roman" w:eastAsia="宋体" w:cs="Times New Roman"/>
                <w:bCs/>
                <w:snapToGrid w:val="0"/>
                <w:color w:val="auto"/>
                <w:spacing w:val="6"/>
                <w:kern w:val="2"/>
                <w:sz w:val="21"/>
                <w:szCs w:val="21"/>
                <w:lang w:val="en-US" w:eastAsia="zh-CN" w:bidi="ar"/>
              </w:rPr>
              <w:t>14.3</w:t>
            </w:r>
          </w:p>
        </w:tc>
        <w:tc>
          <w:tcPr>
            <w:tcW w:w="1761" w:type="dxa"/>
            <w:vAlign w:val="center"/>
          </w:tcPr>
          <w:p w14:paraId="124296E1">
            <w:pPr>
              <w:widowControl/>
              <w:jc w:val="center"/>
              <w:rPr>
                <w:rFonts w:hint="eastAsia" w:ascii="Times New Roman" w:hAnsi="Times New Roman" w:eastAsia="宋体" w:cs="Times New Roman"/>
                <w:color w:val="auto"/>
                <w:kern w:val="2"/>
                <w:sz w:val="21"/>
                <w:szCs w:val="21"/>
                <w:lang w:val="en-US" w:eastAsia="zh-CN" w:bidi="ar-SA"/>
              </w:rPr>
            </w:pPr>
            <w:r>
              <w:rPr>
                <w:rFonts w:ascii="Times New Roman"/>
                <w:snapToGrid w:val="0"/>
                <w:color w:val="auto"/>
                <w:kern w:val="21"/>
                <w:sz w:val="21"/>
                <w:szCs w:val="21"/>
              </w:rPr>
              <w:t>/</w:t>
            </w:r>
          </w:p>
        </w:tc>
        <w:tc>
          <w:tcPr>
            <w:tcW w:w="1651" w:type="dxa"/>
            <w:shd w:val="clear" w:color="auto" w:fill="auto"/>
            <w:vAlign w:val="center"/>
          </w:tcPr>
          <w:p w14:paraId="3E3F2787">
            <w:pPr>
              <w:widowControl/>
              <w:jc w:val="center"/>
              <w:rPr>
                <w:rFonts w:hint="eastAsia" w:ascii="Times New Roman" w:hAnsi="Times New Roman" w:eastAsia="宋体" w:cs="Times New Roman"/>
                <w:bCs/>
                <w:snapToGrid w:val="0"/>
                <w:color w:val="auto"/>
                <w:spacing w:val="6"/>
                <w:kern w:val="2"/>
                <w:sz w:val="21"/>
                <w:szCs w:val="21"/>
                <w:lang w:val="en-US" w:eastAsia="zh-CN" w:bidi="ar"/>
              </w:rPr>
            </w:pPr>
            <w:r>
              <w:rPr>
                <w:rFonts w:hint="eastAsia" w:ascii="Times New Roman" w:hAnsi="Times New Roman" w:eastAsia="宋体" w:cs="Times New Roman"/>
                <w:bCs/>
                <w:snapToGrid w:val="0"/>
                <w:color w:val="auto"/>
                <w:spacing w:val="6"/>
                <w:kern w:val="2"/>
                <w:sz w:val="21"/>
                <w:szCs w:val="21"/>
                <w:lang w:val="en-US" w:eastAsia="zh-CN" w:bidi="ar"/>
              </w:rPr>
              <w:t>14.3</w:t>
            </w:r>
          </w:p>
        </w:tc>
        <w:tc>
          <w:tcPr>
            <w:tcW w:w="1134" w:type="dxa"/>
            <w:shd w:val="clear" w:color="auto" w:fill="auto"/>
            <w:vAlign w:val="center"/>
          </w:tcPr>
          <w:p w14:paraId="1AA8C784">
            <w:pPr>
              <w:widowControl/>
              <w:jc w:val="center"/>
              <w:rPr>
                <w:rFonts w:hint="eastAsia" w:ascii="Times New Roman" w:hAnsi="Times New Roman" w:eastAsia="宋体" w:cs="Times New Roman"/>
                <w:bCs/>
                <w:snapToGrid w:val="0"/>
                <w:color w:val="auto"/>
                <w:spacing w:val="6"/>
                <w:kern w:val="2"/>
                <w:sz w:val="21"/>
                <w:szCs w:val="21"/>
                <w:lang w:val="en-US" w:eastAsia="zh-CN" w:bidi="ar"/>
              </w:rPr>
            </w:pPr>
            <w:r>
              <w:rPr>
                <w:rFonts w:hint="eastAsia" w:ascii="Times New Roman" w:hAnsi="Times New Roman" w:cs="Times New Roman"/>
                <w:bCs/>
                <w:snapToGrid w:val="0"/>
                <w:color w:val="auto"/>
                <w:spacing w:val="6"/>
                <w:kern w:val="2"/>
                <w:sz w:val="21"/>
                <w:szCs w:val="21"/>
                <w:lang w:val="en-US" w:eastAsia="zh-CN" w:bidi="ar"/>
              </w:rPr>
              <w:t>+</w:t>
            </w:r>
            <w:r>
              <w:rPr>
                <w:rFonts w:hint="eastAsia" w:ascii="Times New Roman" w:hAnsi="Times New Roman" w:eastAsia="宋体" w:cs="Times New Roman"/>
                <w:bCs/>
                <w:snapToGrid w:val="0"/>
                <w:color w:val="auto"/>
                <w:spacing w:val="6"/>
                <w:kern w:val="2"/>
                <w:sz w:val="21"/>
                <w:szCs w:val="21"/>
                <w:lang w:val="en-US" w:eastAsia="zh-CN" w:bidi="ar"/>
              </w:rPr>
              <w:t>14.3</w:t>
            </w:r>
          </w:p>
        </w:tc>
      </w:tr>
      <w:tr w14:paraId="1A767B8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588" w:type="dxa"/>
            <w:gridSpan w:val="2"/>
            <w:vMerge w:val="continue"/>
            <w:vAlign w:val="center"/>
          </w:tcPr>
          <w:p w14:paraId="05E0A12A">
            <w:pPr>
              <w:pStyle w:val="34"/>
              <w:keepNext w:val="0"/>
              <w:keepLines w:val="0"/>
              <w:pageBreakBefore w:val="0"/>
              <w:kinsoku/>
              <w:wordWrap/>
              <w:overflowPunct/>
              <w:topLinePunct w:val="0"/>
              <w:autoSpaceDE/>
              <w:autoSpaceDN/>
              <w:bidi w:val="0"/>
              <w:spacing w:before="16" w:beforeLines="0" w:after="16" w:afterLines="0" w:line="240" w:lineRule="auto"/>
              <w:jc w:val="center"/>
              <w:rPr>
                <w:rFonts w:hint="eastAsia" w:ascii="Times New Roman"/>
                <w:snapToGrid w:val="0"/>
                <w:color w:val="auto"/>
                <w:kern w:val="21"/>
                <w:sz w:val="21"/>
                <w:szCs w:val="21"/>
              </w:rPr>
            </w:pPr>
          </w:p>
        </w:tc>
        <w:tc>
          <w:tcPr>
            <w:tcW w:w="1848" w:type="dxa"/>
            <w:shd w:val="clear" w:color="auto" w:fill="auto"/>
            <w:vAlign w:val="center"/>
          </w:tcPr>
          <w:p w14:paraId="4C52F796">
            <w:pPr>
              <w:widowControl/>
              <w:jc w:val="center"/>
              <w:rPr>
                <w:rFonts w:hint="eastAsia" w:ascii="Times New Roman" w:hAnsi="Times New Roman" w:eastAsia="宋体" w:cs="Times New Roman"/>
                <w:bCs/>
                <w:snapToGrid w:val="0"/>
                <w:color w:val="auto"/>
                <w:spacing w:val="6"/>
                <w:kern w:val="2"/>
                <w:sz w:val="21"/>
                <w:szCs w:val="21"/>
                <w:lang w:val="en-US" w:eastAsia="zh-CN" w:bidi="ar"/>
              </w:rPr>
            </w:pPr>
            <w:r>
              <w:rPr>
                <w:rFonts w:hint="eastAsia"/>
                <w:bCs/>
                <w:snapToGrid w:val="0"/>
                <w:color w:val="auto"/>
                <w:spacing w:val="6"/>
              </w:rPr>
              <w:t>废电池</w:t>
            </w:r>
          </w:p>
        </w:tc>
        <w:tc>
          <w:tcPr>
            <w:tcW w:w="1409" w:type="dxa"/>
            <w:shd w:val="clear" w:color="auto" w:fill="auto"/>
            <w:vAlign w:val="center"/>
          </w:tcPr>
          <w:p w14:paraId="0E965B57">
            <w:pPr>
              <w:keepNext w:val="0"/>
              <w:keepLines w:val="0"/>
              <w:widowControl/>
              <w:suppressLineNumbers w:val="0"/>
              <w:jc w:val="center"/>
              <w:textAlignment w:val="center"/>
              <w:rPr>
                <w:rFonts w:hint="eastAsia" w:ascii="Times New Roman" w:hAnsi="Times New Roman" w:eastAsia="宋体" w:cs="Times New Roman"/>
                <w:color w:val="auto"/>
                <w:kern w:val="2"/>
                <w:sz w:val="21"/>
                <w:szCs w:val="21"/>
                <w:lang w:val="en-US" w:eastAsia="zh-CN" w:bidi="ar"/>
              </w:rPr>
            </w:pPr>
            <w:r>
              <w:rPr>
                <w:rFonts w:ascii="Times New Roman"/>
                <w:snapToGrid w:val="0"/>
                <w:color w:val="auto"/>
                <w:kern w:val="21"/>
                <w:sz w:val="21"/>
                <w:szCs w:val="21"/>
              </w:rPr>
              <w:t>/</w:t>
            </w:r>
          </w:p>
        </w:tc>
        <w:tc>
          <w:tcPr>
            <w:tcW w:w="1137" w:type="dxa"/>
            <w:shd w:val="clear" w:color="auto" w:fill="auto"/>
            <w:vAlign w:val="center"/>
          </w:tcPr>
          <w:p w14:paraId="19980DCE">
            <w:pPr>
              <w:keepNext w:val="0"/>
              <w:keepLines w:val="0"/>
              <w:pageBreakBefore w:val="0"/>
              <w:kinsoku/>
              <w:wordWrap/>
              <w:overflowPunct/>
              <w:topLinePunct w:val="0"/>
              <w:autoSpaceDE/>
              <w:autoSpaceDN/>
              <w:bidi w:val="0"/>
              <w:spacing w:line="240" w:lineRule="auto"/>
              <w:jc w:val="center"/>
              <w:rPr>
                <w:rFonts w:hint="eastAsia" w:ascii="Times New Roman" w:hAnsi="Times New Roman" w:eastAsia="宋体" w:cs="Times New Roman"/>
                <w:snapToGrid w:val="0"/>
                <w:color w:val="auto"/>
                <w:kern w:val="21"/>
                <w:sz w:val="21"/>
                <w:szCs w:val="21"/>
                <w:lang w:val="en-US" w:eastAsia="zh-CN" w:bidi="ar"/>
              </w:rPr>
            </w:pPr>
            <w:r>
              <w:rPr>
                <w:rFonts w:ascii="Times New Roman"/>
                <w:snapToGrid w:val="0"/>
                <w:color w:val="auto"/>
                <w:kern w:val="21"/>
                <w:sz w:val="21"/>
                <w:szCs w:val="21"/>
              </w:rPr>
              <w:t>/</w:t>
            </w:r>
          </w:p>
        </w:tc>
        <w:tc>
          <w:tcPr>
            <w:tcW w:w="1701" w:type="dxa"/>
            <w:shd w:val="clear" w:color="auto" w:fill="auto"/>
            <w:vAlign w:val="center"/>
          </w:tcPr>
          <w:p w14:paraId="72E74B93">
            <w:pPr>
              <w:keepNext w:val="0"/>
              <w:keepLines w:val="0"/>
              <w:pageBreakBefore w:val="0"/>
              <w:kinsoku/>
              <w:wordWrap/>
              <w:overflowPunct/>
              <w:topLinePunct w:val="0"/>
              <w:autoSpaceDE/>
              <w:autoSpaceDN/>
              <w:bidi w:val="0"/>
              <w:spacing w:line="240" w:lineRule="auto"/>
              <w:jc w:val="center"/>
              <w:rPr>
                <w:rFonts w:ascii="Times New Roman"/>
                <w:snapToGrid w:val="0"/>
                <w:color w:val="auto"/>
                <w:kern w:val="21"/>
                <w:sz w:val="21"/>
                <w:szCs w:val="21"/>
              </w:rPr>
            </w:pPr>
            <w:r>
              <w:rPr>
                <w:rFonts w:ascii="Times New Roman"/>
                <w:snapToGrid w:val="0"/>
                <w:color w:val="auto"/>
                <w:kern w:val="21"/>
                <w:sz w:val="21"/>
                <w:szCs w:val="21"/>
              </w:rPr>
              <w:t>/</w:t>
            </w:r>
          </w:p>
        </w:tc>
        <w:tc>
          <w:tcPr>
            <w:tcW w:w="1559" w:type="dxa"/>
            <w:shd w:val="clear" w:color="auto" w:fill="auto"/>
            <w:vAlign w:val="center"/>
          </w:tcPr>
          <w:p w14:paraId="71FCDE72">
            <w:pPr>
              <w:widowControl/>
              <w:jc w:val="center"/>
              <w:rPr>
                <w:rFonts w:hint="eastAsia" w:ascii="Times New Roman" w:hAnsi="Times New Roman" w:eastAsia="宋体" w:cs="Times New Roman"/>
                <w:bCs/>
                <w:snapToGrid w:val="0"/>
                <w:color w:val="auto"/>
                <w:spacing w:val="6"/>
                <w:kern w:val="2"/>
                <w:sz w:val="21"/>
                <w:szCs w:val="21"/>
                <w:lang w:val="en-US" w:eastAsia="zh-CN" w:bidi="ar"/>
              </w:rPr>
            </w:pPr>
            <w:r>
              <w:rPr>
                <w:rFonts w:hint="eastAsia" w:ascii="Times New Roman" w:hAnsi="Times New Roman" w:eastAsia="宋体" w:cs="Times New Roman"/>
                <w:bCs/>
                <w:snapToGrid w:val="0"/>
                <w:color w:val="auto"/>
                <w:spacing w:val="6"/>
                <w:kern w:val="2"/>
                <w:sz w:val="21"/>
                <w:szCs w:val="21"/>
                <w:lang w:val="en-US" w:eastAsia="zh-CN" w:bidi="ar"/>
              </w:rPr>
              <w:t>0.25t/3a</w:t>
            </w:r>
          </w:p>
        </w:tc>
        <w:tc>
          <w:tcPr>
            <w:tcW w:w="1761" w:type="dxa"/>
            <w:vAlign w:val="center"/>
          </w:tcPr>
          <w:p w14:paraId="1D060F5F">
            <w:pPr>
              <w:widowControl/>
              <w:jc w:val="center"/>
              <w:rPr>
                <w:rFonts w:hint="eastAsia" w:ascii="Times New Roman" w:hAnsi="Times New Roman" w:eastAsia="宋体" w:cs="Times New Roman"/>
                <w:color w:val="auto"/>
                <w:kern w:val="2"/>
                <w:sz w:val="21"/>
                <w:szCs w:val="21"/>
                <w:lang w:val="en-US" w:eastAsia="zh-CN" w:bidi="ar-SA"/>
              </w:rPr>
            </w:pPr>
            <w:r>
              <w:rPr>
                <w:rFonts w:ascii="Times New Roman"/>
                <w:snapToGrid w:val="0"/>
                <w:color w:val="auto"/>
                <w:kern w:val="21"/>
                <w:sz w:val="21"/>
                <w:szCs w:val="21"/>
              </w:rPr>
              <w:t>/</w:t>
            </w:r>
          </w:p>
        </w:tc>
        <w:tc>
          <w:tcPr>
            <w:tcW w:w="1651" w:type="dxa"/>
            <w:shd w:val="clear" w:color="auto" w:fill="auto"/>
            <w:vAlign w:val="center"/>
          </w:tcPr>
          <w:p w14:paraId="72AB787E">
            <w:pPr>
              <w:widowControl/>
              <w:jc w:val="center"/>
              <w:rPr>
                <w:rFonts w:hint="eastAsia" w:ascii="Times New Roman" w:hAnsi="Times New Roman" w:eastAsia="宋体" w:cs="Times New Roman"/>
                <w:bCs/>
                <w:snapToGrid w:val="0"/>
                <w:color w:val="auto"/>
                <w:spacing w:val="6"/>
                <w:kern w:val="2"/>
                <w:sz w:val="21"/>
                <w:szCs w:val="21"/>
                <w:lang w:val="en-US" w:eastAsia="zh-CN" w:bidi="ar"/>
              </w:rPr>
            </w:pPr>
            <w:r>
              <w:rPr>
                <w:rFonts w:hint="eastAsia" w:ascii="Times New Roman" w:hAnsi="Times New Roman" w:eastAsia="宋体" w:cs="Times New Roman"/>
                <w:bCs/>
                <w:snapToGrid w:val="0"/>
                <w:color w:val="auto"/>
                <w:spacing w:val="6"/>
                <w:kern w:val="2"/>
                <w:sz w:val="21"/>
                <w:szCs w:val="21"/>
                <w:lang w:val="en-US" w:eastAsia="zh-CN" w:bidi="ar"/>
              </w:rPr>
              <w:t>0.25t/3a</w:t>
            </w:r>
          </w:p>
        </w:tc>
        <w:tc>
          <w:tcPr>
            <w:tcW w:w="1134" w:type="dxa"/>
            <w:shd w:val="clear" w:color="auto" w:fill="auto"/>
            <w:vAlign w:val="center"/>
          </w:tcPr>
          <w:p w14:paraId="703CDC44">
            <w:pPr>
              <w:widowControl/>
              <w:jc w:val="center"/>
              <w:rPr>
                <w:rFonts w:hint="eastAsia" w:ascii="Times New Roman" w:hAnsi="Times New Roman" w:eastAsia="宋体" w:cs="Times New Roman"/>
                <w:bCs/>
                <w:snapToGrid w:val="0"/>
                <w:color w:val="auto"/>
                <w:spacing w:val="6"/>
                <w:kern w:val="2"/>
                <w:sz w:val="21"/>
                <w:szCs w:val="21"/>
                <w:lang w:val="en-US" w:eastAsia="zh-CN" w:bidi="ar"/>
              </w:rPr>
            </w:pPr>
            <w:r>
              <w:rPr>
                <w:rFonts w:hint="eastAsia" w:ascii="Times New Roman" w:hAnsi="Times New Roman" w:cs="Times New Roman"/>
                <w:bCs/>
                <w:snapToGrid w:val="0"/>
                <w:color w:val="auto"/>
                <w:spacing w:val="6"/>
                <w:kern w:val="2"/>
                <w:sz w:val="21"/>
                <w:szCs w:val="21"/>
                <w:lang w:val="en-US" w:eastAsia="zh-CN" w:bidi="ar"/>
              </w:rPr>
              <w:t>+</w:t>
            </w:r>
            <w:r>
              <w:rPr>
                <w:rFonts w:hint="eastAsia" w:ascii="Times New Roman" w:hAnsi="Times New Roman" w:eastAsia="宋体" w:cs="Times New Roman"/>
                <w:bCs/>
                <w:snapToGrid w:val="0"/>
                <w:color w:val="auto"/>
                <w:spacing w:val="6"/>
                <w:kern w:val="2"/>
                <w:sz w:val="21"/>
                <w:szCs w:val="21"/>
                <w:lang w:val="en-US" w:eastAsia="zh-CN" w:bidi="ar"/>
              </w:rPr>
              <w:t>0.25t/3a</w:t>
            </w:r>
          </w:p>
        </w:tc>
      </w:tr>
      <w:tr w14:paraId="6B18189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588" w:type="dxa"/>
            <w:gridSpan w:val="2"/>
            <w:vMerge w:val="continue"/>
            <w:vAlign w:val="center"/>
          </w:tcPr>
          <w:p w14:paraId="4ADF46DA">
            <w:pPr>
              <w:pStyle w:val="34"/>
              <w:keepNext w:val="0"/>
              <w:keepLines w:val="0"/>
              <w:pageBreakBefore w:val="0"/>
              <w:kinsoku/>
              <w:wordWrap/>
              <w:overflowPunct/>
              <w:topLinePunct w:val="0"/>
              <w:autoSpaceDE/>
              <w:autoSpaceDN/>
              <w:bidi w:val="0"/>
              <w:spacing w:before="16" w:beforeLines="0" w:after="16" w:afterLines="0" w:line="240" w:lineRule="auto"/>
              <w:jc w:val="center"/>
              <w:rPr>
                <w:rFonts w:hint="eastAsia" w:ascii="Times New Roman"/>
                <w:snapToGrid w:val="0"/>
                <w:color w:val="auto"/>
                <w:kern w:val="21"/>
                <w:sz w:val="21"/>
                <w:szCs w:val="21"/>
              </w:rPr>
            </w:pPr>
          </w:p>
        </w:tc>
        <w:tc>
          <w:tcPr>
            <w:tcW w:w="1848" w:type="dxa"/>
            <w:shd w:val="clear" w:color="auto" w:fill="auto"/>
            <w:vAlign w:val="center"/>
          </w:tcPr>
          <w:p w14:paraId="00AEF5CC">
            <w:pPr>
              <w:widowControl/>
              <w:jc w:val="center"/>
              <w:rPr>
                <w:rFonts w:hint="eastAsia" w:ascii="Times New Roman" w:hAnsi="Times New Roman" w:eastAsia="宋体" w:cs="Times New Roman"/>
                <w:bCs/>
                <w:snapToGrid w:val="0"/>
                <w:color w:val="auto"/>
                <w:spacing w:val="6"/>
                <w:kern w:val="2"/>
                <w:sz w:val="21"/>
                <w:szCs w:val="21"/>
                <w:lang w:val="en-US" w:eastAsia="zh-CN" w:bidi="ar"/>
              </w:rPr>
            </w:pPr>
            <w:r>
              <w:rPr>
                <w:rFonts w:hint="eastAsia" w:ascii="Times New Roman" w:hAnsi="Times New Roman" w:eastAsia="宋体" w:cs="Times New Roman"/>
                <w:bCs/>
                <w:snapToGrid w:val="0"/>
                <w:color w:val="auto"/>
                <w:spacing w:val="6"/>
                <w:kern w:val="2"/>
                <w:sz w:val="21"/>
                <w:szCs w:val="21"/>
                <w:lang w:val="en-US" w:eastAsia="zh-CN" w:bidi="ar"/>
              </w:rPr>
              <w:t>废油</w:t>
            </w:r>
          </w:p>
        </w:tc>
        <w:tc>
          <w:tcPr>
            <w:tcW w:w="1409" w:type="dxa"/>
            <w:shd w:val="clear" w:color="auto" w:fill="auto"/>
            <w:vAlign w:val="center"/>
          </w:tcPr>
          <w:p w14:paraId="0B1266A5">
            <w:pPr>
              <w:pStyle w:val="2"/>
              <w:spacing w:before="0" w:after="0" w:line="240" w:lineRule="auto"/>
              <w:jc w:val="center"/>
              <w:rPr>
                <w:rFonts w:hint="eastAsia" w:ascii="Times New Roman" w:hAnsi="Times New Roman" w:eastAsia="宋体" w:cs="Times New Roman"/>
                <w:b w:val="0"/>
                <w:bCs w:val="0"/>
                <w:color w:val="auto"/>
                <w:kern w:val="2"/>
                <w:sz w:val="21"/>
                <w:szCs w:val="21"/>
                <w:lang w:val="en-US" w:eastAsia="zh-CN" w:bidi="ar"/>
              </w:rPr>
            </w:pPr>
            <w:r>
              <w:rPr>
                <w:rFonts w:hint="eastAsia" w:ascii="Times New Roman" w:hAnsi="Times New Roman" w:cs="Times New Roman"/>
                <w:b w:val="0"/>
                <w:bCs w:val="0"/>
                <w:color w:val="auto"/>
                <w:kern w:val="2"/>
                <w:sz w:val="21"/>
                <w:szCs w:val="21"/>
                <w:lang w:val="en-US" w:eastAsia="zh-CN" w:bidi="ar"/>
              </w:rPr>
              <w:t>/</w:t>
            </w:r>
          </w:p>
        </w:tc>
        <w:tc>
          <w:tcPr>
            <w:tcW w:w="1137" w:type="dxa"/>
            <w:shd w:val="clear" w:color="auto" w:fill="auto"/>
            <w:vAlign w:val="center"/>
          </w:tcPr>
          <w:p w14:paraId="0CD95CE5">
            <w:pPr>
              <w:keepNext w:val="0"/>
              <w:keepLines w:val="0"/>
              <w:pageBreakBefore w:val="0"/>
              <w:kinsoku/>
              <w:wordWrap/>
              <w:overflowPunct/>
              <w:topLinePunct w:val="0"/>
              <w:autoSpaceDE/>
              <w:autoSpaceDN/>
              <w:bidi w:val="0"/>
              <w:spacing w:line="240" w:lineRule="auto"/>
              <w:jc w:val="center"/>
              <w:rPr>
                <w:rFonts w:hint="default"/>
                <w:snapToGrid w:val="0"/>
                <w:color w:val="auto"/>
                <w:kern w:val="21"/>
                <w:sz w:val="21"/>
                <w:szCs w:val="21"/>
                <w:lang w:val="en-US" w:eastAsia="zh-CN"/>
              </w:rPr>
            </w:pPr>
            <w:r>
              <w:rPr>
                <w:rFonts w:hint="eastAsia"/>
                <w:snapToGrid w:val="0"/>
                <w:color w:val="auto"/>
                <w:kern w:val="21"/>
                <w:sz w:val="21"/>
                <w:szCs w:val="21"/>
                <w:lang w:val="en-US" w:eastAsia="zh-CN"/>
              </w:rPr>
              <w:t>/</w:t>
            </w:r>
          </w:p>
        </w:tc>
        <w:tc>
          <w:tcPr>
            <w:tcW w:w="1701" w:type="dxa"/>
            <w:shd w:val="clear" w:color="auto" w:fill="auto"/>
            <w:vAlign w:val="center"/>
          </w:tcPr>
          <w:p w14:paraId="7C7B5495">
            <w:pPr>
              <w:keepNext w:val="0"/>
              <w:keepLines w:val="0"/>
              <w:pageBreakBefore w:val="0"/>
              <w:kinsoku/>
              <w:wordWrap/>
              <w:overflowPunct/>
              <w:topLinePunct w:val="0"/>
              <w:autoSpaceDE/>
              <w:autoSpaceDN/>
              <w:bidi w:val="0"/>
              <w:spacing w:line="240" w:lineRule="auto"/>
              <w:jc w:val="center"/>
              <w:rPr>
                <w:rFonts w:ascii="Times New Roman"/>
                <w:snapToGrid w:val="0"/>
                <w:color w:val="auto"/>
                <w:kern w:val="21"/>
                <w:sz w:val="21"/>
                <w:szCs w:val="21"/>
              </w:rPr>
            </w:pPr>
            <w:r>
              <w:rPr>
                <w:rFonts w:ascii="Times New Roman"/>
                <w:snapToGrid w:val="0"/>
                <w:color w:val="auto"/>
                <w:kern w:val="21"/>
                <w:sz w:val="21"/>
                <w:szCs w:val="21"/>
              </w:rPr>
              <w:t>/</w:t>
            </w:r>
          </w:p>
        </w:tc>
        <w:tc>
          <w:tcPr>
            <w:tcW w:w="1559" w:type="dxa"/>
            <w:shd w:val="clear" w:color="auto" w:fill="auto"/>
            <w:vAlign w:val="center"/>
          </w:tcPr>
          <w:p w14:paraId="60252BC3">
            <w:pPr>
              <w:pStyle w:val="2"/>
              <w:spacing w:before="0" w:after="0" w:line="240" w:lineRule="auto"/>
              <w:jc w:val="center"/>
              <w:rPr>
                <w:rFonts w:hint="eastAsia" w:ascii="Times New Roman" w:hAnsi="Times New Roman" w:eastAsia="宋体" w:cs="Times New Roman"/>
                <w:b w:val="0"/>
                <w:bCs w:val="0"/>
                <w:color w:val="auto"/>
                <w:kern w:val="2"/>
                <w:sz w:val="21"/>
                <w:szCs w:val="21"/>
                <w:lang w:val="en-US" w:eastAsia="zh-CN" w:bidi="ar"/>
              </w:rPr>
            </w:pPr>
            <w:r>
              <w:rPr>
                <w:rFonts w:hint="eastAsia" w:ascii="Times New Roman" w:hAnsi="Times New Roman" w:eastAsia="宋体" w:cs="Times New Roman"/>
                <w:b w:val="0"/>
                <w:bCs w:val="0"/>
                <w:color w:val="auto"/>
                <w:kern w:val="2"/>
                <w:sz w:val="21"/>
                <w:szCs w:val="21"/>
                <w:lang w:val="en-US" w:eastAsia="zh-CN" w:bidi="ar"/>
              </w:rPr>
              <w:t>9.996</w:t>
            </w:r>
          </w:p>
        </w:tc>
        <w:tc>
          <w:tcPr>
            <w:tcW w:w="1761" w:type="dxa"/>
            <w:vAlign w:val="center"/>
          </w:tcPr>
          <w:p w14:paraId="37DE8D7A">
            <w:pPr>
              <w:widowControl/>
              <w:jc w:val="center"/>
              <w:rPr>
                <w:rFonts w:hint="eastAsia" w:ascii="Times New Roman" w:hAnsi="Times New Roman" w:eastAsia="宋体" w:cs="Times New Roman"/>
                <w:color w:val="auto"/>
                <w:kern w:val="2"/>
                <w:sz w:val="21"/>
                <w:szCs w:val="21"/>
                <w:lang w:val="en-US" w:eastAsia="zh-CN" w:bidi="ar-SA"/>
              </w:rPr>
            </w:pPr>
            <w:r>
              <w:rPr>
                <w:rFonts w:ascii="Times New Roman"/>
                <w:snapToGrid w:val="0"/>
                <w:color w:val="auto"/>
                <w:kern w:val="21"/>
                <w:sz w:val="21"/>
                <w:szCs w:val="21"/>
              </w:rPr>
              <w:t>/</w:t>
            </w:r>
          </w:p>
        </w:tc>
        <w:tc>
          <w:tcPr>
            <w:tcW w:w="1651" w:type="dxa"/>
            <w:shd w:val="clear" w:color="auto" w:fill="auto"/>
            <w:vAlign w:val="center"/>
          </w:tcPr>
          <w:p w14:paraId="23018A10">
            <w:pPr>
              <w:pStyle w:val="2"/>
              <w:spacing w:before="0" w:after="0" w:line="240" w:lineRule="auto"/>
              <w:jc w:val="center"/>
              <w:rPr>
                <w:rFonts w:hint="eastAsia" w:ascii="Times New Roman" w:hAnsi="Times New Roman" w:eastAsia="宋体" w:cs="Times New Roman"/>
                <w:b w:val="0"/>
                <w:bCs w:val="0"/>
                <w:color w:val="auto"/>
                <w:kern w:val="2"/>
                <w:sz w:val="21"/>
                <w:szCs w:val="21"/>
                <w:lang w:val="en-US" w:eastAsia="zh-CN" w:bidi="ar"/>
              </w:rPr>
            </w:pPr>
            <w:r>
              <w:rPr>
                <w:rFonts w:hint="eastAsia" w:ascii="Times New Roman" w:hAnsi="Times New Roman" w:cs="Times New Roman"/>
                <w:b w:val="0"/>
                <w:bCs w:val="0"/>
                <w:color w:val="auto"/>
                <w:kern w:val="2"/>
                <w:sz w:val="21"/>
                <w:szCs w:val="21"/>
                <w:lang w:val="en-US" w:eastAsia="zh-CN" w:bidi="ar"/>
              </w:rPr>
              <w:t>9.996</w:t>
            </w:r>
          </w:p>
        </w:tc>
        <w:tc>
          <w:tcPr>
            <w:tcW w:w="1134" w:type="dxa"/>
            <w:shd w:val="clear" w:color="auto" w:fill="auto"/>
            <w:vAlign w:val="center"/>
          </w:tcPr>
          <w:p w14:paraId="53C79C9F">
            <w:pPr>
              <w:pStyle w:val="2"/>
              <w:spacing w:before="0" w:after="0" w:line="240" w:lineRule="auto"/>
              <w:jc w:val="center"/>
              <w:rPr>
                <w:rFonts w:hint="eastAsia" w:ascii="Times New Roman" w:hAnsi="Times New Roman" w:eastAsia="宋体" w:cs="Times New Roman"/>
                <w:b w:val="0"/>
                <w:bCs w:val="0"/>
                <w:color w:val="auto"/>
                <w:kern w:val="2"/>
                <w:sz w:val="21"/>
                <w:szCs w:val="21"/>
                <w:lang w:val="en-US" w:eastAsia="zh-CN" w:bidi="ar"/>
              </w:rPr>
            </w:pPr>
            <w:r>
              <w:rPr>
                <w:rFonts w:hint="eastAsia" w:ascii="Times New Roman" w:hAnsi="Times New Roman" w:cs="Times New Roman"/>
                <w:b w:val="0"/>
                <w:bCs w:val="0"/>
                <w:color w:val="auto"/>
                <w:kern w:val="2"/>
                <w:sz w:val="21"/>
                <w:szCs w:val="21"/>
                <w:lang w:val="en-US" w:eastAsia="zh-CN" w:bidi="ar"/>
              </w:rPr>
              <w:t>+9.996</w:t>
            </w:r>
          </w:p>
        </w:tc>
      </w:tr>
      <w:tr w14:paraId="0C977F7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588" w:type="dxa"/>
            <w:gridSpan w:val="2"/>
            <w:vMerge w:val="continue"/>
            <w:vAlign w:val="center"/>
          </w:tcPr>
          <w:p w14:paraId="0AA09D0E">
            <w:pPr>
              <w:pStyle w:val="34"/>
              <w:keepNext w:val="0"/>
              <w:keepLines w:val="0"/>
              <w:pageBreakBefore w:val="0"/>
              <w:kinsoku/>
              <w:wordWrap/>
              <w:overflowPunct/>
              <w:topLinePunct w:val="0"/>
              <w:autoSpaceDE/>
              <w:autoSpaceDN/>
              <w:bidi w:val="0"/>
              <w:spacing w:before="16" w:beforeLines="0" w:after="16" w:afterLines="0" w:line="240" w:lineRule="auto"/>
              <w:jc w:val="center"/>
              <w:rPr>
                <w:rFonts w:hint="eastAsia" w:ascii="Times New Roman"/>
                <w:snapToGrid w:val="0"/>
                <w:color w:val="auto"/>
                <w:kern w:val="21"/>
                <w:sz w:val="21"/>
                <w:szCs w:val="21"/>
              </w:rPr>
            </w:pPr>
          </w:p>
        </w:tc>
        <w:tc>
          <w:tcPr>
            <w:tcW w:w="1848" w:type="dxa"/>
            <w:shd w:val="clear" w:color="auto" w:fill="auto"/>
            <w:vAlign w:val="center"/>
          </w:tcPr>
          <w:p w14:paraId="7132EA46">
            <w:pPr>
              <w:widowControl/>
              <w:jc w:val="center"/>
              <w:rPr>
                <w:rFonts w:hint="default" w:ascii="Times New Roman" w:hAnsi="Times New Roman" w:eastAsia="宋体" w:cs="Times New Roman"/>
                <w:bCs/>
                <w:snapToGrid w:val="0"/>
                <w:color w:val="auto"/>
                <w:spacing w:val="6"/>
                <w:kern w:val="2"/>
                <w:sz w:val="21"/>
                <w:szCs w:val="21"/>
                <w:lang w:val="en-US" w:eastAsia="zh-CN" w:bidi="ar"/>
              </w:rPr>
            </w:pPr>
            <w:r>
              <w:rPr>
                <w:rFonts w:hint="eastAsia" w:cs="Times New Roman"/>
                <w:bCs/>
                <w:snapToGrid w:val="0"/>
                <w:color w:val="auto"/>
                <w:spacing w:val="6"/>
                <w:kern w:val="2"/>
                <w:sz w:val="21"/>
                <w:szCs w:val="21"/>
                <w:lang w:val="en-US" w:eastAsia="zh-CN" w:bidi="ar"/>
              </w:rPr>
              <w:t>含油废屑</w:t>
            </w:r>
          </w:p>
        </w:tc>
        <w:tc>
          <w:tcPr>
            <w:tcW w:w="1409" w:type="dxa"/>
            <w:shd w:val="clear" w:color="auto" w:fill="auto"/>
            <w:vAlign w:val="center"/>
          </w:tcPr>
          <w:p w14:paraId="6F53EDFA">
            <w:pPr>
              <w:pStyle w:val="2"/>
              <w:spacing w:before="0" w:after="0" w:line="240" w:lineRule="auto"/>
              <w:jc w:val="center"/>
              <w:rPr>
                <w:rFonts w:hint="eastAsia" w:ascii="Times New Roman" w:hAnsi="Times New Roman" w:eastAsia="宋体" w:cs="Times New Roman"/>
                <w:b w:val="0"/>
                <w:bCs w:val="0"/>
                <w:color w:val="auto"/>
                <w:kern w:val="2"/>
                <w:sz w:val="21"/>
                <w:szCs w:val="21"/>
                <w:lang w:val="en-US" w:eastAsia="zh-CN" w:bidi="ar"/>
              </w:rPr>
            </w:pPr>
            <w:r>
              <w:rPr>
                <w:rFonts w:hint="eastAsia" w:ascii="Times New Roman" w:hAnsi="Times New Roman" w:eastAsia="宋体" w:cs="Times New Roman"/>
                <w:b w:val="0"/>
                <w:bCs w:val="0"/>
                <w:color w:val="auto"/>
                <w:kern w:val="2"/>
                <w:sz w:val="21"/>
                <w:szCs w:val="21"/>
                <w:lang w:val="en-US" w:eastAsia="zh-CN" w:bidi="ar"/>
              </w:rPr>
              <w:t>151.096</w:t>
            </w:r>
          </w:p>
        </w:tc>
        <w:tc>
          <w:tcPr>
            <w:tcW w:w="1137" w:type="dxa"/>
            <w:shd w:val="clear" w:color="auto" w:fill="auto"/>
            <w:vAlign w:val="center"/>
          </w:tcPr>
          <w:p w14:paraId="21CFF419">
            <w:pPr>
              <w:keepNext w:val="0"/>
              <w:keepLines w:val="0"/>
              <w:pageBreakBefore w:val="0"/>
              <w:kinsoku/>
              <w:wordWrap/>
              <w:overflowPunct/>
              <w:topLinePunct w:val="0"/>
              <w:autoSpaceDE/>
              <w:autoSpaceDN/>
              <w:bidi w:val="0"/>
              <w:spacing w:line="240" w:lineRule="auto"/>
              <w:jc w:val="center"/>
              <w:rPr>
                <w:rFonts w:hint="eastAsia" w:ascii="Times New Roman" w:hAnsi="Times New Roman" w:eastAsia="宋体" w:cs="Times New Roman"/>
                <w:snapToGrid w:val="0"/>
                <w:color w:val="auto"/>
                <w:kern w:val="21"/>
                <w:sz w:val="21"/>
                <w:szCs w:val="21"/>
                <w:lang w:val="en-US" w:eastAsia="zh-CN" w:bidi="ar"/>
              </w:rPr>
            </w:pPr>
            <w:r>
              <w:rPr>
                <w:rFonts w:hint="eastAsia"/>
                <w:snapToGrid w:val="0"/>
                <w:color w:val="auto"/>
                <w:kern w:val="21"/>
                <w:sz w:val="21"/>
                <w:szCs w:val="21"/>
                <w:lang w:val="en-US" w:eastAsia="zh-CN"/>
              </w:rPr>
              <w:t>0</w:t>
            </w:r>
          </w:p>
        </w:tc>
        <w:tc>
          <w:tcPr>
            <w:tcW w:w="1701" w:type="dxa"/>
            <w:shd w:val="clear" w:color="auto" w:fill="auto"/>
            <w:vAlign w:val="center"/>
          </w:tcPr>
          <w:p w14:paraId="0D18EE4B">
            <w:pPr>
              <w:keepNext w:val="0"/>
              <w:keepLines w:val="0"/>
              <w:pageBreakBefore w:val="0"/>
              <w:kinsoku/>
              <w:wordWrap/>
              <w:overflowPunct/>
              <w:topLinePunct w:val="0"/>
              <w:autoSpaceDE/>
              <w:autoSpaceDN/>
              <w:bidi w:val="0"/>
              <w:spacing w:line="240" w:lineRule="auto"/>
              <w:jc w:val="center"/>
              <w:rPr>
                <w:rFonts w:hint="default" w:ascii="Times New Roman" w:hAnsi="Times New Roman" w:eastAsia="宋体" w:cs="Times New Roman"/>
                <w:snapToGrid w:val="0"/>
                <w:color w:val="auto"/>
                <w:kern w:val="21"/>
                <w:sz w:val="21"/>
                <w:szCs w:val="21"/>
                <w:lang w:val="en-US" w:eastAsia="zh-CN" w:bidi="ar"/>
              </w:rPr>
            </w:pPr>
            <w:r>
              <w:rPr>
                <w:rFonts w:ascii="Times New Roman"/>
                <w:snapToGrid w:val="0"/>
                <w:color w:val="auto"/>
                <w:kern w:val="21"/>
                <w:sz w:val="21"/>
                <w:szCs w:val="21"/>
              </w:rPr>
              <w:t>/</w:t>
            </w:r>
          </w:p>
        </w:tc>
        <w:tc>
          <w:tcPr>
            <w:tcW w:w="1559" w:type="dxa"/>
            <w:shd w:val="clear" w:color="auto" w:fill="auto"/>
            <w:vAlign w:val="center"/>
          </w:tcPr>
          <w:p w14:paraId="117F46EE">
            <w:pPr>
              <w:pStyle w:val="2"/>
              <w:spacing w:before="0" w:after="0" w:line="240" w:lineRule="auto"/>
              <w:jc w:val="center"/>
              <w:rPr>
                <w:rFonts w:hint="default" w:ascii="Times New Roman" w:hAnsi="Times New Roman" w:eastAsia="宋体" w:cs="Times New Roman"/>
                <w:b w:val="0"/>
                <w:bCs w:val="0"/>
                <w:color w:val="auto"/>
                <w:kern w:val="2"/>
                <w:sz w:val="21"/>
                <w:szCs w:val="21"/>
                <w:lang w:val="en-US" w:eastAsia="zh-CN" w:bidi="ar"/>
              </w:rPr>
            </w:pPr>
            <w:r>
              <w:rPr>
                <w:rFonts w:hint="eastAsia" w:ascii="Times New Roman" w:hAnsi="Times New Roman" w:cs="Times New Roman"/>
                <w:b w:val="0"/>
                <w:bCs w:val="0"/>
                <w:color w:val="auto"/>
                <w:kern w:val="2"/>
                <w:sz w:val="21"/>
                <w:szCs w:val="21"/>
                <w:lang w:val="en-US" w:eastAsia="zh-CN" w:bidi="ar"/>
              </w:rPr>
              <w:t>/</w:t>
            </w:r>
          </w:p>
        </w:tc>
        <w:tc>
          <w:tcPr>
            <w:tcW w:w="1761" w:type="dxa"/>
            <w:vAlign w:val="center"/>
          </w:tcPr>
          <w:p w14:paraId="5F106264">
            <w:pPr>
              <w:widowControl/>
              <w:jc w:val="center"/>
              <w:rPr>
                <w:rFonts w:ascii="Times New Roman"/>
                <w:snapToGrid w:val="0"/>
                <w:color w:val="auto"/>
                <w:kern w:val="21"/>
                <w:sz w:val="21"/>
                <w:szCs w:val="21"/>
              </w:rPr>
            </w:pPr>
            <w:r>
              <w:rPr>
                <w:rFonts w:hint="eastAsia" w:ascii="Times New Roman"/>
                <w:snapToGrid w:val="0"/>
                <w:color w:val="auto"/>
                <w:kern w:val="21"/>
                <w:sz w:val="21"/>
                <w:szCs w:val="21"/>
              </w:rPr>
              <w:t>151.096</w:t>
            </w:r>
          </w:p>
        </w:tc>
        <w:tc>
          <w:tcPr>
            <w:tcW w:w="1651" w:type="dxa"/>
            <w:shd w:val="clear" w:color="auto" w:fill="auto"/>
            <w:vAlign w:val="center"/>
          </w:tcPr>
          <w:p w14:paraId="235E13F4">
            <w:pPr>
              <w:pStyle w:val="2"/>
              <w:spacing w:before="0" w:after="0" w:line="240" w:lineRule="auto"/>
              <w:jc w:val="center"/>
              <w:rPr>
                <w:rFonts w:hint="default" w:ascii="Times New Roman" w:hAnsi="Times New Roman" w:cs="Times New Roman"/>
                <w:b w:val="0"/>
                <w:bCs w:val="0"/>
                <w:color w:val="auto"/>
                <w:kern w:val="2"/>
                <w:sz w:val="21"/>
                <w:szCs w:val="21"/>
                <w:lang w:val="en-US" w:eastAsia="zh-CN" w:bidi="ar"/>
              </w:rPr>
            </w:pPr>
            <w:r>
              <w:rPr>
                <w:rFonts w:hint="eastAsia" w:ascii="Times New Roman" w:hAnsi="Times New Roman" w:cs="Times New Roman"/>
                <w:b w:val="0"/>
                <w:bCs w:val="0"/>
                <w:color w:val="auto"/>
                <w:kern w:val="2"/>
                <w:sz w:val="21"/>
                <w:szCs w:val="21"/>
                <w:lang w:val="en-US" w:eastAsia="zh-CN" w:bidi="ar"/>
              </w:rPr>
              <w:t>0</w:t>
            </w:r>
          </w:p>
        </w:tc>
        <w:tc>
          <w:tcPr>
            <w:tcW w:w="1134" w:type="dxa"/>
            <w:shd w:val="clear" w:color="auto" w:fill="auto"/>
            <w:vAlign w:val="center"/>
          </w:tcPr>
          <w:p w14:paraId="2A7F2207">
            <w:pPr>
              <w:pStyle w:val="2"/>
              <w:spacing w:before="0" w:after="0" w:line="240" w:lineRule="auto"/>
              <w:jc w:val="center"/>
              <w:rPr>
                <w:rFonts w:hint="default" w:ascii="Times New Roman" w:hAnsi="Times New Roman" w:cs="Times New Roman"/>
                <w:b w:val="0"/>
                <w:bCs w:val="0"/>
                <w:color w:val="auto"/>
                <w:kern w:val="2"/>
                <w:sz w:val="21"/>
                <w:szCs w:val="21"/>
                <w:lang w:val="en-US" w:eastAsia="zh-CN" w:bidi="ar"/>
              </w:rPr>
            </w:pPr>
            <w:r>
              <w:rPr>
                <w:rFonts w:hint="eastAsia" w:ascii="Times New Roman" w:hAnsi="Times New Roman" w:cs="Times New Roman"/>
                <w:b w:val="0"/>
                <w:bCs w:val="0"/>
                <w:color w:val="auto"/>
                <w:kern w:val="2"/>
                <w:sz w:val="21"/>
                <w:szCs w:val="21"/>
                <w:lang w:val="en-US" w:eastAsia="zh-CN" w:bidi="ar"/>
              </w:rPr>
              <w:t>0</w:t>
            </w:r>
          </w:p>
        </w:tc>
      </w:tr>
      <w:tr w14:paraId="0195E44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588" w:type="dxa"/>
            <w:gridSpan w:val="2"/>
            <w:vAlign w:val="center"/>
          </w:tcPr>
          <w:p w14:paraId="4D37CCAC">
            <w:pPr>
              <w:pStyle w:val="34"/>
              <w:keepNext w:val="0"/>
              <w:keepLines w:val="0"/>
              <w:pageBreakBefore w:val="0"/>
              <w:kinsoku/>
              <w:wordWrap/>
              <w:overflowPunct/>
              <w:topLinePunct w:val="0"/>
              <w:autoSpaceDE/>
              <w:autoSpaceDN/>
              <w:bidi w:val="0"/>
              <w:spacing w:before="16" w:beforeLines="0" w:after="16" w:afterLines="0" w:line="240" w:lineRule="auto"/>
              <w:jc w:val="center"/>
              <w:rPr>
                <w:rFonts w:hint="default" w:ascii="Times New Roman" w:eastAsia="黑体"/>
                <w:snapToGrid w:val="0"/>
                <w:color w:val="auto"/>
                <w:kern w:val="21"/>
                <w:sz w:val="21"/>
                <w:szCs w:val="21"/>
                <w:lang w:val="en-US" w:eastAsia="zh-CN"/>
              </w:rPr>
            </w:pPr>
            <w:r>
              <w:rPr>
                <w:rFonts w:hint="eastAsia" w:ascii="Times New Roman"/>
                <w:snapToGrid w:val="0"/>
                <w:color w:val="auto"/>
                <w:kern w:val="21"/>
                <w:sz w:val="21"/>
                <w:szCs w:val="21"/>
                <w:lang w:val="en-US" w:eastAsia="zh-CN"/>
              </w:rPr>
              <w:t>待鉴别</w:t>
            </w:r>
          </w:p>
        </w:tc>
        <w:tc>
          <w:tcPr>
            <w:tcW w:w="1848" w:type="dxa"/>
            <w:shd w:val="clear" w:color="auto" w:fill="auto"/>
            <w:vAlign w:val="center"/>
          </w:tcPr>
          <w:p w14:paraId="4A49A655">
            <w:pPr>
              <w:widowControl/>
              <w:jc w:val="center"/>
              <w:rPr>
                <w:rFonts w:hint="eastAsia" w:ascii="Times New Roman" w:hAnsi="Times New Roman" w:eastAsia="宋体" w:cs="Times New Roman"/>
                <w:bCs/>
                <w:snapToGrid w:val="0"/>
                <w:color w:val="auto"/>
                <w:spacing w:val="6"/>
                <w:kern w:val="2"/>
                <w:sz w:val="21"/>
                <w:szCs w:val="21"/>
                <w:lang w:val="en-US" w:eastAsia="zh-CN" w:bidi="ar"/>
              </w:rPr>
            </w:pPr>
            <w:r>
              <w:rPr>
                <w:rFonts w:hint="eastAsia"/>
                <w:bCs/>
                <w:snapToGrid w:val="0"/>
                <w:color w:val="auto"/>
                <w:spacing w:val="6"/>
              </w:rPr>
              <w:t>金属屑</w:t>
            </w:r>
          </w:p>
        </w:tc>
        <w:tc>
          <w:tcPr>
            <w:tcW w:w="1409" w:type="dxa"/>
            <w:shd w:val="clear" w:color="auto" w:fill="auto"/>
            <w:vAlign w:val="center"/>
          </w:tcPr>
          <w:p w14:paraId="33762FA1">
            <w:pPr>
              <w:widowControl/>
              <w:jc w:val="center"/>
              <w:rPr>
                <w:rFonts w:hint="eastAsia" w:ascii="Times New Roman" w:hAnsi="Times New Roman" w:eastAsia="宋体" w:cs="Times New Roman"/>
                <w:bCs/>
                <w:snapToGrid w:val="0"/>
                <w:color w:val="auto"/>
                <w:spacing w:val="6"/>
                <w:kern w:val="2"/>
                <w:sz w:val="21"/>
                <w:szCs w:val="21"/>
                <w:lang w:val="en-US" w:eastAsia="zh-CN" w:bidi="ar"/>
              </w:rPr>
            </w:pPr>
            <w:r>
              <w:rPr>
                <w:rFonts w:hint="eastAsia"/>
                <w:color w:val="auto"/>
                <w:lang w:val="en-US" w:eastAsia="zh-CN"/>
              </w:rPr>
              <w:t>/</w:t>
            </w:r>
          </w:p>
        </w:tc>
        <w:tc>
          <w:tcPr>
            <w:tcW w:w="1137" w:type="dxa"/>
            <w:shd w:val="clear" w:color="auto" w:fill="auto"/>
            <w:vAlign w:val="center"/>
          </w:tcPr>
          <w:p w14:paraId="1C55DCEC">
            <w:pPr>
              <w:keepNext w:val="0"/>
              <w:keepLines w:val="0"/>
              <w:pageBreakBefore w:val="0"/>
              <w:kinsoku/>
              <w:wordWrap/>
              <w:overflowPunct/>
              <w:topLinePunct w:val="0"/>
              <w:autoSpaceDE/>
              <w:autoSpaceDN/>
              <w:bidi w:val="0"/>
              <w:spacing w:line="240" w:lineRule="auto"/>
              <w:jc w:val="center"/>
              <w:rPr>
                <w:rFonts w:hint="default"/>
                <w:snapToGrid w:val="0"/>
                <w:color w:val="auto"/>
                <w:kern w:val="21"/>
                <w:sz w:val="21"/>
                <w:szCs w:val="21"/>
                <w:lang w:val="en-US" w:eastAsia="zh-CN"/>
              </w:rPr>
            </w:pPr>
            <w:r>
              <w:rPr>
                <w:rFonts w:hint="eastAsia"/>
                <w:snapToGrid w:val="0"/>
                <w:color w:val="auto"/>
                <w:kern w:val="21"/>
                <w:sz w:val="21"/>
                <w:szCs w:val="21"/>
                <w:lang w:val="en-US" w:eastAsia="zh-CN"/>
              </w:rPr>
              <w:t>/</w:t>
            </w:r>
          </w:p>
        </w:tc>
        <w:tc>
          <w:tcPr>
            <w:tcW w:w="1701" w:type="dxa"/>
            <w:shd w:val="clear" w:color="auto" w:fill="auto"/>
            <w:vAlign w:val="center"/>
          </w:tcPr>
          <w:p w14:paraId="019C3CF7">
            <w:pPr>
              <w:keepNext w:val="0"/>
              <w:keepLines w:val="0"/>
              <w:pageBreakBefore w:val="0"/>
              <w:kinsoku/>
              <w:wordWrap/>
              <w:overflowPunct/>
              <w:topLinePunct w:val="0"/>
              <w:autoSpaceDE/>
              <w:autoSpaceDN/>
              <w:bidi w:val="0"/>
              <w:spacing w:line="240" w:lineRule="auto"/>
              <w:jc w:val="center"/>
              <w:rPr>
                <w:rFonts w:ascii="Times New Roman"/>
                <w:snapToGrid w:val="0"/>
                <w:color w:val="auto"/>
                <w:kern w:val="21"/>
                <w:sz w:val="21"/>
                <w:szCs w:val="21"/>
              </w:rPr>
            </w:pPr>
            <w:r>
              <w:rPr>
                <w:rFonts w:ascii="Times New Roman"/>
                <w:snapToGrid w:val="0"/>
                <w:color w:val="auto"/>
                <w:kern w:val="21"/>
                <w:sz w:val="21"/>
                <w:szCs w:val="21"/>
              </w:rPr>
              <w:t>/</w:t>
            </w:r>
          </w:p>
        </w:tc>
        <w:tc>
          <w:tcPr>
            <w:tcW w:w="1559" w:type="dxa"/>
            <w:shd w:val="clear" w:color="auto" w:fill="auto"/>
            <w:vAlign w:val="center"/>
          </w:tcPr>
          <w:p w14:paraId="56A6B3C4">
            <w:pPr>
              <w:widowControl/>
              <w:jc w:val="center"/>
              <w:rPr>
                <w:rFonts w:hint="eastAsia" w:ascii="Times New Roman" w:hAnsi="Times New Roman" w:eastAsia="宋体" w:cs="Times New Roman"/>
                <w:bCs/>
                <w:snapToGrid w:val="0"/>
                <w:color w:val="auto"/>
                <w:spacing w:val="6"/>
                <w:kern w:val="2"/>
                <w:sz w:val="21"/>
                <w:szCs w:val="21"/>
                <w:lang w:val="en-US" w:eastAsia="zh-CN" w:bidi="ar"/>
              </w:rPr>
            </w:pPr>
            <w:r>
              <w:rPr>
                <w:rFonts w:hint="eastAsia" w:ascii="Times New Roman" w:hAnsi="Times New Roman" w:eastAsia="宋体" w:cs="Times New Roman"/>
                <w:bCs/>
                <w:snapToGrid w:val="0"/>
                <w:color w:val="auto"/>
                <w:spacing w:val="6"/>
                <w:kern w:val="2"/>
                <w:sz w:val="21"/>
                <w:szCs w:val="21"/>
                <w:lang w:val="en-US" w:eastAsia="zh-CN" w:bidi="ar"/>
              </w:rPr>
              <w:t>650</w:t>
            </w:r>
          </w:p>
        </w:tc>
        <w:tc>
          <w:tcPr>
            <w:tcW w:w="1761" w:type="dxa"/>
            <w:vAlign w:val="center"/>
          </w:tcPr>
          <w:p w14:paraId="2BA3D4E1">
            <w:pPr>
              <w:widowControl/>
              <w:jc w:val="center"/>
              <w:rPr>
                <w:rFonts w:hint="eastAsia" w:ascii="Times New Roman" w:hAnsi="Times New Roman" w:eastAsia="宋体" w:cs="Times New Roman"/>
                <w:color w:val="auto"/>
                <w:kern w:val="2"/>
                <w:sz w:val="21"/>
                <w:szCs w:val="21"/>
                <w:lang w:val="en-US" w:eastAsia="zh-CN" w:bidi="ar-SA"/>
              </w:rPr>
            </w:pPr>
            <w:r>
              <w:rPr>
                <w:rFonts w:ascii="Times New Roman"/>
                <w:snapToGrid w:val="0"/>
                <w:color w:val="auto"/>
                <w:kern w:val="21"/>
                <w:sz w:val="21"/>
                <w:szCs w:val="21"/>
              </w:rPr>
              <w:t>/</w:t>
            </w:r>
          </w:p>
        </w:tc>
        <w:tc>
          <w:tcPr>
            <w:tcW w:w="1651" w:type="dxa"/>
            <w:shd w:val="clear" w:color="auto" w:fill="auto"/>
            <w:vAlign w:val="center"/>
          </w:tcPr>
          <w:p w14:paraId="2842BFB5">
            <w:pPr>
              <w:widowControl/>
              <w:jc w:val="center"/>
              <w:rPr>
                <w:rFonts w:hint="eastAsia" w:ascii="Times New Roman" w:hAnsi="Times New Roman" w:eastAsia="宋体" w:cs="Times New Roman"/>
                <w:bCs/>
                <w:snapToGrid w:val="0"/>
                <w:color w:val="auto"/>
                <w:spacing w:val="6"/>
                <w:kern w:val="2"/>
                <w:sz w:val="21"/>
                <w:szCs w:val="21"/>
                <w:lang w:val="en-US" w:eastAsia="zh-CN" w:bidi="ar"/>
              </w:rPr>
            </w:pPr>
            <w:r>
              <w:rPr>
                <w:rFonts w:hint="eastAsia" w:ascii="Times New Roman" w:hAnsi="Times New Roman" w:eastAsia="宋体" w:cs="Times New Roman"/>
                <w:bCs/>
                <w:snapToGrid w:val="0"/>
                <w:color w:val="auto"/>
                <w:spacing w:val="6"/>
                <w:kern w:val="2"/>
                <w:sz w:val="21"/>
                <w:szCs w:val="21"/>
                <w:lang w:val="en-US" w:eastAsia="zh-CN" w:bidi="ar"/>
              </w:rPr>
              <w:t>650</w:t>
            </w:r>
          </w:p>
        </w:tc>
        <w:tc>
          <w:tcPr>
            <w:tcW w:w="1134" w:type="dxa"/>
            <w:shd w:val="clear" w:color="auto" w:fill="auto"/>
            <w:vAlign w:val="center"/>
          </w:tcPr>
          <w:p w14:paraId="4D4A2943">
            <w:pPr>
              <w:widowControl/>
              <w:jc w:val="center"/>
              <w:rPr>
                <w:rFonts w:hint="eastAsia" w:ascii="Times New Roman" w:hAnsi="Times New Roman" w:eastAsia="宋体" w:cs="Times New Roman"/>
                <w:bCs/>
                <w:snapToGrid w:val="0"/>
                <w:color w:val="auto"/>
                <w:spacing w:val="6"/>
                <w:kern w:val="2"/>
                <w:sz w:val="21"/>
                <w:szCs w:val="21"/>
                <w:lang w:val="en-US" w:eastAsia="zh-CN" w:bidi="ar"/>
              </w:rPr>
            </w:pPr>
            <w:r>
              <w:rPr>
                <w:rFonts w:hint="eastAsia"/>
                <w:bCs/>
                <w:snapToGrid w:val="0"/>
                <w:color w:val="auto"/>
                <w:spacing w:val="6"/>
                <w:lang w:val="en-US" w:eastAsia="zh-CN"/>
              </w:rPr>
              <w:t>+650</w:t>
            </w:r>
          </w:p>
        </w:tc>
      </w:tr>
    </w:tbl>
    <w:p w14:paraId="4ECDF93E">
      <w:pPr>
        <w:pStyle w:val="34"/>
        <w:keepNext w:val="0"/>
        <w:keepLines w:val="0"/>
        <w:pageBreakBefore w:val="0"/>
        <w:widowControl w:val="0"/>
        <w:kinsoku/>
        <w:wordWrap/>
        <w:overflowPunct/>
        <w:topLinePunct w:val="0"/>
        <w:autoSpaceDE/>
        <w:autoSpaceDN/>
        <w:bidi w:val="0"/>
        <w:adjustRightInd w:val="0"/>
        <w:snapToGrid w:val="0"/>
        <w:spacing w:before="0" w:beforeLines="0" w:after="0" w:afterLines="0" w:line="220" w:lineRule="exact"/>
        <w:jc w:val="left"/>
        <w:textAlignment w:val="baseline"/>
        <w:rPr>
          <w:snapToGrid w:val="0"/>
          <w:color w:val="auto"/>
          <w:spacing w:val="-6"/>
          <w:kern w:val="21"/>
          <w:szCs w:val="21"/>
        </w:rPr>
      </w:pPr>
      <w:r>
        <w:rPr>
          <w:snapToGrid w:val="0"/>
          <w:color w:val="auto"/>
          <w:kern w:val="21"/>
          <w:szCs w:val="21"/>
        </w:rPr>
        <w:t>注：</w:t>
      </w:r>
      <w:r>
        <w:rPr>
          <w:snapToGrid w:val="0"/>
          <w:color w:val="auto"/>
          <w:spacing w:val="-16"/>
          <w:kern w:val="21"/>
          <w:szCs w:val="21"/>
        </w:rPr>
        <w:fldChar w:fldCharType="begin"/>
      </w:r>
      <w:r>
        <w:rPr>
          <w:snapToGrid w:val="0"/>
          <w:color w:val="auto"/>
          <w:spacing w:val="-16"/>
          <w:kern w:val="21"/>
          <w:szCs w:val="21"/>
        </w:rPr>
        <w:instrText xml:space="preserve"> = 6 \* GB3 \* MERGEFORMAT </w:instrText>
      </w:r>
      <w:r>
        <w:rPr>
          <w:snapToGrid w:val="0"/>
          <w:color w:val="auto"/>
          <w:spacing w:val="-16"/>
          <w:kern w:val="21"/>
          <w:szCs w:val="21"/>
        </w:rPr>
        <w:fldChar w:fldCharType="separate"/>
      </w:r>
      <w:r>
        <w:rPr>
          <w:rFonts w:hint="eastAsia"/>
          <w:color w:val="auto"/>
          <w:szCs w:val="21"/>
        </w:rPr>
        <w:t>⑥</w:t>
      </w:r>
      <w:r>
        <w:rPr>
          <w:snapToGrid w:val="0"/>
          <w:color w:val="auto"/>
          <w:spacing w:val="-16"/>
          <w:kern w:val="21"/>
          <w:szCs w:val="21"/>
        </w:rPr>
        <w:fldChar w:fldCharType="end"/>
      </w:r>
      <w:r>
        <w:rPr>
          <w:snapToGrid w:val="0"/>
          <w:color w:val="auto"/>
          <w:spacing w:val="-16"/>
          <w:kern w:val="21"/>
          <w:szCs w:val="21"/>
        </w:rPr>
        <w:t>=</w:t>
      </w:r>
      <w:r>
        <w:rPr>
          <w:snapToGrid w:val="0"/>
          <w:color w:val="auto"/>
          <w:spacing w:val="-6"/>
          <w:kern w:val="21"/>
          <w:szCs w:val="21"/>
        </w:rPr>
        <w:fldChar w:fldCharType="begin"/>
      </w:r>
      <w:r>
        <w:rPr>
          <w:snapToGrid w:val="0"/>
          <w:color w:val="auto"/>
          <w:spacing w:val="-6"/>
          <w:kern w:val="21"/>
          <w:szCs w:val="21"/>
        </w:rPr>
        <w:instrText xml:space="preserve"> = 1 \* GB3 \* MERGEFORMAT </w:instrText>
      </w:r>
      <w:r>
        <w:rPr>
          <w:snapToGrid w:val="0"/>
          <w:color w:val="auto"/>
          <w:spacing w:val="-6"/>
          <w:kern w:val="21"/>
          <w:szCs w:val="21"/>
        </w:rPr>
        <w:fldChar w:fldCharType="separate"/>
      </w:r>
      <w:r>
        <w:rPr>
          <w:rFonts w:hint="eastAsia"/>
          <w:color w:val="auto"/>
          <w:szCs w:val="21"/>
        </w:rPr>
        <w:t>①</w:t>
      </w:r>
      <w:r>
        <w:rPr>
          <w:snapToGrid w:val="0"/>
          <w:color w:val="auto"/>
          <w:spacing w:val="-6"/>
          <w:kern w:val="21"/>
          <w:szCs w:val="21"/>
        </w:rPr>
        <w:fldChar w:fldCharType="end"/>
      </w:r>
      <w:r>
        <w:rPr>
          <w:snapToGrid w:val="0"/>
          <w:color w:val="auto"/>
          <w:spacing w:val="-6"/>
          <w:kern w:val="21"/>
          <w:szCs w:val="21"/>
        </w:rPr>
        <w:t>+</w:t>
      </w:r>
      <w:r>
        <w:rPr>
          <w:snapToGrid w:val="0"/>
          <w:color w:val="auto"/>
          <w:spacing w:val="-6"/>
          <w:kern w:val="21"/>
          <w:szCs w:val="21"/>
        </w:rPr>
        <w:fldChar w:fldCharType="begin"/>
      </w:r>
      <w:r>
        <w:rPr>
          <w:snapToGrid w:val="0"/>
          <w:color w:val="auto"/>
          <w:spacing w:val="-6"/>
          <w:kern w:val="21"/>
          <w:szCs w:val="21"/>
        </w:rPr>
        <w:instrText xml:space="preserve"> = 3 \* GB3 \* MERGEFORMAT </w:instrText>
      </w:r>
      <w:r>
        <w:rPr>
          <w:snapToGrid w:val="0"/>
          <w:color w:val="auto"/>
          <w:spacing w:val="-6"/>
          <w:kern w:val="21"/>
          <w:szCs w:val="21"/>
        </w:rPr>
        <w:fldChar w:fldCharType="separate"/>
      </w:r>
      <w:r>
        <w:rPr>
          <w:rFonts w:hint="eastAsia"/>
          <w:color w:val="auto"/>
          <w:szCs w:val="21"/>
        </w:rPr>
        <w:t>③</w:t>
      </w:r>
      <w:r>
        <w:rPr>
          <w:snapToGrid w:val="0"/>
          <w:color w:val="auto"/>
          <w:spacing w:val="-6"/>
          <w:kern w:val="21"/>
          <w:szCs w:val="21"/>
        </w:rPr>
        <w:fldChar w:fldCharType="end"/>
      </w:r>
      <w:r>
        <w:rPr>
          <w:snapToGrid w:val="0"/>
          <w:color w:val="auto"/>
          <w:spacing w:val="-6"/>
          <w:kern w:val="21"/>
          <w:szCs w:val="21"/>
        </w:rPr>
        <w:t>+</w:t>
      </w:r>
      <w:r>
        <w:rPr>
          <w:snapToGrid w:val="0"/>
          <w:color w:val="auto"/>
          <w:spacing w:val="-6"/>
          <w:kern w:val="21"/>
          <w:szCs w:val="21"/>
        </w:rPr>
        <w:fldChar w:fldCharType="begin"/>
      </w:r>
      <w:r>
        <w:rPr>
          <w:snapToGrid w:val="0"/>
          <w:color w:val="auto"/>
          <w:spacing w:val="-6"/>
          <w:kern w:val="21"/>
          <w:szCs w:val="21"/>
        </w:rPr>
        <w:instrText xml:space="preserve"> = 4 \* GB3 \* MERGEFORMAT </w:instrText>
      </w:r>
      <w:r>
        <w:rPr>
          <w:snapToGrid w:val="0"/>
          <w:color w:val="auto"/>
          <w:spacing w:val="-6"/>
          <w:kern w:val="21"/>
          <w:szCs w:val="21"/>
        </w:rPr>
        <w:fldChar w:fldCharType="separate"/>
      </w:r>
      <w:r>
        <w:rPr>
          <w:rFonts w:hint="eastAsia"/>
          <w:color w:val="auto"/>
          <w:szCs w:val="21"/>
        </w:rPr>
        <w:t>④</w:t>
      </w:r>
      <w:r>
        <w:rPr>
          <w:snapToGrid w:val="0"/>
          <w:color w:val="auto"/>
          <w:spacing w:val="-6"/>
          <w:kern w:val="21"/>
          <w:szCs w:val="21"/>
        </w:rPr>
        <w:fldChar w:fldCharType="end"/>
      </w:r>
      <w:r>
        <w:rPr>
          <w:snapToGrid w:val="0"/>
          <w:color w:val="auto"/>
          <w:spacing w:val="-6"/>
          <w:kern w:val="21"/>
          <w:szCs w:val="21"/>
        </w:rPr>
        <w:t>-</w:t>
      </w:r>
      <w:r>
        <w:rPr>
          <w:snapToGrid w:val="0"/>
          <w:color w:val="auto"/>
          <w:spacing w:val="-16"/>
          <w:kern w:val="21"/>
          <w:szCs w:val="21"/>
        </w:rPr>
        <w:fldChar w:fldCharType="begin"/>
      </w:r>
      <w:r>
        <w:rPr>
          <w:snapToGrid w:val="0"/>
          <w:color w:val="auto"/>
          <w:spacing w:val="-16"/>
          <w:kern w:val="21"/>
          <w:szCs w:val="21"/>
        </w:rPr>
        <w:instrText xml:space="preserve"> = 5 \* GB3 \* MERGEFORMAT </w:instrText>
      </w:r>
      <w:r>
        <w:rPr>
          <w:snapToGrid w:val="0"/>
          <w:color w:val="auto"/>
          <w:spacing w:val="-16"/>
          <w:kern w:val="21"/>
          <w:szCs w:val="21"/>
        </w:rPr>
        <w:fldChar w:fldCharType="separate"/>
      </w:r>
      <w:r>
        <w:rPr>
          <w:rFonts w:hint="eastAsia"/>
          <w:color w:val="auto"/>
          <w:szCs w:val="21"/>
        </w:rPr>
        <w:t>⑤</w:t>
      </w:r>
      <w:r>
        <w:rPr>
          <w:snapToGrid w:val="0"/>
          <w:color w:val="auto"/>
          <w:spacing w:val="-16"/>
          <w:kern w:val="21"/>
          <w:szCs w:val="21"/>
        </w:rPr>
        <w:fldChar w:fldCharType="end"/>
      </w:r>
      <w:r>
        <w:rPr>
          <w:snapToGrid w:val="0"/>
          <w:color w:val="auto"/>
          <w:spacing w:val="-16"/>
          <w:kern w:val="21"/>
          <w:szCs w:val="21"/>
        </w:rPr>
        <w:t>；</w:t>
      </w:r>
      <w:r>
        <w:rPr>
          <w:snapToGrid w:val="0"/>
          <w:color w:val="auto"/>
          <w:spacing w:val="-6"/>
          <w:kern w:val="21"/>
          <w:szCs w:val="21"/>
        </w:rPr>
        <w:fldChar w:fldCharType="begin"/>
      </w:r>
      <w:r>
        <w:rPr>
          <w:snapToGrid w:val="0"/>
          <w:color w:val="auto"/>
          <w:spacing w:val="-6"/>
          <w:kern w:val="21"/>
          <w:szCs w:val="21"/>
        </w:rPr>
        <w:instrText xml:space="preserve"> = 7 \* GB3 \* MERGEFORMAT </w:instrText>
      </w:r>
      <w:r>
        <w:rPr>
          <w:snapToGrid w:val="0"/>
          <w:color w:val="auto"/>
          <w:spacing w:val="-6"/>
          <w:kern w:val="21"/>
          <w:szCs w:val="21"/>
        </w:rPr>
        <w:fldChar w:fldCharType="separate"/>
      </w:r>
      <w:r>
        <w:rPr>
          <w:rFonts w:hint="eastAsia"/>
          <w:color w:val="auto"/>
          <w:szCs w:val="21"/>
        </w:rPr>
        <w:t>⑦</w:t>
      </w:r>
      <w:r>
        <w:rPr>
          <w:snapToGrid w:val="0"/>
          <w:color w:val="auto"/>
          <w:spacing w:val="-6"/>
          <w:kern w:val="21"/>
          <w:szCs w:val="21"/>
        </w:rPr>
        <w:fldChar w:fldCharType="end"/>
      </w:r>
      <w:r>
        <w:rPr>
          <w:snapToGrid w:val="0"/>
          <w:color w:val="auto"/>
          <w:spacing w:val="-6"/>
          <w:kern w:val="21"/>
          <w:szCs w:val="21"/>
        </w:rPr>
        <w:t>=</w:t>
      </w:r>
      <w:r>
        <w:rPr>
          <w:snapToGrid w:val="0"/>
          <w:color w:val="auto"/>
          <w:spacing w:val="-16"/>
          <w:kern w:val="21"/>
          <w:szCs w:val="21"/>
        </w:rPr>
        <w:fldChar w:fldCharType="begin"/>
      </w:r>
      <w:r>
        <w:rPr>
          <w:snapToGrid w:val="0"/>
          <w:color w:val="auto"/>
          <w:spacing w:val="-16"/>
          <w:kern w:val="21"/>
          <w:szCs w:val="21"/>
        </w:rPr>
        <w:instrText xml:space="preserve"> = 6 \* GB3 \* MERGEFORMAT </w:instrText>
      </w:r>
      <w:r>
        <w:rPr>
          <w:snapToGrid w:val="0"/>
          <w:color w:val="auto"/>
          <w:spacing w:val="-16"/>
          <w:kern w:val="21"/>
          <w:szCs w:val="21"/>
        </w:rPr>
        <w:fldChar w:fldCharType="separate"/>
      </w:r>
      <w:r>
        <w:rPr>
          <w:rFonts w:hint="eastAsia"/>
          <w:color w:val="auto"/>
          <w:szCs w:val="21"/>
        </w:rPr>
        <w:t>⑥</w:t>
      </w:r>
      <w:r>
        <w:rPr>
          <w:snapToGrid w:val="0"/>
          <w:color w:val="auto"/>
          <w:spacing w:val="-16"/>
          <w:kern w:val="21"/>
          <w:szCs w:val="21"/>
        </w:rPr>
        <w:fldChar w:fldCharType="end"/>
      </w:r>
      <w:r>
        <w:rPr>
          <w:snapToGrid w:val="0"/>
          <w:color w:val="auto"/>
          <w:spacing w:val="-16"/>
          <w:kern w:val="21"/>
          <w:szCs w:val="21"/>
        </w:rPr>
        <w:t>-</w:t>
      </w:r>
      <w:r>
        <w:rPr>
          <w:snapToGrid w:val="0"/>
          <w:color w:val="auto"/>
          <w:spacing w:val="-6"/>
          <w:kern w:val="21"/>
          <w:szCs w:val="21"/>
        </w:rPr>
        <w:fldChar w:fldCharType="begin"/>
      </w:r>
      <w:r>
        <w:rPr>
          <w:snapToGrid w:val="0"/>
          <w:color w:val="auto"/>
          <w:spacing w:val="-6"/>
          <w:kern w:val="21"/>
          <w:szCs w:val="21"/>
        </w:rPr>
        <w:instrText xml:space="preserve"> = 1 \* GB3 \* MERGEFORMAT </w:instrText>
      </w:r>
      <w:r>
        <w:rPr>
          <w:snapToGrid w:val="0"/>
          <w:color w:val="auto"/>
          <w:spacing w:val="-6"/>
          <w:kern w:val="21"/>
          <w:szCs w:val="21"/>
        </w:rPr>
        <w:fldChar w:fldCharType="separate"/>
      </w:r>
      <w:r>
        <w:rPr>
          <w:rFonts w:hint="eastAsia"/>
          <w:color w:val="auto"/>
          <w:szCs w:val="21"/>
        </w:rPr>
        <w:t>①</w:t>
      </w:r>
      <w:r>
        <w:rPr>
          <w:snapToGrid w:val="0"/>
          <w:color w:val="auto"/>
          <w:spacing w:val="-6"/>
          <w:kern w:val="21"/>
          <w:szCs w:val="21"/>
        </w:rPr>
        <w:fldChar w:fldCharType="end"/>
      </w:r>
      <w:r>
        <w:rPr>
          <w:rFonts w:hint="eastAsia"/>
          <w:snapToGrid w:val="0"/>
          <w:color w:val="auto"/>
          <w:spacing w:val="-6"/>
          <w:kern w:val="21"/>
          <w:szCs w:val="21"/>
        </w:rPr>
        <w:t>；</w:t>
      </w:r>
    </w:p>
    <w:p w14:paraId="518D451E">
      <w:pPr>
        <w:rPr>
          <w:color w:val="auto"/>
        </w:rPr>
        <w:sectPr>
          <w:footerReference r:id="rId7" w:type="default"/>
          <w:pgSz w:w="16838" w:h="11906" w:orient="landscape"/>
          <w:pgMar w:top="1701" w:right="1531" w:bottom="1701" w:left="1531" w:header="851" w:footer="851" w:gutter="0"/>
          <w:pgBorders>
            <w:top w:val="none" w:sz="0" w:space="0"/>
            <w:left w:val="none" w:sz="0" w:space="0"/>
            <w:bottom w:val="none" w:sz="0" w:space="0"/>
            <w:right w:val="none" w:sz="0" w:space="0"/>
          </w:pgBorders>
          <w:cols w:space="720" w:num="1"/>
          <w:docGrid w:linePitch="312" w:charSpace="0"/>
        </w:sectPr>
      </w:pPr>
    </w:p>
    <w:tbl>
      <w:tblPr>
        <w:tblStyle w:val="26"/>
        <w:tblW w:w="84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95"/>
      </w:tblGrid>
      <w:tr w14:paraId="1CD34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6" w:hRule="atLeast"/>
          <w:jc w:val="center"/>
        </w:trPr>
        <w:tc>
          <w:tcPr>
            <w:tcW w:w="8495" w:type="dxa"/>
          </w:tcPr>
          <w:p w14:paraId="40D04648">
            <w:pPr>
              <w:pStyle w:val="3"/>
              <w:jc w:val="center"/>
              <w:rPr>
                <w:color w:val="auto"/>
              </w:rPr>
            </w:pPr>
            <w:bookmarkStart w:id="41" w:name="PageNo100860085"/>
            <w:r>
              <w:rPr>
                <w:rFonts w:hint="eastAsia"/>
                <w:color w:val="auto"/>
              </w:rPr>
              <w:t>注</w:t>
            </w:r>
            <w:bookmarkEnd w:id="41"/>
            <w:r>
              <w:rPr>
                <w:rFonts w:hint="eastAsia"/>
                <w:color w:val="auto"/>
              </w:rPr>
              <w:t xml:space="preserve">    释</w:t>
            </w:r>
          </w:p>
          <w:p w14:paraId="5796A1C9">
            <w:pPr>
              <w:spacing w:line="360" w:lineRule="auto"/>
              <w:rPr>
                <w:color w:val="auto"/>
                <w:sz w:val="24"/>
                <w:szCs w:val="24"/>
              </w:rPr>
            </w:pPr>
            <w:r>
              <w:rPr>
                <w:rFonts w:hint="eastAsia"/>
                <w:color w:val="auto"/>
                <w:sz w:val="24"/>
                <w:szCs w:val="24"/>
              </w:rPr>
              <w:t>本报告表应附以下附件、附图：</w:t>
            </w:r>
          </w:p>
          <w:p w14:paraId="2A64128B">
            <w:pPr>
              <w:spacing w:line="360" w:lineRule="auto"/>
              <w:rPr>
                <w:rFonts w:hint="eastAsia"/>
                <w:color w:val="auto"/>
                <w:sz w:val="24"/>
                <w:szCs w:val="24"/>
              </w:rPr>
            </w:pPr>
            <w:r>
              <w:rPr>
                <w:rFonts w:hint="eastAsia"/>
                <w:color w:val="auto"/>
                <w:sz w:val="24"/>
                <w:szCs w:val="24"/>
              </w:rPr>
              <w:t>附图1   项目地理位置图</w:t>
            </w:r>
          </w:p>
          <w:p w14:paraId="79E6DD65">
            <w:pPr>
              <w:spacing w:line="360" w:lineRule="auto"/>
              <w:rPr>
                <w:rFonts w:hint="eastAsia"/>
                <w:color w:val="auto"/>
                <w:sz w:val="24"/>
                <w:szCs w:val="24"/>
              </w:rPr>
            </w:pPr>
            <w:r>
              <w:rPr>
                <w:rFonts w:hint="eastAsia"/>
                <w:color w:val="auto"/>
                <w:sz w:val="24"/>
                <w:szCs w:val="24"/>
              </w:rPr>
              <w:t>附图2   项目与生态红线位置关系图</w:t>
            </w:r>
          </w:p>
          <w:p w14:paraId="07F631AF">
            <w:pPr>
              <w:spacing w:line="360" w:lineRule="auto"/>
              <w:rPr>
                <w:rFonts w:hint="eastAsia"/>
                <w:color w:val="auto"/>
                <w:sz w:val="24"/>
                <w:szCs w:val="24"/>
              </w:rPr>
            </w:pPr>
            <w:r>
              <w:rPr>
                <w:rFonts w:hint="eastAsia"/>
                <w:color w:val="auto"/>
                <w:sz w:val="24"/>
                <w:szCs w:val="24"/>
              </w:rPr>
              <w:t>附图3   生态空间管控区域图</w:t>
            </w:r>
          </w:p>
          <w:p w14:paraId="4023C2F3">
            <w:pPr>
              <w:spacing w:line="360" w:lineRule="auto"/>
              <w:rPr>
                <w:rFonts w:hint="eastAsia"/>
                <w:color w:val="auto"/>
                <w:sz w:val="24"/>
                <w:szCs w:val="24"/>
              </w:rPr>
            </w:pPr>
            <w:r>
              <w:rPr>
                <w:rFonts w:hint="eastAsia"/>
                <w:color w:val="auto"/>
                <w:sz w:val="24"/>
                <w:szCs w:val="24"/>
              </w:rPr>
              <w:t>附图4   生态环境分区管控单元图</w:t>
            </w:r>
          </w:p>
          <w:p w14:paraId="1EDE353A">
            <w:pPr>
              <w:spacing w:line="360" w:lineRule="auto"/>
              <w:rPr>
                <w:rFonts w:hint="eastAsia"/>
                <w:color w:val="auto"/>
                <w:sz w:val="24"/>
                <w:szCs w:val="24"/>
              </w:rPr>
            </w:pPr>
            <w:r>
              <w:rPr>
                <w:rFonts w:hint="eastAsia"/>
                <w:color w:val="auto"/>
                <w:sz w:val="24"/>
                <w:szCs w:val="24"/>
              </w:rPr>
              <w:t xml:space="preserve">附图5   </w:t>
            </w:r>
            <w:r>
              <w:rPr>
                <w:rFonts w:hint="eastAsia"/>
                <w:color w:val="auto"/>
                <w:sz w:val="24"/>
                <w:szCs w:val="24"/>
                <w:lang w:val="en-US" w:eastAsia="zh-CN"/>
              </w:rPr>
              <w:t>项目所在地</w:t>
            </w:r>
            <w:r>
              <w:rPr>
                <w:rFonts w:hint="eastAsia"/>
                <w:color w:val="auto"/>
                <w:sz w:val="24"/>
                <w:szCs w:val="24"/>
              </w:rPr>
              <w:t>水系图</w:t>
            </w:r>
          </w:p>
          <w:p w14:paraId="29E9D0B1">
            <w:pPr>
              <w:spacing w:line="360" w:lineRule="auto"/>
              <w:rPr>
                <w:rFonts w:hint="eastAsia"/>
                <w:color w:val="auto"/>
                <w:sz w:val="24"/>
                <w:szCs w:val="24"/>
              </w:rPr>
            </w:pPr>
            <w:bookmarkStart w:id="42" w:name="OLE_LINK47"/>
            <w:r>
              <w:rPr>
                <w:rFonts w:hint="eastAsia"/>
                <w:color w:val="auto"/>
                <w:sz w:val="24"/>
                <w:szCs w:val="24"/>
              </w:rPr>
              <w:t>附图6-1 高新区用地规划示意图</w:t>
            </w:r>
          </w:p>
          <w:p w14:paraId="10C069AF">
            <w:pPr>
              <w:spacing w:line="360" w:lineRule="auto"/>
              <w:rPr>
                <w:rFonts w:hint="eastAsia"/>
                <w:color w:val="auto"/>
                <w:sz w:val="24"/>
                <w:szCs w:val="24"/>
              </w:rPr>
            </w:pPr>
            <w:r>
              <w:rPr>
                <w:rFonts w:hint="eastAsia"/>
                <w:color w:val="auto"/>
                <w:sz w:val="24"/>
                <w:szCs w:val="24"/>
              </w:rPr>
              <w:t>附图6-2高新区产业布局图</w:t>
            </w:r>
          </w:p>
          <w:p w14:paraId="6AB2EFFF">
            <w:pPr>
              <w:spacing w:line="360" w:lineRule="auto"/>
              <w:rPr>
                <w:rFonts w:hint="eastAsia"/>
                <w:color w:val="auto"/>
                <w:sz w:val="24"/>
                <w:szCs w:val="24"/>
              </w:rPr>
            </w:pPr>
            <w:r>
              <w:rPr>
                <w:rFonts w:hint="eastAsia"/>
                <w:color w:val="auto"/>
                <w:sz w:val="24"/>
                <w:szCs w:val="24"/>
              </w:rPr>
              <w:t>附图6-3 海安市国土空间总体规划图</w:t>
            </w:r>
          </w:p>
          <w:p w14:paraId="2B41042E">
            <w:pPr>
              <w:spacing w:line="360" w:lineRule="auto"/>
              <w:rPr>
                <w:rFonts w:hint="eastAsia"/>
                <w:color w:val="auto"/>
                <w:sz w:val="24"/>
                <w:szCs w:val="24"/>
              </w:rPr>
            </w:pPr>
            <w:r>
              <w:rPr>
                <w:rFonts w:hint="eastAsia"/>
                <w:color w:val="auto"/>
                <w:sz w:val="24"/>
                <w:szCs w:val="24"/>
              </w:rPr>
              <w:t>附图6-4  海安市三区三线图</w:t>
            </w:r>
          </w:p>
          <w:bookmarkEnd w:id="42"/>
          <w:p w14:paraId="61B9E985">
            <w:pPr>
              <w:spacing w:line="360" w:lineRule="auto"/>
              <w:rPr>
                <w:rFonts w:hint="eastAsia"/>
                <w:color w:val="auto"/>
                <w:sz w:val="24"/>
                <w:szCs w:val="24"/>
              </w:rPr>
            </w:pPr>
            <w:r>
              <w:rPr>
                <w:rFonts w:hint="eastAsia"/>
                <w:color w:val="auto"/>
                <w:sz w:val="24"/>
                <w:szCs w:val="24"/>
              </w:rPr>
              <w:t xml:space="preserve">附图7 </w:t>
            </w:r>
            <w:r>
              <w:rPr>
                <w:rFonts w:hint="eastAsia"/>
                <w:color w:val="auto"/>
                <w:sz w:val="24"/>
                <w:szCs w:val="24"/>
                <w:lang w:val="en-US" w:eastAsia="zh-CN"/>
              </w:rPr>
              <w:t xml:space="preserve">  </w:t>
            </w:r>
            <w:r>
              <w:rPr>
                <w:rFonts w:hint="eastAsia"/>
                <w:color w:val="auto"/>
                <w:sz w:val="24"/>
                <w:szCs w:val="24"/>
              </w:rPr>
              <w:t>声功能区划图</w:t>
            </w:r>
          </w:p>
          <w:p w14:paraId="5719A37A">
            <w:pPr>
              <w:spacing w:line="360" w:lineRule="auto"/>
              <w:rPr>
                <w:rFonts w:hint="eastAsia"/>
                <w:color w:val="auto"/>
                <w:sz w:val="24"/>
                <w:szCs w:val="24"/>
              </w:rPr>
            </w:pPr>
            <w:r>
              <w:rPr>
                <w:rFonts w:hint="eastAsia"/>
                <w:color w:val="auto"/>
                <w:sz w:val="24"/>
                <w:szCs w:val="24"/>
              </w:rPr>
              <w:t>附图</w:t>
            </w:r>
            <w:r>
              <w:rPr>
                <w:rFonts w:hint="eastAsia"/>
                <w:color w:val="auto"/>
                <w:sz w:val="24"/>
                <w:szCs w:val="24"/>
                <w:lang w:val="en-US" w:eastAsia="zh-CN"/>
              </w:rPr>
              <w:t>8</w:t>
            </w:r>
            <w:r>
              <w:rPr>
                <w:rFonts w:hint="eastAsia"/>
                <w:color w:val="auto"/>
                <w:sz w:val="24"/>
                <w:szCs w:val="24"/>
              </w:rPr>
              <w:t>-1 建设项目环境保护目标分布图</w:t>
            </w:r>
          </w:p>
          <w:p w14:paraId="2FB05446">
            <w:pPr>
              <w:spacing w:line="360" w:lineRule="auto"/>
              <w:rPr>
                <w:rFonts w:hint="eastAsia"/>
                <w:color w:val="auto"/>
                <w:sz w:val="24"/>
                <w:szCs w:val="24"/>
              </w:rPr>
            </w:pPr>
            <w:r>
              <w:rPr>
                <w:rFonts w:hint="eastAsia"/>
                <w:color w:val="auto"/>
                <w:sz w:val="24"/>
                <w:szCs w:val="24"/>
              </w:rPr>
              <w:t>附图</w:t>
            </w:r>
            <w:r>
              <w:rPr>
                <w:rFonts w:hint="eastAsia"/>
                <w:color w:val="auto"/>
                <w:sz w:val="24"/>
                <w:szCs w:val="24"/>
                <w:lang w:val="en-US" w:eastAsia="zh-CN"/>
              </w:rPr>
              <w:t>8</w:t>
            </w:r>
            <w:r>
              <w:rPr>
                <w:rFonts w:hint="eastAsia"/>
                <w:color w:val="auto"/>
                <w:sz w:val="24"/>
                <w:szCs w:val="24"/>
              </w:rPr>
              <w:t>-2 建设项目环境保护目标分布图（卫星图）</w:t>
            </w:r>
          </w:p>
          <w:p w14:paraId="6ECCD758">
            <w:pPr>
              <w:spacing w:line="360" w:lineRule="auto"/>
              <w:rPr>
                <w:rFonts w:hint="eastAsia" w:eastAsia="宋体"/>
                <w:color w:val="auto"/>
                <w:sz w:val="24"/>
                <w:szCs w:val="24"/>
                <w:lang w:val="en-US" w:eastAsia="zh-CN"/>
              </w:rPr>
            </w:pPr>
            <w:r>
              <w:rPr>
                <w:rFonts w:hint="eastAsia"/>
                <w:color w:val="auto"/>
                <w:sz w:val="24"/>
                <w:szCs w:val="24"/>
              </w:rPr>
              <w:t>附图9-1 厂区平面布置及分区防渗图</w:t>
            </w:r>
          </w:p>
          <w:p w14:paraId="34701135">
            <w:pPr>
              <w:spacing w:line="360" w:lineRule="auto"/>
              <w:rPr>
                <w:rFonts w:hint="default"/>
                <w:color w:val="auto"/>
                <w:sz w:val="24"/>
                <w:szCs w:val="24"/>
                <w:lang w:val="en-US" w:eastAsia="zh-CN"/>
              </w:rPr>
            </w:pPr>
            <w:r>
              <w:rPr>
                <w:rFonts w:hint="eastAsia"/>
                <w:color w:val="auto"/>
                <w:sz w:val="24"/>
                <w:szCs w:val="24"/>
                <w:lang w:val="en-US" w:eastAsia="zh-CN"/>
              </w:rPr>
              <w:t>附图9-2 厂区雨污管网图</w:t>
            </w:r>
          </w:p>
          <w:p w14:paraId="0ABDD20C">
            <w:pPr>
              <w:spacing w:line="360" w:lineRule="auto"/>
              <w:rPr>
                <w:rFonts w:hint="default" w:eastAsia="宋体"/>
                <w:color w:val="auto"/>
                <w:sz w:val="24"/>
                <w:szCs w:val="24"/>
                <w:lang w:val="en-US" w:eastAsia="zh-CN"/>
              </w:rPr>
            </w:pPr>
            <w:r>
              <w:rPr>
                <w:rFonts w:hint="eastAsia"/>
                <w:color w:val="auto"/>
                <w:sz w:val="24"/>
                <w:szCs w:val="24"/>
                <w:lang w:val="en-US" w:eastAsia="zh-CN"/>
              </w:rPr>
              <w:t>附图9-3 厂房平面布置图</w:t>
            </w:r>
          </w:p>
          <w:p w14:paraId="45F9E5E9">
            <w:pPr>
              <w:spacing w:line="360" w:lineRule="auto"/>
              <w:rPr>
                <w:rFonts w:hint="eastAsia"/>
                <w:color w:val="auto"/>
                <w:sz w:val="24"/>
                <w:szCs w:val="24"/>
              </w:rPr>
            </w:pPr>
            <w:r>
              <w:rPr>
                <w:rFonts w:hint="eastAsia"/>
                <w:color w:val="auto"/>
                <w:sz w:val="24"/>
                <w:szCs w:val="24"/>
              </w:rPr>
              <w:t>附图9-4 应急物资分布图</w:t>
            </w:r>
          </w:p>
          <w:p w14:paraId="7AA33C80">
            <w:pPr>
              <w:spacing w:line="360" w:lineRule="auto"/>
              <w:rPr>
                <w:rFonts w:hint="eastAsia"/>
                <w:color w:val="auto"/>
                <w:sz w:val="24"/>
                <w:szCs w:val="24"/>
              </w:rPr>
            </w:pPr>
            <w:r>
              <w:rPr>
                <w:rFonts w:hint="eastAsia"/>
                <w:color w:val="auto"/>
                <w:sz w:val="24"/>
                <w:szCs w:val="24"/>
              </w:rPr>
              <w:t>附图</w:t>
            </w:r>
            <w:r>
              <w:rPr>
                <w:rFonts w:hint="eastAsia"/>
                <w:color w:val="auto"/>
                <w:sz w:val="24"/>
                <w:szCs w:val="24"/>
                <w:lang w:val="en-US" w:eastAsia="zh-CN"/>
              </w:rPr>
              <w:t>10</w:t>
            </w:r>
            <w:r>
              <w:rPr>
                <w:rFonts w:hint="eastAsia"/>
                <w:color w:val="auto"/>
                <w:sz w:val="24"/>
                <w:szCs w:val="24"/>
              </w:rPr>
              <w:t xml:space="preserve"> </w:t>
            </w:r>
            <w:r>
              <w:rPr>
                <w:rFonts w:hint="eastAsia"/>
                <w:color w:val="auto"/>
                <w:sz w:val="24"/>
                <w:szCs w:val="24"/>
                <w:lang w:val="en-US" w:eastAsia="zh-CN"/>
              </w:rPr>
              <w:t xml:space="preserve"> </w:t>
            </w:r>
            <w:r>
              <w:rPr>
                <w:rFonts w:hint="eastAsia"/>
                <w:color w:val="auto"/>
                <w:sz w:val="24"/>
                <w:szCs w:val="24"/>
              </w:rPr>
              <w:t>项目四至现状图</w:t>
            </w:r>
          </w:p>
          <w:p w14:paraId="6D8A2AB8">
            <w:pPr>
              <w:spacing w:line="360" w:lineRule="auto"/>
              <w:rPr>
                <w:rFonts w:hint="eastAsia"/>
                <w:color w:val="auto"/>
                <w:sz w:val="24"/>
                <w:szCs w:val="24"/>
              </w:rPr>
            </w:pPr>
            <w:r>
              <w:rPr>
                <w:rFonts w:hint="eastAsia"/>
                <w:color w:val="auto"/>
                <w:sz w:val="24"/>
                <w:szCs w:val="24"/>
              </w:rPr>
              <w:t>附图</w:t>
            </w:r>
            <w:r>
              <w:rPr>
                <w:rFonts w:hint="eastAsia"/>
                <w:color w:val="auto"/>
                <w:sz w:val="24"/>
                <w:szCs w:val="24"/>
                <w:lang w:val="en-US" w:eastAsia="zh-CN"/>
              </w:rPr>
              <w:t>11</w:t>
            </w:r>
            <w:r>
              <w:rPr>
                <w:rFonts w:hint="eastAsia"/>
                <w:color w:val="auto"/>
                <w:sz w:val="24"/>
                <w:szCs w:val="24"/>
              </w:rPr>
              <w:t xml:space="preserve"> </w:t>
            </w:r>
            <w:r>
              <w:rPr>
                <w:rFonts w:hint="eastAsia"/>
                <w:color w:val="auto"/>
                <w:sz w:val="24"/>
                <w:szCs w:val="24"/>
                <w:lang w:val="en-US" w:eastAsia="zh-CN"/>
              </w:rPr>
              <w:t xml:space="preserve"> </w:t>
            </w:r>
            <w:r>
              <w:rPr>
                <w:rFonts w:hint="eastAsia"/>
                <w:color w:val="auto"/>
                <w:sz w:val="24"/>
                <w:szCs w:val="24"/>
              </w:rPr>
              <w:t>编制主持人现场照片</w:t>
            </w:r>
          </w:p>
          <w:p w14:paraId="59F38890">
            <w:pPr>
              <w:spacing w:line="360" w:lineRule="auto"/>
              <w:rPr>
                <w:rFonts w:hint="eastAsia"/>
                <w:color w:val="auto"/>
                <w:sz w:val="24"/>
                <w:szCs w:val="24"/>
              </w:rPr>
            </w:pPr>
          </w:p>
          <w:p w14:paraId="40DF1AB7">
            <w:pPr>
              <w:spacing w:line="360" w:lineRule="auto"/>
              <w:rPr>
                <w:color w:val="auto"/>
                <w:sz w:val="24"/>
                <w:szCs w:val="24"/>
              </w:rPr>
            </w:pPr>
            <w:r>
              <w:rPr>
                <w:rFonts w:hint="eastAsia"/>
                <w:color w:val="auto"/>
                <w:sz w:val="24"/>
                <w:szCs w:val="24"/>
              </w:rPr>
              <w:t>附件1   环评委托书</w:t>
            </w:r>
          </w:p>
          <w:p w14:paraId="12F37E37">
            <w:pPr>
              <w:spacing w:line="360" w:lineRule="auto"/>
              <w:rPr>
                <w:rFonts w:hint="eastAsia" w:eastAsia="宋体"/>
                <w:color w:val="auto"/>
                <w:sz w:val="24"/>
                <w:szCs w:val="24"/>
                <w:lang w:eastAsia="zh-CN"/>
              </w:rPr>
            </w:pPr>
            <w:r>
              <w:rPr>
                <w:rFonts w:hint="eastAsia"/>
                <w:color w:val="auto"/>
                <w:sz w:val="24"/>
                <w:szCs w:val="24"/>
              </w:rPr>
              <w:t xml:space="preserve">附件2   </w:t>
            </w:r>
            <w:r>
              <w:rPr>
                <w:rFonts w:hint="eastAsia"/>
                <w:color w:val="auto"/>
                <w:sz w:val="24"/>
                <w:szCs w:val="24"/>
                <w:lang w:val="en-US" w:eastAsia="zh-CN"/>
              </w:rPr>
              <w:t>备案证</w:t>
            </w:r>
          </w:p>
          <w:p w14:paraId="64242899">
            <w:pPr>
              <w:spacing w:line="360" w:lineRule="auto"/>
              <w:rPr>
                <w:color w:val="auto"/>
                <w:sz w:val="24"/>
                <w:szCs w:val="24"/>
              </w:rPr>
            </w:pPr>
            <w:r>
              <w:rPr>
                <w:rFonts w:hint="eastAsia"/>
                <w:color w:val="auto"/>
                <w:sz w:val="24"/>
                <w:szCs w:val="24"/>
              </w:rPr>
              <w:t>附件3   其他与环评有关的文件</w:t>
            </w:r>
          </w:p>
          <w:p w14:paraId="3C66A5BD">
            <w:pPr>
              <w:spacing w:line="360" w:lineRule="auto"/>
              <w:ind w:firstLine="420" w:firstLineChars="200"/>
              <w:rPr>
                <w:color w:val="auto"/>
              </w:rPr>
            </w:pPr>
          </w:p>
        </w:tc>
      </w:tr>
    </w:tbl>
    <w:p w14:paraId="1DF96301">
      <w:pPr>
        <w:spacing w:line="360" w:lineRule="auto"/>
        <w:ind w:left="564"/>
        <w:contextualSpacing/>
        <w:rPr>
          <w:rFonts w:ascii="宋体" w:hAnsi="宋体" w:eastAsia="黑体"/>
          <w:color w:val="auto"/>
        </w:rPr>
      </w:pPr>
    </w:p>
    <w:sectPr>
      <w:footerReference r:id="rId8" w:type="default"/>
      <w:pgSz w:w="11906" w:h="16838"/>
      <w:pgMar w:top="1701" w:right="1531" w:bottom="1701" w:left="1531" w:header="851" w:footer="851" w:gutter="0"/>
      <w:pgBorders>
        <w:top w:val="none" w:sz="0" w:space="0"/>
        <w:left w:val="none" w:sz="0" w:space="0"/>
        <w:bottom w:val="none" w:sz="0" w:space="0"/>
        <w:right w:val="none" w:sz="0" w:space="0"/>
      </w:pgBorders>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Arial Unicode MS">
    <w:panose1 w:val="020B0604020202020204"/>
    <w:charset w:val="86"/>
    <w:family w:val="swiss"/>
    <w:pitch w:val="default"/>
    <w:sig w:usb0="F7FFAEFF" w:usb1="F9DFFFFF" w:usb2="0000007F" w:usb3="00000000" w:csb0="203F01FF" w:csb1="DFFF0000"/>
  </w:font>
  <w:font w:name="MS Mincho">
    <w:altName w:val="Yu Gothic UI"/>
    <w:panose1 w:val="02020609040205080304"/>
    <w:charset w:val="80"/>
    <w:family w:val="modern"/>
    <w:pitch w:val="default"/>
    <w:sig w:usb0="00000000" w:usb1="00000000" w:usb2="08000012" w:usb3="00000000" w:csb0="0002009F" w:csb1="00000000"/>
  </w:font>
  <w:font w:name="Yu Gothic UI">
    <w:panose1 w:val="020B0500000000000000"/>
    <w:charset w:val="80"/>
    <w:family w:val="auto"/>
    <w:pitch w:val="default"/>
    <w:sig w:usb0="E00002FF" w:usb1="2AC7FDFF" w:usb2="00000016" w:usb3="00000000" w:csb0="2002009F" w:csb1="00000000"/>
  </w:font>
  <w:font w:name="Sim Sun+ 2">
    <w:altName w:val="仿宋"/>
    <w:panose1 w:val="00000000000000000000"/>
    <w:charset w:val="86"/>
    <w:family w:val="swiss"/>
    <w:pitch w:val="default"/>
    <w:sig w:usb0="00000000" w:usb1="00000000" w:usb2="00000010" w:usb3="00000000" w:csb0="00040000" w:csb1="00000000"/>
  </w:font>
  <w:font w:name="Arial Black">
    <w:panose1 w:val="020B0A04020102020204"/>
    <w:charset w:val="00"/>
    <w:family w:val="swiss"/>
    <w:pitch w:val="default"/>
    <w:sig w:usb0="A00002AF" w:usb1="400078FB" w:usb2="00000000" w:usb3="00000000" w:csb0="6000009F" w:csb1="DFD70000"/>
  </w:font>
  <w:font w:name="TimesNewRomanPSMT">
    <w:altName w:val="等线"/>
    <w:panose1 w:val="00000000000000000000"/>
    <w:charset w:val="00"/>
    <w:family w:val="roman"/>
    <w:pitch w:val="default"/>
    <w:sig w:usb0="00000000" w:usb1="00000000" w:usb2="00000010" w:usb3="00000000" w:csb0="00040001" w:csb1="00000000"/>
  </w:font>
  <w:font w:name="等线">
    <w:panose1 w:val="02010600030101010101"/>
    <w:charset w:val="86"/>
    <w:family w:val="auto"/>
    <w:pitch w:val="default"/>
    <w:sig w:usb0="A00002BF" w:usb1="38CF7CFA" w:usb2="00000016" w:usb3="00000000" w:csb0="0004000F" w:csb1="00000000"/>
  </w:font>
  <w:font w:name="ˎ̥">
    <w:altName w:val="Times New Roman"/>
    <w:panose1 w:val="00000000000000000000"/>
    <w:charset w:val="00"/>
    <w:family w:val="roman"/>
    <w:pitch w:val="default"/>
    <w:sig w:usb0="00000000" w:usb1="00000000" w:usb2="00000000" w:usb3="00000000" w:csb0="00040001" w:csb1="00000000"/>
  </w:font>
  <w:font w:name="方正小标宋_GBK">
    <w:altName w:val="微软雅黑"/>
    <w:panose1 w:val="02000000000000000000"/>
    <w:charset w:val="86"/>
    <w:family w:val="script"/>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 w:name="方正仿宋_GBK">
    <w:altName w:val="微软雅黑"/>
    <w:panose1 w:val="03000509000000000000"/>
    <w:charset w:val="86"/>
    <w:family w:val="script"/>
    <w:pitch w:val="default"/>
    <w:sig w:usb0="00000000" w:usb1="00000000" w:usb2="00000000" w:usb3="00000000" w:csb0="0004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8864FD">
    <w:pPr>
      <w:pStyle w:val="17"/>
      <w:ind w:right="360" w:firstLine="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E08607">
    <w:pPr>
      <w:pStyle w:val="17"/>
      <w:framePr w:wrap="around" w:vAnchor="text" w:hAnchor="margin" w:xAlign="center" w:y="1"/>
      <w:rPr>
        <w:rStyle w:val="30"/>
      </w:rPr>
    </w:pPr>
    <w:r>
      <w:fldChar w:fldCharType="begin"/>
    </w:r>
    <w:r>
      <w:rPr>
        <w:rStyle w:val="30"/>
      </w:rPr>
      <w:instrText xml:space="preserve">PAGE  </w:instrText>
    </w:r>
    <w:r>
      <w:fldChar w:fldCharType="end"/>
    </w:r>
  </w:p>
  <w:p w14:paraId="5F916FD1">
    <w:pPr>
      <w:pStyle w:val="17"/>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C658C9">
    <w:pPr>
      <w:pStyle w:val="17"/>
      <w:keepNext w:val="0"/>
      <w:keepLines w:val="0"/>
      <w:pageBreakBefore w:val="0"/>
      <w:widowControl w:val="0"/>
      <w:kinsoku/>
      <w:wordWrap/>
      <w:overflowPunct/>
      <w:topLinePunct w:val="0"/>
      <w:bidi w:val="0"/>
      <w:adjustRightInd/>
      <w:snapToGrid w:val="0"/>
      <w:ind w:right="363" w:firstLine="363"/>
      <w:jc w:val="center"/>
      <w:textAlignment w:val="auto"/>
    </w:pPr>
    <w:r>
      <mc:AlternateContent>
        <mc:Choice Requires="wps">
          <w:drawing>
            <wp:anchor distT="0" distB="0" distL="0" distR="0" simplePos="0" relativeHeight="251663360" behindDoc="0" locked="0" layoutInCell="1" allowOverlap="1">
              <wp:simplePos x="0" y="0"/>
              <wp:positionH relativeFrom="margin">
                <wp:align>outside</wp:align>
              </wp:positionH>
              <wp:positionV relativeFrom="paragraph">
                <wp:posOffset>0</wp:posOffset>
              </wp:positionV>
              <wp:extent cx="775335" cy="230505"/>
              <wp:effectExtent l="0" t="0" r="0" b="0"/>
              <wp:wrapNone/>
              <wp:docPr id="221" name="文本框 2053"/>
              <wp:cNvGraphicFramePr/>
              <a:graphic xmlns:a="http://schemas.openxmlformats.org/drawingml/2006/main">
                <a:graphicData uri="http://schemas.microsoft.com/office/word/2010/wordprocessingShape">
                  <wps:wsp>
                    <wps:cNvSpPr/>
                    <wps:spPr>
                      <a:xfrm>
                        <a:off x="0" y="0"/>
                        <a:ext cx="775335" cy="230505"/>
                      </a:xfrm>
                      <a:prstGeom prst="rect">
                        <a:avLst/>
                      </a:prstGeom>
                      <a:ln>
                        <a:noFill/>
                      </a:ln>
                    </wps:spPr>
                    <wps:txbx>
                      <w:txbxContent>
                        <w:p w14:paraId="62C61F21">
                          <w:pPr>
                            <w:pStyle w:val="17"/>
                            <w:rPr>
                              <w:rStyle w:val="30"/>
                              <w:rFonts w:ascii="宋体" w:hAnsi="宋体"/>
                              <w:sz w:val="28"/>
                              <w:szCs w:val="28"/>
                            </w:rPr>
                          </w:pPr>
                          <w:r>
                            <w:rPr>
                              <w:rStyle w:val="30"/>
                              <w:rFonts w:hint="eastAsia" w:ascii="宋体" w:hAnsi="宋体"/>
                              <w:sz w:val="28"/>
                              <w:szCs w:val="28"/>
                            </w:rPr>
                            <w:t>—</w:t>
                          </w:r>
                          <w:r>
                            <w:rPr>
                              <w:rStyle w:val="30"/>
                              <w:rFonts w:hint="eastAsia" w:ascii="宋体" w:hAnsi="宋体"/>
                              <w:sz w:val="20"/>
                            </w:rPr>
                            <w:t xml:space="preserve">  </w:t>
                          </w:r>
                          <w:r>
                            <w:rPr>
                              <w:sz w:val="26"/>
                              <w:szCs w:val="26"/>
                            </w:rPr>
                            <w:fldChar w:fldCharType="begin"/>
                          </w:r>
                          <w:r>
                            <w:rPr>
                              <w:rStyle w:val="30"/>
                              <w:sz w:val="26"/>
                              <w:szCs w:val="26"/>
                            </w:rPr>
                            <w:instrText xml:space="preserve">PAGE  </w:instrText>
                          </w:r>
                          <w:r>
                            <w:rPr>
                              <w:sz w:val="26"/>
                              <w:szCs w:val="26"/>
                            </w:rPr>
                            <w:fldChar w:fldCharType="separate"/>
                          </w:r>
                          <w:r>
                            <w:rPr>
                              <w:rStyle w:val="30"/>
                              <w:sz w:val="26"/>
                              <w:szCs w:val="26"/>
                            </w:rPr>
                            <w:t>3</w:t>
                          </w:r>
                          <w:r>
                            <w:rPr>
                              <w:sz w:val="26"/>
                              <w:szCs w:val="26"/>
                            </w:rPr>
                            <w:fldChar w:fldCharType="end"/>
                          </w:r>
                          <w:r>
                            <w:rPr>
                              <w:rStyle w:val="30"/>
                              <w:sz w:val="20"/>
                            </w:rPr>
                            <w:t xml:space="preserve"> </w:t>
                          </w:r>
                          <w:r>
                            <w:rPr>
                              <w:rStyle w:val="30"/>
                              <w:rFonts w:hint="eastAsia" w:ascii="宋体" w:hAnsi="宋体"/>
                              <w:sz w:val="20"/>
                            </w:rPr>
                            <w:t xml:space="preserve"> </w:t>
                          </w:r>
                          <w:r>
                            <w:rPr>
                              <w:rStyle w:val="30"/>
                              <w:rFonts w:hint="eastAsia" w:ascii="宋体" w:hAnsi="宋体"/>
                              <w:sz w:val="28"/>
                              <w:szCs w:val="28"/>
                            </w:rPr>
                            <w:t>—</w:t>
                          </w:r>
                        </w:p>
                      </w:txbxContent>
                    </wps:txbx>
                    <wps:bodyPr vert="horz" wrap="none" lIns="0" tIns="0" rIns="0" bIns="0" anchor="t" upright="1">
                      <a:spAutoFit/>
                    </wps:bodyPr>
                  </wps:wsp>
                </a:graphicData>
              </a:graphic>
            </wp:anchor>
          </w:drawing>
        </mc:Choice>
        <mc:Fallback>
          <w:pict>
            <v:rect id="文本框 2053" o:spid="_x0000_s1026" o:spt="1" style="position:absolute;left:0pt;margin-top:0pt;height:18.15pt;width:61.05pt;mso-position-horizontal:outside;mso-position-horizontal-relative:margin;mso-wrap-style:none;z-index:251663360;mso-width-relative:page;mso-height-relative:page;" filled="f" stroked="f" coordsize="21600,21600" o:gfxdata="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0HLNWdIAAAAEAQAADwAAAAAAAAABACAAAAAi&#10;AAAAZHJzL2Rvd25yZXYueG1sUEsBAhQAFAAAAAgAh07iQFMDNQvXAQAAngMAAA4AAAAAAAAAAQAg&#10;AAAAIQEAAGRycy9lMm9Eb2MueG1sUEsFBgAAAAAGAAYAWQEAAGoFAAAAAA==&#10;">
              <v:fill on="f" focussize="0,0"/>
              <v:stroke on="f"/>
              <v:imagedata o:title=""/>
              <o:lock v:ext="edit" aspectratio="f"/>
              <v:textbox inset="0mm,0mm,0mm,0mm" style="mso-fit-shape-to-text:t;">
                <w:txbxContent>
                  <w:p w14:paraId="62C61F21">
                    <w:pPr>
                      <w:pStyle w:val="17"/>
                      <w:rPr>
                        <w:rStyle w:val="30"/>
                        <w:rFonts w:ascii="宋体" w:hAnsi="宋体"/>
                        <w:sz w:val="28"/>
                        <w:szCs w:val="28"/>
                      </w:rPr>
                    </w:pPr>
                    <w:r>
                      <w:rPr>
                        <w:rStyle w:val="30"/>
                        <w:rFonts w:hint="eastAsia" w:ascii="宋体" w:hAnsi="宋体"/>
                        <w:sz w:val="28"/>
                        <w:szCs w:val="28"/>
                      </w:rPr>
                      <w:t>—</w:t>
                    </w:r>
                    <w:r>
                      <w:rPr>
                        <w:rStyle w:val="30"/>
                        <w:rFonts w:hint="eastAsia" w:ascii="宋体" w:hAnsi="宋体"/>
                        <w:sz w:val="20"/>
                      </w:rPr>
                      <w:t xml:space="preserve">  </w:t>
                    </w:r>
                    <w:r>
                      <w:rPr>
                        <w:sz w:val="26"/>
                        <w:szCs w:val="26"/>
                      </w:rPr>
                      <w:fldChar w:fldCharType="begin"/>
                    </w:r>
                    <w:r>
                      <w:rPr>
                        <w:rStyle w:val="30"/>
                        <w:sz w:val="26"/>
                        <w:szCs w:val="26"/>
                      </w:rPr>
                      <w:instrText xml:space="preserve">PAGE  </w:instrText>
                    </w:r>
                    <w:r>
                      <w:rPr>
                        <w:sz w:val="26"/>
                        <w:szCs w:val="26"/>
                      </w:rPr>
                      <w:fldChar w:fldCharType="separate"/>
                    </w:r>
                    <w:r>
                      <w:rPr>
                        <w:rStyle w:val="30"/>
                        <w:sz w:val="26"/>
                        <w:szCs w:val="26"/>
                      </w:rPr>
                      <w:t>3</w:t>
                    </w:r>
                    <w:r>
                      <w:rPr>
                        <w:sz w:val="26"/>
                        <w:szCs w:val="26"/>
                      </w:rPr>
                      <w:fldChar w:fldCharType="end"/>
                    </w:r>
                    <w:r>
                      <w:rPr>
                        <w:rStyle w:val="30"/>
                        <w:sz w:val="20"/>
                      </w:rPr>
                      <w:t xml:space="preserve"> </w:t>
                    </w:r>
                    <w:r>
                      <w:rPr>
                        <w:rStyle w:val="30"/>
                        <w:rFonts w:hint="eastAsia" w:ascii="宋体" w:hAnsi="宋体"/>
                        <w:sz w:val="20"/>
                      </w:rPr>
                      <w:t xml:space="preserve"> </w:t>
                    </w:r>
                    <w:r>
                      <w:rPr>
                        <w:rStyle w:val="30"/>
                        <w:rFonts w:hint="eastAsia" w:ascii="宋体" w:hAnsi="宋体"/>
                        <w:sz w:val="28"/>
                        <w:szCs w:val="28"/>
                      </w:rPr>
                      <w:t>—</w:t>
                    </w:r>
                  </w:p>
                </w:txbxContent>
              </v:textbox>
            </v:rect>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A4275F">
    <w:pPr>
      <w:pStyle w:val="17"/>
      <w:ind w:right="360" w:firstLine="360"/>
      <w:jc w:val="center"/>
    </w:pPr>
    <w:r>
      <mc:AlternateContent>
        <mc:Choice Requires="wps">
          <w:drawing>
            <wp:anchor distT="0" distB="0" distL="0" distR="0" simplePos="0" relativeHeight="251661312" behindDoc="0" locked="0" layoutInCell="1" allowOverlap="1">
              <wp:simplePos x="0" y="0"/>
              <wp:positionH relativeFrom="margin">
                <wp:align>outside</wp:align>
              </wp:positionH>
              <wp:positionV relativeFrom="paragraph">
                <wp:posOffset>0</wp:posOffset>
              </wp:positionV>
              <wp:extent cx="775335" cy="230505"/>
              <wp:effectExtent l="3175" t="1270" r="2540" b="0"/>
              <wp:wrapNone/>
              <wp:docPr id="4097" name="文本框 2053"/>
              <wp:cNvGraphicFramePr/>
              <a:graphic xmlns:a="http://schemas.openxmlformats.org/drawingml/2006/main">
                <a:graphicData uri="http://schemas.microsoft.com/office/word/2010/wordprocessingShape">
                  <wps:wsp>
                    <wps:cNvSpPr/>
                    <wps:spPr>
                      <a:xfrm>
                        <a:off x="0" y="0"/>
                        <a:ext cx="775335" cy="230505"/>
                      </a:xfrm>
                      <a:prstGeom prst="rect">
                        <a:avLst/>
                      </a:prstGeom>
                      <a:ln>
                        <a:noFill/>
                      </a:ln>
                    </wps:spPr>
                    <wps:txbx>
                      <w:txbxContent>
                        <w:p w14:paraId="76DC596F">
                          <w:pPr>
                            <w:pStyle w:val="17"/>
                            <w:rPr>
                              <w:rStyle w:val="30"/>
                              <w:rFonts w:ascii="宋体" w:hAnsi="宋体"/>
                              <w:sz w:val="28"/>
                              <w:szCs w:val="28"/>
                            </w:rPr>
                          </w:pPr>
                          <w:r>
                            <w:rPr>
                              <w:rStyle w:val="30"/>
                              <w:rFonts w:hint="eastAsia" w:ascii="宋体" w:hAnsi="宋体"/>
                              <w:sz w:val="28"/>
                              <w:szCs w:val="28"/>
                            </w:rPr>
                            <w:t>—</w:t>
                          </w:r>
                          <w:r>
                            <w:rPr>
                              <w:rStyle w:val="30"/>
                              <w:rFonts w:hint="eastAsia" w:ascii="宋体" w:hAnsi="宋体"/>
                              <w:sz w:val="20"/>
                            </w:rPr>
                            <w:t xml:space="preserve">  </w:t>
                          </w:r>
                          <w:r>
                            <w:rPr>
                              <w:sz w:val="26"/>
                              <w:szCs w:val="26"/>
                            </w:rPr>
                            <w:fldChar w:fldCharType="begin"/>
                          </w:r>
                          <w:r>
                            <w:rPr>
                              <w:rStyle w:val="30"/>
                              <w:sz w:val="26"/>
                              <w:szCs w:val="26"/>
                            </w:rPr>
                            <w:instrText xml:space="preserve">PAGE  </w:instrText>
                          </w:r>
                          <w:r>
                            <w:rPr>
                              <w:sz w:val="26"/>
                              <w:szCs w:val="26"/>
                            </w:rPr>
                            <w:fldChar w:fldCharType="separate"/>
                          </w:r>
                          <w:r>
                            <w:rPr>
                              <w:rStyle w:val="30"/>
                              <w:sz w:val="26"/>
                              <w:szCs w:val="26"/>
                            </w:rPr>
                            <w:t>3</w:t>
                          </w:r>
                          <w:r>
                            <w:rPr>
                              <w:sz w:val="26"/>
                              <w:szCs w:val="26"/>
                            </w:rPr>
                            <w:fldChar w:fldCharType="end"/>
                          </w:r>
                          <w:r>
                            <w:rPr>
                              <w:rStyle w:val="30"/>
                              <w:sz w:val="20"/>
                            </w:rPr>
                            <w:t xml:space="preserve"> </w:t>
                          </w:r>
                          <w:r>
                            <w:rPr>
                              <w:rStyle w:val="30"/>
                              <w:rFonts w:hint="eastAsia" w:ascii="宋体" w:hAnsi="宋体"/>
                              <w:sz w:val="20"/>
                            </w:rPr>
                            <w:t xml:space="preserve"> </w:t>
                          </w:r>
                          <w:r>
                            <w:rPr>
                              <w:rStyle w:val="30"/>
                              <w:rFonts w:hint="eastAsia" w:ascii="宋体" w:hAnsi="宋体"/>
                              <w:sz w:val="28"/>
                              <w:szCs w:val="28"/>
                            </w:rPr>
                            <w:t>—</w:t>
                          </w:r>
                        </w:p>
                      </w:txbxContent>
                    </wps:txbx>
                    <wps:bodyPr vert="horz" wrap="none" lIns="0" tIns="0" rIns="0" bIns="0" anchor="t" upright="1">
                      <a:spAutoFit/>
                    </wps:bodyPr>
                  </wps:wsp>
                </a:graphicData>
              </a:graphic>
            </wp:anchor>
          </w:drawing>
        </mc:Choice>
        <mc:Fallback>
          <w:pict>
            <v:rect id="文本框 2053" o:spid="_x0000_s1026" o:spt="1" style="position:absolute;left:0pt;margin-top:0pt;height:18.15pt;width:61.05pt;mso-position-horizontal:outside;mso-position-horizontal-relative:margin;mso-wrap-style:none;z-index:251661312;mso-width-relative:page;mso-height-relative:page;" filled="f" stroked="f" coordsize="21600,21600" o:gfxdata="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NByzVnSAAAABAEAAA8AAAAAAAAAAQAgAAAA&#10;IgAAAGRycy9kb3ducmV2LnhtbFBLAQIUABQAAAAIAIdO4kD06Ek32AEAAJ8DAAAOAAAAAAAAAAEA&#10;IAAAACEBAABkcnMvZTJvRG9jLnhtbFBLBQYAAAAABgAGAFkBAABrBQAAAAA=&#10;">
              <v:fill on="f" focussize="0,0"/>
              <v:stroke on="f"/>
              <v:imagedata o:title=""/>
              <o:lock v:ext="edit" aspectratio="f"/>
              <v:textbox inset="0mm,0mm,0mm,0mm" style="mso-fit-shape-to-text:t;">
                <w:txbxContent>
                  <w:p w14:paraId="76DC596F">
                    <w:pPr>
                      <w:pStyle w:val="17"/>
                      <w:rPr>
                        <w:rStyle w:val="30"/>
                        <w:rFonts w:ascii="宋体" w:hAnsi="宋体"/>
                        <w:sz w:val="28"/>
                        <w:szCs w:val="28"/>
                      </w:rPr>
                    </w:pPr>
                    <w:r>
                      <w:rPr>
                        <w:rStyle w:val="30"/>
                        <w:rFonts w:hint="eastAsia" w:ascii="宋体" w:hAnsi="宋体"/>
                        <w:sz w:val="28"/>
                        <w:szCs w:val="28"/>
                      </w:rPr>
                      <w:t>—</w:t>
                    </w:r>
                    <w:r>
                      <w:rPr>
                        <w:rStyle w:val="30"/>
                        <w:rFonts w:hint="eastAsia" w:ascii="宋体" w:hAnsi="宋体"/>
                        <w:sz w:val="20"/>
                      </w:rPr>
                      <w:t xml:space="preserve">  </w:t>
                    </w:r>
                    <w:r>
                      <w:rPr>
                        <w:sz w:val="26"/>
                        <w:szCs w:val="26"/>
                      </w:rPr>
                      <w:fldChar w:fldCharType="begin"/>
                    </w:r>
                    <w:r>
                      <w:rPr>
                        <w:rStyle w:val="30"/>
                        <w:sz w:val="26"/>
                        <w:szCs w:val="26"/>
                      </w:rPr>
                      <w:instrText xml:space="preserve">PAGE  </w:instrText>
                    </w:r>
                    <w:r>
                      <w:rPr>
                        <w:sz w:val="26"/>
                        <w:szCs w:val="26"/>
                      </w:rPr>
                      <w:fldChar w:fldCharType="separate"/>
                    </w:r>
                    <w:r>
                      <w:rPr>
                        <w:rStyle w:val="30"/>
                        <w:sz w:val="26"/>
                        <w:szCs w:val="26"/>
                      </w:rPr>
                      <w:t>3</w:t>
                    </w:r>
                    <w:r>
                      <w:rPr>
                        <w:sz w:val="26"/>
                        <w:szCs w:val="26"/>
                      </w:rPr>
                      <w:fldChar w:fldCharType="end"/>
                    </w:r>
                    <w:r>
                      <w:rPr>
                        <w:rStyle w:val="30"/>
                        <w:sz w:val="20"/>
                      </w:rPr>
                      <w:t xml:space="preserve"> </w:t>
                    </w:r>
                    <w:r>
                      <w:rPr>
                        <w:rStyle w:val="30"/>
                        <w:rFonts w:hint="eastAsia" w:ascii="宋体" w:hAnsi="宋体"/>
                        <w:sz w:val="20"/>
                      </w:rPr>
                      <w:t xml:space="preserve"> </w:t>
                    </w:r>
                    <w:r>
                      <w:rPr>
                        <w:rStyle w:val="30"/>
                        <w:rFonts w:hint="eastAsia" w:ascii="宋体" w:hAnsi="宋体"/>
                        <w:sz w:val="28"/>
                        <w:szCs w:val="28"/>
                      </w:rPr>
                      <w:t>—</w:t>
                    </w:r>
                  </w:p>
                </w:txbxContent>
              </v:textbox>
            </v:rect>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75E19D">
    <w:pPr>
      <w:pStyle w:val="17"/>
      <w:ind w:right="360" w:firstLine="360"/>
      <w:jc w:val="center"/>
    </w:pPr>
    <w:r>
      <mc:AlternateContent>
        <mc:Choice Requires="wps">
          <w:drawing>
            <wp:anchor distT="0" distB="0" distL="0" distR="0" simplePos="0" relativeHeight="251662336" behindDoc="0" locked="0" layoutInCell="1" allowOverlap="1">
              <wp:simplePos x="0" y="0"/>
              <wp:positionH relativeFrom="margin">
                <wp:align>center</wp:align>
              </wp:positionH>
              <wp:positionV relativeFrom="paragraph">
                <wp:posOffset>0</wp:posOffset>
              </wp:positionV>
              <wp:extent cx="775335" cy="230505"/>
              <wp:effectExtent l="635" t="1905" r="0" b="0"/>
              <wp:wrapNone/>
              <wp:docPr id="4098" name="文本框 2051"/>
              <wp:cNvGraphicFramePr/>
              <a:graphic xmlns:a="http://schemas.openxmlformats.org/drawingml/2006/main">
                <a:graphicData uri="http://schemas.microsoft.com/office/word/2010/wordprocessingShape">
                  <wps:wsp>
                    <wps:cNvSpPr/>
                    <wps:spPr>
                      <a:xfrm>
                        <a:off x="0" y="0"/>
                        <a:ext cx="775335" cy="230505"/>
                      </a:xfrm>
                      <a:prstGeom prst="rect">
                        <a:avLst/>
                      </a:prstGeom>
                      <a:ln>
                        <a:noFill/>
                      </a:ln>
                    </wps:spPr>
                    <wps:txbx>
                      <w:txbxContent>
                        <w:p w14:paraId="30426937">
                          <w:pPr>
                            <w:pStyle w:val="17"/>
                            <w:rPr>
                              <w:rStyle w:val="30"/>
                              <w:rFonts w:ascii="宋体" w:hAnsi="宋体"/>
                              <w:sz w:val="28"/>
                              <w:szCs w:val="28"/>
                            </w:rPr>
                          </w:pPr>
                          <w:r>
                            <w:rPr>
                              <w:rStyle w:val="30"/>
                              <w:rFonts w:hint="eastAsia" w:ascii="宋体" w:hAnsi="宋体"/>
                              <w:sz w:val="28"/>
                              <w:szCs w:val="28"/>
                            </w:rPr>
                            <w:t>—</w:t>
                          </w:r>
                          <w:r>
                            <w:rPr>
                              <w:rStyle w:val="30"/>
                              <w:rFonts w:hint="eastAsia" w:ascii="宋体" w:hAnsi="宋体"/>
                              <w:sz w:val="20"/>
                            </w:rPr>
                            <w:t xml:space="preserve">  </w:t>
                          </w:r>
                          <w:r>
                            <w:rPr>
                              <w:rFonts w:ascii="宋体" w:hAnsi="宋体"/>
                              <w:sz w:val="26"/>
                              <w:szCs w:val="26"/>
                            </w:rPr>
                            <w:fldChar w:fldCharType="begin"/>
                          </w:r>
                          <w:r>
                            <w:rPr>
                              <w:rStyle w:val="30"/>
                              <w:rFonts w:ascii="宋体" w:hAnsi="宋体"/>
                              <w:sz w:val="26"/>
                              <w:szCs w:val="26"/>
                            </w:rPr>
                            <w:instrText xml:space="preserve">PAGE  </w:instrText>
                          </w:r>
                          <w:r>
                            <w:rPr>
                              <w:rFonts w:ascii="宋体" w:hAnsi="宋体"/>
                              <w:sz w:val="26"/>
                              <w:szCs w:val="26"/>
                            </w:rPr>
                            <w:fldChar w:fldCharType="separate"/>
                          </w:r>
                          <w:r>
                            <w:rPr>
                              <w:rStyle w:val="30"/>
                              <w:rFonts w:ascii="宋体" w:hAnsi="宋体"/>
                              <w:sz w:val="26"/>
                              <w:szCs w:val="26"/>
                            </w:rPr>
                            <w:t>82</w:t>
                          </w:r>
                          <w:r>
                            <w:rPr>
                              <w:rFonts w:ascii="宋体" w:hAnsi="宋体"/>
                              <w:sz w:val="26"/>
                              <w:szCs w:val="26"/>
                            </w:rPr>
                            <w:fldChar w:fldCharType="end"/>
                          </w:r>
                          <w:r>
                            <w:rPr>
                              <w:rStyle w:val="30"/>
                              <w:rFonts w:hint="eastAsia" w:ascii="宋体" w:hAnsi="宋体"/>
                              <w:sz w:val="20"/>
                            </w:rPr>
                            <w:t xml:space="preserve">  </w:t>
                          </w:r>
                          <w:r>
                            <w:rPr>
                              <w:rStyle w:val="30"/>
                              <w:rFonts w:hint="eastAsia" w:ascii="宋体" w:hAnsi="宋体"/>
                              <w:sz w:val="28"/>
                              <w:szCs w:val="28"/>
                            </w:rPr>
                            <w:t>—</w:t>
                          </w:r>
                        </w:p>
                      </w:txbxContent>
                    </wps:txbx>
                    <wps:bodyPr vert="horz" wrap="none" lIns="0" tIns="0" rIns="0" bIns="0" anchor="t" upright="1">
                      <a:spAutoFit/>
                    </wps:bodyPr>
                  </wps:wsp>
                </a:graphicData>
              </a:graphic>
            </wp:anchor>
          </w:drawing>
        </mc:Choice>
        <mc:Fallback>
          <w:pict>
            <v:rect id="文本框 2051" o:spid="_x0000_s1026" o:spt="1" style="position:absolute;left:0pt;margin-top:0pt;height:18.15pt;width:61.05pt;mso-position-horizontal:center;mso-position-horizontal-relative:margin;mso-wrap-style:none;z-index:251662336;mso-width-relative:page;mso-height-relative:page;" filled="f" stroked="f" coordsize="21600,21600" o:gfxdata="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DQcs1Z0gAAAAQBAAAPAAAAAAAAAAEAIAAA&#10;ACIAAABkcnMvZG93bnJldi54bWxQSwECFAAUAAAACACHTuJAmsFhmNkBAACfAwAADgAAAAAAAAAB&#10;ACAAAAAhAQAAZHJzL2Uyb0RvYy54bWxQSwUGAAAAAAYABgBZAQAAbAUAAAAA&#10;">
              <v:fill on="f" focussize="0,0"/>
              <v:stroke on="f"/>
              <v:imagedata o:title=""/>
              <o:lock v:ext="edit" aspectratio="f"/>
              <v:textbox inset="0mm,0mm,0mm,0mm" style="mso-fit-shape-to-text:t;">
                <w:txbxContent>
                  <w:p w14:paraId="30426937">
                    <w:pPr>
                      <w:pStyle w:val="17"/>
                      <w:rPr>
                        <w:rStyle w:val="30"/>
                        <w:rFonts w:ascii="宋体" w:hAnsi="宋体"/>
                        <w:sz w:val="28"/>
                        <w:szCs w:val="28"/>
                      </w:rPr>
                    </w:pPr>
                    <w:r>
                      <w:rPr>
                        <w:rStyle w:val="30"/>
                        <w:rFonts w:hint="eastAsia" w:ascii="宋体" w:hAnsi="宋体"/>
                        <w:sz w:val="28"/>
                        <w:szCs w:val="28"/>
                      </w:rPr>
                      <w:t>—</w:t>
                    </w:r>
                    <w:r>
                      <w:rPr>
                        <w:rStyle w:val="30"/>
                        <w:rFonts w:hint="eastAsia" w:ascii="宋体" w:hAnsi="宋体"/>
                        <w:sz w:val="20"/>
                      </w:rPr>
                      <w:t xml:space="preserve">  </w:t>
                    </w:r>
                    <w:r>
                      <w:rPr>
                        <w:rFonts w:ascii="宋体" w:hAnsi="宋体"/>
                        <w:sz w:val="26"/>
                        <w:szCs w:val="26"/>
                      </w:rPr>
                      <w:fldChar w:fldCharType="begin"/>
                    </w:r>
                    <w:r>
                      <w:rPr>
                        <w:rStyle w:val="30"/>
                        <w:rFonts w:ascii="宋体" w:hAnsi="宋体"/>
                        <w:sz w:val="26"/>
                        <w:szCs w:val="26"/>
                      </w:rPr>
                      <w:instrText xml:space="preserve">PAGE  </w:instrText>
                    </w:r>
                    <w:r>
                      <w:rPr>
                        <w:rFonts w:ascii="宋体" w:hAnsi="宋体"/>
                        <w:sz w:val="26"/>
                        <w:szCs w:val="26"/>
                      </w:rPr>
                      <w:fldChar w:fldCharType="separate"/>
                    </w:r>
                    <w:r>
                      <w:rPr>
                        <w:rStyle w:val="30"/>
                        <w:rFonts w:ascii="宋体" w:hAnsi="宋体"/>
                        <w:sz w:val="26"/>
                        <w:szCs w:val="26"/>
                      </w:rPr>
                      <w:t>82</w:t>
                    </w:r>
                    <w:r>
                      <w:rPr>
                        <w:rFonts w:ascii="宋体" w:hAnsi="宋体"/>
                        <w:sz w:val="26"/>
                        <w:szCs w:val="26"/>
                      </w:rPr>
                      <w:fldChar w:fldCharType="end"/>
                    </w:r>
                    <w:r>
                      <w:rPr>
                        <w:rStyle w:val="30"/>
                        <w:rFonts w:hint="eastAsia" w:ascii="宋体" w:hAnsi="宋体"/>
                        <w:sz w:val="20"/>
                      </w:rPr>
                      <w:t xml:space="preserve">  </w:t>
                    </w:r>
                    <w:r>
                      <w:rPr>
                        <w:rStyle w:val="30"/>
                        <w:rFonts w:hint="eastAsia" w:ascii="宋体" w:hAnsi="宋体"/>
                        <w:sz w:val="28"/>
                        <w:szCs w:val="28"/>
                      </w:rPr>
                      <w:t>—</w:t>
                    </w:r>
                  </w:p>
                </w:txbxContent>
              </v:textbox>
            </v:rect>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6617E9">
    <w:pPr>
      <w:pStyle w:val="17"/>
      <w:ind w:right="360" w:firstLine="360"/>
      <w:jc w:val="center"/>
    </w:pPr>
    <w:r>
      <mc:AlternateContent>
        <mc:Choice Requires="wps">
          <w:drawing>
            <wp:anchor distT="0" distB="0" distL="0" distR="0" simplePos="0" relativeHeight="251662336" behindDoc="0" locked="0" layoutInCell="1" allowOverlap="1">
              <wp:simplePos x="0" y="0"/>
              <wp:positionH relativeFrom="margin">
                <wp:align>center</wp:align>
              </wp:positionH>
              <wp:positionV relativeFrom="paragraph">
                <wp:posOffset>0</wp:posOffset>
              </wp:positionV>
              <wp:extent cx="775335" cy="230505"/>
              <wp:effectExtent l="635" t="0" r="0" b="0"/>
              <wp:wrapNone/>
              <wp:docPr id="4099" name="文本框 2052"/>
              <wp:cNvGraphicFramePr/>
              <a:graphic xmlns:a="http://schemas.openxmlformats.org/drawingml/2006/main">
                <a:graphicData uri="http://schemas.microsoft.com/office/word/2010/wordprocessingShape">
                  <wps:wsp>
                    <wps:cNvSpPr/>
                    <wps:spPr>
                      <a:xfrm>
                        <a:off x="0" y="0"/>
                        <a:ext cx="775335" cy="230505"/>
                      </a:xfrm>
                      <a:prstGeom prst="rect">
                        <a:avLst/>
                      </a:prstGeom>
                      <a:ln>
                        <a:noFill/>
                      </a:ln>
                    </wps:spPr>
                    <wps:txbx>
                      <w:txbxContent>
                        <w:p w14:paraId="54722F7C">
                          <w:pPr>
                            <w:pStyle w:val="17"/>
                            <w:rPr>
                              <w:rStyle w:val="30"/>
                              <w:rFonts w:ascii="宋体" w:hAnsi="宋体"/>
                              <w:sz w:val="28"/>
                              <w:szCs w:val="28"/>
                            </w:rPr>
                          </w:pPr>
                          <w:r>
                            <w:rPr>
                              <w:rStyle w:val="30"/>
                              <w:rFonts w:hint="eastAsia" w:ascii="宋体" w:hAnsi="宋体"/>
                              <w:sz w:val="28"/>
                              <w:szCs w:val="28"/>
                            </w:rPr>
                            <w:t>—</w:t>
                          </w:r>
                          <w:r>
                            <w:rPr>
                              <w:rStyle w:val="30"/>
                              <w:rFonts w:hint="eastAsia" w:ascii="宋体" w:hAnsi="宋体"/>
                              <w:sz w:val="20"/>
                            </w:rPr>
                            <w:t xml:space="preserve">  </w:t>
                          </w:r>
                          <w:r>
                            <w:rPr>
                              <w:rFonts w:ascii="宋体" w:hAnsi="宋体"/>
                              <w:sz w:val="26"/>
                              <w:szCs w:val="26"/>
                            </w:rPr>
                            <w:fldChar w:fldCharType="begin"/>
                          </w:r>
                          <w:r>
                            <w:rPr>
                              <w:rStyle w:val="30"/>
                              <w:rFonts w:ascii="宋体" w:hAnsi="宋体"/>
                              <w:sz w:val="26"/>
                              <w:szCs w:val="26"/>
                            </w:rPr>
                            <w:instrText xml:space="preserve">PAGE  </w:instrText>
                          </w:r>
                          <w:r>
                            <w:rPr>
                              <w:rFonts w:ascii="宋体" w:hAnsi="宋体"/>
                              <w:sz w:val="26"/>
                              <w:szCs w:val="26"/>
                            </w:rPr>
                            <w:fldChar w:fldCharType="separate"/>
                          </w:r>
                          <w:r>
                            <w:rPr>
                              <w:rStyle w:val="30"/>
                              <w:rFonts w:ascii="宋体" w:hAnsi="宋体"/>
                              <w:sz w:val="26"/>
                              <w:szCs w:val="26"/>
                            </w:rPr>
                            <w:t>85</w:t>
                          </w:r>
                          <w:r>
                            <w:rPr>
                              <w:rFonts w:ascii="宋体" w:hAnsi="宋体"/>
                              <w:sz w:val="26"/>
                              <w:szCs w:val="26"/>
                            </w:rPr>
                            <w:fldChar w:fldCharType="end"/>
                          </w:r>
                          <w:r>
                            <w:rPr>
                              <w:rStyle w:val="30"/>
                              <w:rFonts w:hint="eastAsia" w:ascii="宋体" w:hAnsi="宋体"/>
                              <w:sz w:val="20"/>
                            </w:rPr>
                            <w:t xml:space="preserve">  </w:t>
                          </w:r>
                          <w:r>
                            <w:rPr>
                              <w:rStyle w:val="30"/>
                              <w:rFonts w:hint="eastAsia" w:ascii="宋体" w:hAnsi="宋体"/>
                              <w:sz w:val="28"/>
                              <w:szCs w:val="28"/>
                            </w:rPr>
                            <w:t>—</w:t>
                          </w:r>
                        </w:p>
                      </w:txbxContent>
                    </wps:txbx>
                    <wps:bodyPr vert="horz" wrap="none" lIns="0" tIns="0" rIns="0" bIns="0" anchor="t" upright="1">
                      <a:spAutoFit/>
                    </wps:bodyPr>
                  </wps:wsp>
                </a:graphicData>
              </a:graphic>
            </wp:anchor>
          </w:drawing>
        </mc:Choice>
        <mc:Fallback>
          <w:pict>
            <v:rect id="文本框 2052" o:spid="_x0000_s1026" o:spt="1" style="position:absolute;left:0pt;margin-top:0pt;height:18.15pt;width:61.05pt;mso-position-horizontal:center;mso-position-horizontal-relative:margin;mso-wrap-style:none;z-index:251662336;mso-width-relative:page;mso-height-relative:page;" filled="f" stroked="f" coordsize="21600,21600" o:gfxdata="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0HLNWdIAAAAEAQAADwAAAAAAAAABACAA&#10;AAAiAAAAZHJzL2Rvd25yZXYueG1sUEsBAhQAFAAAAAgAh07iQFJGXBjaAQAAnwMAAA4AAAAAAAAA&#10;AQAgAAAAIQEAAGRycy9lMm9Eb2MueG1sUEsFBgAAAAAGAAYAWQEAAG0FAAAAAA==&#10;">
              <v:fill on="f" focussize="0,0"/>
              <v:stroke on="f"/>
              <v:imagedata o:title=""/>
              <o:lock v:ext="edit" aspectratio="f"/>
              <v:textbox inset="0mm,0mm,0mm,0mm" style="mso-fit-shape-to-text:t;">
                <w:txbxContent>
                  <w:p w14:paraId="54722F7C">
                    <w:pPr>
                      <w:pStyle w:val="17"/>
                      <w:rPr>
                        <w:rStyle w:val="30"/>
                        <w:rFonts w:ascii="宋体" w:hAnsi="宋体"/>
                        <w:sz w:val="28"/>
                        <w:szCs w:val="28"/>
                      </w:rPr>
                    </w:pPr>
                    <w:r>
                      <w:rPr>
                        <w:rStyle w:val="30"/>
                        <w:rFonts w:hint="eastAsia" w:ascii="宋体" w:hAnsi="宋体"/>
                        <w:sz w:val="28"/>
                        <w:szCs w:val="28"/>
                      </w:rPr>
                      <w:t>—</w:t>
                    </w:r>
                    <w:r>
                      <w:rPr>
                        <w:rStyle w:val="30"/>
                        <w:rFonts w:hint="eastAsia" w:ascii="宋体" w:hAnsi="宋体"/>
                        <w:sz w:val="20"/>
                      </w:rPr>
                      <w:t xml:space="preserve">  </w:t>
                    </w:r>
                    <w:r>
                      <w:rPr>
                        <w:rFonts w:ascii="宋体" w:hAnsi="宋体"/>
                        <w:sz w:val="26"/>
                        <w:szCs w:val="26"/>
                      </w:rPr>
                      <w:fldChar w:fldCharType="begin"/>
                    </w:r>
                    <w:r>
                      <w:rPr>
                        <w:rStyle w:val="30"/>
                        <w:rFonts w:ascii="宋体" w:hAnsi="宋体"/>
                        <w:sz w:val="26"/>
                        <w:szCs w:val="26"/>
                      </w:rPr>
                      <w:instrText xml:space="preserve">PAGE  </w:instrText>
                    </w:r>
                    <w:r>
                      <w:rPr>
                        <w:rFonts w:ascii="宋体" w:hAnsi="宋体"/>
                        <w:sz w:val="26"/>
                        <w:szCs w:val="26"/>
                      </w:rPr>
                      <w:fldChar w:fldCharType="separate"/>
                    </w:r>
                    <w:r>
                      <w:rPr>
                        <w:rStyle w:val="30"/>
                        <w:rFonts w:ascii="宋体" w:hAnsi="宋体"/>
                        <w:sz w:val="26"/>
                        <w:szCs w:val="26"/>
                      </w:rPr>
                      <w:t>85</w:t>
                    </w:r>
                    <w:r>
                      <w:rPr>
                        <w:rFonts w:ascii="宋体" w:hAnsi="宋体"/>
                        <w:sz w:val="26"/>
                        <w:szCs w:val="26"/>
                      </w:rPr>
                      <w:fldChar w:fldCharType="end"/>
                    </w:r>
                    <w:r>
                      <w:rPr>
                        <w:rStyle w:val="30"/>
                        <w:rFonts w:hint="eastAsia" w:ascii="宋体" w:hAnsi="宋体"/>
                        <w:sz w:val="20"/>
                      </w:rPr>
                      <w:t xml:space="preserve">  </w:t>
                    </w:r>
                    <w:r>
                      <w:rPr>
                        <w:rStyle w:val="30"/>
                        <w:rFonts w:hint="eastAsia" w:ascii="宋体" w:hAnsi="宋体"/>
                        <w:sz w:val="28"/>
                        <w:szCs w:val="28"/>
                      </w:rPr>
                      <w:t>—</w:t>
                    </w:r>
                  </w:p>
                </w:txbxContent>
              </v:textbox>
            </v:rect>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ECD92F"/>
    <w:multiLevelType w:val="singleLevel"/>
    <w:tmpl w:val="88ECD92F"/>
    <w:lvl w:ilvl="0" w:tentative="0">
      <w:start w:val="1"/>
      <w:numFmt w:val="decimal"/>
      <w:suff w:val="nothing"/>
      <w:lvlText w:val="%1、"/>
      <w:lvlJc w:val="left"/>
    </w:lvl>
  </w:abstractNum>
  <w:abstractNum w:abstractNumId="1">
    <w:nsid w:val="910D109E"/>
    <w:multiLevelType w:val="singleLevel"/>
    <w:tmpl w:val="910D109E"/>
    <w:lvl w:ilvl="0" w:tentative="0">
      <w:start w:val="1"/>
      <w:numFmt w:val="decimal"/>
      <w:suff w:val="nothing"/>
      <w:lvlText w:val="%1、"/>
      <w:lvlJc w:val="left"/>
    </w:lvl>
  </w:abstractNum>
  <w:abstractNum w:abstractNumId="2">
    <w:nsid w:val="97C0A485"/>
    <w:multiLevelType w:val="singleLevel"/>
    <w:tmpl w:val="97C0A485"/>
    <w:lvl w:ilvl="0" w:tentative="0">
      <w:start w:val="1"/>
      <w:numFmt w:val="decimal"/>
      <w:suff w:val="nothing"/>
      <w:lvlText w:val="%1"/>
      <w:lvlJc w:val="left"/>
      <w:pPr>
        <w:ind w:left="0" w:leftChars="0" w:firstLine="0" w:firstLineChars="0"/>
      </w:pPr>
      <w:rPr>
        <w:rFonts w:hint="default"/>
      </w:rPr>
    </w:lvl>
  </w:abstractNum>
  <w:abstractNum w:abstractNumId="3">
    <w:nsid w:val="9F051A9B"/>
    <w:multiLevelType w:val="singleLevel"/>
    <w:tmpl w:val="9F051A9B"/>
    <w:lvl w:ilvl="0" w:tentative="0">
      <w:start w:val="1"/>
      <w:numFmt w:val="decimal"/>
      <w:suff w:val="nothing"/>
      <w:lvlText w:val="%1"/>
      <w:lvlJc w:val="left"/>
      <w:pPr>
        <w:ind w:left="0" w:leftChars="0" w:firstLine="0" w:firstLineChars="0"/>
      </w:pPr>
      <w:rPr>
        <w:rFonts w:hint="default"/>
      </w:rPr>
    </w:lvl>
  </w:abstractNum>
  <w:abstractNum w:abstractNumId="4">
    <w:nsid w:val="9FC87B80"/>
    <w:multiLevelType w:val="singleLevel"/>
    <w:tmpl w:val="9FC87B80"/>
    <w:lvl w:ilvl="0" w:tentative="0">
      <w:start w:val="6"/>
      <w:numFmt w:val="decimal"/>
      <w:suff w:val="nothing"/>
      <w:lvlText w:val="%1、"/>
      <w:lvlJc w:val="left"/>
    </w:lvl>
  </w:abstractNum>
  <w:abstractNum w:abstractNumId="5">
    <w:nsid w:val="C15FF526"/>
    <w:multiLevelType w:val="singleLevel"/>
    <w:tmpl w:val="C15FF526"/>
    <w:lvl w:ilvl="0" w:tentative="0">
      <w:start w:val="5"/>
      <w:numFmt w:val="decimal"/>
      <w:suff w:val="nothing"/>
      <w:lvlText w:val="（%1）"/>
      <w:lvlJc w:val="left"/>
    </w:lvl>
  </w:abstractNum>
  <w:abstractNum w:abstractNumId="6">
    <w:nsid w:val="CBD6FF76"/>
    <w:multiLevelType w:val="multilevel"/>
    <w:tmpl w:val="CBD6FF76"/>
    <w:lvl w:ilvl="0" w:tentative="0">
      <w:start w:val="1"/>
      <w:numFmt w:val="decimal"/>
      <w:suff w:val="nothing"/>
      <w:lvlText w:val="（%1）"/>
      <w:lvlJc w:val="left"/>
      <w:pPr>
        <w:tabs>
          <w:tab w:val="left" w:pos="0"/>
        </w:tabs>
        <w:ind w:left="0" w:firstLine="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7">
    <w:nsid w:val="EF57DB28"/>
    <w:multiLevelType w:val="singleLevel"/>
    <w:tmpl w:val="EF57DB28"/>
    <w:lvl w:ilvl="0" w:tentative="0">
      <w:start w:val="1"/>
      <w:numFmt w:val="decimal"/>
      <w:suff w:val="nothing"/>
      <w:lvlText w:val="%1"/>
      <w:lvlJc w:val="left"/>
      <w:pPr>
        <w:ind w:left="0" w:leftChars="0" w:firstLine="0" w:firstLineChars="0"/>
      </w:pPr>
      <w:rPr>
        <w:rFonts w:hint="default"/>
      </w:rPr>
    </w:lvl>
  </w:abstractNum>
  <w:abstractNum w:abstractNumId="8">
    <w:nsid w:val="F49E86C8"/>
    <w:multiLevelType w:val="singleLevel"/>
    <w:tmpl w:val="F49E86C8"/>
    <w:lvl w:ilvl="0" w:tentative="0">
      <w:start w:val="1"/>
      <w:numFmt w:val="decimal"/>
      <w:suff w:val="nothing"/>
      <w:lvlText w:val="%1"/>
      <w:lvlJc w:val="left"/>
      <w:pPr>
        <w:ind w:left="0" w:leftChars="0" w:firstLine="0" w:firstLineChars="0"/>
      </w:pPr>
      <w:rPr>
        <w:rFonts w:hint="default"/>
      </w:rPr>
    </w:lvl>
  </w:abstractNum>
  <w:abstractNum w:abstractNumId="9">
    <w:nsid w:val="FD7F70CD"/>
    <w:multiLevelType w:val="singleLevel"/>
    <w:tmpl w:val="FD7F70CD"/>
    <w:lvl w:ilvl="0" w:tentative="0">
      <w:start w:val="1"/>
      <w:numFmt w:val="decimal"/>
      <w:suff w:val="nothing"/>
      <w:lvlText w:val="%1、"/>
      <w:lvlJc w:val="left"/>
    </w:lvl>
  </w:abstractNum>
  <w:abstractNum w:abstractNumId="10">
    <w:nsid w:val="00000002"/>
    <w:multiLevelType w:val="singleLevel"/>
    <w:tmpl w:val="00000002"/>
    <w:lvl w:ilvl="0" w:tentative="0">
      <w:start w:val="1"/>
      <w:numFmt w:val="decimal"/>
      <w:suff w:val="nothing"/>
      <w:lvlText w:val="（%1）"/>
      <w:lvlJc w:val="left"/>
    </w:lvl>
  </w:abstractNum>
  <w:abstractNum w:abstractNumId="11">
    <w:nsid w:val="00000003"/>
    <w:multiLevelType w:val="multilevel"/>
    <w:tmpl w:val="00000003"/>
    <w:lvl w:ilvl="0" w:tentative="0">
      <w:start w:val="1"/>
      <w:numFmt w:val="decimal"/>
      <w:isLgl/>
      <w:suff w:val="space"/>
      <w:lvlText w:val="%1"/>
      <w:lvlJc w:val="center"/>
      <w:pPr>
        <w:tabs>
          <w:tab w:val="left" w:pos="0"/>
        </w:tabs>
        <w:ind w:left="2694" w:firstLine="0"/>
      </w:pPr>
      <w:rPr>
        <w:rFonts w:hint="default" w:ascii="宋体" w:hAnsi="宋体" w:eastAsia="宋体" w:cs="宋体"/>
        <w:b/>
        <w:i w:val="0"/>
        <w:sz w:val="36"/>
        <w:szCs w:val="36"/>
      </w:rPr>
    </w:lvl>
    <w:lvl w:ilvl="1" w:tentative="0">
      <w:start w:val="1"/>
      <w:numFmt w:val="decimal"/>
      <w:isLgl/>
      <w:suff w:val="space"/>
      <w:lvlText w:val="%1.%2"/>
      <w:lvlJc w:val="left"/>
      <w:pPr>
        <w:tabs>
          <w:tab w:val="left" w:pos="0"/>
        </w:tabs>
        <w:ind w:left="0" w:firstLine="426"/>
      </w:pPr>
      <w:rPr>
        <w:b w:val="0"/>
        <w:bCs w:val="0"/>
        <w:i w:val="0"/>
        <w:iCs w:val="0"/>
        <w:caps w:val="0"/>
        <w:smallCaps w:val="0"/>
        <w:vanish w:val="0"/>
        <w:spacing w:val="0"/>
        <w:position w:val="0"/>
        <w:u w:val="none"/>
        <w:vertAlign w:val="baseline"/>
      </w:rPr>
    </w:lvl>
    <w:lvl w:ilvl="2" w:tentative="0">
      <w:start w:val="1"/>
      <w:numFmt w:val="decimal"/>
      <w:isLgl/>
      <w:suff w:val="space"/>
      <w:lvlText w:val="%1.%2.%3"/>
      <w:lvlJc w:val="left"/>
      <w:pPr>
        <w:tabs>
          <w:tab w:val="left" w:pos="0"/>
        </w:tabs>
        <w:ind w:left="0" w:firstLine="0"/>
      </w:pPr>
      <w:rPr>
        <w:rFonts w:hint="default" w:ascii="Times New Roman" w:hAnsi="Times New Roman" w:eastAsia="宋体" w:cs="宋体"/>
        <w:lang w:val="en-US"/>
      </w:rPr>
    </w:lvl>
    <w:lvl w:ilvl="3" w:tentative="0">
      <w:start w:val="1"/>
      <w:numFmt w:val="decimal"/>
      <w:suff w:val="space"/>
      <w:lvlText w:val="%1.%2.%3.%4"/>
      <w:lvlJc w:val="left"/>
      <w:pPr>
        <w:tabs>
          <w:tab w:val="left" w:pos="0"/>
        </w:tabs>
        <w:ind w:left="0" w:firstLine="0"/>
      </w:pPr>
      <w:rPr>
        <w:rFonts w:hint="default" w:ascii="Times New Roman" w:hAnsi="Times New Roman" w:eastAsia="宋体" w:cs="宋体"/>
        <w:b/>
        <w:i w:val="0"/>
      </w:rPr>
    </w:lvl>
    <w:lvl w:ilvl="4" w:tentative="0">
      <w:start w:val="1"/>
      <w:numFmt w:val="decimal"/>
      <w:pStyle w:val="6"/>
      <w:suff w:val="space"/>
      <w:lvlText w:val="图%1.%2-%5"/>
      <w:lvlJc w:val="left"/>
      <w:pPr>
        <w:tabs>
          <w:tab w:val="left" w:pos="0"/>
        </w:tabs>
        <w:ind w:left="10482" w:hanging="850"/>
      </w:pPr>
      <w:rPr>
        <w:rFonts w:hint="default" w:ascii="Times New Roman" w:hAnsi="Times New Roman" w:eastAsia="宋体" w:cs="宋体"/>
      </w:rPr>
    </w:lvl>
    <w:lvl w:ilvl="5" w:tentative="0">
      <w:start w:val="1"/>
      <w:numFmt w:val="decimal"/>
      <w:suff w:val="space"/>
      <w:lvlText w:val="表%1.%2-%6"/>
      <w:lvlJc w:val="left"/>
      <w:pPr>
        <w:tabs>
          <w:tab w:val="left" w:pos="1047"/>
        </w:tabs>
        <w:ind w:left="4253" w:hanging="1134"/>
      </w:pPr>
      <w:rPr>
        <w:rFonts w:hint="default"/>
        <w:b/>
        <w:bCs w:val="0"/>
        <w:i w:val="0"/>
        <w:iCs w:val="0"/>
        <w:caps w:val="0"/>
        <w:smallCaps w:val="0"/>
        <w:vanish w:val="0"/>
        <w:spacing w:val="0"/>
        <w:position w:val="0"/>
        <w:sz w:val="21"/>
        <w:szCs w:val="22"/>
        <w:u w:val="none"/>
        <w:vertAlign w:val="baseline"/>
        <w:lang w:val="en-US"/>
      </w:rPr>
    </w:lvl>
    <w:lvl w:ilvl="6" w:tentative="0">
      <w:start w:val="1"/>
      <w:numFmt w:val="decimal"/>
      <w:lvlText w:val="%1.%2.%3.%4.%5.%6.%7"/>
      <w:lvlJc w:val="left"/>
      <w:pPr>
        <w:tabs>
          <w:tab w:val="left" w:pos="5017"/>
        </w:tabs>
        <w:ind w:left="3773" w:hanging="1276"/>
      </w:pPr>
      <w:rPr>
        <w:rFonts w:hint="eastAsia"/>
      </w:rPr>
    </w:lvl>
    <w:lvl w:ilvl="7" w:tentative="0">
      <w:start w:val="1"/>
      <w:numFmt w:val="decimal"/>
      <w:lvlText w:val="%1.%2.%3.%4.%5.%6.%7.%8"/>
      <w:lvlJc w:val="left"/>
      <w:pPr>
        <w:tabs>
          <w:tab w:val="left" w:pos="5442"/>
        </w:tabs>
        <w:ind w:left="4340" w:hanging="1418"/>
      </w:pPr>
      <w:rPr>
        <w:rFonts w:hint="eastAsia"/>
      </w:rPr>
    </w:lvl>
    <w:lvl w:ilvl="8" w:tentative="0">
      <w:start w:val="1"/>
      <w:numFmt w:val="decimal"/>
      <w:lvlText w:val="%1.%2.%3.%4.%5.%6.%7.%8.%9"/>
      <w:lvlJc w:val="left"/>
      <w:pPr>
        <w:tabs>
          <w:tab w:val="left" w:pos="6228"/>
        </w:tabs>
        <w:ind w:left="5048" w:hanging="1700"/>
      </w:pPr>
      <w:rPr>
        <w:rFonts w:hint="eastAsia"/>
      </w:rPr>
    </w:lvl>
  </w:abstractNum>
  <w:abstractNum w:abstractNumId="12">
    <w:nsid w:val="00000004"/>
    <w:multiLevelType w:val="multilevel"/>
    <w:tmpl w:val="00000004"/>
    <w:lvl w:ilvl="0" w:tentative="0">
      <w:start w:val="1"/>
      <w:numFmt w:val="decimal"/>
      <w:suff w:val="nothing"/>
      <w:lvlText w:val="（%1）"/>
      <w:lvlJc w:val="left"/>
      <w:pPr>
        <w:tabs>
          <w:tab w:val="left" w:pos="0"/>
        </w:tabs>
        <w:ind w:left="0" w:firstLine="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3">
    <w:nsid w:val="00000005"/>
    <w:multiLevelType w:val="singleLevel"/>
    <w:tmpl w:val="00000005"/>
    <w:lvl w:ilvl="0" w:tentative="0">
      <w:start w:val="1"/>
      <w:numFmt w:val="bullet"/>
      <w:pStyle w:val="14"/>
      <w:lvlText w:val=""/>
      <w:lvlJc w:val="left"/>
      <w:pPr>
        <w:tabs>
          <w:tab w:val="left" w:pos="2040"/>
        </w:tabs>
        <w:ind w:left="2040" w:hanging="360"/>
      </w:pPr>
      <w:rPr>
        <w:rFonts w:hint="default" w:ascii="Wingdings" w:hAnsi="Wingdings"/>
      </w:rPr>
    </w:lvl>
  </w:abstractNum>
  <w:abstractNum w:abstractNumId="14">
    <w:nsid w:val="0FB42F65"/>
    <w:multiLevelType w:val="singleLevel"/>
    <w:tmpl w:val="0FB42F65"/>
    <w:lvl w:ilvl="0" w:tentative="0">
      <w:start w:val="1"/>
      <w:numFmt w:val="decimal"/>
      <w:suff w:val="nothing"/>
      <w:lvlText w:val="%1"/>
      <w:lvlJc w:val="left"/>
      <w:pPr>
        <w:ind w:left="0" w:leftChars="0" w:firstLine="0" w:firstLineChars="0"/>
      </w:pPr>
      <w:rPr>
        <w:rFonts w:hint="default"/>
      </w:rPr>
    </w:lvl>
  </w:abstractNum>
  <w:abstractNum w:abstractNumId="15">
    <w:nsid w:val="2BEAB912"/>
    <w:multiLevelType w:val="singleLevel"/>
    <w:tmpl w:val="2BEAB912"/>
    <w:lvl w:ilvl="0" w:tentative="0">
      <w:start w:val="1"/>
      <w:numFmt w:val="decimal"/>
      <w:suff w:val="nothing"/>
      <w:lvlText w:val="%1、"/>
      <w:lvlJc w:val="left"/>
    </w:lvl>
  </w:abstractNum>
  <w:abstractNum w:abstractNumId="16">
    <w:nsid w:val="2EE1BD4A"/>
    <w:multiLevelType w:val="singleLevel"/>
    <w:tmpl w:val="2EE1BD4A"/>
    <w:lvl w:ilvl="0" w:tentative="0">
      <w:start w:val="1"/>
      <w:numFmt w:val="decimal"/>
      <w:suff w:val="nothing"/>
      <w:lvlText w:val="%1"/>
      <w:lvlJc w:val="left"/>
      <w:pPr>
        <w:ind w:left="0" w:leftChars="0" w:firstLine="0" w:firstLineChars="0"/>
      </w:pPr>
      <w:rPr>
        <w:rFonts w:hint="default"/>
      </w:rPr>
    </w:lvl>
  </w:abstractNum>
  <w:abstractNum w:abstractNumId="17">
    <w:nsid w:val="70DB5FA7"/>
    <w:multiLevelType w:val="singleLevel"/>
    <w:tmpl w:val="70DB5FA7"/>
    <w:lvl w:ilvl="0" w:tentative="0">
      <w:start w:val="1"/>
      <w:numFmt w:val="decimal"/>
      <w:suff w:val="nothing"/>
      <w:lvlText w:val="%1"/>
      <w:lvlJc w:val="left"/>
      <w:pPr>
        <w:ind w:left="0" w:leftChars="0" w:firstLine="0" w:firstLineChars="0"/>
      </w:pPr>
      <w:rPr>
        <w:rFonts w:hint="default"/>
      </w:rPr>
    </w:lvl>
  </w:abstractNum>
  <w:num w:numId="1">
    <w:abstractNumId w:val="11"/>
  </w:num>
  <w:num w:numId="2">
    <w:abstractNumId w:val="13"/>
  </w:num>
  <w:num w:numId="3">
    <w:abstractNumId w:val="1"/>
  </w:num>
  <w:num w:numId="4">
    <w:abstractNumId w:val="15"/>
  </w:num>
  <w:num w:numId="5">
    <w:abstractNumId w:val="0"/>
  </w:num>
  <w:num w:numId="6">
    <w:abstractNumId w:val="9"/>
  </w:num>
  <w:num w:numId="7">
    <w:abstractNumId w:val="4"/>
  </w:num>
  <w:num w:numId="8">
    <w:abstractNumId w:val="5"/>
  </w:num>
  <w:num w:numId="9">
    <w:abstractNumId w:val="16"/>
  </w:num>
  <w:num w:numId="10">
    <w:abstractNumId w:val="12"/>
  </w:num>
  <w:num w:numId="11">
    <w:abstractNumId w:val="3"/>
  </w:num>
  <w:num w:numId="12">
    <w:abstractNumId w:val="6"/>
  </w:num>
  <w:num w:numId="13">
    <w:abstractNumId w:val="17"/>
  </w:num>
  <w:num w:numId="14">
    <w:abstractNumId w:val="14"/>
  </w:num>
  <w:num w:numId="15">
    <w:abstractNumId w:val="2"/>
  </w:num>
  <w:num w:numId="16">
    <w:abstractNumId w:val="7"/>
  </w:num>
  <w:num w:numId="17">
    <w:abstractNumId w:val="10"/>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bordersDoNotSurroundHeader w:val="0"/>
  <w:bordersDoNotSurroundFooter w:val="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420"/>
  <w:doNotHyphenateCaps/>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EyNTMxMDA2MDI1OTRkZjcwNzEwZjYyMThiZGFhZjIifQ=="/>
  </w:docVars>
  <w:rsids>
    <w:rsidRoot w:val="00172A27"/>
    <w:rsid w:val="00013654"/>
    <w:rsid w:val="000C1FF9"/>
    <w:rsid w:val="00163C58"/>
    <w:rsid w:val="00171270"/>
    <w:rsid w:val="00176349"/>
    <w:rsid w:val="00186D23"/>
    <w:rsid w:val="001A64C4"/>
    <w:rsid w:val="00213F88"/>
    <w:rsid w:val="002501D5"/>
    <w:rsid w:val="002B4765"/>
    <w:rsid w:val="002C55D6"/>
    <w:rsid w:val="002D0A4F"/>
    <w:rsid w:val="002E1F6F"/>
    <w:rsid w:val="00382DEE"/>
    <w:rsid w:val="003A0914"/>
    <w:rsid w:val="003A4DB8"/>
    <w:rsid w:val="003B2DA2"/>
    <w:rsid w:val="00441793"/>
    <w:rsid w:val="00443541"/>
    <w:rsid w:val="004C5B72"/>
    <w:rsid w:val="004E0863"/>
    <w:rsid w:val="00522D10"/>
    <w:rsid w:val="005641A0"/>
    <w:rsid w:val="005B7C79"/>
    <w:rsid w:val="005C0F6E"/>
    <w:rsid w:val="005D093F"/>
    <w:rsid w:val="0066722F"/>
    <w:rsid w:val="00690EB0"/>
    <w:rsid w:val="006A260C"/>
    <w:rsid w:val="006B2DAF"/>
    <w:rsid w:val="00744674"/>
    <w:rsid w:val="00751740"/>
    <w:rsid w:val="007E5E92"/>
    <w:rsid w:val="008157E8"/>
    <w:rsid w:val="0090096F"/>
    <w:rsid w:val="009B6DC5"/>
    <w:rsid w:val="009C15CF"/>
    <w:rsid w:val="009D0EA3"/>
    <w:rsid w:val="00A34F47"/>
    <w:rsid w:val="00A65FA9"/>
    <w:rsid w:val="00AB7AED"/>
    <w:rsid w:val="00AC542E"/>
    <w:rsid w:val="00AF1302"/>
    <w:rsid w:val="00B06E28"/>
    <w:rsid w:val="00BA1A55"/>
    <w:rsid w:val="00BE58D3"/>
    <w:rsid w:val="00C50B26"/>
    <w:rsid w:val="00C53D08"/>
    <w:rsid w:val="00C80754"/>
    <w:rsid w:val="00C912F2"/>
    <w:rsid w:val="00CA3D2D"/>
    <w:rsid w:val="00CB6641"/>
    <w:rsid w:val="00CD07EB"/>
    <w:rsid w:val="00D01AE7"/>
    <w:rsid w:val="00D23242"/>
    <w:rsid w:val="00D9012D"/>
    <w:rsid w:val="00DA0B86"/>
    <w:rsid w:val="00DE1BE7"/>
    <w:rsid w:val="00DF3F59"/>
    <w:rsid w:val="00E32D5A"/>
    <w:rsid w:val="00E3393D"/>
    <w:rsid w:val="00E40880"/>
    <w:rsid w:val="00E80370"/>
    <w:rsid w:val="00E846E5"/>
    <w:rsid w:val="00F21C69"/>
    <w:rsid w:val="00F50CDF"/>
    <w:rsid w:val="00FA00A3"/>
    <w:rsid w:val="00FB1CC0"/>
    <w:rsid w:val="00FC49A9"/>
    <w:rsid w:val="01080A12"/>
    <w:rsid w:val="010C0502"/>
    <w:rsid w:val="010D6346"/>
    <w:rsid w:val="010F3B4F"/>
    <w:rsid w:val="011473B7"/>
    <w:rsid w:val="0117277C"/>
    <w:rsid w:val="011A3176"/>
    <w:rsid w:val="011B572A"/>
    <w:rsid w:val="011C44BE"/>
    <w:rsid w:val="01231B3C"/>
    <w:rsid w:val="012515C4"/>
    <w:rsid w:val="012617C3"/>
    <w:rsid w:val="0127533C"/>
    <w:rsid w:val="013303CB"/>
    <w:rsid w:val="01385378"/>
    <w:rsid w:val="0140411C"/>
    <w:rsid w:val="0143677F"/>
    <w:rsid w:val="0147153B"/>
    <w:rsid w:val="014940A9"/>
    <w:rsid w:val="014C4DA3"/>
    <w:rsid w:val="01521C8D"/>
    <w:rsid w:val="01535CEB"/>
    <w:rsid w:val="0159301C"/>
    <w:rsid w:val="015A5CF5"/>
    <w:rsid w:val="015A6147"/>
    <w:rsid w:val="016205A5"/>
    <w:rsid w:val="01653BA4"/>
    <w:rsid w:val="0167511D"/>
    <w:rsid w:val="01675BCF"/>
    <w:rsid w:val="016814B1"/>
    <w:rsid w:val="016E54D2"/>
    <w:rsid w:val="016F45ED"/>
    <w:rsid w:val="01703E3E"/>
    <w:rsid w:val="01743003"/>
    <w:rsid w:val="017442FA"/>
    <w:rsid w:val="01776E16"/>
    <w:rsid w:val="018067FB"/>
    <w:rsid w:val="01814321"/>
    <w:rsid w:val="018C4030"/>
    <w:rsid w:val="018C519F"/>
    <w:rsid w:val="01934780"/>
    <w:rsid w:val="01993D60"/>
    <w:rsid w:val="019A40DD"/>
    <w:rsid w:val="019C1FF8"/>
    <w:rsid w:val="019E4ED3"/>
    <w:rsid w:val="019E4F97"/>
    <w:rsid w:val="01A66FF4"/>
    <w:rsid w:val="01A97EBB"/>
    <w:rsid w:val="01AD5116"/>
    <w:rsid w:val="01B464A4"/>
    <w:rsid w:val="01B97F5E"/>
    <w:rsid w:val="01BB67CA"/>
    <w:rsid w:val="01C7267B"/>
    <w:rsid w:val="01C92466"/>
    <w:rsid w:val="01CC3505"/>
    <w:rsid w:val="01CC7C92"/>
    <w:rsid w:val="01CE3A0A"/>
    <w:rsid w:val="01D6494A"/>
    <w:rsid w:val="01DB61CE"/>
    <w:rsid w:val="01DD59FB"/>
    <w:rsid w:val="01E3419E"/>
    <w:rsid w:val="01E42F2D"/>
    <w:rsid w:val="01F27B7B"/>
    <w:rsid w:val="01FE5971"/>
    <w:rsid w:val="0204742C"/>
    <w:rsid w:val="02076802"/>
    <w:rsid w:val="02144575"/>
    <w:rsid w:val="02182ED7"/>
    <w:rsid w:val="02185696"/>
    <w:rsid w:val="021900C6"/>
    <w:rsid w:val="022535E9"/>
    <w:rsid w:val="022E2C35"/>
    <w:rsid w:val="023217AD"/>
    <w:rsid w:val="02331ABF"/>
    <w:rsid w:val="02393535"/>
    <w:rsid w:val="023B3E44"/>
    <w:rsid w:val="023F50A1"/>
    <w:rsid w:val="024227E5"/>
    <w:rsid w:val="02425D36"/>
    <w:rsid w:val="0244793D"/>
    <w:rsid w:val="024960FC"/>
    <w:rsid w:val="02497534"/>
    <w:rsid w:val="02535CBD"/>
    <w:rsid w:val="02565B1B"/>
    <w:rsid w:val="025B0D98"/>
    <w:rsid w:val="025C30E2"/>
    <w:rsid w:val="025F4662"/>
    <w:rsid w:val="026069C6"/>
    <w:rsid w:val="0261527D"/>
    <w:rsid w:val="02637372"/>
    <w:rsid w:val="02662FA6"/>
    <w:rsid w:val="026669DA"/>
    <w:rsid w:val="026779BA"/>
    <w:rsid w:val="02720839"/>
    <w:rsid w:val="02754146"/>
    <w:rsid w:val="02873BB9"/>
    <w:rsid w:val="028820E8"/>
    <w:rsid w:val="02895B83"/>
    <w:rsid w:val="0295423D"/>
    <w:rsid w:val="02963DFC"/>
    <w:rsid w:val="029C58B6"/>
    <w:rsid w:val="029E162E"/>
    <w:rsid w:val="02A039BD"/>
    <w:rsid w:val="02A7347D"/>
    <w:rsid w:val="02B45894"/>
    <w:rsid w:val="02B47A21"/>
    <w:rsid w:val="02C320C6"/>
    <w:rsid w:val="02C40969"/>
    <w:rsid w:val="02C62933"/>
    <w:rsid w:val="02D1729F"/>
    <w:rsid w:val="02E57C4C"/>
    <w:rsid w:val="02E64D83"/>
    <w:rsid w:val="02E910D4"/>
    <w:rsid w:val="02EA7AB7"/>
    <w:rsid w:val="02F51F0C"/>
    <w:rsid w:val="02FA25DD"/>
    <w:rsid w:val="02FD0253"/>
    <w:rsid w:val="02FD2D69"/>
    <w:rsid w:val="030B6598"/>
    <w:rsid w:val="030C5C37"/>
    <w:rsid w:val="03101E00"/>
    <w:rsid w:val="03103BAE"/>
    <w:rsid w:val="03166778"/>
    <w:rsid w:val="03194B7A"/>
    <w:rsid w:val="03195159"/>
    <w:rsid w:val="032320F3"/>
    <w:rsid w:val="03237D85"/>
    <w:rsid w:val="03256555"/>
    <w:rsid w:val="03261624"/>
    <w:rsid w:val="032770F0"/>
    <w:rsid w:val="0328714A"/>
    <w:rsid w:val="032A1043"/>
    <w:rsid w:val="032B3A67"/>
    <w:rsid w:val="032F04D8"/>
    <w:rsid w:val="032F1296"/>
    <w:rsid w:val="033243BE"/>
    <w:rsid w:val="03324729"/>
    <w:rsid w:val="03343D40"/>
    <w:rsid w:val="033647B3"/>
    <w:rsid w:val="03384FAA"/>
    <w:rsid w:val="03394EB3"/>
    <w:rsid w:val="034018FF"/>
    <w:rsid w:val="03561F09"/>
    <w:rsid w:val="03575C81"/>
    <w:rsid w:val="035A7259"/>
    <w:rsid w:val="036A7762"/>
    <w:rsid w:val="036F2FCB"/>
    <w:rsid w:val="037153A5"/>
    <w:rsid w:val="037800D1"/>
    <w:rsid w:val="03796F71"/>
    <w:rsid w:val="037A0CC5"/>
    <w:rsid w:val="037C1EEB"/>
    <w:rsid w:val="037C7BD8"/>
    <w:rsid w:val="0381399D"/>
    <w:rsid w:val="0391028F"/>
    <w:rsid w:val="039205C0"/>
    <w:rsid w:val="03923BDD"/>
    <w:rsid w:val="03965E35"/>
    <w:rsid w:val="03A861F0"/>
    <w:rsid w:val="03A965F3"/>
    <w:rsid w:val="03AA6FCE"/>
    <w:rsid w:val="03AC7D7B"/>
    <w:rsid w:val="03B41B21"/>
    <w:rsid w:val="03B46C2F"/>
    <w:rsid w:val="03BE360A"/>
    <w:rsid w:val="03C03826"/>
    <w:rsid w:val="03C04BBB"/>
    <w:rsid w:val="03C42B10"/>
    <w:rsid w:val="03C71478"/>
    <w:rsid w:val="03CF179A"/>
    <w:rsid w:val="03D16852"/>
    <w:rsid w:val="03DB76BD"/>
    <w:rsid w:val="03DC084E"/>
    <w:rsid w:val="03DD7F34"/>
    <w:rsid w:val="03E42EB0"/>
    <w:rsid w:val="03E523AF"/>
    <w:rsid w:val="03F11C32"/>
    <w:rsid w:val="03F37758"/>
    <w:rsid w:val="03F45790"/>
    <w:rsid w:val="03FF3E8D"/>
    <w:rsid w:val="04071455"/>
    <w:rsid w:val="040C70AC"/>
    <w:rsid w:val="04114082"/>
    <w:rsid w:val="04115E30"/>
    <w:rsid w:val="04134797"/>
    <w:rsid w:val="041A2F36"/>
    <w:rsid w:val="041B4189"/>
    <w:rsid w:val="041B4819"/>
    <w:rsid w:val="041D2A27"/>
    <w:rsid w:val="0429567B"/>
    <w:rsid w:val="042A5AF7"/>
    <w:rsid w:val="04333FF8"/>
    <w:rsid w:val="04344C2B"/>
    <w:rsid w:val="043760A5"/>
    <w:rsid w:val="043F474B"/>
    <w:rsid w:val="044143A4"/>
    <w:rsid w:val="04441D61"/>
    <w:rsid w:val="04587485"/>
    <w:rsid w:val="045D5BC2"/>
    <w:rsid w:val="045E5812"/>
    <w:rsid w:val="0461636B"/>
    <w:rsid w:val="046E798D"/>
    <w:rsid w:val="04707BA2"/>
    <w:rsid w:val="047E4F6C"/>
    <w:rsid w:val="048110D0"/>
    <w:rsid w:val="04826D2E"/>
    <w:rsid w:val="04882551"/>
    <w:rsid w:val="048C3708"/>
    <w:rsid w:val="049654A1"/>
    <w:rsid w:val="049D275A"/>
    <w:rsid w:val="049E6760"/>
    <w:rsid w:val="049F5493"/>
    <w:rsid w:val="04A60F90"/>
    <w:rsid w:val="04A71B2E"/>
    <w:rsid w:val="04AB1DE0"/>
    <w:rsid w:val="04AB53E0"/>
    <w:rsid w:val="04AC47C9"/>
    <w:rsid w:val="04BC223F"/>
    <w:rsid w:val="04BE3B3D"/>
    <w:rsid w:val="04BF588C"/>
    <w:rsid w:val="04C64E6C"/>
    <w:rsid w:val="04CB4231"/>
    <w:rsid w:val="04CC1D57"/>
    <w:rsid w:val="04CD7FA9"/>
    <w:rsid w:val="04CF59A8"/>
    <w:rsid w:val="04CF72AA"/>
    <w:rsid w:val="04D22E24"/>
    <w:rsid w:val="04D4390F"/>
    <w:rsid w:val="04DD1062"/>
    <w:rsid w:val="04DF6DDD"/>
    <w:rsid w:val="04E13A54"/>
    <w:rsid w:val="04E572B1"/>
    <w:rsid w:val="04E62E18"/>
    <w:rsid w:val="04E735A3"/>
    <w:rsid w:val="04EC4DC2"/>
    <w:rsid w:val="04ED41A7"/>
    <w:rsid w:val="04F574FF"/>
    <w:rsid w:val="04F63B35"/>
    <w:rsid w:val="04FA0583"/>
    <w:rsid w:val="05033B75"/>
    <w:rsid w:val="050A0F43"/>
    <w:rsid w:val="051200B1"/>
    <w:rsid w:val="05141CEE"/>
    <w:rsid w:val="05157BA2"/>
    <w:rsid w:val="05177476"/>
    <w:rsid w:val="051C2CDE"/>
    <w:rsid w:val="051E25B2"/>
    <w:rsid w:val="05203638"/>
    <w:rsid w:val="05235E1B"/>
    <w:rsid w:val="052457E3"/>
    <w:rsid w:val="05355842"/>
    <w:rsid w:val="053A3B22"/>
    <w:rsid w:val="053C6CD4"/>
    <w:rsid w:val="054229B7"/>
    <w:rsid w:val="0548762F"/>
    <w:rsid w:val="05500BDA"/>
    <w:rsid w:val="05545110"/>
    <w:rsid w:val="05547983"/>
    <w:rsid w:val="0563090D"/>
    <w:rsid w:val="056401E1"/>
    <w:rsid w:val="056521FD"/>
    <w:rsid w:val="0568505A"/>
    <w:rsid w:val="056C36CD"/>
    <w:rsid w:val="056F70F7"/>
    <w:rsid w:val="05706602"/>
    <w:rsid w:val="057523EE"/>
    <w:rsid w:val="057866A9"/>
    <w:rsid w:val="057A0A3C"/>
    <w:rsid w:val="05812B41"/>
    <w:rsid w:val="058149E1"/>
    <w:rsid w:val="0588243D"/>
    <w:rsid w:val="05883ED0"/>
    <w:rsid w:val="058C1C12"/>
    <w:rsid w:val="05913C94"/>
    <w:rsid w:val="05993309"/>
    <w:rsid w:val="059E0C1C"/>
    <w:rsid w:val="05A351AD"/>
    <w:rsid w:val="05AA02EA"/>
    <w:rsid w:val="05AD3936"/>
    <w:rsid w:val="05AD616D"/>
    <w:rsid w:val="05B2719F"/>
    <w:rsid w:val="05B546A0"/>
    <w:rsid w:val="05B97751"/>
    <w:rsid w:val="05BE6CDA"/>
    <w:rsid w:val="05BF08FF"/>
    <w:rsid w:val="05BF76B4"/>
    <w:rsid w:val="05C14567"/>
    <w:rsid w:val="05CE2C1B"/>
    <w:rsid w:val="05CE7FF0"/>
    <w:rsid w:val="05CF7265"/>
    <w:rsid w:val="05DC49B6"/>
    <w:rsid w:val="05DF2E24"/>
    <w:rsid w:val="05E10DA9"/>
    <w:rsid w:val="05EF1AC1"/>
    <w:rsid w:val="05F15F19"/>
    <w:rsid w:val="05F23A3F"/>
    <w:rsid w:val="05F35E11"/>
    <w:rsid w:val="05FB5A9A"/>
    <w:rsid w:val="05FD32C9"/>
    <w:rsid w:val="05FD48BE"/>
    <w:rsid w:val="06021ED4"/>
    <w:rsid w:val="0604693C"/>
    <w:rsid w:val="06081930"/>
    <w:rsid w:val="060C62A8"/>
    <w:rsid w:val="060C6775"/>
    <w:rsid w:val="060F2573"/>
    <w:rsid w:val="0612484F"/>
    <w:rsid w:val="0613653C"/>
    <w:rsid w:val="0618108D"/>
    <w:rsid w:val="0619569B"/>
    <w:rsid w:val="061D1807"/>
    <w:rsid w:val="061D4E6B"/>
    <w:rsid w:val="062A48B1"/>
    <w:rsid w:val="062B007A"/>
    <w:rsid w:val="062E4A77"/>
    <w:rsid w:val="063130C9"/>
    <w:rsid w:val="06316315"/>
    <w:rsid w:val="06373010"/>
    <w:rsid w:val="06405665"/>
    <w:rsid w:val="06497B03"/>
    <w:rsid w:val="064B562A"/>
    <w:rsid w:val="064F1CCC"/>
    <w:rsid w:val="064F2C3F"/>
    <w:rsid w:val="06513245"/>
    <w:rsid w:val="06513A19"/>
    <w:rsid w:val="06547EDB"/>
    <w:rsid w:val="065648A9"/>
    <w:rsid w:val="065A4E0E"/>
    <w:rsid w:val="065E775E"/>
    <w:rsid w:val="066F6E3E"/>
    <w:rsid w:val="067C38A5"/>
    <w:rsid w:val="06821161"/>
    <w:rsid w:val="068B76F7"/>
    <w:rsid w:val="068E086F"/>
    <w:rsid w:val="068E3E81"/>
    <w:rsid w:val="068F4ECB"/>
    <w:rsid w:val="06911A9E"/>
    <w:rsid w:val="06922615"/>
    <w:rsid w:val="06936FD0"/>
    <w:rsid w:val="06A44D39"/>
    <w:rsid w:val="06A507B2"/>
    <w:rsid w:val="06A72A7B"/>
    <w:rsid w:val="06A8191B"/>
    <w:rsid w:val="06B238FA"/>
    <w:rsid w:val="06B35987"/>
    <w:rsid w:val="06B75327"/>
    <w:rsid w:val="06C54CB0"/>
    <w:rsid w:val="06CA2C2A"/>
    <w:rsid w:val="06CD5281"/>
    <w:rsid w:val="06D32584"/>
    <w:rsid w:val="06DE46EF"/>
    <w:rsid w:val="06E12710"/>
    <w:rsid w:val="06E42BFA"/>
    <w:rsid w:val="06E552F4"/>
    <w:rsid w:val="06E8731C"/>
    <w:rsid w:val="06EA0626"/>
    <w:rsid w:val="06EE4206"/>
    <w:rsid w:val="06EF5A6F"/>
    <w:rsid w:val="06F44109"/>
    <w:rsid w:val="06F86E33"/>
    <w:rsid w:val="06FD269B"/>
    <w:rsid w:val="0714287C"/>
    <w:rsid w:val="07153569"/>
    <w:rsid w:val="07153AA1"/>
    <w:rsid w:val="071579E5"/>
    <w:rsid w:val="071E5658"/>
    <w:rsid w:val="071F0864"/>
    <w:rsid w:val="072145DC"/>
    <w:rsid w:val="07253325"/>
    <w:rsid w:val="072901CB"/>
    <w:rsid w:val="07395451"/>
    <w:rsid w:val="073D0CEA"/>
    <w:rsid w:val="07434BE5"/>
    <w:rsid w:val="074402CA"/>
    <w:rsid w:val="0753050F"/>
    <w:rsid w:val="07577003"/>
    <w:rsid w:val="075E138C"/>
    <w:rsid w:val="075E313A"/>
    <w:rsid w:val="075E75DE"/>
    <w:rsid w:val="075F5104"/>
    <w:rsid w:val="07610E7C"/>
    <w:rsid w:val="07666CB3"/>
    <w:rsid w:val="07691ABC"/>
    <w:rsid w:val="07697D31"/>
    <w:rsid w:val="076E02B0"/>
    <w:rsid w:val="077445F6"/>
    <w:rsid w:val="077650E4"/>
    <w:rsid w:val="07782652"/>
    <w:rsid w:val="077A61E5"/>
    <w:rsid w:val="078132CC"/>
    <w:rsid w:val="078F7797"/>
    <w:rsid w:val="0797489E"/>
    <w:rsid w:val="079A613C"/>
    <w:rsid w:val="07A019A5"/>
    <w:rsid w:val="07A548CB"/>
    <w:rsid w:val="07A80690"/>
    <w:rsid w:val="07BC2556"/>
    <w:rsid w:val="07BC7B64"/>
    <w:rsid w:val="07BF1D88"/>
    <w:rsid w:val="07C531B9"/>
    <w:rsid w:val="07C6096D"/>
    <w:rsid w:val="07C80EFB"/>
    <w:rsid w:val="07D34FAC"/>
    <w:rsid w:val="07D433FC"/>
    <w:rsid w:val="07D478A0"/>
    <w:rsid w:val="07DF2817"/>
    <w:rsid w:val="07E22B96"/>
    <w:rsid w:val="07E57052"/>
    <w:rsid w:val="07EA47F3"/>
    <w:rsid w:val="07F04785"/>
    <w:rsid w:val="07F7533D"/>
    <w:rsid w:val="07F92E63"/>
    <w:rsid w:val="07FB4E2D"/>
    <w:rsid w:val="07FD6DF7"/>
    <w:rsid w:val="080106B7"/>
    <w:rsid w:val="0802172A"/>
    <w:rsid w:val="08053EFD"/>
    <w:rsid w:val="080C703A"/>
    <w:rsid w:val="080F08D8"/>
    <w:rsid w:val="08145EEF"/>
    <w:rsid w:val="081B727D"/>
    <w:rsid w:val="08201D0B"/>
    <w:rsid w:val="082425D6"/>
    <w:rsid w:val="08422A5C"/>
    <w:rsid w:val="0847179D"/>
    <w:rsid w:val="08495703"/>
    <w:rsid w:val="0854453D"/>
    <w:rsid w:val="08586CA8"/>
    <w:rsid w:val="085878B9"/>
    <w:rsid w:val="08591B53"/>
    <w:rsid w:val="085B1D6F"/>
    <w:rsid w:val="085C571A"/>
    <w:rsid w:val="085C5735"/>
    <w:rsid w:val="085E716A"/>
    <w:rsid w:val="08601134"/>
    <w:rsid w:val="086519E1"/>
    <w:rsid w:val="08674142"/>
    <w:rsid w:val="086C5D2B"/>
    <w:rsid w:val="087846CF"/>
    <w:rsid w:val="087B7D1C"/>
    <w:rsid w:val="087F780C"/>
    <w:rsid w:val="088017D6"/>
    <w:rsid w:val="0883335E"/>
    <w:rsid w:val="08834CDA"/>
    <w:rsid w:val="08836BD0"/>
    <w:rsid w:val="08851FE1"/>
    <w:rsid w:val="08864D60"/>
    <w:rsid w:val="08892439"/>
    <w:rsid w:val="088A64CF"/>
    <w:rsid w:val="088C7DB3"/>
    <w:rsid w:val="088C7F6F"/>
    <w:rsid w:val="08901A19"/>
    <w:rsid w:val="08961D1A"/>
    <w:rsid w:val="08B5322E"/>
    <w:rsid w:val="08C30443"/>
    <w:rsid w:val="08C6543B"/>
    <w:rsid w:val="08C72F61"/>
    <w:rsid w:val="08D062B9"/>
    <w:rsid w:val="08D12032"/>
    <w:rsid w:val="08D12C20"/>
    <w:rsid w:val="08D55DE2"/>
    <w:rsid w:val="08D94112"/>
    <w:rsid w:val="08DB07BA"/>
    <w:rsid w:val="08DD4532"/>
    <w:rsid w:val="08E51639"/>
    <w:rsid w:val="08E6775F"/>
    <w:rsid w:val="08E753B1"/>
    <w:rsid w:val="08E82FB1"/>
    <w:rsid w:val="08E92ED7"/>
    <w:rsid w:val="08EA43A8"/>
    <w:rsid w:val="08F024B8"/>
    <w:rsid w:val="08F16230"/>
    <w:rsid w:val="08F330C9"/>
    <w:rsid w:val="09016792"/>
    <w:rsid w:val="09092DE7"/>
    <w:rsid w:val="090A0966"/>
    <w:rsid w:val="090F12DD"/>
    <w:rsid w:val="09104908"/>
    <w:rsid w:val="0910640A"/>
    <w:rsid w:val="09140E5F"/>
    <w:rsid w:val="0917701A"/>
    <w:rsid w:val="091D1DA1"/>
    <w:rsid w:val="09271C52"/>
    <w:rsid w:val="0939397D"/>
    <w:rsid w:val="09481618"/>
    <w:rsid w:val="094C307A"/>
    <w:rsid w:val="094D7C31"/>
    <w:rsid w:val="094F0C92"/>
    <w:rsid w:val="095073FA"/>
    <w:rsid w:val="09526CCE"/>
    <w:rsid w:val="09547CAD"/>
    <w:rsid w:val="09570789"/>
    <w:rsid w:val="09571A70"/>
    <w:rsid w:val="096612C0"/>
    <w:rsid w:val="096B4234"/>
    <w:rsid w:val="09734E97"/>
    <w:rsid w:val="097A4477"/>
    <w:rsid w:val="097D2F4A"/>
    <w:rsid w:val="09810A99"/>
    <w:rsid w:val="0983332C"/>
    <w:rsid w:val="09921A1E"/>
    <w:rsid w:val="09986C4D"/>
    <w:rsid w:val="09A837D5"/>
    <w:rsid w:val="09AC7EB3"/>
    <w:rsid w:val="09AF5ECF"/>
    <w:rsid w:val="09B63701"/>
    <w:rsid w:val="09BC224D"/>
    <w:rsid w:val="09BC582C"/>
    <w:rsid w:val="09C33728"/>
    <w:rsid w:val="09C411E9"/>
    <w:rsid w:val="09C53944"/>
    <w:rsid w:val="09C56E24"/>
    <w:rsid w:val="09CA6FDB"/>
    <w:rsid w:val="09D05E45"/>
    <w:rsid w:val="09D92CC0"/>
    <w:rsid w:val="09DD4E88"/>
    <w:rsid w:val="09E412C5"/>
    <w:rsid w:val="09E87633"/>
    <w:rsid w:val="09ED101B"/>
    <w:rsid w:val="09EE0C71"/>
    <w:rsid w:val="09F935EE"/>
    <w:rsid w:val="09F9539C"/>
    <w:rsid w:val="09FD75F9"/>
    <w:rsid w:val="0A0334A7"/>
    <w:rsid w:val="0A053D41"/>
    <w:rsid w:val="0A081A83"/>
    <w:rsid w:val="0A0B1935"/>
    <w:rsid w:val="0A0D46E0"/>
    <w:rsid w:val="0A101D9D"/>
    <w:rsid w:val="0A12645E"/>
    <w:rsid w:val="0A127DA0"/>
    <w:rsid w:val="0A1349A2"/>
    <w:rsid w:val="0A1A0307"/>
    <w:rsid w:val="0A1D552E"/>
    <w:rsid w:val="0A1F0077"/>
    <w:rsid w:val="0A1F08C6"/>
    <w:rsid w:val="0A1F0C00"/>
    <w:rsid w:val="0A2368BD"/>
    <w:rsid w:val="0A275576"/>
    <w:rsid w:val="0A2D14EA"/>
    <w:rsid w:val="0A2F68BD"/>
    <w:rsid w:val="0A304297"/>
    <w:rsid w:val="0A342878"/>
    <w:rsid w:val="0A371FFD"/>
    <w:rsid w:val="0A39617C"/>
    <w:rsid w:val="0A456833"/>
    <w:rsid w:val="0A4725AB"/>
    <w:rsid w:val="0A4A209B"/>
    <w:rsid w:val="0A53598C"/>
    <w:rsid w:val="0A58693F"/>
    <w:rsid w:val="0A5922DF"/>
    <w:rsid w:val="0A5E5DEA"/>
    <w:rsid w:val="0A621193"/>
    <w:rsid w:val="0A6273E5"/>
    <w:rsid w:val="0A64315D"/>
    <w:rsid w:val="0A6A2374"/>
    <w:rsid w:val="0A7333A0"/>
    <w:rsid w:val="0A742C74"/>
    <w:rsid w:val="0A791D37"/>
    <w:rsid w:val="0A7B4003"/>
    <w:rsid w:val="0A7F7F97"/>
    <w:rsid w:val="0A80696A"/>
    <w:rsid w:val="0A821835"/>
    <w:rsid w:val="0A850E88"/>
    <w:rsid w:val="0A8511F3"/>
    <w:rsid w:val="0A851326"/>
    <w:rsid w:val="0A856088"/>
    <w:rsid w:val="0A875F3B"/>
    <w:rsid w:val="0A8821B2"/>
    <w:rsid w:val="0A884AC2"/>
    <w:rsid w:val="0A8D3D36"/>
    <w:rsid w:val="0A9428B8"/>
    <w:rsid w:val="0A961280"/>
    <w:rsid w:val="0A981059"/>
    <w:rsid w:val="0A9E3E93"/>
    <w:rsid w:val="0AA7304A"/>
    <w:rsid w:val="0AA82CA6"/>
    <w:rsid w:val="0AAC42CE"/>
    <w:rsid w:val="0AB034DC"/>
    <w:rsid w:val="0AB45767"/>
    <w:rsid w:val="0ABB08A3"/>
    <w:rsid w:val="0ABB5281"/>
    <w:rsid w:val="0AC7584E"/>
    <w:rsid w:val="0AC92FC0"/>
    <w:rsid w:val="0AD411FA"/>
    <w:rsid w:val="0AD801CA"/>
    <w:rsid w:val="0ADA51CD"/>
    <w:rsid w:val="0ADD79D4"/>
    <w:rsid w:val="0ADF0A36"/>
    <w:rsid w:val="0AE0655C"/>
    <w:rsid w:val="0AEC0884"/>
    <w:rsid w:val="0AEE6ECB"/>
    <w:rsid w:val="0AF3489C"/>
    <w:rsid w:val="0AF53DB5"/>
    <w:rsid w:val="0AF618DB"/>
    <w:rsid w:val="0AFB1F4A"/>
    <w:rsid w:val="0AFD2C6A"/>
    <w:rsid w:val="0B0041F4"/>
    <w:rsid w:val="0B070EB3"/>
    <w:rsid w:val="0B071D3B"/>
    <w:rsid w:val="0B09160F"/>
    <w:rsid w:val="0B0C0DCC"/>
    <w:rsid w:val="0B0E131B"/>
    <w:rsid w:val="0B106E41"/>
    <w:rsid w:val="0B12461C"/>
    <w:rsid w:val="0B137E4E"/>
    <w:rsid w:val="0B154457"/>
    <w:rsid w:val="0B163D2C"/>
    <w:rsid w:val="0B204BAA"/>
    <w:rsid w:val="0B266665"/>
    <w:rsid w:val="0B27418B"/>
    <w:rsid w:val="0B2B4CE0"/>
    <w:rsid w:val="0B330350"/>
    <w:rsid w:val="0B3D1D48"/>
    <w:rsid w:val="0B4270DD"/>
    <w:rsid w:val="0B45008E"/>
    <w:rsid w:val="0B4606A5"/>
    <w:rsid w:val="0B4B1C27"/>
    <w:rsid w:val="0B4E7969"/>
    <w:rsid w:val="0B510D02"/>
    <w:rsid w:val="0B5A0825"/>
    <w:rsid w:val="0B600C6F"/>
    <w:rsid w:val="0B630671"/>
    <w:rsid w:val="0B6C7DF0"/>
    <w:rsid w:val="0B6D4294"/>
    <w:rsid w:val="0B7064AD"/>
    <w:rsid w:val="0B884C29"/>
    <w:rsid w:val="0B8E5FB8"/>
    <w:rsid w:val="0B925AA8"/>
    <w:rsid w:val="0B940325"/>
    <w:rsid w:val="0B971035"/>
    <w:rsid w:val="0B984EA0"/>
    <w:rsid w:val="0B9C2483"/>
    <w:rsid w:val="0BA37CB5"/>
    <w:rsid w:val="0BAF4EB4"/>
    <w:rsid w:val="0BB51797"/>
    <w:rsid w:val="0BBA6DAD"/>
    <w:rsid w:val="0BBF2615"/>
    <w:rsid w:val="0BC02988"/>
    <w:rsid w:val="0BC32105"/>
    <w:rsid w:val="0BC452B6"/>
    <w:rsid w:val="0BC55CF8"/>
    <w:rsid w:val="0BC63207"/>
    <w:rsid w:val="0BC90FE9"/>
    <w:rsid w:val="0BD63E12"/>
    <w:rsid w:val="0BDE2A9B"/>
    <w:rsid w:val="0BE20A4D"/>
    <w:rsid w:val="0BE67BA2"/>
    <w:rsid w:val="0BEA7692"/>
    <w:rsid w:val="0BF518FA"/>
    <w:rsid w:val="0BF56298"/>
    <w:rsid w:val="0BF7590B"/>
    <w:rsid w:val="0C004C5B"/>
    <w:rsid w:val="0C012C2E"/>
    <w:rsid w:val="0C0258DC"/>
    <w:rsid w:val="0C0B0D3E"/>
    <w:rsid w:val="0C0C1FF2"/>
    <w:rsid w:val="0C0D15D3"/>
    <w:rsid w:val="0C126BE9"/>
    <w:rsid w:val="0C142260"/>
    <w:rsid w:val="0C18633A"/>
    <w:rsid w:val="0C1D705A"/>
    <w:rsid w:val="0C1E191D"/>
    <w:rsid w:val="0C21614B"/>
    <w:rsid w:val="0C2327BA"/>
    <w:rsid w:val="0C254F80"/>
    <w:rsid w:val="0C2801BA"/>
    <w:rsid w:val="0C292B70"/>
    <w:rsid w:val="0C2B3807"/>
    <w:rsid w:val="0C2D21C2"/>
    <w:rsid w:val="0C2D26E3"/>
    <w:rsid w:val="0C344A5D"/>
    <w:rsid w:val="0C3B3DE4"/>
    <w:rsid w:val="0C3B4EC0"/>
    <w:rsid w:val="0C3B5902"/>
    <w:rsid w:val="0C3B5C66"/>
    <w:rsid w:val="0C4A0131"/>
    <w:rsid w:val="0C50326D"/>
    <w:rsid w:val="0C526FE5"/>
    <w:rsid w:val="0C562E98"/>
    <w:rsid w:val="0C566AD6"/>
    <w:rsid w:val="0C580AA0"/>
    <w:rsid w:val="0C5821E5"/>
    <w:rsid w:val="0C5D17AD"/>
    <w:rsid w:val="0C655C90"/>
    <w:rsid w:val="0C66753B"/>
    <w:rsid w:val="0C712F68"/>
    <w:rsid w:val="0C7156BE"/>
    <w:rsid w:val="0C810882"/>
    <w:rsid w:val="0C856094"/>
    <w:rsid w:val="0C880C59"/>
    <w:rsid w:val="0C8A677F"/>
    <w:rsid w:val="0C8F4CB0"/>
    <w:rsid w:val="0C9615C8"/>
    <w:rsid w:val="0C9C75E1"/>
    <w:rsid w:val="0CA14D28"/>
    <w:rsid w:val="0CA84E57"/>
    <w:rsid w:val="0CAC29D8"/>
    <w:rsid w:val="0CB41A4E"/>
    <w:rsid w:val="0CB50C77"/>
    <w:rsid w:val="0CBB0955"/>
    <w:rsid w:val="0CBC3A23"/>
    <w:rsid w:val="0CBE1D97"/>
    <w:rsid w:val="0CBE28CD"/>
    <w:rsid w:val="0CC04897"/>
    <w:rsid w:val="0CC31C91"/>
    <w:rsid w:val="0CCC2A51"/>
    <w:rsid w:val="0CCC7327"/>
    <w:rsid w:val="0CCD48BE"/>
    <w:rsid w:val="0CD02BA2"/>
    <w:rsid w:val="0CD81BE1"/>
    <w:rsid w:val="0CD914B5"/>
    <w:rsid w:val="0CDE0FC7"/>
    <w:rsid w:val="0CEB2141"/>
    <w:rsid w:val="0CEB7EF6"/>
    <w:rsid w:val="0CF431DA"/>
    <w:rsid w:val="0CF85DDF"/>
    <w:rsid w:val="0D06669E"/>
    <w:rsid w:val="0D0C3638"/>
    <w:rsid w:val="0D126C2E"/>
    <w:rsid w:val="0D136775"/>
    <w:rsid w:val="0D166366"/>
    <w:rsid w:val="0D1965AB"/>
    <w:rsid w:val="0D1B1ACD"/>
    <w:rsid w:val="0D1C7D1F"/>
    <w:rsid w:val="0D1F15BD"/>
    <w:rsid w:val="0D257E20"/>
    <w:rsid w:val="0D283592"/>
    <w:rsid w:val="0D2941EA"/>
    <w:rsid w:val="0D2B7F62"/>
    <w:rsid w:val="0D2E7A52"/>
    <w:rsid w:val="0D3003EC"/>
    <w:rsid w:val="0D3253F4"/>
    <w:rsid w:val="0D3D159C"/>
    <w:rsid w:val="0D421DBA"/>
    <w:rsid w:val="0D4728C2"/>
    <w:rsid w:val="0D487CF6"/>
    <w:rsid w:val="0D531267"/>
    <w:rsid w:val="0D556D8D"/>
    <w:rsid w:val="0D58687D"/>
    <w:rsid w:val="0D5920B5"/>
    <w:rsid w:val="0D605732"/>
    <w:rsid w:val="0D6628F8"/>
    <w:rsid w:val="0D674D12"/>
    <w:rsid w:val="0D6C5EE5"/>
    <w:rsid w:val="0D6D52EE"/>
    <w:rsid w:val="0D6E60A1"/>
    <w:rsid w:val="0D6E69A2"/>
    <w:rsid w:val="0D705975"/>
    <w:rsid w:val="0D71793F"/>
    <w:rsid w:val="0D817B82"/>
    <w:rsid w:val="0D8458C4"/>
    <w:rsid w:val="0D892B34"/>
    <w:rsid w:val="0D9760BE"/>
    <w:rsid w:val="0D984C3B"/>
    <w:rsid w:val="0DAA3634"/>
    <w:rsid w:val="0DAA6B7F"/>
    <w:rsid w:val="0DAD5587"/>
    <w:rsid w:val="0DB51DAB"/>
    <w:rsid w:val="0DBB7938"/>
    <w:rsid w:val="0DBD1075"/>
    <w:rsid w:val="0DC43F13"/>
    <w:rsid w:val="0DC671F8"/>
    <w:rsid w:val="0DC932D7"/>
    <w:rsid w:val="0DC950DB"/>
    <w:rsid w:val="0DD55EF5"/>
    <w:rsid w:val="0DD76DEB"/>
    <w:rsid w:val="0DDA7292"/>
    <w:rsid w:val="0DE10621"/>
    <w:rsid w:val="0DE45043"/>
    <w:rsid w:val="0DEA5F97"/>
    <w:rsid w:val="0DED346A"/>
    <w:rsid w:val="0DF465A6"/>
    <w:rsid w:val="0DF77E44"/>
    <w:rsid w:val="0DFE11D3"/>
    <w:rsid w:val="0DFE1656"/>
    <w:rsid w:val="0DFE5677"/>
    <w:rsid w:val="0E0425AE"/>
    <w:rsid w:val="0E0A1DF6"/>
    <w:rsid w:val="0E0F33E0"/>
    <w:rsid w:val="0E1A1D85"/>
    <w:rsid w:val="0E1C78AB"/>
    <w:rsid w:val="0E27038D"/>
    <w:rsid w:val="0E2A1FC8"/>
    <w:rsid w:val="0E2A3A63"/>
    <w:rsid w:val="0E383AA8"/>
    <w:rsid w:val="0E394083"/>
    <w:rsid w:val="0E413F6E"/>
    <w:rsid w:val="0E5A7348"/>
    <w:rsid w:val="0E5B63E3"/>
    <w:rsid w:val="0E5D717C"/>
    <w:rsid w:val="0E625C06"/>
    <w:rsid w:val="0E6359D8"/>
    <w:rsid w:val="0E654924"/>
    <w:rsid w:val="0E666D78"/>
    <w:rsid w:val="0E6A2D0C"/>
    <w:rsid w:val="0E6B1369"/>
    <w:rsid w:val="0E74112A"/>
    <w:rsid w:val="0E794CFF"/>
    <w:rsid w:val="0E7F373F"/>
    <w:rsid w:val="0E8012D9"/>
    <w:rsid w:val="0E820056"/>
    <w:rsid w:val="0E841C9B"/>
    <w:rsid w:val="0E963B01"/>
    <w:rsid w:val="0E97287D"/>
    <w:rsid w:val="0E9D59AD"/>
    <w:rsid w:val="0E9D7E6D"/>
    <w:rsid w:val="0E9E4360"/>
    <w:rsid w:val="0EA13951"/>
    <w:rsid w:val="0EA57A1B"/>
    <w:rsid w:val="0EA855E3"/>
    <w:rsid w:val="0EAC6E81"/>
    <w:rsid w:val="0EBD52BD"/>
    <w:rsid w:val="0EBE0AFF"/>
    <w:rsid w:val="0EC15FF0"/>
    <w:rsid w:val="0EC3241C"/>
    <w:rsid w:val="0ED2440E"/>
    <w:rsid w:val="0ED62150"/>
    <w:rsid w:val="0EDC3518"/>
    <w:rsid w:val="0EDE1004"/>
    <w:rsid w:val="0EDE7677"/>
    <w:rsid w:val="0EE06B2A"/>
    <w:rsid w:val="0EE20AF5"/>
    <w:rsid w:val="0EEB424F"/>
    <w:rsid w:val="0EED0EBA"/>
    <w:rsid w:val="0EF56A7A"/>
    <w:rsid w:val="0EF71063"/>
    <w:rsid w:val="0F01138E"/>
    <w:rsid w:val="0F022F45"/>
    <w:rsid w:val="0F037F5E"/>
    <w:rsid w:val="0F0A1666"/>
    <w:rsid w:val="0F1B23BF"/>
    <w:rsid w:val="0F1C5924"/>
    <w:rsid w:val="0F256C33"/>
    <w:rsid w:val="0F2E788D"/>
    <w:rsid w:val="0F301F18"/>
    <w:rsid w:val="0F303FF7"/>
    <w:rsid w:val="0F3A448D"/>
    <w:rsid w:val="0F3B3FFF"/>
    <w:rsid w:val="0F4E618A"/>
    <w:rsid w:val="0F4E7F38"/>
    <w:rsid w:val="0F56503F"/>
    <w:rsid w:val="0F582B65"/>
    <w:rsid w:val="0F5B4403"/>
    <w:rsid w:val="0F5B5315"/>
    <w:rsid w:val="0F5E573F"/>
    <w:rsid w:val="0F601A19"/>
    <w:rsid w:val="0F67724C"/>
    <w:rsid w:val="0F6A2898"/>
    <w:rsid w:val="0F73799F"/>
    <w:rsid w:val="0F753717"/>
    <w:rsid w:val="0F772484"/>
    <w:rsid w:val="0F797617"/>
    <w:rsid w:val="0F7E08B8"/>
    <w:rsid w:val="0F7F00F1"/>
    <w:rsid w:val="0F7F2EE6"/>
    <w:rsid w:val="0F825E34"/>
    <w:rsid w:val="0F841BAC"/>
    <w:rsid w:val="0F8554ED"/>
    <w:rsid w:val="0F8932E2"/>
    <w:rsid w:val="0F8E6586"/>
    <w:rsid w:val="0F955B67"/>
    <w:rsid w:val="0F9E1F1C"/>
    <w:rsid w:val="0F9F0F29"/>
    <w:rsid w:val="0FA062BA"/>
    <w:rsid w:val="0FA21F87"/>
    <w:rsid w:val="0FAB0EE6"/>
    <w:rsid w:val="0FAE09D7"/>
    <w:rsid w:val="0FAE6C29"/>
    <w:rsid w:val="0FB110A2"/>
    <w:rsid w:val="0FC31EC1"/>
    <w:rsid w:val="0FC63145"/>
    <w:rsid w:val="0FCA3E88"/>
    <w:rsid w:val="0FCF68E2"/>
    <w:rsid w:val="0FD0001F"/>
    <w:rsid w:val="0FD07480"/>
    <w:rsid w:val="0FD43F08"/>
    <w:rsid w:val="0FD655BF"/>
    <w:rsid w:val="0FD655E8"/>
    <w:rsid w:val="0FD8195C"/>
    <w:rsid w:val="0FDA32B6"/>
    <w:rsid w:val="0FDF3286"/>
    <w:rsid w:val="0FE353A2"/>
    <w:rsid w:val="0FF54858"/>
    <w:rsid w:val="0FFA7A32"/>
    <w:rsid w:val="0FFB6C06"/>
    <w:rsid w:val="10124C56"/>
    <w:rsid w:val="101419C7"/>
    <w:rsid w:val="10150A56"/>
    <w:rsid w:val="1017280E"/>
    <w:rsid w:val="10172A20"/>
    <w:rsid w:val="10197C07"/>
    <w:rsid w:val="101E0F8B"/>
    <w:rsid w:val="10213C41"/>
    <w:rsid w:val="1021564D"/>
    <w:rsid w:val="10246EEB"/>
    <w:rsid w:val="102B2B19"/>
    <w:rsid w:val="102C463C"/>
    <w:rsid w:val="10301A7D"/>
    <w:rsid w:val="10305E2E"/>
    <w:rsid w:val="103709CC"/>
    <w:rsid w:val="10376C1E"/>
    <w:rsid w:val="103830B8"/>
    <w:rsid w:val="103C00E3"/>
    <w:rsid w:val="103C6D0C"/>
    <w:rsid w:val="103F0F6D"/>
    <w:rsid w:val="10417A9D"/>
    <w:rsid w:val="104B091B"/>
    <w:rsid w:val="104F2756"/>
    <w:rsid w:val="105E23FD"/>
    <w:rsid w:val="1065378B"/>
    <w:rsid w:val="10677962"/>
    <w:rsid w:val="10686DD7"/>
    <w:rsid w:val="106D2009"/>
    <w:rsid w:val="107270D6"/>
    <w:rsid w:val="10795489"/>
    <w:rsid w:val="10800EB1"/>
    <w:rsid w:val="10805D5A"/>
    <w:rsid w:val="1092654A"/>
    <w:rsid w:val="10967DE9"/>
    <w:rsid w:val="10971F3D"/>
    <w:rsid w:val="109E174D"/>
    <w:rsid w:val="10A73DA4"/>
    <w:rsid w:val="10AE4602"/>
    <w:rsid w:val="10B84553"/>
    <w:rsid w:val="10BA3678"/>
    <w:rsid w:val="10BB1920"/>
    <w:rsid w:val="10C072B8"/>
    <w:rsid w:val="10C32DA7"/>
    <w:rsid w:val="10C34956"/>
    <w:rsid w:val="10C53440"/>
    <w:rsid w:val="10CF6E57"/>
    <w:rsid w:val="10D40D6D"/>
    <w:rsid w:val="10D601E5"/>
    <w:rsid w:val="10DE52EC"/>
    <w:rsid w:val="10DF2A43"/>
    <w:rsid w:val="10E24DDC"/>
    <w:rsid w:val="10EC17B7"/>
    <w:rsid w:val="10EC5745"/>
    <w:rsid w:val="10ED3781"/>
    <w:rsid w:val="10EE1DD4"/>
    <w:rsid w:val="10F13271"/>
    <w:rsid w:val="10F147BA"/>
    <w:rsid w:val="10FB40F0"/>
    <w:rsid w:val="10FF162B"/>
    <w:rsid w:val="11020127"/>
    <w:rsid w:val="11036B00"/>
    <w:rsid w:val="11072A94"/>
    <w:rsid w:val="11165F0C"/>
    <w:rsid w:val="111C6951"/>
    <w:rsid w:val="111D3742"/>
    <w:rsid w:val="1122342A"/>
    <w:rsid w:val="11230F50"/>
    <w:rsid w:val="11237F68"/>
    <w:rsid w:val="112453F4"/>
    <w:rsid w:val="112C6E66"/>
    <w:rsid w:val="112D64BC"/>
    <w:rsid w:val="113101C8"/>
    <w:rsid w:val="11333889"/>
    <w:rsid w:val="11335585"/>
    <w:rsid w:val="113454A3"/>
    <w:rsid w:val="11356CD5"/>
    <w:rsid w:val="11366ED6"/>
    <w:rsid w:val="113B1525"/>
    <w:rsid w:val="11416F6F"/>
    <w:rsid w:val="114336DC"/>
    <w:rsid w:val="1144495B"/>
    <w:rsid w:val="114E23AD"/>
    <w:rsid w:val="114F1D45"/>
    <w:rsid w:val="115455AE"/>
    <w:rsid w:val="115460F5"/>
    <w:rsid w:val="11585C54"/>
    <w:rsid w:val="115E45A5"/>
    <w:rsid w:val="116D7D5F"/>
    <w:rsid w:val="116F23E8"/>
    <w:rsid w:val="116F59AA"/>
    <w:rsid w:val="11731ED8"/>
    <w:rsid w:val="11737A50"/>
    <w:rsid w:val="11764A6F"/>
    <w:rsid w:val="1182211B"/>
    <w:rsid w:val="11823EC9"/>
    <w:rsid w:val="118440E5"/>
    <w:rsid w:val="11855A04"/>
    <w:rsid w:val="11861DEA"/>
    <w:rsid w:val="11873C54"/>
    <w:rsid w:val="119F0F1F"/>
    <w:rsid w:val="11A35C28"/>
    <w:rsid w:val="11A40E88"/>
    <w:rsid w:val="11A71B81"/>
    <w:rsid w:val="11AE5779"/>
    <w:rsid w:val="11B22119"/>
    <w:rsid w:val="11BB562D"/>
    <w:rsid w:val="11BC366B"/>
    <w:rsid w:val="11BD7734"/>
    <w:rsid w:val="11BF5650"/>
    <w:rsid w:val="11CC783A"/>
    <w:rsid w:val="11CE72AB"/>
    <w:rsid w:val="11D02E86"/>
    <w:rsid w:val="11D30BC8"/>
    <w:rsid w:val="11DC26C1"/>
    <w:rsid w:val="11DD21FB"/>
    <w:rsid w:val="11DF49C5"/>
    <w:rsid w:val="11DF79ED"/>
    <w:rsid w:val="11E75DA6"/>
    <w:rsid w:val="11E94D0F"/>
    <w:rsid w:val="11ED6F4D"/>
    <w:rsid w:val="11EE5A02"/>
    <w:rsid w:val="11F7111E"/>
    <w:rsid w:val="11F8062F"/>
    <w:rsid w:val="11FC1ECD"/>
    <w:rsid w:val="11FD79F3"/>
    <w:rsid w:val="12015736"/>
    <w:rsid w:val="12046FD4"/>
    <w:rsid w:val="12071BEC"/>
    <w:rsid w:val="120D5E88"/>
    <w:rsid w:val="121216F1"/>
    <w:rsid w:val="1214584C"/>
    <w:rsid w:val="12145BB7"/>
    <w:rsid w:val="121511E1"/>
    <w:rsid w:val="121A67F7"/>
    <w:rsid w:val="1221751F"/>
    <w:rsid w:val="122907E8"/>
    <w:rsid w:val="1235718D"/>
    <w:rsid w:val="1239185F"/>
    <w:rsid w:val="12402E84"/>
    <w:rsid w:val="124069CA"/>
    <w:rsid w:val="12412F69"/>
    <w:rsid w:val="124243FD"/>
    <w:rsid w:val="12490E8B"/>
    <w:rsid w:val="124B075F"/>
    <w:rsid w:val="124F6188"/>
    <w:rsid w:val="1258589B"/>
    <w:rsid w:val="125C6E10"/>
    <w:rsid w:val="125D36CD"/>
    <w:rsid w:val="126709B1"/>
    <w:rsid w:val="12696E37"/>
    <w:rsid w:val="12704669"/>
    <w:rsid w:val="127130EB"/>
    <w:rsid w:val="12792BC8"/>
    <w:rsid w:val="127E28E2"/>
    <w:rsid w:val="12802AFE"/>
    <w:rsid w:val="12844EFF"/>
    <w:rsid w:val="1289063D"/>
    <w:rsid w:val="128A6758"/>
    <w:rsid w:val="128B3251"/>
    <w:rsid w:val="128B7413"/>
    <w:rsid w:val="1292638E"/>
    <w:rsid w:val="12935696"/>
    <w:rsid w:val="12971B2C"/>
    <w:rsid w:val="12971CE2"/>
    <w:rsid w:val="1299771C"/>
    <w:rsid w:val="12A22DAA"/>
    <w:rsid w:val="12B24C82"/>
    <w:rsid w:val="12B64F8D"/>
    <w:rsid w:val="12B65DF3"/>
    <w:rsid w:val="12C27118"/>
    <w:rsid w:val="12C463AB"/>
    <w:rsid w:val="12C61856"/>
    <w:rsid w:val="12CC1C47"/>
    <w:rsid w:val="12D22C2E"/>
    <w:rsid w:val="12DE5A77"/>
    <w:rsid w:val="12E063BC"/>
    <w:rsid w:val="12E41D95"/>
    <w:rsid w:val="12EB6B2A"/>
    <w:rsid w:val="12EF558E"/>
    <w:rsid w:val="12EF5E9C"/>
    <w:rsid w:val="12F31B1D"/>
    <w:rsid w:val="12F57767"/>
    <w:rsid w:val="12FC5EFD"/>
    <w:rsid w:val="12FD1BFF"/>
    <w:rsid w:val="130152CB"/>
    <w:rsid w:val="13015FE2"/>
    <w:rsid w:val="130C36F5"/>
    <w:rsid w:val="130C3EBB"/>
    <w:rsid w:val="130C5DE5"/>
    <w:rsid w:val="130E4C44"/>
    <w:rsid w:val="13146984"/>
    <w:rsid w:val="13165211"/>
    <w:rsid w:val="131A561E"/>
    <w:rsid w:val="131E40C5"/>
    <w:rsid w:val="132436BE"/>
    <w:rsid w:val="13255454"/>
    <w:rsid w:val="132E255A"/>
    <w:rsid w:val="133325C3"/>
    <w:rsid w:val="1336140F"/>
    <w:rsid w:val="13375C55"/>
    <w:rsid w:val="133833D9"/>
    <w:rsid w:val="13397BCE"/>
    <w:rsid w:val="133B6B69"/>
    <w:rsid w:val="133D454B"/>
    <w:rsid w:val="1340228E"/>
    <w:rsid w:val="13405DEA"/>
    <w:rsid w:val="13497394"/>
    <w:rsid w:val="134F252E"/>
    <w:rsid w:val="1353553E"/>
    <w:rsid w:val="135573A7"/>
    <w:rsid w:val="1357573C"/>
    <w:rsid w:val="135B35CB"/>
    <w:rsid w:val="135B6761"/>
    <w:rsid w:val="135E44C2"/>
    <w:rsid w:val="135F0966"/>
    <w:rsid w:val="13622204"/>
    <w:rsid w:val="13651CF4"/>
    <w:rsid w:val="137568BA"/>
    <w:rsid w:val="13781A27"/>
    <w:rsid w:val="138163C4"/>
    <w:rsid w:val="13830FE4"/>
    <w:rsid w:val="13833F28"/>
    <w:rsid w:val="13855EF2"/>
    <w:rsid w:val="138D6166"/>
    <w:rsid w:val="138F2FCA"/>
    <w:rsid w:val="139634F5"/>
    <w:rsid w:val="139649B1"/>
    <w:rsid w:val="139F49B9"/>
    <w:rsid w:val="13A10F7E"/>
    <w:rsid w:val="13AC347F"/>
    <w:rsid w:val="13AC60B8"/>
    <w:rsid w:val="13B46AA4"/>
    <w:rsid w:val="13B50586"/>
    <w:rsid w:val="13BA2040"/>
    <w:rsid w:val="13BF0BA2"/>
    <w:rsid w:val="13C134F2"/>
    <w:rsid w:val="13C90064"/>
    <w:rsid w:val="13CA1A3A"/>
    <w:rsid w:val="13CC58CF"/>
    <w:rsid w:val="13CE7899"/>
    <w:rsid w:val="13D03611"/>
    <w:rsid w:val="13DA7FEC"/>
    <w:rsid w:val="13DD188A"/>
    <w:rsid w:val="13E26EA1"/>
    <w:rsid w:val="13EB3FA7"/>
    <w:rsid w:val="13EF20C1"/>
    <w:rsid w:val="13F111F5"/>
    <w:rsid w:val="140212F1"/>
    <w:rsid w:val="14061086"/>
    <w:rsid w:val="14067033"/>
    <w:rsid w:val="14096037"/>
    <w:rsid w:val="14100781"/>
    <w:rsid w:val="14184FB8"/>
    <w:rsid w:val="141F1EA3"/>
    <w:rsid w:val="14262F54"/>
    <w:rsid w:val="142B6A9A"/>
    <w:rsid w:val="142F202D"/>
    <w:rsid w:val="14301CC2"/>
    <w:rsid w:val="14333BA0"/>
    <w:rsid w:val="143A745A"/>
    <w:rsid w:val="143C2A55"/>
    <w:rsid w:val="143E4A1F"/>
    <w:rsid w:val="144C328F"/>
    <w:rsid w:val="144F4797"/>
    <w:rsid w:val="145717AD"/>
    <w:rsid w:val="14586C61"/>
    <w:rsid w:val="145A2EDB"/>
    <w:rsid w:val="145F228C"/>
    <w:rsid w:val="145F6743"/>
    <w:rsid w:val="14656E95"/>
    <w:rsid w:val="146E21CE"/>
    <w:rsid w:val="147C10A3"/>
    <w:rsid w:val="14824A9F"/>
    <w:rsid w:val="148461AA"/>
    <w:rsid w:val="14861111"/>
    <w:rsid w:val="14870154"/>
    <w:rsid w:val="14942891"/>
    <w:rsid w:val="149470C8"/>
    <w:rsid w:val="14961A2A"/>
    <w:rsid w:val="14966E50"/>
    <w:rsid w:val="14972381"/>
    <w:rsid w:val="14991C55"/>
    <w:rsid w:val="14997EA7"/>
    <w:rsid w:val="149A3FDA"/>
    <w:rsid w:val="149B49B3"/>
    <w:rsid w:val="149C7544"/>
    <w:rsid w:val="14A85FDD"/>
    <w:rsid w:val="14B3099F"/>
    <w:rsid w:val="14B7657F"/>
    <w:rsid w:val="14BA7E1E"/>
    <w:rsid w:val="14BB5F83"/>
    <w:rsid w:val="14BC5D3E"/>
    <w:rsid w:val="14CB5B87"/>
    <w:rsid w:val="14CD557A"/>
    <w:rsid w:val="14D92451"/>
    <w:rsid w:val="14DB04C0"/>
    <w:rsid w:val="14F21366"/>
    <w:rsid w:val="14F37395"/>
    <w:rsid w:val="14F43330"/>
    <w:rsid w:val="14FB646C"/>
    <w:rsid w:val="15054DD7"/>
    <w:rsid w:val="1505553D"/>
    <w:rsid w:val="150870B3"/>
    <w:rsid w:val="151439D2"/>
    <w:rsid w:val="151443F1"/>
    <w:rsid w:val="15175270"/>
    <w:rsid w:val="1518795B"/>
    <w:rsid w:val="151B0AF1"/>
    <w:rsid w:val="15210B5F"/>
    <w:rsid w:val="15227E9D"/>
    <w:rsid w:val="15230089"/>
    <w:rsid w:val="1528122B"/>
    <w:rsid w:val="15302170"/>
    <w:rsid w:val="15325C06"/>
    <w:rsid w:val="15354509"/>
    <w:rsid w:val="15357CDE"/>
    <w:rsid w:val="153674A4"/>
    <w:rsid w:val="1537591B"/>
    <w:rsid w:val="15381FBA"/>
    <w:rsid w:val="153D4CD7"/>
    <w:rsid w:val="153E0A4F"/>
    <w:rsid w:val="154020D1"/>
    <w:rsid w:val="15427887"/>
    <w:rsid w:val="1545328B"/>
    <w:rsid w:val="15603573"/>
    <w:rsid w:val="15676A5E"/>
    <w:rsid w:val="157601E9"/>
    <w:rsid w:val="1577659C"/>
    <w:rsid w:val="157B1EFC"/>
    <w:rsid w:val="157C0577"/>
    <w:rsid w:val="157C645B"/>
    <w:rsid w:val="157D000D"/>
    <w:rsid w:val="15833168"/>
    <w:rsid w:val="15850CAC"/>
    <w:rsid w:val="15867356"/>
    <w:rsid w:val="15880460"/>
    <w:rsid w:val="158A2FA8"/>
    <w:rsid w:val="158A77F0"/>
    <w:rsid w:val="15924739"/>
    <w:rsid w:val="1594066F"/>
    <w:rsid w:val="15966A1F"/>
    <w:rsid w:val="159D7523"/>
    <w:rsid w:val="15AA1304"/>
    <w:rsid w:val="15AA5BB2"/>
    <w:rsid w:val="15AF54A9"/>
    <w:rsid w:val="15B11221"/>
    <w:rsid w:val="15B131AF"/>
    <w:rsid w:val="15B4486D"/>
    <w:rsid w:val="15B66837"/>
    <w:rsid w:val="15B722EC"/>
    <w:rsid w:val="15B77F45"/>
    <w:rsid w:val="15D16344"/>
    <w:rsid w:val="15D171CD"/>
    <w:rsid w:val="15D232F3"/>
    <w:rsid w:val="15D57532"/>
    <w:rsid w:val="15D65076"/>
    <w:rsid w:val="15DA0777"/>
    <w:rsid w:val="15DD5B72"/>
    <w:rsid w:val="15E16DE2"/>
    <w:rsid w:val="15E213DA"/>
    <w:rsid w:val="15E26938"/>
    <w:rsid w:val="15EC04AB"/>
    <w:rsid w:val="15ED6226"/>
    <w:rsid w:val="15ED7568"/>
    <w:rsid w:val="15F07F9B"/>
    <w:rsid w:val="15F1270C"/>
    <w:rsid w:val="15F2042A"/>
    <w:rsid w:val="15F71101"/>
    <w:rsid w:val="16003EE7"/>
    <w:rsid w:val="160105E5"/>
    <w:rsid w:val="16072265"/>
    <w:rsid w:val="160C28FB"/>
    <w:rsid w:val="160E02B8"/>
    <w:rsid w:val="160F2064"/>
    <w:rsid w:val="16185E3D"/>
    <w:rsid w:val="161960B6"/>
    <w:rsid w:val="161C1F83"/>
    <w:rsid w:val="16297273"/>
    <w:rsid w:val="162B50BD"/>
    <w:rsid w:val="162E461F"/>
    <w:rsid w:val="16353308"/>
    <w:rsid w:val="16364B6D"/>
    <w:rsid w:val="163A280C"/>
    <w:rsid w:val="163A7468"/>
    <w:rsid w:val="1642631D"/>
    <w:rsid w:val="16454556"/>
    <w:rsid w:val="16532E12"/>
    <w:rsid w:val="165361DE"/>
    <w:rsid w:val="16547386"/>
    <w:rsid w:val="16556050"/>
    <w:rsid w:val="165D4EA8"/>
    <w:rsid w:val="16623FE0"/>
    <w:rsid w:val="166B13D0"/>
    <w:rsid w:val="167A5BE3"/>
    <w:rsid w:val="167A7865"/>
    <w:rsid w:val="167C35DD"/>
    <w:rsid w:val="16824D24"/>
    <w:rsid w:val="16834F76"/>
    <w:rsid w:val="16897F26"/>
    <w:rsid w:val="168D57EA"/>
    <w:rsid w:val="168E3310"/>
    <w:rsid w:val="168E50BE"/>
    <w:rsid w:val="16907088"/>
    <w:rsid w:val="16936818"/>
    <w:rsid w:val="169923E1"/>
    <w:rsid w:val="16A15FC9"/>
    <w:rsid w:val="16AE1708"/>
    <w:rsid w:val="16B57CA9"/>
    <w:rsid w:val="16BA2357"/>
    <w:rsid w:val="16BD3659"/>
    <w:rsid w:val="16C03993"/>
    <w:rsid w:val="16C240F4"/>
    <w:rsid w:val="16C53E67"/>
    <w:rsid w:val="16CA6BE3"/>
    <w:rsid w:val="16CF5E02"/>
    <w:rsid w:val="16CF7BB0"/>
    <w:rsid w:val="16DC1B40"/>
    <w:rsid w:val="16DD20EE"/>
    <w:rsid w:val="16DE7F1F"/>
    <w:rsid w:val="16DF3B6C"/>
    <w:rsid w:val="16E318AE"/>
    <w:rsid w:val="16E476F9"/>
    <w:rsid w:val="16EA49EA"/>
    <w:rsid w:val="16EB42BE"/>
    <w:rsid w:val="16EF2001"/>
    <w:rsid w:val="17004017"/>
    <w:rsid w:val="17012CAE"/>
    <w:rsid w:val="17013758"/>
    <w:rsid w:val="170A0BE8"/>
    <w:rsid w:val="170C2FB5"/>
    <w:rsid w:val="171750B3"/>
    <w:rsid w:val="171D410C"/>
    <w:rsid w:val="171E28E6"/>
    <w:rsid w:val="171F7427"/>
    <w:rsid w:val="17283764"/>
    <w:rsid w:val="172C2361"/>
    <w:rsid w:val="172D0D7B"/>
    <w:rsid w:val="17305017"/>
    <w:rsid w:val="173739A8"/>
    <w:rsid w:val="1738380A"/>
    <w:rsid w:val="173B424A"/>
    <w:rsid w:val="173F1493"/>
    <w:rsid w:val="174327BE"/>
    <w:rsid w:val="1749014C"/>
    <w:rsid w:val="174D6D27"/>
    <w:rsid w:val="174F05A1"/>
    <w:rsid w:val="17514A69"/>
    <w:rsid w:val="17514FCE"/>
    <w:rsid w:val="1752433D"/>
    <w:rsid w:val="17544559"/>
    <w:rsid w:val="175D5FCB"/>
    <w:rsid w:val="175E3991"/>
    <w:rsid w:val="175E5D6F"/>
    <w:rsid w:val="175E5E7D"/>
    <w:rsid w:val="176768F5"/>
    <w:rsid w:val="17683B61"/>
    <w:rsid w:val="176E0D67"/>
    <w:rsid w:val="176E2494"/>
    <w:rsid w:val="1772678E"/>
    <w:rsid w:val="17747262"/>
    <w:rsid w:val="177F492B"/>
    <w:rsid w:val="178A171F"/>
    <w:rsid w:val="178C1BA1"/>
    <w:rsid w:val="178D5376"/>
    <w:rsid w:val="178D5CA7"/>
    <w:rsid w:val="17937397"/>
    <w:rsid w:val="179606CE"/>
    <w:rsid w:val="17964BA4"/>
    <w:rsid w:val="17996410"/>
    <w:rsid w:val="179B5CE4"/>
    <w:rsid w:val="17A513B0"/>
    <w:rsid w:val="17AD77C6"/>
    <w:rsid w:val="17B80644"/>
    <w:rsid w:val="17BA0860"/>
    <w:rsid w:val="17BE1862"/>
    <w:rsid w:val="17BF7789"/>
    <w:rsid w:val="17C0399D"/>
    <w:rsid w:val="17C4348D"/>
    <w:rsid w:val="17C4413B"/>
    <w:rsid w:val="17C538AF"/>
    <w:rsid w:val="17C6243D"/>
    <w:rsid w:val="17C92852"/>
    <w:rsid w:val="17CC5A3F"/>
    <w:rsid w:val="17CF588F"/>
    <w:rsid w:val="17D55FD6"/>
    <w:rsid w:val="17E15337"/>
    <w:rsid w:val="17EA0A1A"/>
    <w:rsid w:val="17EC0950"/>
    <w:rsid w:val="17F463E1"/>
    <w:rsid w:val="17F61621"/>
    <w:rsid w:val="17FB2C27"/>
    <w:rsid w:val="17FD24FB"/>
    <w:rsid w:val="17FD699F"/>
    <w:rsid w:val="17FE0021"/>
    <w:rsid w:val="180B1118"/>
    <w:rsid w:val="180B14E8"/>
    <w:rsid w:val="18140162"/>
    <w:rsid w:val="181E2472"/>
    <w:rsid w:val="18226406"/>
    <w:rsid w:val="18251383"/>
    <w:rsid w:val="18286113"/>
    <w:rsid w:val="182E10C8"/>
    <w:rsid w:val="18300B23"/>
    <w:rsid w:val="18371EB1"/>
    <w:rsid w:val="1838347B"/>
    <w:rsid w:val="1839667F"/>
    <w:rsid w:val="183A374F"/>
    <w:rsid w:val="183B0D48"/>
    <w:rsid w:val="18486E08"/>
    <w:rsid w:val="184B770B"/>
    <w:rsid w:val="184C6FDF"/>
    <w:rsid w:val="18527B8C"/>
    <w:rsid w:val="185540E5"/>
    <w:rsid w:val="1856243F"/>
    <w:rsid w:val="1858668C"/>
    <w:rsid w:val="185A794E"/>
    <w:rsid w:val="185C36C6"/>
    <w:rsid w:val="185C5BFE"/>
    <w:rsid w:val="185C7DE8"/>
    <w:rsid w:val="185E7B6C"/>
    <w:rsid w:val="18610CDC"/>
    <w:rsid w:val="18636AEA"/>
    <w:rsid w:val="18650227"/>
    <w:rsid w:val="18652B72"/>
    <w:rsid w:val="18664544"/>
    <w:rsid w:val="18686294"/>
    <w:rsid w:val="186C2EF0"/>
    <w:rsid w:val="187529D9"/>
    <w:rsid w:val="18811E6E"/>
    <w:rsid w:val="18814EDA"/>
    <w:rsid w:val="18846779"/>
    <w:rsid w:val="1885001A"/>
    <w:rsid w:val="189164BD"/>
    <w:rsid w:val="18925080"/>
    <w:rsid w:val="18932754"/>
    <w:rsid w:val="18956BD8"/>
    <w:rsid w:val="189967BF"/>
    <w:rsid w:val="189E4B26"/>
    <w:rsid w:val="18A1732B"/>
    <w:rsid w:val="18A4506D"/>
    <w:rsid w:val="18A96548"/>
    <w:rsid w:val="18AC5CCF"/>
    <w:rsid w:val="18B10430"/>
    <w:rsid w:val="18B76CDE"/>
    <w:rsid w:val="18BA03EC"/>
    <w:rsid w:val="18BA0A10"/>
    <w:rsid w:val="18BC76B4"/>
    <w:rsid w:val="18C66D91"/>
    <w:rsid w:val="18CF78F4"/>
    <w:rsid w:val="18D92F68"/>
    <w:rsid w:val="18DE1AB9"/>
    <w:rsid w:val="18DF7E53"/>
    <w:rsid w:val="18E002BC"/>
    <w:rsid w:val="18E831AB"/>
    <w:rsid w:val="18E92A80"/>
    <w:rsid w:val="18E97AE9"/>
    <w:rsid w:val="18EC4FBA"/>
    <w:rsid w:val="18EE7E6E"/>
    <w:rsid w:val="18EF62CA"/>
    <w:rsid w:val="18F41B50"/>
    <w:rsid w:val="18FC2175"/>
    <w:rsid w:val="18FF4051"/>
    <w:rsid w:val="19094ED0"/>
    <w:rsid w:val="190C7705"/>
    <w:rsid w:val="190F698A"/>
    <w:rsid w:val="1910625E"/>
    <w:rsid w:val="191331C3"/>
    <w:rsid w:val="19193365"/>
    <w:rsid w:val="191F1517"/>
    <w:rsid w:val="191F46F3"/>
    <w:rsid w:val="19234148"/>
    <w:rsid w:val="19260253"/>
    <w:rsid w:val="192741AF"/>
    <w:rsid w:val="192B12EA"/>
    <w:rsid w:val="192B6EF0"/>
    <w:rsid w:val="192D0D33"/>
    <w:rsid w:val="19324427"/>
    <w:rsid w:val="19354E2A"/>
    <w:rsid w:val="19375EE1"/>
    <w:rsid w:val="193948C5"/>
    <w:rsid w:val="193A52A0"/>
    <w:rsid w:val="193B23CF"/>
    <w:rsid w:val="1945415A"/>
    <w:rsid w:val="19467ED2"/>
    <w:rsid w:val="194A5C14"/>
    <w:rsid w:val="194B7296"/>
    <w:rsid w:val="194D47E4"/>
    <w:rsid w:val="194E3A44"/>
    <w:rsid w:val="19575C3B"/>
    <w:rsid w:val="195C14A3"/>
    <w:rsid w:val="195C76F5"/>
    <w:rsid w:val="19616ABA"/>
    <w:rsid w:val="19622F5E"/>
    <w:rsid w:val="1962745C"/>
    <w:rsid w:val="196548DC"/>
    <w:rsid w:val="19654B16"/>
    <w:rsid w:val="19680E93"/>
    <w:rsid w:val="1971072C"/>
    <w:rsid w:val="197607B7"/>
    <w:rsid w:val="197E766C"/>
    <w:rsid w:val="19801636"/>
    <w:rsid w:val="19865256"/>
    <w:rsid w:val="19873FDC"/>
    <w:rsid w:val="198E782D"/>
    <w:rsid w:val="19946E94"/>
    <w:rsid w:val="19947044"/>
    <w:rsid w:val="199649B5"/>
    <w:rsid w:val="199944A6"/>
    <w:rsid w:val="19A0283B"/>
    <w:rsid w:val="19A4550A"/>
    <w:rsid w:val="19A8293B"/>
    <w:rsid w:val="19AC5B4A"/>
    <w:rsid w:val="19AE61A3"/>
    <w:rsid w:val="19B04509"/>
    <w:rsid w:val="19BB08C0"/>
    <w:rsid w:val="19BC5F02"/>
    <w:rsid w:val="19C01A32"/>
    <w:rsid w:val="19C91ECA"/>
    <w:rsid w:val="19CF0A45"/>
    <w:rsid w:val="19D051BB"/>
    <w:rsid w:val="19D13C3F"/>
    <w:rsid w:val="19D379B8"/>
    <w:rsid w:val="19DB686C"/>
    <w:rsid w:val="19E11A3D"/>
    <w:rsid w:val="19E15CCF"/>
    <w:rsid w:val="19E550BB"/>
    <w:rsid w:val="19EA4D01"/>
    <w:rsid w:val="19EF40C6"/>
    <w:rsid w:val="19EF4CC2"/>
    <w:rsid w:val="19F24A32"/>
    <w:rsid w:val="19F4792E"/>
    <w:rsid w:val="19F618F8"/>
    <w:rsid w:val="19F636A6"/>
    <w:rsid w:val="19F914E0"/>
    <w:rsid w:val="19FB2187"/>
    <w:rsid w:val="1A01171E"/>
    <w:rsid w:val="1A1B135F"/>
    <w:rsid w:val="1A1D0C33"/>
    <w:rsid w:val="1A22449B"/>
    <w:rsid w:val="1A277D03"/>
    <w:rsid w:val="1A2F6BB8"/>
    <w:rsid w:val="1A304E0A"/>
    <w:rsid w:val="1A355B24"/>
    <w:rsid w:val="1A38414C"/>
    <w:rsid w:val="1A3A7A37"/>
    <w:rsid w:val="1A451B07"/>
    <w:rsid w:val="1A4F044D"/>
    <w:rsid w:val="1A56667A"/>
    <w:rsid w:val="1A5D1977"/>
    <w:rsid w:val="1A606D71"/>
    <w:rsid w:val="1A62284F"/>
    <w:rsid w:val="1A6F26B9"/>
    <w:rsid w:val="1A7016AA"/>
    <w:rsid w:val="1A727ABE"/>
    <w:rsid w:val="1A727CB7"/>
    <w:rsid w:val="1A766F46"/>
    <w:rsid w:val="1A7E3F83"/>
    <w:rsid w:val="1A807414"/>
    <w:rsid w:val="1A82318C"/>
    <w:rsid w:val="1A840CB2"/>
    <w:rsid w:val="1A845C2A"/>
    <w:rsid w:val="1A864A2A"/>
    <w:rsid w:val="1A8B7370"/>
    <w:rsid w:val="1A8D618B"/>
    <w:rsid w:val="1A8E7704"/>
    <w:rsid w:val="1A8E794C"/>
    <w:rsid w:val="1A8F0467"/>
    <w:rsid w:val="1A907657"/>
    <w:rsid w:val="1A953198"/>
    <w:rsid w:val="1A9A6727"/>
    <w:rsid w:val="1A9A7B62"/>
    <w:rsid w:val="1AA21716"/>
    <w:rsid w:val="1AA33901"/>
    <w:rsid w:val="1AAC4E51"/>
    <w:rsid w:val="1AB05F4B"/>
    <w:rsid w:val="1AB23A71"/>
    <w:rsid w:val="1AB33345"/>
    <w:rsid w:val="1AB9456C"/>
    <w:rsid w:val="1AC15A62"/>
    <w:rsid w:val="1AC3050F"/>
    <w:rsid w:val="1AC35C7E"/>
    <w:rsid w:val="1AC83294"/>
    <w:rsid w:val="1ACE4623"/>
    <w:rsid w:val="1AD02149"/>
    <w:rsid w:val="1AD61006"/>
    <w:rsid w:val="1AE73491"/>
    <w:rsid w:val="1AE923ED"/>
    <w:rsid w:val="1AE9461B"/>
    <w:rsid w:val="1AF04599"/>
    <w:rsid w:val="1AF23E6D"/>
    <w:rsid w:val="1AF8344E"/>
    <w:rsid w:val="1AFC6A9A"/>
    <w:rsid w:val="1AFF47DC"/>
    <w:rsid w:val="1B001DD6"/>
    <w:rsid w:val="1B041E9A"/>
    <w:rsid w:val="1B0B4F2F"/>
    <w:rsid w:val="1B0D514B"/>
    <w:rsid w:val="1B0E491E"/>
    <w:rsid w:val="1B1028A4"/>
    <w:rsid w:val="1B1115F9"/>
    <w:rsid w:val="1B135BC4"/>
    <w:rsid w:val="1B185709"/>
    <w:rsid w:val="1B2129A5"/>
    <w:rsid w:val="1B216501"/>
    <w:rsid w:val="1B252495"/>
    <w:rsid w:val="1B324BB2"/>
    <w:rsid w:val="1B334486"/>
    <w:rsid w:val="1B393B94"/>
    <w:rsid w:val="1B3E3557"/>
    <w:rsid w:val="1B430B6D"/>
    <w:rsid w:val="1B4826E9"/>
    <w:rsid w:val="1B485C9B"/>
    <w:rsid w:val="1B4D5F47"/>
    <w:rsid w:val="1B5067BA"/>
    <w:rsid w:val="1B523561"/>
    <w:rsid w:val="1B5339BF"/>
    <w:rsid w:val="1B541CC3"/>
    <w:rsid w:val="1B577DA2"/>
    <w:rsid w:val="1B612213"/>
    <w:rsid w:val="1B644941"/>
    <w:rsid w:val="1B665A47"/>
    <w:rsid w:val="1B6D62D2"/>
    <w:rsid w:val="1B6E407B"/>
    <w:rsid w:val="1B705779"/>
    <w:rsid w:val="1B724934"/>
    <w:rsid w:val="1B783CC1"/>
    <w:rsid w:val="1B7C7BDB"/>
    <w:rsid w:val="1B8C2514"/>
    <w:rsid w:val="1B91111F"/>
    <w:rsid w:val="1B920893"/>
    <w:rsid w:val="1B926E6E"/>
    <w:rsid w:val="1B964676"/>
    <w:rsid w:val="1B99078D"/>
    <w:rsid w:val="1BA20022"/>
    <w:rsid w:val="1BA43ED6"/>
    <w:rsid w:val="1BA91E9F"/>
    <w:rsid w:val="1BAB2E06"/>
    <w:rsid w:val="1BAD73E5"/>
    <w:rsid w:val="1BBA3BF3"/>
    <w:rsid w:val="1BBB24A7"/>
    <w:rsid w:val="1BBC26CD"/>
    <w:rsid w:val="1BBC7801"/>
    <w:rsid w:val="1BBD66E5"/>
    <w:rsid w:val="1BBE0B13"/>
    <w:rsid w:val="1BC16F97"/>
    <w:rsid w:val="1BC31CAE"/>
    <w:rsid w:val="1BC6429E"/>
    <w:rsid w:val="1BC81072"/>
    <w:rsid w:val="1BCB0C5B"/>
    <w:rsid w:val="1BCC06E1"/>
    <w:rsid w:val="1BD16179"/>
    <w:rsid w:val="1BE0460E"/>
    <w:rsid w:val="1BE22134"/>
    <w:rsid w:val="1BE37C5A"/>
    <w:rsid w:val="1BE50DA1"/>
    <w:rsid w:val="1BE834C2"/>
    <w:rsid w:val="1BF105C9"/>
    <w:rsid w:val="1BF252E3"/>
    <w:rsid w:val="1BF27506"/>
    <w:rsid w:val="1BF63E31"/>
    <w:rsid w:val="1BF754B3"/>
    <w:rsid w:val="1BF9784E"/>
    <w:rsid w:val="1BFB1448"/>
    <w:rsid w:val="1BFC2ACA"/>
    <w:rsid w:val="1C0320AA"/>
    <w:rsid w:val="1C0A6C76"/>
    <w:rsid w:val="1C0E2F29"/>
    <w:rsid w:val="1C0F0A4F"/>
    <w:rsid w:val="1C161DDD"/>
    <w:rsid w:val="1C1F5136"/>
    <w:rsid w:val="1C236647"/>
    <w:rsid w:val="1C24274C"/>
    <w:rsid w:val="1C252021"/>
    <w:rsid w:val="1C365FDC"/>
    <w:rsid w:val="1C387FA6"/>
    <w:rsid w:val="1C3B5CE8"/>
    <w:rsid w:val="1C400181"/>
    <w:rsid w:val="1C4050AC"/>
    <w:rsid w:val="1C41140E"/>
    <w:rsid w:val="1C441279"/>
    <w:rsid w:val="1C512E16"/>
    <w:rsid w:val="1C56667E"/>
    <w:rsid w:val="1C5E06CD"/>
    <w:rsid w:val="1C5E5533"/>
    <w:rsid w:val="1C6404A0"/>
    <w:rsid w:val="1C661E6D"/>
    <w:rsid w:val="1C6D2469"/>
    <w:rsid w:val="1C730FDE"/>
    <w:rsid w:val="1C7A6810"/>
    <w:rsid w:val="1C7B60E4"/>
    <w:rsid w:val="1C7D3C0B"/>
    <w:rsid w:val="1C850D11"/>
    <w:rsid w:val="1C874A89"/>
    <w:rsid w:val="1C8C2B92"/>
    <w:rsid w:val="1C8C6544"/>
    <w:rsid w:val="1C8F393E"/>
    <w:rsid w:val="1C915EA7"/>
    <w:rsid w:val="1C933A9D"/>
    <w:rsid w:val="1C9F2730"/>
    <w:rsid w:val="1CA05B4B"/>
    <w:rsid w:val="1CA93E55"/>
    <w:rsid w:val="1CB31321"/>
    <w:rsid w:val="1CB3762C"/>
    <w:rsid w:val="1CB65E0D"/>
    <w:rsid w:val="1CB86D24"/>
    <w:rsid w:val="1CBA09BB"/>
    <w:rsid w:val="1CBE524F"/>
    <w:rsid w:val="1CC21F65"/>
    <w:rsid w:val="1CC7757C"/>
    <w:rsid w:val="1CD04682"/>
    <w:rsid w:val="1CDE75CE"/>
    <w:rsid w:val="1CDF6673"/>
    <w:rsid w:val="1CE153EF"/>
    <w:rsid w:val="1CE26164"/>
    <w:rsid w:val="1CE343B6"/>
    <w:rsid w:val="1CE647C1"/>
    <w:rsid w:val="1CEC0D90"/>
    <w:rsid w:val="1CF163A7"/>
    <w:rsid w:val="1CF33ECD"/>
    <w:rsid w:val="1CF73767"/>
    <w:rsid w:val="1CF92E79"/>
    <w:rsid w:val="1CFF2872"/>
    <w:rsid w:val="1D077978"/>
    <w:rsid w:val="1D0D12E7"/>
    <w:rsid w:val="1D11777D"/>
    <w:rsid w:val="1D195FCF"/>
    <w:rsid w:val="1D271DC8"/>
    <w:rsid w:val="1D2828ED"/>
    <w:rsid w:val="1D2A17EF"/>
    <w:rsid w:val="1D37025D"/>
    <w:rsid w:val="1D385D84"/>
    <w:rsid w:val="1D3A7D4E"/>
    <w:rsid w:val="1D440BCC"/>
    <w:rsid w:val="1D4533F5"/>
    <w:rsid w:val="1D545960"/>
    <w:rsid w:val="1D547061"/>
    <w:rsid w:val="1D595216"/>
    <w:rsid w:val="1D5B7403"/>
    <w:rsid w:val="1D5C799E"/>
    <w:rsid w:val="1D615194"/>
    <w:rsid w:val="1D632EBE"/>
    <w:rsid w:val="1D66036A"/>
    <w:rsid w:val="1D69418F"/>
    <w:rsid w:val="1D6E3994"/>
    <w:rsid w:val="1D7340B3"/>
    <w:rsid w:val="1D7414B2"/>
    <w:rsid w:val="1D744CFA"/>
    <w:rsid w:val="1D763A8A"/>
    <w:rsid w:val="1D79604F"/>
    <w:rsid w:val="1D7C2114"/>
    <w:rsid w:val="1D7E7C3A"/>
    <w:rsid w:val="1D846954"/>
    <w:rsid w:val="1D875316"/>
    <w:rsid w:val="1D8B2357"/>
    <w:rsid w:val="1D8D2D6C"/>
    <w:rsid w:val="1D8F0099"/>
    <w:rsid w:val="1D8F1E47"/>
    <w:rsid w:val="1D91357E"/>
    <w:rsid w:val="1D976F4E"/>
    <w:rsid w:val="1D9D7C95"/>
    <w:rsid w:val="1DA17DCD"/>
    <w:rsid w:val="1DA90A2F"/>
    <w:rsid w:val="1DAB4F29"/>
    <w:rsid w:val="1DB07249"/>
    <w:rsid w:val="1DB55626"/>
    <w:rsid w:val="1DB61906"/>
    <w:rsid w:val="1DB95116"/>
    <w:rsid w:val="1DBA1560"/>
    <w:rsid w:val="1DBA49EB"/>
    <w:rsid w:val="1DBB0E8E"/>
    <w:rsid w:val="1DC37D43"/>
    <w:rsid w:val="1DC55869"/>
    <w:rsid w:val="1DC87107"/>
    <w:rsid w:val="1DCA08C1"/>
    <w:rsid w:val="1DCA7323"/>
    <w:rsid w:val="1DCB4E4A"/>
    <w:rsid w:val="1DCD2970"/>
    <w:rsid w:val="1DD261D8"/>
    <w:rsid w:val="1DD843ED"/>
    <w:rsid w:val="1DE026A3"/>
    <w:rsid w:val="1DE5415D"/>
    <w:rsid w:val="1DE81497"/>
    <w:rsid w:val="1DEC587F"/>
    <w:rsid w:val="1DF93765"/>
    <w:rsid w:val="1E024AEE"/>
    <w:rsid w:val="1E0A5972"/>
    <w:rsid w:val="1E0C793C"/>
    <w:rsid w:val="1E164313"/>
    <w:rsid w:val="1E1719F1"/>
    <w:rsid w:val="1E1B192D"/>
    <w:rsid w:val="1E267F2B"/>
    <w:rsid w:val="1E2A6014"/>
    <w:rsid w:val="1E2A6E1F"/>
    <w:rsid w:val="1E2C2D12"/>
    <w:rsid w:val="1E2D1660"/>
    <w:rsid w:val="1E3429EF"/>
    <w:rsid w:val="1E391DB3"/>
    <w:rsid w:val="1E3E4A94"/>
    <w:rsid w:val="1E4470D6"/>
    <w:rsid w:val="1E4A684B"/>
    <w:rsid w:val="1E537319"/>
    <w:rsid w:val="1E57048B"/>
    <w:rsid w:val="1E5A6093"/>
    <w:rsid w:val="1E5C05F4"/>
    <w:rsid w:val="1E5D0198"/>
    <w:rsid w:val="1E5E181A"/>
    <w:rsid w:val="1E640753"/>
    <w:rsid w:val="1E6908EA"/>
    <w:rsid w:val="1E6C0104"/>
    <w:rsid w:val="1E714418"/>
    <w:rsid w:val="1E717388"/>
    <w:rsid w:val="1E7619DC"/>
    <w:rsid w:val="1E764DB5"/>
    <w:rsid w:val="1E796654"/>
    <w:rsid w:val="1E7A38F3"/>
    <w:rsid w:val="1E7C4D12"/>
    <w:rsid w:val="1E7D45CD"/>
    <w:rsid w:val="1E7D5E1E"/>
    <w:rsid w:val="1E8474D2"/>
    <w:rsid w:val="1E860CC4"/>
    <w:rsid w:val="1E870EC2"/>
    <w:rsid w:val="1E9F255E"/>
    <w:rsid w:val="1EA2204E"/>
    <w:rsid w:val="1EA41B04"/>
    <w:rsid w:val="1EAC4C7B"/>
    <w:rsid w:val="1EAE09F3"/>
    <w:rsid w:val="1EAF647D"/>
    <w:rsid w:val="1EB340DE"/>
    <w:rsid w:val="1EB46019"/>
    <w:rsid w:val="1EB61656"/>
    <w:rsid w:val="1EBA0EAC"/>
    <w:rsid w:val="1EC10726"/>
    <w:rsid w:val="1EC43AD5"/>
    <w:rsid w:val="1EC444A9"/>
    <w:rsid w:val="1EC75611"/>
    <w:rsid w:val="1ECE5AEC"/>
    <w:rsid w:val="1ED56D51"/>
    <w:rsid w:val="1EE91A2B"/>
    <w:rsid w:val="1EEC10BA"/>
    <w:rsid w:val="1EEC5078"/>
    <w:rsid w:val="1EF5217E"/>
    <w:rsid w:val="1EF54DB0"/>
    <w:rsid w:val="1EF94842"/>
    <w:rsid w:val="1EFF230B"/>
    <w:rsid w:val="1EFF2FFD"/>
    <w:rsid w:val="1F005132"/>
    <w:rsid w:val="1F00520E"/>
    <w:rsid w:val="1F007364"/>
    <w:rsid w:val="1F070103"/>
    <w:rsid w:val="1F08738A"/>
    <w:rsid w:val="1F163F21"/>
    <w:rsid w:val="1F180A5E"/>
    <w:rsid w:val="1F1A7E37"/>
    <w:rsid w:val="1F1B0D5B"/>
    <w:rsid w:val="1F220A99"/>
    <w:rsid w:val="1F2340F4"/>
    <w:rsid w:val="1F2637A2"/>
    <w:rsid w:val="1F320EC9"/>
    <w:rsid w:val="1F3A5DE3"/>
    <w:rsid w:val="1F3D2324"/>
    <w:rsid w:val="1F3E1D77"/>
    <w:rsid w:val="1F3E6D06"/>
    <w:rsid w:val="1F43738D"/>
    <w:rsid w:val="1F52136A"/>
    <w:rsid w:val="1F533349"/>
    <w:rsid w:val="1F542D32"/>
    <w:rsid w:val="1F576995"/>
    <w:rsid w:val="1F5C10A8"/>
    <w:rsid w:val="1F5C3FAB"/>
    <w:rsid w:val="1F720C23"/>
    <w:rsid w:val="1F721A21"/>
    <w:rsid w:val="1F7E6617"/>
    <w:rsid w:val="1F8D685B"/>
    <w:rsid w:val="1F934D97"/>
    <w:rsid w:val="1F941997"/>
    <w:rsid w:val="1F974FE3"/>
    <w:rsid w:val="1FA56F6D"/>
    <w:rsid w:val="1FB35BE2"/>
    <w:rsid w:val="1FB61240"/>
    <w:rsid w:val="1FB720F8"/>
    <w:rsid w:val="1FB738D7"/>
    <w:rsid w:val="1FBB33C8"/>
    <w:rsid w:val="1FBD7A77"/>
    <w:rsid w:val="1FC6714D"/>
    <w:rsid w:val="1FC85AE5"/>
    <w:rsid w:val="1FCB040E"/>
    <w:rsid w:val="1FCB2EDF"/>
    <w:rsid w:val="1FCC5B5B"/>
    <w:rsid w:val="1FD46237"/>
    <w:rsid w:val="1FD60202"/>
    <w:rsid w:val="1FD837FF"/>
    <w:rsid w:val="1FDB6630"/>
    <w:rsid w:val="1FE3088A"/>
    <w:rsid w:val="1FE40369"/>
    <w:rsid w:val="1FE90CEE"/>
    <w:rsid w:val="1FEA4E1F"/>
    <w:rsid w:val="1FEB1DE0"/>
    <w:rsid w:val="1FEF4E1F"/>
    <w:rsid w:val="1FFE1506"/>
    <w:rsid w:val="1FFF03C0"/>
    <w:rsid w:val="2000527E"/>
    <w:rsid w:val="20020FF7"/>
    <w:rsid w:val="200A09E3"/>
    <w:rsid w:val="20120B0E"/>
    <w:rsid w:val="20166850"/>
    <w:rsid w:val="20167872"/>
    <w:rsid w:val="20196340"/>
    <w:rsid w:val="201B5C14"/>
    <w:rsid w:val="201C1217"/>
    <w:rsid w:val="20207D22"/>
    <w:rsid w:val="20234AC9"/>
    <w:rsid w:val="202D1DEC"/>
    <w:rsid w:val="203D202F"/>
    <w:rsid w:val="203D7CE7"/>
    <w:rsid w:val="20413D58"/>
    <w:rsid w:val="204333BD"/>
    <w:rsid w:val="20484530"/>
    <w:rsid w:val="204A31D1"/>
    <w:rsid w:val="204A474C"/>
    <w:rsid w:val="204B0952"/>
    <w:rsid w:val="204D7D98"/>
    <w:rsid w:val="204E35F3"/>
    <w:rsid w:val="204F3443"/>
    <w:rsid w:val="2055336D"/>
    <w:rsid w:val="205D622D"/>
    <w:rsid w:val="20643A97"/>
    <w:rsid w:val="206550E2"/>
    <w:rsid w:val="206F285C"/>
    <w:rsid w:val="20774B5A"/>
    <w:rsid w:val="20817A88"/>
    <w:rsid w:val="208337BA"/>
    <w:rsid w:val="208A4B48"/>
    <w:rsid w:val="208F7C61"/>
    <w:rsid w:val="20976CDE"/>
    <w:rsid w:val="20A165BD"/>
    <w:rsid w:val="20A335D0"/>
    <w:rsid w:val="20AA265E"/>
    <w:rsid w:val="20B87680"/>
    <w:rsid w:val="20BE47F2"/>
    <w:rsid w:val="20C31E08"/>
    <w:rsid w:val="20C95670"/>
    <w:rsid w:val="20CA5D3E"/>
    <w:rsid w:val="20CC747B"/>
    <w:rsid w:val="20CE2C87"/>
    <w:rsid w:val="20D44015"/>
    <w:rsid w:val="20D67D8D"/>
    <w:rsid w:val="20DA5ACF"/>
    <w:rsid w:val="20DB2206"/>
    <w:rsid w:val="20E34258"/>
    <w:rsid w:val="20E56222"/>
    <w:rsid w:val="20F20463"/>
    <w:rsid w:val="20F52909"/>
    <w:rsid w:val="20F93B48"/>
    <w:rsid w:val="20FA7F20"/>
    <w:rsid w:val="20FC5759"/>
    <w:rsid w:val="21040C2B"/>
    <w:rsid w:val="21115CF6"/>
    <w:rsid w:val="21132D8F"/>
    <w:rsid w:val="211803A6"/>
    <w:rsid w:val="211C17B2"/>
    <w:rsid w:val="211D776A"/>
    <w:rsid w:val="212E1977"/>
    <w:rsid w:val="212E3725"/>
    <w:rsid w:val="212F6FAD"/>
    <w:rsid w:val="21336F8E"/>
    <w:rsid w:val="21383383"/>
    <w:rsid w:val="21414DE3"/>
    <w:rsid w:val="21417A0D"/>
    <w:rsid w:val="214552F8"/>
    <w:rsid w:val="214E3823"/>
    <w:rsid w:val="214F2556"/>
    <w:rsid w:val="21506144"/>
    <w:rsid w:val="215D5AE0"/>
    <w:rsid w:val="216550FD"/>
    <w:rsid w:val="216830DB"/>
    <w:rsid w:val="217355DC"/>
    <w:rsid w:val="217952E8"/>
    <w:rsid w:val="217A07FD"/>
    <w:rsid w:val="217B2FA3"/>
    <w:rsid w:val="217D327D"/>
    <w:rsid w:val="217D46AD"/>
    <w:rsid w:val="218617B3"/>
    <w:rsid w:val="21863561"/>
    <w:rsid w:val="218B501C"/>
    <w:rsid w:val="218C499A"/>
    <w:rsid w:val="21930FD2"/>
    <w:rsid w:val="219537A4"/>
    <w:rsid w:val="219C6AE2"/>
    <w:rsid w:val="219F23DC"/>
    <w:rsid w:val="21A2566F"/>
    <w:rsid w:val="21AD4952"/>
    <w:rsid w:val="21AD6D40"/>
    <w:rsid w:val="21AF6D56"/>
    <w:rsid w:val="21C127EB"/>
    <w:rsid w:val="21C322D4"/>
    <w:rsid w:val="21C354DC"/>
    <w:rsid w:val="21C67E02"/>
    <w:rsid w:val="21CB3390"/>
    <w:rsid w:val="21CE52E3"/>
    <w:rsid w:val="21D41512"/>
    <w:rsid w:val="21D50045"/>
    <w:rsid w:val="21DC1986"/>
    <w:rsid w:val="21DC39BC"/>
    <w:rsid w:val="21E0212B"/>
    <w:rsid w:val="21E568DF"/>
    <w:rsid w:val="21F030D1"/>
    <w:rsid w:val="21F229A5"/>
    <w:rsid w:val="21F901D7"/>
    <w:rsid w:val="21FE02AF"/>
    <w:rsid w:val="21FE66A4"/>
    <w:rsid w:val="22010E3A"/>
    <w:rsid w:val="22036014"/>
    <w:rsid w:val="22055993"/>
    <w:rsid w:val="220C262D"/>
    <w:rsid w:val="220C363D"/>
    <w:rsid w:val="2211402A"/>
    <w:rsid w:val="22170394"/>
    <w:rsid w:val="221A1EFC"/>
    <w:rsid w:val="221C5C74"/>
    <w:rsid w:val="221D6C29"/>
    <w:rsid w:val="22235E85"/>
    <w:rsid w:val="22252D7A"/>
    <w:rsid w:val="222A44DB"/>
    <w:rsid w:val="222D463E"/>
    <w:rsid w:val="2230171F"/>
    <w:rsid w:val="22351D4C"/>
    <w:rsid w:val="22363274"/>
    <w:rsid w:val="223B5668"/>
    <w:rsid w:val="223C308E"/>
    <w:rsid w:val="2245341D"/>
    <w:rsid w:val="22471AEE"/>
    <w:rsid w:val="22477195"/>
    <w:rsid w:val="22515385"/>
    <w:rsid w:val="225455D2"/>
    <w:rsid w:val="22576079"/>
    <w:rsid w:val="22582C87"/>
    <w:rsid w:val="22596EC8"/>
    <w:rsid w:val="225C71F5"/>
    <w:rsid w:val="225E003A"/>
    <w:rsid w:val="22602004"/>
    <w:rsid w:val="22617B2B"/>
    <w:rsid w:val="226513C9"/>
    <w:rsid w:val="226715E5"/>
    <w:rsid w:val="22673393"/>
    <w:rsid w:val="226C6BFB"/>
    <w:rsid w:val="226F0499"/>
    <w:rsid w:val="22737A4F"/>
    <w:rsid w:val="227E633A"/>
    <w:rsid w:val="22817BD2"/>
    <w:rsid w:val="22851A6B"/>
    <w:rsid w:val="228B2A69"/>
    <w:rsid w:val="228C057E"/>
    <w:rsid w:val="228D5F39"/>
    <w:rsid w:val="228F5682"/>
    <w:rsid w:val="228F63FE"/>
    <w:rsid w:val="22910410"/>
    <w:rsid w:val="229121BE"/>
    <w:rsid w:val="229234D1"/>
    <w:rsid w:val="2292467E"/>
    <w:rsid w:val="22944755"/>
    <w:rsid w:val="22947F00"/>
    <w:rsid w:val="229536BA"/>
    <w:rsid w:val="229972C4"/>
    <w:rsid w:val="229A609C"/>
    <w:rsid w:val="229F33DA"/>
    <w:rsid w:val="22A033BA"/>
    <w:rsid w:val="22A47A9C"/>
    <w:rsid w:val="22AB7CC8"/>
    <w:rsid w:val="22AC349C"/>
    <w:rsid w:val="22CA56D0"/>
    <w:rsid w:val="22D138E2"/>
    <w:rsid w:val="22D30A28"/>
    <w:rsid w:val="22D36C7A"/>
    <w:rsid w:val="22D7213E"/>
    <w:rsid w:val="22D724A9"/>
    <w:rsid w:val="22D81026"/>
    <w:rsid w:val="22DF6424"/>
    <w:rsid w:val="22DF73CD"/>
    <w:rsid w:val="22E449E3"/>
    <w:rsid w:val="22E5075C"/>
    <w:rsid w:val="22E50852"/>
    <w:rsid w:val="22E7312D"/>
    <w:rsid w:val="22E73E7A"/>
    <w:rsid w:val="22E83DA8"/>
    <w:rsid w:val="22EA7B20"/>
    <w:rsid w:val="22ED4C72"/>
    <w:rsid w:val="22F369D5"/>
    <w:rsid w:val="22F815B3"/>
    <w:rsid w:val="22FC71C7"/>
    <w:rsid w:val="23003C5E"/>
    <w:rsid w:val="23005595"/>
    <w:rsid w:val="230706D2"/>
    <w:rsid w:val="230A01C2"/>
    <w:rsid w:val="230C5CE8"/>
    <w:rsid w:val="230E078D"/>
    <w:rsid w:val="230E7CB2"/>
    <w:rsid w:val="231150AD"/>
    <w:rsid w:val="231A178A"/>
    <w:rsid w:val="231C5EB2"/>
    <w:rsid w:val="23203542"/>
    <w:rsid w:val="232625C2"/>
    <w:rsid w:val="232A616E"/>
    <w:rsid w:val="233A7B8C"/>
    <w:rsid w:val="233C3329"/>
    <w:rsid w:val="2342170A"/>
    <w:rsid w:val="234D7C8C"/>
    <w:rsid w:val="2351194D"/>
    <w:rsid w:val="235356C5"/>
    <w:rsid w:val="23570963"/>
    <w:rsid w:val="235A7FBB"/>
    <w:rsid w:val="235D02F2"/>
    <w:rsid w:val="2361016D"/>
    <w:rsid w:val="23621DAC"/>
    <w:rsid w:val="23623B5A"/>
    <w:rsid w:val="2369320B"/>
    <w:rsid w:val="23694EE9"/>
    <w:rsid w:val="236A4412"/>
    <w:rsid w:val="23700938"/>
    <w:rsid w:val="2378512C"/>
    <w:rsid w:val="237A2BC2"/>
    <w:rsid w:val="237B1C1A"/>
    <w:rsid w:val="23852551"/>
    <w:rsid w:val="23872559"/>
    <w:rsid w:val="238C6E29"/>
    <w:rsid w:val="23911076"/>
    <w:rsid w:val="23961EEA"/>
    <w:rsid w:val="239969B1"/>
    <w:rsid w:val="239C714E"/>
    <w:rsid w:val="239D1036"/>
    <w:rsid w:val="239F6B5C"/>
    <w:rsid w:val="23A23091"/>
    <w:rsid w:val="23A36435"/>
    <w:rsid w:val="23A423C5"/>
    <w:rsid w:val="23A75A11"/>
    <w:rsid w:val="23A81BE8"/>
    <w:rsid w:val="23C230FF"/>
    <w:rsid w:val="23C91E2B"/>
    <w:rsid w:val="23CB7EA6"/>
    <w:rsid w:val="23D545C8"/>
    <w:rsid w:val="23D83E1C"/>
    <w:rsid w:val="23E42DB1"/>
    <w:rsid w:val="23E44E3E"/>
    <w:rsid w:val="23E46C65"/>
    <w:rsid w:val="23E54DE7"/>
    <w:rsid w:val="23E870C3"/>
    <w:rsid w:val="23EB66CA"/>
    <w:rsid w:val="23F1726E"/>
    <w:rsid w:val="23F24EDE"/>
    <w:rsid w:val="23F95523"/>
    <w:rsid w:val="240510B5"/>
    <w:rsid w:val="24092228"/>
    <w:rsid w:val="240A1BB0"/>
    <w:rsid w:val="240D7F6A"/>
    <w:rsid w:val="24100F4B"/>
    <w:rsid w:val="24150BCD"/>
    <w:rsid w:val="24165AF6"/>
    <w:rsid w:val="24184126"/>
    <w:rsid w:val="241F37F9"/>
    <w:rsid w:val="242552B4"/>
    <w:rsid w:val="242576DC"/>
    <w:rsid w:val="242671BB"/>
    <w:rsid w:val="2427493E"/>
    <w:rsid w:val="24275362"/>
    <w:rsid w:val="24276EB2"/>
    <w:rsid w:val="242C1665"/>
    <w:rsid w:val="24394AB8"/>
    <w:rsid w:val="24436AFF"/>
    <w:rsid w:val="244B2556"/>
    <w:rsid w:val="245353A8"/>
    <w:rsid w:val="245D66DC"/>
    <w:rsid w:val="245E7561"/>
    <w:rsid w:val="24633955"/>
    <w:rsid w:val="24651B54"/>
    <w:rsid w:val="24666D36"/>
    <w:rsid w:val="247B213B"/>
    <w:rsid w:val="24822706"/>
    <w:rsid w:val="2483022C"/>
    <w:rsid w:val="249D611B"/>
    <w:rsid w:val="24A85EE5"/>
    <w:rsid w:val="24AA4DB3"/>
    <w:rsid w:val="24AC7783"/>
    <w:rsid w:val="24AD7057"/>
    <w:rsid w:val="24B30B63"/>
    <w:rsid w:val="24B71C84"/>
    <w:rsid w:val="24B81EA4"/>
    <w:rsid w:val="24BC54EC"/>
    <w:rsid w:val="24BE4011"/>
    <w:rsid w:val="24C075E6"/>
    <w:rsid w:val="24C543A1"/>
    <w:rsid w:val="24CC6286"/>
    <w:rsid w:val="24D42F9E"/>
    <w:rsid w:val="24DE1906"/>
    <w:rsid w:val="24E35931"/>
    <w:rsid w:val="24E54A43"/>
    <w:rsid w:val="24E567F1"/>
    <w:rsid w:val="24E60FF3"/>
    <w:rsid w:val="24E72569"/>
    <w:rsid w:val="24EA02AB"/>
    <w:rsid w:val="24F01070"/>
    <w:rsid w:val="24F353B2"/>
    <w:rsid w:val="24FD7FDE"/>
    <w:rsid w:val="250321B4"/>
    <w:rsid w:val="25073F32"/>
    <w:rsid w:val="2507454D"/>
    <w:rsid w:val="250F7D12"/>
    <w:rsid w:val="2510486F"/>
    <w:rsid w:val="25145328"/>
    <w:rsid w:val="25164BFC"/>
    <w:rsid w:val="251A1429"/>
    <w:rsid w:val="251B2B2D"/>
    <w:rsid w:val="251C3507"/>
    <w:rsid w:val="25254906"/>
    <w:rsid w:val="252925A6"/>
    <w:rsid w:val="252B4B4C"/>
    <w:rsid w:val="252E056F"/>
    <w:rsid w:val="252E15C9"/>
    <w:rsid w:val="25324E6F"/>
    <w:rsid w:val="253C49B6"/>
    <w:rsid w:val="253C78D0"/>
    <w:rsid w:val="253E54E4"/>
    <w:rsid w:val="253F4153"/>
    <w:rsid w:val="25401FA2"/>
    <w:rsid w:val="254463F1"/>
    <w:rsid w:val="25455E14"/>
    <w:rsid w:val="254A2FF8"/>
    <w:rsid w:val="254C061E"/>
    <w:rsid w:val="254F6E43"/>
    <w:rsid w:val="25505F87"/>
    <w:rsid w:val="25565941"/>
    <w:rsid w:val="2558779F"/>
    <w:rsid w:val="255B4D05"/>
    <w:rsid w:val="255D6CCF"/>
    <w:rsid w:val="256239C1"/>
    <w:rsid w:val="25652808"/>
    <w:rsid w:val="25692CA4"/>
    <w:rsid w:val="256C6F12"/>
    <w:rsid w:val="25754019"/>
    <w:rsid w:val="257619E9"/>
    <w:rsid w:val="257638ED"/>
    <w:rsid w:val="257A33DD"/>
    <w:rsid w:val="257E5933"/>
    <w:rsid w:val="257F27A2"/>
    <w:rsid w:val="25816279"/>
    <w:rsid w:val="258370EC"/>
    <w:rsid w:val="25886C1A"/>
    <w:rsid w:val="258A1146"/>
    <w:rsid w:val="258F3184"/>
    <w:rsid w:val="25913A66"/>
    <w:rsid w:val="25950217"/>
    <w:rsid w:val="259D2BCF"/>
    <w:rsid w:val="25A121E1"/>
    <w:rsid w:val="25A246E2"/>
    <w:rsid w:val="25A36726"/>
    <w:rsid w:val="25A55F80"/>
    <w:rsid w:val="25A71CF8"/>
    <w:rsid w:val="25AC730F"/>
    <w:rsid w:val="25AE61AD"/>
    <w:rsid w:val="25AF2202"/>
    <w:rsid w:val="25B41D54"/>
    <w:rsid w:val="25B44675"/>
    <w:rsid w:val="25B6018D"/>
    <w:rsid w:val="25BD151C"/>
    <w:rsid w:val="25C64874"/>
    <w:rsid w:val="25C751C2"/>
    <w:rsid w:val="25CD0B0A"/>
    <w:rsid w:val="25D074A1"/>
    <w:rsid w:val="25D30D3F"/>
    <w:rsid w:val="25D63195"/>
    <w:rsid w:val="25D70929"/>
    <w:rsid w:val="25DE1BBE"/>
    <w:rsid w:val="25DF76E4"/>
    <w:rsid w:val="25E22D30"/>
    <w:rsid w:val="25E27C61"/>
    <w:rsid w:val="25E36D25"/>
    <w:rsid w:val="25E42F4C"/>
    <w:rsid w:val="25E73429"/>
    <w:rsid w:val="25F52A64"/>
    <w:rsid w:val="25F554DE"/>
    <w:rsid w:val="26013B1B"/>
    <w:rsid w:val="260A2BD2"/>
    <w:rsid w:val="26127ABA"/>
    <w:rsid w:val="26137703"/>
    <w:rsid w:val="26154EB4"/>
    <w:rsid w:val="261849A4"/>
    <w:rsid w:val="261D550C"/>
    <w:rsid w:val="261F1E59"/>
    <w:rsid w:val="26256302"/>
    <w:rsid w:val="26265313"/>
    <w:rsid w:val="262B30D0"/>
    <w:rsid w:val="26347A30"/>
    <w:rsid w:val="263545D9"/>
    <w:rsid w:val="26393298"/>
    <w:rsid w:val="26395481"/>
    <w:rsid w:val="2641214D"/>
    <w:rsid w:val="264367FB"/>
    <w:rsid w:val="264513FF"/>
    <w:rsid w:val="264B2FCC"/>
    <w:rsid w:val="265531F1"/>
    <w:rsid w:val="265E4AAD"/>
    <w:rsid w:val="2661459D"/>
    <w:rsid w:val="266A5364"/>
    <w:rsid w:val="266D2F42"/>
    <w:rsid w:val="266D54F1"/>
    <w:rsid w:val="266F6CBA"/>
    <w:rsid w:val="2670658E"/>
    <w:rsid w:val="267740C4"/>
    <w:rsid w:val="26781BEB"/>
    <w:rsid w:val="26793D2D"/>
    <w:rsid w:val="268362C1"/>
    <w:rsid w:val="2685203A"/>
    <w:rsid w:val="2686568A"/>
    <w:rsid w:val="26876DC7"/>
    <w:rsid w:val="268838D8"/>
    <w:rsid w:val="26890340"/>
    <w:rsid w:val="268B18B9"/>
    <w:rsid w:val="268B33C8"/>
    <w:rsid w:val="268C786C"/>
    <w:rsid w:val="26955416"/>
    <w:rsid w:val="26976211"/>
    <w:rsid w:val="269C3412"/>
    <w:rsid w:val="26A041C4"/>
    <w:rsid w:val="26A336EE"/>
    <w:rsid w:val="26A60202"/>
    <w:rsid w:val="26A66F85"/>
    <w:rsid w:val="26AB105A"/>
    <w:rsid w:val="26B2663E"/>
    <w:rsid w:val="26B446CD"/>
    <w:rsid w:val="26BA1CA7"/>
    <w:rsid w:val="26BB5A5B"/>
    <w:rsid w:val="26BC60C2"/>
    <w:rsid w:val="26C54B2C"/>
    <w:rsid w:val="26C62652"/>
    <w:rsid w:val="26CC274D"/>
    <w:rsid w:val="26CE55A7"/>
    <w:rsid w:val="26D11723"/>
    <w:rsid w:val="26D703BB"/>
    <w:rsid w:val="26E2748C"/>
    <w:rsid w:val="26E3633D"/>
    <w:rsid w:val="26E87007"/>
    <w:rsid w:val="26EA00EF"/>
    <w:rsid w:val="26FD5268"/>
    <w:rsid w:val="27076EF2"/>
    <w:rsid w:val="270F0433"/>
    <w:rsid w:val="271B474C"/>
    <w:rsid w:val="27251456"/>
    <w:rsid w:val="272660A4"/>
    <w:rsid w:val="27271343"/>
    <w:rsid w:val="272A2BE1"/>
    <w:rsid w:val="272F1FA5"/>
    <w:rsid w:val="27361586"/>
    <w:rsid w:val="273F48DE"/>
    <w:rsid w:val="274036F9"/>
    <w:rsid w:val="27457CBC"/>
    <w:rsid w:val="27501BBE"/>
    <w:rsid w:val="27542BB0"/>
    <w:rsid w:val="27582E36"/>
    <w:rsid w:val="275B723E"/>
    <w:rsid w:val="275D6B12"/>
    <w:rsid w:val="275E6268"/>
    <w:rsid w:val="27603830"/>
    <w:rsid w:val="276049BB"/>
    <w:rsid w:val="27653582"/>
    <w:rsid w:val="27706BF2"/>
    <w:rsid w:val="27712FBE"/>
    <w:rsid w:val="27743E5C"/>
    <w:rsid w:val="277C2A42"/>
    <w:rsid w:val="277F7E86"/>
    <w:rsid w:val="2785065C"/>
    <w:rsid w:val="278A47B6"/>
    <w:rsid w:val="278C1E12"/>
    <w:rsid w:val="27952750"/>
    <w:rsid w:val="279D64BF"/>
    <w:rsid w:val="27A46807"/>
    <w:rsid w:val="27B01338"/>
    <w:rsid w:val="27B04A6D"/>
    <w:rsid w:val="27B26C54"/>
    <w:rsid w:val="27B626C7"/>
    <w:rsid w:val="27B70919"/>
    <w:rsid w:val="27B97EBF"/>
    <w:rsid w:val="27BF6FF4"/>
    <w:rsid w:val="27C93AA6"/>
    <w:rsid w:val="27CF250D"/>
    <w:rsid w:val="27D05536"/>
    <w:rsid w:val="27D72D69"/>
    <w:rsid w:val="27D74B17"/>
    <w:rsid w:val="27D8516B"/>
    <w:rsid w:val="27DA7CB2"/>
    <w:rsid w:val="27DD40F7"/>
    <w:rsid w:val="27DE291E"/>
    <w:rsid w:val="27E07536"/>
    <w:rsid w:val="27E2526A"/>
    <w:rsid w:val="27E350C1"/>
    <w:rsid w:val="27E62FAC"/>
    <w:rsid w:val="27EE00B2"/>
    <w:rsid w:val="27EF6F5A"/>
    <w:rsid w:val="27F6425C"/>
    <w:rsid w:val="27F82CDF"/>
    <w:rsid w:val="27FC632B"/>
    <w:rsid w:val="280C22E7"/>
    <w:rsid w:val="280E2503"/>
    <w:rsid w:val="281573ED"/>
    <w:rsid w:val="28164755"/>
    <w:rsid w:val="28173165"/>
    <w:rsid w:val="281A4A03"/>
    <w:rsid w:val="281E3302"/>
    <w:rsid w:val="28246CCB"/>
    <w:rsid w:val="282A2D36"/>
    <w:rsid w:val="282D5012"/>
    <w:rsid w:val="282E04AF"/>
    <w:rsid w:val="28302479"/>
    <w:rsid w:val="283104B7"/>
    <w:rsid w:val="28363D32"/>
    <w:rsid w:val="283C2BCC"/>
    <w:rsid w:val="283E4B96"/>
    <w:rsid w:val="2846765D"/>
    <w:rsid w:val="284A2313"/>
    <w:rsid w:val="284C097D"/>
    <w:rsid w:val="28520659"/>
    <w:rsid w:val="28577A06"/>
    <w:rsid w:val="28594A5A"/>
    <w:rsid w:val="285A00F5"/>
    <w:rsid w:val="285F2D5E"/>
    <w:rsid w:val="28667C49"/>
    <w:rsid w:val="28722A91"/>
    <w:rsid w:val="2873553B"/>
    <w:rsid w:val="28770C0A"/>
    <w:rsid w:val="28771630"/>
    <w:rsid w:val="2877751D"/>
    <w:rsid w:val="287C746C"/>
    <w:rsid w:val="287F0D18"/>
    <w:rsid w:val="28866BF1"/>
    <w:rsid w:val="288D3427"/>
    <w:rsid w:val="288F500F"/>
    <w:rsid w:val="289C7B0E"/>
    <w:rsid w:val="289D4360"/>
    <w:rsid w:val="28A40771"/>
    <w:rsid w:val="28A805A9"/>
    <w:rsid w:val="28AD4A90"/>
    <w:rsid w:val="28AF15F0"/>
    <w:rsid w:val="28B05368"/>
    <w:rsid w:val="28B12FF3"/>
    <w:rsid w:val="28B30777"/>
    <w:rsid w:val="28B5297E"/>
    <w:rsid w:val="28B95783"/>
    <w:rsid w:val="28BD5FAD"/>
    <w:rsid w:val="28C037FD"/>
    <w:rsid w:val="28C130D1"/>
    <w:rsid w:val="28CB21A2"/>
    <w:rsid w:val="28CD59B8"/>
    <w:rsid w:val="28D21317"/>
    <w:rsid w:val="28D26420"/>
    <w:rsid w:val="28D728F5"/>
    <w:rsid w:val="28DB5DE4"/>
    <w:rsid w:val="28DC69C9"/>
    <w:rsid w:val="28DD687E"/>
    <w:rsid w:val="28DE0430"/>
    <w:rsid w:val="28E7402A"/>
    <w:rsid w:val="28E77DD2"/>
    <w:rsid w:val="28E86B18"/>
    <w:rsid w:val="28EA087A"/>
    <w:rsid w:val="28F1521E"/>
    <w:rsid w:val="28F214DC"/>
    <w:rsid w:val="28F76143"/>
    <w:rsid w:val="28F9286B"/>
    <w:rsid w:val="28FA37B3"/>
    <w:rsid w:val="2900009D"/>
    <w:rsid w:val="29062B20"/>
    <w:rsid w:val="29127DD1"/>
    <w:rsid w:val="2918044D"/>
    <w:rsid w:val="29193C68"/>
    <w:rsid w:val="291B0A33"/>
    <w:rsid w:val="292024ED"/>
    <w:rsid w:val="2920429C"/>
    <w:rsid w:val="29233D8C"/>
    <w:rsid w:val="292535BA"/>
    <w:rsid w:val="292673D8"/>
    <w:rsid w:val="29294CE6"/>
    <w:rsid w:val="29352537"/>
    <w:rsid w:val="294100A6"/>
    <w:rsid w:val="29443ECD"/>
    <w:rsid w:val="2944442E"/>
    <w:rsid w:val="29452E64"/>
    <w:rsid w:val="294A30C6"/>
    <w:rsid w:val="294A57BC"/>
    <w:rsid w:val="294D2BB7"/>
    <w:rsid w:val="294E0E09"/>
    <w:rsid w:val="29503BAF"/>
    <w:rsid w:val="29557060"/>
    <w:rsid w:val="295726E2"/>
    <w:rsid w:val="295D729E"/>
    <w:rsid w:val="29652B4F"/>
    <w:rsid w:val="296A3769"/>
    <w:rsid w:val="296B3742"/>
    <w:rsid w:val="296E1870"/>
    <w:rsid w:val="296E563B"/>
    <w:rsid w:val="29702FAD"/>
    <w:rsid w:val="29712D49"/>
    <w:rsid w:val="297A100D"/>
    <w:rsid w:val="297A7E50"/>
    <w:rsid w:val="297C55D3"/>
    <w:rsid w:val="297D349C"/>
    <w:rsid w:val="298165C8"/>
    <w:rsid w:val="29827E50"/>
    <w:rsid w:val="299B568F"/>
    <w:rsid w:val="29A27FCC"/>
    <w:rsid w:val="29A46C7B"/>
    <w:rsid w:val="29A61B92"/>
    <w:rsid w:val="29AE7017"/>
    <w:rsid w:val="29B1237D"/>
    <w:rsid w:val="29B32BCB"/>
    <w:rsid w:val="29B478C6"/>
    <w:rsid w:val="29C0782D"/>
    <w:rsid w:val="29C565CD"/>
    <w:rsid w:val="29C64750"/>
    <w:rsid w:val="29C94B05"/>
    <w:rsid w:val="29CA14C5"/>
    <w:rsid w:val="29CF181E"/>
    <w:rsid w:val="29D532D8"/>
    <w:rsid w:val="29D96F91"/>
    <w:rsid w:val="29DA6B40"/>
    <w:rsid w:val="29EE439A"/>
    <w:rsid w:val="29F51284"/>
    <w:rsid w:val="29F64C20"/>
    <w:rsid w:val="29F7481B"/>
    <w:rsid w:val="29F80D74"/>
    <w:rsid w:val="29FF0601"/>
    <w:rsid w:val="2A005E38"/>
    <w:rsid w:val="2A054317"/>
    <w:rsid w:val="2A0C41A9"/>
    <w:rsid w:val="2A0D1E04"/>
    <w:rsid w:val="2A0D1FB9"/>
    <w:rsid w:val="2A0F02AA"/>
    <w:rsid w:val="2A1074FE"/>
    <w:rsid w:val="2A143BA5"/>
    <w:rsid w:val="2A150460"/>
    <w:rsid w:val="2A192AE7"/>
    <w:rsid w:val="2A19460D"/>
    <w:rsid w:val="2A1C4276"/>
    <w:rsid w:val="2A223CF9"/>
    <w:rsid w:val="2A276210"/>
    <w:rsid w:val="2A2A5F9A"/>
    <w:rsid w:val="2A2E29E8"/>
    <w:rsid w:val="2A310C36"/>
    <w:rsid w:val="2A346D0B"/>
    <w:rsid w:val="2A351FC9"/>
    <w:rsid w:val="2A3842EE"/>
    <w:rsid w:val="2A391353"/>
    <w:rsid w:val="2A391AB9"/>
    <w:rsid w:val="2A402567"/>
    <w:rsid w:val="2A465F84"/>
    <w:rsid w:val="2A483E2A"/>
    <w:rsid w:val="2A495A74"/>
    <w:rsid w:val="2A4B17EC"/>
    <w:rsid w:val="2A4E308A"/>
    <w:rsid w:val="2A533306"/>
    <w:rsid w:val="2A631AD5"/>
    <w:rsid w:val="2A64465C"/>
    <w:rsid w:val="2A684BAA"/>
    <w:rsid w:val="2A7508E1"/>
    <w:rsid w:val="2A790107"/>
    <w:rsid w:val="2A7A571B"/>
    <w:rsid w:val="2A7C48AC"/>
    <w:rsid w:val="2A813D65"/>
    <w:rsid w:val="2A8B7E3A"/>
    <w:rsid w:val="2A8F072F"/>
    <w:rsid w:val="2A9E191C"/>
    <w:rsid w:val="2A9F38E6"/>
    <w:rsid w:val="2AA77572"/>
    <w:rsid w:val="2AB32EED"/>
    <w:rsid w:val="2AB57DE1"/>
    <w:rsid w:val="2AB63109"/>
    <w:rsid w:val="2AC11AAE"/>
    <w:rsid w:val="2AC33130"/>
    <w:rsid w:val="2AC75C34"/>
    <w:rsid w:val="2AC90AA2"/>
    <w:rsid w:val="2ACB6B5A"/>
    <w:rsid w:val="2ACE0CB9"/>
    <w:rsid w:val="2AD73878"/>
    <w:rsid w:val="2ADC41F2"/>
    <w:rsid w:val="2AE113A3"/>
    <w:rsid w:val="2AE35581"/>
    <w:rsid w:val="2AF73663"/>
    <w:rsid w:val="2AF77367"/>
    <w:rsid w:val="2AFB4FC0"/>
    <w:rsid w:val="2AFE5AF5"/>
    <w:rsid w:val="2AFE7209"/>
    <w:rsid w:val="2AFE723C"/>
    <w:rsid w:val="2B047CDD"/>
    <w:rsid w:val="2B067BE7"/>
    <w:rsid w:val="2B08765C"/>
    <w:rsid w:val="2B0A10AB"/>
    <w:rsid w:val="2B0F276F"/>
    <w:rsid w:val="2B102FB5"/>
    <w:rsid w:val="2B194FFC"/>
    <w:rsid w:val="2B19733C"/>
    <w:rsid w:val="2B1A6F21"/>
    <w:rsid w:val="2B1C6CE5"/>
    <w:rsid w:val="2B1F5680"/>
    <w:rsid w:val="2B242804"/>
    <w:rsid w:val="2B285689"/>
    <w:rsid w:val="2B287437"/>
    <w:rsid w:val="2B345DDC"/>
    <w:rsid w:val="2B3C1135"/>
    <w:rsid w:val="2B3D7387"/>
    <w:rsid w:val="2B3D7A04"/>
    <w:rsid w:val="2B4104F9"/>
    <w:rsid w:val="2B465B0F"/>
    <w:rsid w:val="2B471FB3"/>
    <w:rsid w:val="2B487ADA"/>
    <w:rsid w:val="2B4A43C5"/>
    <w:rsid w:val="2B4D4487"/>
    <w:rsid w:val="2B4F3741"/>
    <w:rsid w:val="2B520958"/>
    <w:rsid w:val="2B540DCA"/>
    <w:rsid w:val="2B5B5A5F"/>
    <w:rsid w:val="2B646F14"/>
    <w:rsid w:val="2B6762E1"/>
    <w:rsid w:val="2B715282"/>
    <w:rsid w:val="2B77216D"/>
    <w:rsid w:val="2B7B32CE"/>
    <w:rsid w:val="2B814B4A"/>
    <w:rsid w:val="2B8A1EA0"/>
    <w:rsid w:val="2B902C2B"/>
    <w:rsid w:val="2B966A97"/>
    <w:rsid w:val="2BA411B4"/>
    <w:rsid w:val="2BA73E61"/>
    <w:rsid w:val="2BAC6EAC"/>
    <w:rsid w:val="2BAE3DE1"/>
    <w:rsid w:val="2BB37649"/>
    <w:rsid w:val="2BB60EE7"/>
    <w:rsid w:val="2BB67139"/>
    <w:rsid w:val="2BB70B0A"/>
    <w:rsid w:val="2BBD5F9B"/>
    <w:rsid w:val="2BC109FC"/>
    <w:rsid w:val="2BC52ED8"/>
    <w:rsid w:val="2BC929C8"/>
    <w:rsid w:val="2BCE4483"/>
    <w:rsid w:val="2BCF54EE"/>
    <w:rsid w:val="2BD55811"/>
    <w:rsid w:val="2BD63337"/>
    <w:rsid w:val="2BDE2B25"/>
    <w:rsid w:val="2BE11DCE"/>
    <w:rsid w:val="2BE406C8"/>
    <w:rsid w:val="2BE7509B"/>
    <w:rsid w:val="2BEA62D4"/>
    <w:rsid w:val="2BF133D0"/>
    <w:rsid w:val="2BFB0EC8"/>
    <w:rsid w:val="2BFB4B4C"/>
    <w:rsid w:val="2BFD6B16"/>
    <w:rsid w:val="2BFE7C80"/>
    <w:rsid w:val="2C005DCA"/>
    <w:rsid w:val="2C016606"/>
    <w:rsid w:val="2C0C17E0"/>
    <w:rsid w:val="2C0C6D59"/>
    <w:rsid w:val="2C106849"/>
    <w:rsid w:val="2C114D55"/>
    <w:rsid w:val="2C13441D"/>
    <w:rsid w:val="2C193BE3"/>
    <w:rsid w:val="2C1A2780"/>
    <w:rsid w:val="2C1A3224"/>
    <w:rsid w:val="2C1A76C8"/>
    <w:rsid w:val="2C1F0A44"/>
    <w:rsid w:val="2C212149"/>
    <w:rsid w:val="2C212804"/>
    <w:rsid w:val="2C250D85"/>
    <w:rsid w:val="2C254FE6"/>
    <w:rsid w:val="2C2A3767"/>
    <w:rsid w:val="2C2C2F57"/>
    <w:rsid w:val="2C3059C6"/>
    <w:rsid w:val="2C343987"/>
    <w:rsid w:val="2C3519CD"/>
    <w:rsid w:val="2C3818FC"/>
    <w:rsid w:val="2C3B13EC"/>
    <w:rsid w:val="2C3D5164"/>
    <w:rsid w:val="2C3F2C8B"/>
    <w:rsid w:val="2C583D4C"/>
    <w:rsid w:val="2C5864CA"/>
    <w:rsid w:val="2C5A3F68"/>
    <w:rsid w:val="2C5E2660"/>
    <w:rsid w:val="2C63086A"/>
    <w:rsid w:val="2C637B18"/>
    <w:rsid w:val="2C646B95"/>
    <w:rsid w:val="2C765ADE"/>
    <w:rsid w:val="2C7678AB"/>
    <w:rsid w:val="2C7B06C4"/>
    <w:rsid w:val="2C876558"/>
    <w:rsid w:val="2C8A3866"/>
    <w:rsid w:val="2C994A91"/>
    <w:rsid w:val="2CB42AD5"/>
    <w:rsid w:val="2CB573F1"/>
    <w:rsid w:val="2CB75059"/>
    <w:rsid w:val="2CB96891"/>
    <w:rsid w:val="2CBA0563"/>
    <w:rsid w:val="2CBB4415"/>
    <w:rsid w:val="2CBC04A2"/>
    <w:rsid w:val="2CC118F2"/>
    <w:rsid w:val="2CC97DA0"/>
    <w:rsid w:val="2CCB6C14"/>
    <w:rsid w:val="2CCE304A"/>
    <w:rsid w:val="2CCE400E"/>
    <w:rsid w:val="2CD07D87"/>
    <w:rsid w:val="2CD535EF"/>
    <w:rsid w:val="2CD63A00"/>
    <w:rsid w:val="2CD810FA"/>
    <w:rsid w:val="2CDA6E57"/>
    <w:rsid w:val="2CF25F4F"/>
    <w:rsid w:val="2CF302E4"/>
    <w:rsid w:val="2CF73565"/>
    <w:rsid w:val="2CF972DD"/>
    <w:rsid w:val="2D0619FA"/>
    <w:rsid w:val="2D064A12"/>
    <w:rsid w:val="2D0A3299"/>
    <w:rsid w:val="2D113E1B"/>
    <w:rsid w:val="2D123945"/>
    <w:rsid w:val="2D1265F1"/>
    <w:rsid w:val="2D197980"/>
    <w:rsid w:val="2D1F42E8"/>
    <w:rsid w:val="2D202ABC"/>
    <w:rsid w:val="2D247924"/>
    <w:rsid w:val="2D2500D2"/>
    <w:rsid w:val="2D265BF9"/>
    <w:rsid w:val="2D2768A0"/>
    <w:rsid w:val="2D2C1F30"/>
    <w:rsid w:val="2D2C76B3"/>
    <w:rsid w:val="2D2D1B91"/>
    <w:rsid w:val="2D2F7CBD"/>
    <w:rsid w:val="2D315673"/>
    <w:rsid w:val="2D3622E0"/>
    <w:rsid w:val="2D3A16A4"/>
    <w:rsid w:val="2D452523"/>
    <w:rsid w:val="2D4D13D7"/>
    <w:rsid w:val="2D533350"/>
    <w:rsid w:val="2D542766"/>
    <w:rsid w:val="2D5E1A7F"/>
    <w:rsid w:val="2D621D1F"/>
    <w:rsid w:val="2D654973"/>
    <w:rsid w:val="2D6A1F89"/>
    <w:rsid w:val="2D6C1676"/>
    <w:rsid w:val="2D6F57F1"/>
    <w:rsid w:val="2D720E3E"/>
    <w:rsid w:val="2D76092E"/>
    <w:rsid w:val="2D7D206C"/>
    <w:rsid w:val="2D8363D0"/>
    <w:rsid w:val="2D836781"/>
    <w:rsid w:val="2D855FDE"/>
    <w:rsid w:val="2D8F379E"/>
    <w:rsid w:val="2D970D3C"/>
    <w:rsid w:val="2D9E1C33"/>
    <w:rsid w:val="2DA428D7"/>
    <w:rsid w:val="2DA53476"/>
    <w:rsid w:val="2DAC1DFB"/>
    <w:rsid w:val="2DAD1E76"/>
    <w:rsid w:val="2DB0354B"/>
    <w:rsid w:val="2DB256DE"/>
    <w:rsid w:val="2DB325A7"/>
    <w:rsid w:val="2DB575FE"/>
    <w:rsid w:val="2DBD0423"/>
    <w:rsid w:val="2DC07007"/>
    <w:rsid w:val="2DC17BD8"/>
    <w:rsid w:val="2DC23B73"/>
    <w:rsid w:val="2DC31699"/>
    <w:rsid w:val="2DCD34F3"/>
    <w:rsid w:val="2DCF110D"/>
    <w:rsid w:val="2DD70DA2"/>
    <w:rsid w:val="2DDD6BFF"/>
    <w:rsid w:val="2DE51610"/>
    <w:rsid w:val="2DEA03E3"/>
    <w:rsid w:val="2DEA4E78"/>
    <w:rsid w:val="2DEC299E"/>
    <w:rsid w:val="2DEC583C"/>
    <w:rsid w:val="2DF6381D"/>
    <w:rsid w:val="2DF919BD"/>
    <w:rsid w:val="2DFD467B"/>
    <w:rsid w:val="2E0835A3"/>
    <w:rsid w:val="2E083F3B"/>
    <w:rsid w:val="2E163EBF"/>
    <w:rsid w:val="2E1F500D"/>
    <w:rsid w:val="2E222620"/>
    <w:rsid w:val="2E2477AF"/>
    <w:rsid w:val="2E271C28"/>
    <w:rsid w:val="2E2A1718"/>
    <w:rsid w:val="2E2A77AC"/>
    <w:rsid w:val="2E2B5E45"/>
    <w:rsid w:val="2E2F6D2F"/>
    <w:rsid w:val="2E317F48"/>
    <w:rsid w:val="2E342663"/>
    <w:rsid w:val="2E344345"/>
    <w:rsid w:val="2E3507E9"/>
    <w:rsid w:val="2E383E35"/>
    <w:rsid w:val="2E385BE3"/>
    <w:rsid w:val="2E3A5DFF"/>
    <w:rsid w:val="2E3D4AAA"/>
    <w:rsid w:val="2E440A2C"/>
    <w:rsid w:val="2E4432E7"/>
    <w:rsid w:val="2E47051C"/>
    <w:rsid w:val="2E4839E5"/>
    <w:rsid w:val="2E4B28B2"/>
    <w:rsid w:val="2E507CF4"/>
    <w:rsid w:val="2E67296D"/>
    <w:rsid w:val="2E7110F5"/>
    <w:rsid w:val="2E731311"/>
    <w:rsid w:val="2E757BB5"/>
    <w:rsid w:val="2E7A26A0"/>
    <w:rsid w:val="2E7C6A4A"/>
    <w:rsid w:val="2E7D5CEC"/>
    <w:rsid w:val="2E8B010F"/>
    <w:rsid w:val="2E8D23D3"/>
    <w:rsid w:val="2E9977C5"/>
    <w:rsid w:val="2E9F2106"/>
    <w:rsid w:val="2EA66FF1"/>
    <w:rsid w:val="2EAB4607"/>
    <w:rsid w:val="2EB001C3"/>
    <w:rsid w:val="2EB37960"/>
    <w:rsid w:val="2EB45BB2"/>
    <w:rsid w:val="2EBA2A9C"/>
    <w:rsid w:val="2EBC10CE"/>
    <w:rsid w:val="2EC05B23"/>
    <w:rsid w:val="2EC833B2"/>
    <w:rsid w:val="2ED753FC"/>
    <w:rsid w:val="2EDA313F"/>
    <w:rsid w:val="2EE43FBD"/>
    <w:rsid w:val="2EE63891"/>
    <w:rsid w:val="2EE83FFA"/>
    <w:rsid w:val="2EEB3529"/>
    <w:rsid w:val="2EF75A9F"/>
    <w:rsid w:val="2EFE0BDB"/>
    <w:rsid w:val="2F000DF7"/>
    <w:rsid w:val="2F045D38"/>
    <w:rsid w:val="2F077C8B"/>
    <w:rsid w:val="2F18470D"/>
    <w:rsid w:val="2F191EB9"/>
    <w:rsid w:val="2F1A4D9F"/>
    <w:rsid w:val="2F1F2A4F"/>
    <w:rsid w:val="2F21456C"/>
    <w:rsid w:val="2F261EE0"/>
    <w:rsid w:val="2F2F5238"/>
    <w:rsid w:val="2F305F8A"/>
    <w:rsid w:val="2F322A36"/>
    <w:rsid w:val="2F323E29"/>
    <w:rsid w:val="2F352C93"/>
    <w:rsid w:val="2F3B6F70"/>
    <w:rsid w:val="2F47706B"/>
    <w:rsid w:val="2F4862FA"/>
    <w:rsid w:val="2F4A02C4"/>
    <w:rsid w:val="2F4F7689"/>
    <w:rsid w:val="2F527179"/>
    <w:rsid w:val="2F590507"/>
    <w:rsid w:val="2F596377"/>
    <w:rsid w:val="2F5E167A"/>
    <w:rsid w:val="2F61560E"/>
    <w:rsid w:val="2F626BF8"/>
    <w:rsid w:val="2F662C24"/>
    <w:rsid w:val="2F807842"/>
    <w:rsid w:val="2F8530AA"/>
    <w:rsid w:val="2F8B626A"/>
    <w:rsid w:val="2F8F2A13"/>
    <w:rsid w:val="2F912073"/>
    <w:rsid w:val="2F925CF0"/>
    <w:rsid w:val="2F9325C7"/>
    <w:rsid w:val="2F971030"/>
    <w:rsid w:val="2F990904"/>
    <w:rsid w:val="2F994C46"/>
    <w:rsid w:val="2FAB7188"/>
    <w:rsid w:val="2FAC2857"/>
    <w:rsid w:val="2FB5172E"/>
    <w:rsid w:val="2FB81937"/>
    <w:rsid w:val="2FBC45F2"/>
    <w:rsid w:val="2FC07BC7"/>
    <w:rsid w:val="2FC33BD3"/>
    <w:rsid w:val="2FC97889"/>
    <w:rsid w:val="2FCA4F61"/>
    <w:rsid w:val="2FCB4655"/>
    <w:rsid w:val="2FD302BA"/>
    <w:rsid w:val="2FDB3424"/>
    <w:rsid w:val="2FDB378B"/>
    <w:rsid w:val="2FDB4595"/>
    <w:rsid w:val="2FDB4E21"/>
    <w:rsid w:val="2FE029D7"/>
    <w:rsid w:val="2FE07B7F"/>
    <w:rsid w:val="2FE1152C"/>
    <w:rsid w:val="2FE245F0"/>
    <w:rsid w:val="2FE37DD1"/>
    <w:rsid w:val="2FEC1B5F"/>
    <w:rsid w:val="2FFD0E93"/>
    <w:rsid w:val="2FFD2195"/>
    <w:rsid w:val="3006458B"/>
    <w:rsid w:val="301601A6"/>
    <w:rsid w:val="3018450B"/>
    <w:rsid w:val="30194337"/>
    <w:rsid w:val="3022224D"/>
    <w:rsid w:val="302525DF"/>
    <w:rsid w:val="302C4A84"/>
    <w:rsid w:val="303513F8"/>
    <w:rsid w:val="30384C45"/>
    <w:rsid w:val="3038636F"/>
    <w:rsid w:val="304230FC"/>
    <w:rsid w:val="30497872"/>
    <w:rsid w:val="304C30BB"/>
    <w:rsid w:val="304F36B8"/>
    <w:rsid w:val="30562C99"/>
    <w:rsid w:val="305C2AA5"/>
    <w:rsid w:val="305E4590"/>
    <w:rsid w:val="30656A38"/>
    <w:rsid w:val="30683C8B"/>
    <w:rsid w:val="306A7AB8"/>
    <w:rsid w:val="30751371"/>
    <w:rsid w:val="307849BD"/>
    <w:rsid w:val="30801AC4"/>
    <w:rsid w:val="3082583C"/>
    <w:rsid w:val="30874EA6"/>
    <w:rsid w:val="30982D0A"/>
    <w:rsid w:val="309C4B4F"/>
    <w:rsid w:val="309D2F86"/>
    <w:rsid w:val="30A21A3A"/>
    <w:rsid w:val="30A56B20"/>
    <w:rsid w:val="30A6152A"/>
    <w:rsid w:val="30AC3BC2"/>
    <w:rsid w:val="30BD6874"/>
    <w:rsid w:val="30C16364"/>
    <w:rsid w:val="30C329C2"/>
    <w:rsid w:val="30C6397A"/>
    <w:rsid w:val="30C65728"/>
    <w:rsid w:val="30CE6A2C"/>
    <w:rsid w:val="30D616E4"/>
    <w:rsid w:val="30D65D0F"/>
    <w:rsid w:val="30D82C5A"/>
    <w:rsid w:val="30D8545C"/>
    <w:rsid w:val="30D93539"/>
    <w:rsid w:val="30DC4F4C"/>
    <w:rsid w:val="30E70BF0"/>
    <w:rsid w:val="30ED2830"/>
    <w:rsid w:val="30F1651D"/>
    <w:rsid w:val="30F304E8"/>
    <w:rsid w:val="30F57F8D"/>
    <w:rsid w:val="30F74D2A"/>
    <w:rsid w:val="30F82A98"/>
    <w:rsid w:val="30FC431F"/>
    <w:rsid w:val="3102072B"/>
    <w:rsid w:val="31067002"/>
    <w:rsid w:val="31067C7A"/>
    <w:rsid w:val="310D15A9"/>
    <w:rsid w:val="31102E48"/>
    <w:rsid w:val="31166AF7"/>
    <w:rsid w:val="311741D6"/>
    <w:rsid w:val="311A5A74"/>
    <w:rsid w:val="311C7398"/>
    <w:rsid w:val="312279D7"/>
    <w:rsid w:val="31245B1A"/>
    <w:rsid w:val="312D1C4B"/>
    <w:rsid w:val="312F5326"/>
    <w:rsid w:val="31327262"/>
    <w:rsid w:val="31342FDA"/>
    <w:rsid w:val="31361A19"/>
    <w:rsid w:val="31450491"/>
    <w:rsid w:val="314671C3"/>
    <w:rsid w:val="314B20D2"/>
    <w:rsid w:val="314C2DFC"/>
    <w:rsid w:val="314D0EBC"/>
    <w:rsid w:val="31533344"/>
    <w:rsid w:val="31543FD3"/>
    <w:rsid w:val="315471D8"/>
    <w:rsid w:val="31556AAC"/>
    <w:rsid w:val="31592A40"/>
    <w:rsid w:val="315C12B4"/>
    <w:rsid w:val="31623B36"/>
    <w:rsid w:val="3163417D"/>
    <w:rsid w:val="316A0CBF"/>
    <w:rsid w:val="316B5E7A"/>
    <w:rsid w:val="316D02EA"/>
    <w:rsid w:val="317C5D22"/>
    <w:rsid w:val="317E6003"/>
    <w:rsid w:val="31816658"/>
    <w:rsid w:val="31842AEC"/>
    <w:rsid w:val="3184437D"/>
    <w:rsid w:val="31846858"/>
    <w:rsid w:val="31925D9E"/>
    <w:rsid w:val="319414F6"/>
    <w:rsid w:val="319A122D"/>
    <w:rsid w:val="319E66A5"/>
    <w:rsid w:val="31A37E53"/>
    <w:rsid w:val="31A737AC"/>
    <w:rsid w:val="31A97871"/>
    <w:rsid w:val="31AA0C3A"/>
    <w:rsid w:val="31AA6DF8"/>
    <w:rsid w:val="31AB2B70"/>
    <w:rsid w:val="31B25BAC"/>
    <w:rsid w:val="31B40132"/>
    <w:rsid w:val="31BC6B2B"/>
    <w:rsid w:val="31C6519A"/>
    <w:rsid w:val="31CD2AE7"/>
    <w:rsid w:val="31D00567"/>
    <w:rsid w:val="31D60B20"/>
    <w:rsid w:val="31DB16A7"/>
    <w:rsid w:val="31DB3455"/>
    <w:rsid w:val="31DD71CE"/>
    <w:rsid w:val="31E63BA8"/>
    <w:rsid w:val="31E85B72"/>
    <w:rsid w:val="31EA18EB"/>
    <w:rsid w:val="31EB11BF"/>
    <w:rsid w:val="31EE78E8"/>
    <w:rsid w:val="31F2079F"/>
    <w:rsid w:val="31F476C7"/>
    <w:rsid w:val="31F821B8"/>
    <w:rsid w:val="31F86357"/>
    <w:rsid w:val="31F97D80"/>
    <w:rsid w:val="31FA3E63"/>
    <w:rsid w:val="31FA545B"/>
    <w:rsid w:val="31FC33CC"/>
    <w:rsid w:val="31FE0EF2"/>
    <w:rsid w:val="31FF7350"/>
    <w:rsid w:val="32016C06"/>
    <w:rsid w:val="320A2DFE"/>
    <w:rsid w:val="320C0799"/>
    <w:rsid w:val="320C7AB3"/>
    <w:rsid w:val="320D7387"/>
    <w:rsid w:val="32106B86"/>
    <w:rsid w:val="321E3342"/>
    <w:rsid w:val="321F2AA8"/>
    <w:rsid w:val="3222309B"/>
    <w:rsid w:val="322748ED"/>
    <w:rsid w:val="32335040"/>
    <w:rsid w:val="323639D7"/>
    <w:rsid w:val="32364B30"/>
    <w:rsid w:val="32382656"/>
    <w:rsid w:val="323D7C6C"/>
    <w:rsid w:val="32472899"/>
    <w:rsid w:val="324A4137"/>
    <w:rsid w:val="324C7EAF"/>
    <w:rsid w:val="324E12A6"/>
    <w:rsid w:val="3251196A"/>
    <w:rsid w:val="325A1599"/>
    <w:rsid w:val="325E7B3C"/>
    <w:rsid w:val="326063B2"/>
    <w:rsid w:val="326B4221"/>
    <w:rsid w:val="326E6078"/>
    <w:rsid w:val="3270150C"/>
    <w:rsid w:val="32792E2E"/>
    <w:rsid w:val="32901DB4"/>
    <w:rsid w:val="32907C25"/>
    <w:rsid w:val="329B69DA"/>
    <w:rsid w:val="329C0D39"/>
    <w:rsid w:val="32AA5162"/>
    <w:rsid w:val="32AF6C83"/>
    <w:rsid w:val="32B02312"/>
    <w:rsid w:val="32B617CD"/>
    <w:rsid w:val="32B945E7"/>
    <w:rsid w:val="32BC3287"/>
    <w:rsid w:val="32C51A10"/>
    <w:rsid w:val="32CB171C"/>
    <w:rsid w:val="32D27580"/>
    <w:rsid w:val="32D3412D"/>
    <w:rsid w:val="32DD0471"/>
    <w:rsid w:val="32DD31FD"/>
    <w:rsid w:val="32DD4FAB"/>
    <w:rsid w:val="32DE7BE5"/>
    <w:rsid w:val="32E225C2"/>
    <w:rsid w:val="32E26A66"/>
    <w:rsid w:val="32E4458C"/>
    <w:rsid w:val="32E60673"/>
    <w:rsid w:val="32E7407C"/>
    <w:rsid w:val="32EC51EE"/>
    <w:rsid w:val="32EC5C70"/>
    <w:rsid w:val="32ED1980"/>
    <w:rsid w:val="32EF1168"/>
    <w:rsid w:val="32F02F31"/>
    <w:rsid w:val="32F95B01"/>
    <w:rsid w:val="32FE0135"/>
    <w:rsid w:val="3303652C"/>
    <w:rsid w:val="330442D3"/>
    <w:rsid w:val="33092244"/>
    <w:rsid w:val="330D5DEB"/>
    <w:rsid w:val="330E785B"/>
    <w:rsid w:val="3313235B"/>
    <w:rsid w:val="331A61FF"/>
    <w:rsid w:val="331C1F78"/>
    <w:rsid w:val="331F1EDE"/>
    <w:rsid w:val="332474D1"/>
    <w:rsid w:val="3328091C"/>
    <w:rsid w:val="332B21BB"/>
    <w:rsid w:val="332E733A"/>
    <w:rsid w:val="33341945"/>
    <w:rsid w:val="333C1CA5"/>
    <w:rsid w:val="33422634"/>
    <w:rsid w:val="334306F9"/>
    <w:rsid w:val="334608CC"/>
    <w:rsid w:val="3348050B"/>
    <w:rsid w:val="33525999"/>
    <w:rsid w:val="335354DD"/>
    <w:rsid w:val="33542D31"/>
    <w:rsid w:val="33543543"/>
    <w:rsid w:val="33574AFD"/>
    <w:rsid w:val="33574D5E"/>
    <w:rsid w:val="335774B5"/>
    <w:rsid w:val="335E011B"/>
    <w:rsid w:val="33641229"/>
    <w:rsid w:val="336723BA"/>
    <w:rsid w:val="336F6967"/>
    <w:rsid w:val="3373331C"/>
    <w:rsid w:val="337C6572"/>
    <w:rsid w:val="337D1DE2"/>
    <w:rsid w:val="337E2A5B"/>
    <w:rsid w:val="33811DDB"/>
    <w:rsid w:val="33837901"/>
    <w:rsid w:val="33843679"/>
    <w:rsid w:val="33923FE8"/>
    <w:rsid w:val="33A144D4"/>
    <w:rsid w:val="33A90CED"/>
    <w:rsid w:val="33AA1331"/>
    <w:rsid w:val="33AF4B9A"/>
    <w:rsid w:val="33B15246"/>
    <w:rsid w:val="33B77214"/>
    <w:rsid w:val="33BF0BD0"/>
    <w:rsid w:val="33C1427F"/>
    <w:rsid w:val="33C441EC"/>
    <w:rsid w:val="33C63C91"/>
    <w:rsid w:val="33C955F1"/>
    <w:rsid w:val="33CB3CAD"/>
    <w:rsid w:val="33CD51BD"/>
    <w:rsid w:val="33D67385"/>
    <w:rsid w:val="33E22C61"/>
    <w:rsid w:val="33E32A95"/>
    <w:rsid w:val="33E523DE"/>
    <w:rsid w:val="33E74334"/>
    <w:rsid w:val="33E87093"/>
    <w:rsid w:val="33F346B7"/>
    <w:rsid w:val="33F547CE"/>
    <w:rsid w:val="33F56325"/>
    <w:rsid w:val="33F627C9"/>
    <w:rsid w:val="33F94067"/>
    <w:rsid w:val="33FA3F36"/>
    <w:rsid w:val="33FA4BCF"/>
    <w:rsid w:val="340071A3"/>
    <w:rsid w:val="34033ECD"/>
    <w:rsid w:val="340A258E"/>
    <w:rsid w:val="340D18C0"/>
    <w:rsid w:val="3412527A"/>
    <w:rsid w:val="34186248"/>
    <w:rsid w:val="341F21B6"/>
    <w:rsid w:val="3420474D"/>
    <w:rsid w:val="342235BE"/>
    <w:rsid w:val="34277B2C"/>
    <w:rsid w:val="342866FA"/>
    <w:rsid w:val="34346E4D"/>
    <w:rsid w:val="34360E17"/>
    <w:rsid w:val="343B03EC"/>
    <w:rsid w:val="343B537F"/>
    <w:rsid w:val="343E0768"/>
    <w:rsid w:val="343E1A7A"/>
    <w:rsid w:val="3442156A"/>
    <w:rsid w:val="344828F8"/>
    <w:rsid w:val="344F012B"/>
    <w:rsid w:val="345E56C3"/>
    <w:rsid w:val="34635580"/>
    <w:rsid w:val="346412AB"/>
    <w:rsid w:val="34655258"/>
    <w:rsid w:val="34657462"/>
    <w:rsid w:val="34661C95"/>
    <w:rsid w:val="34666BD6"/>
    <w:rsid w:val="34726429"/>
    <w:rsid w:val="34761214"/>
    <w:rsid w:val="34790D04"/>
    <w:rsid w:val="34815013"/>
    <w:rsid w:val="34825E0A"/>
    <w:rsid w:val="34827238"/>
    <w:rsid w:val="3484512F"/>
    <w:rsid w:val="348C0A37"/>
    <w:rsid w:val="348C3599"/>
    <w:rsid w:val="349077F1"/>
    <w:rsid w:val="349124F1"/>
    <w:rsid w:val="3491429F"/>
    <w:rsid w:val="349669AC"/>
    <w:rsid w:val="34983880"/>
    <w:rsid w:val="34996351"/>
    <w:rsid w:val="349B6ECC"/>
    <w:rsid w:val="349F3022"/>
    <w:rsid w:val="34B131D2"/>
    <w:rsid w:val="34B564F4"/>
    <w:rsid w:val="34BB131C"/>
    <w:rsid w:val="34BD6E42"/>
    <w:rsid w:val="34C74391"/>
    <w:rsid w:val="34C9456A"/>
    <w:rsid w:val="34CB5A03"/>
    <w:rsid w:val="34DA26D8"/>
    <w:rsid w:val="34DD1293"/>
    <w:rsid w:val="34E46AC5"/>
    <w:rsid w:val="34E56399"/>
    <w:rsid w:val="34F565DC"/>
    <w:rsid w:val="34FA0097"/>
    <w:rsid w:val="35020CF9"/>
    <w:rsid w:val="35061822"/>
    <w:rsid w:val="350B1FFF"/>
    <w:rsid w:val="350D601C"/>
    <w:rsid w:val="351006CF"/>
    <w:rsid w:val="351647A5"/>
    <w:rsid w:val="35246EC1"/>
    <w:rsid w:val="352D221A"/>
    <w:rsid w:val="353270E7"/>
    <w:rsid w:val="353335A8"/>
    <w:rsid w:val="35352E7D"/>
    <w:rsid w:val="3535774F"/>
    <w:rsid w:val="35384953"/>
    <w:rsid w:val="353E3889"/>
    <w:rsid w:val="3542559A"/>
    <w:rsid w:val="354B78D6"/>
    <w:rsid w:val="354D466A"/>
    <w:rsid w:val="354F3EEC"/>
    <w:rsid w:val="35584DBD"/>
    <w:rsid w:val="35590C22"/>
    <w:rsid w:val="35614940"/>
    <w:rsid w:val="356847E1"/>
    <w:rsid w:val="3569521C"/>
    <w:rsid w:val="356C2617"/>
    <w:rsid w:val="357112D2"/>
    <w:rsid w:val="3575596F"/>
    <w:rsid w:val="357A6B39"/>
    <w:rsid w:val="359050CF"/>
    <w:rsid w:val="35935DF5"/>
    <w:rsid w:val="35942E06"/>
    <w:rsid w:val="35944047"/>
    <w:rsid w:val="359F0C3E"/>
    <w:rsid w:val="35AA386B"/>
    <w:rsid w:val="35AA45AA"/>
    <w:rsid w:val="35AF5AAB"/>
    <w:rsid w:val="35AF70D3"/>
    <w:rsid w:val="35BF3781"/>
    <w:rsid w:val="35C16E06"/>
    <w:rsid w:val="35C3492C"/>
    <w:rsid w:val="35C56367"/>
    <w:rsid w:val="35D72186"/>
    <w:rsid w:val="35DC6A5F"/>
    <w:rsid w:val="35DC779C"/>
    <w:rsid w:val="35E01BEA"/>
    <w:rsid w:val="35E11B2B"/>
    <w:rsid w:val="35E46586"/>
    <w:rsid w:val="35E825E5"/>
    <w:rsid w:val="35F76254"/>
    <w:rsid w:val="35FC0F9C"/>
    <w:rsid w:val="360109F6"/>
    <w:rsid w:val="36032F7B"/>
    <w:rsid w:val="36056CF3"/>
    <w:rsid w:val="36080591"/>
    <w:rsid w:val="360D204B"/>
    <w:rsid w:val="36120028"/>
    <w:rsid w:val="361C39C4"/>
    <w:rsid w:val="36211653"/>
    <w:rsid w:val="362B0F44"/>
    <w:rsid w:val="36312727"/>
    <w:rsid w:val="36343134"/>
    <w:rsid w:val="363730BF"/>
    <w:rsid w:val="36380237"/>
    <w:rsid w:val="363D46DF"/>
    <w:rsid w:val="363E2205"/>
    <w:rsid w:val="36420258"/>
    <w:rsid w:val="36452437"/>
    <w:rsid w:val="364B035D"/>
    <w:rsid w:val="364D069A"/>
    <w:rsid w:val="364D2448"/>
    <w:rsid w:val="365437D6"/>
    <w:rsid w:val="365607BB"/>
    <w:rsid w:val="36590102"/>
    <w:rsid w:val="365B1601"/>
    <w:rsid w:val="365B1D6A"/>
    <w:rsid w:val="3660217B"/>
    <w:rsid w:val="36632356"/>
    <w:rsid w:val="366A4DA8"/>
    <w:rsid w:val="366D4898"/>
    <w:rsid w:val="36745C27"/>
    <w:rsid w:val="367714D5"/>
    <w:rsid w:val="367D0F7F"/>
    <w:rsid w:val="36871C87"/>
    <w:rsid w:val="36967D4F"/>
    <w:rsid w:val="36987B67"/>
    <w:rsid w:val="369915A3"/>
    <w:rsid w:val="36A04C6E"/>
    <w:rsid w:val="36A20B88"/>
    <w:rsid w:val="36A301B4"/>
    <w:rsid w:val="36A93B22"/>
    <w:rsid w:val="36AA1648"/>
    <w:rsid w:val="36AA529F"/>
    <w:rsid w:val="36AC2EBA"/>
    <w:rsid w:val="36B21041"/>
    <w:rsid w:val="36B758D5"/>
    <w:rsid w:val="36C150CB"/>
    <w:rsid w:val="36C86191"/>
    <w:rsid w:val="36CB595D"/>
    <w:rsid w:val="36D46F66"/>
    <w:rsid w:val="36D63C8A"/>
    <w:rsid w:val="36D641EB"/>
    <w:rsid w:val="36DF5796"/>
    <w:rsid w:val="36E0150E"/>
    <w:rsid w:val="36E27034"/>
    <w:rsid w:val="36E553BC"/>
    <w:rsid w:val="36E64FE4"/>
    <w:rsid w:val="36EA5EE9"/>
    <w:rsid w:val="36ED7BA0"/>
    <w:rsid w:val="36F079A3"/>
    <w:rsid w:val="36F17277"/>
    <w:rsid w:val="36F31241"/>
    <w:rsid w:val="36FB00F6"/>
    <w:rsid w:val="370276D6"/>
    <w:rsid w:val="370D0A2A"/>
    <w:rsid w:val="37135440"/>
    <w:rsid w:val="37144D14"/>
    <w:rsid w:val="371A63C7"/>
    <w:rsid w:val="371C1F09"/>
    <w:rsid w:val="37231123"/>
    <w:rsid w:val="37247293"/>
    <w:rsid w:val="372C6501"/>
    <w:rsid w:val="37314050"/>
    <w:rsid w:val="37342795"/>
    <w:rsid w:val="37387A81"/>
    <w:rsid w:val="373D2A5F"/>
    <w:rsid w:val="37405B09"/>
    <w:rsid w:val="37474C07"/>
    <w:rsid w:val="374F3A2A"/>
    <w:rsid w:val="3756404C"/>
    <w:rsid w:val="376805A7"/>
    <w:rsid w:val="376A0F59"/>
    <w:rsid w:val="37720712"/>
    <w:rsid w:val="37734130"/>
    <w:rsid w:val="37744822"/>
    <w:rsid w:val="377E4FAF"/>
    <w:rsid w:val="37892680"/>
    <w:rsid w:val="379522F8"/>
    <w:rsid w:val="37A10C9D"/>
    <w:rsid w:val="37A41D4E"/>
    <w:rsid w:val="37A504AF"/>
    <w:rsid w:val="37A91900"/>
    <w:rsid w:val="37AC319E"/>
    <w:rsid w:val="37AE5168"/>
    <w:rsid w:val="37B22146"/>
    <w:rsid w:val="37BF1123"/>
    <w:rsid w:val="37CA21FC"/>
    <w:rsid w:val="37CF580A"/>
    <w:rsid w:val="37DA41AF"/>
    <w:rsid w:val="37DD0002"/>
    <w:rsid w:val="37DD04E6"/>
    <w:rsid w:val="37DF5322"/>
    <w:rsid w:val="37E63307"/>
    <w:rsid w:val="37E651E2"/>
    <w:rsid w:val="37EA2644"/>
    <w:rsid w:val="37EB3CC7"/>
    <w:rsid w:val="37F631A9"/>
    <w:rsid w:val="37FC4126"/>
    <w:rsid w:val="3810372D"/>
    <w:rsid w:val="38170F5F"/>
    <w:rsid w:val="381C20D2"/>
    <w:rsid w:val="381C47C8"/>
    <w:rsid w:val="381F1BC2"/>
    <w:rsid w:val="38237904"/>
    <w:rsid w:val="382C4A0B"/>
    <w:rsid w:val="38367638"/>
    <w:rsid w:val="38376F0C"/>
    <w:rsid w:val="383C4522"/>
    <w:rsid w:val="38416AD3"/>
    <w:rsid w:val="3842422E"/>
    <w:rsid w:val="38434BA9"/>
    <w:rsid w:val="384B3F96"/>
    <w:rsid w:val="384D4981"/>
    <w:rsid w:val="384D5DAC"/>
    <w:rsid w:val="38523D46"/>
    <w:rsid w:val="385C4BC4"/>
    <w:rsid w:val="386A119B"/>
    <w:rsid w:val="386F33DE"/>
    <w:rsid w:val="38701A87"/>
    <w:rsid w:val="38787C50"/>
    <w:rsid w:val="387E56F1"/>
    <w:rsid w:val="38815095"/>
    <w:rsid w:val="3885411B"/>
    <w:rsid w:val="38883C0B"/>
    <w:rsid w:val="38926838"/>
    <w:rsid w:val="38992830"/>
    <w:rsid w:val="38995E18"/>
    <w:rsid w:val="38A50319"/>
    <w:rsid w:val="38AA1DD4"/>
    <w:rsid w:val="38B13162"/>
    <w:rsid w:val="38B30C88"/>
    <w:rsid w:val="38B467AE"/>
    <w:rsid w:val="38B62526"/>
    <w:rsid w:val="38B642D4"/>
    <w:rsid w:val="38B77CE5"/>
    <w:rsid w:val="38BE762D"/>
    <w:rsid w:val="38BF4014"/>
    <w:rsid w:val="38C34C43"/>
    <w:rsid w:val="38C52A81"/>
    <w:rsid w:val="38C61A80"/>
    <w:rsid w:val="38CB25B7"/>
    <w:rsid w:val="38CD43F5"/>
    <w:rsid w:val="38CF73E5"/>
    <w:rsid w:val="38D34E55"/>
    <w:rsid w:val="38D40BFF"/>
    <w:rsid w:val="38D54211"/>
    <w:rsid w:val="38DB333D"/>
    <w:rsid w:val="38E20AE5"/>
    <w:rsid w:val="38E726E0"/>
    <w:rsid w:val="38F0217A"/>
    <w:rsid w:val="38F372D7"/>
    <w:rsid w:val="38F8669B"/>
    <w:rsid w:val="38FB43DD"/>
    <w:rsid w:val="38FD33AC"/>
    <w:rsid w:val="38FE7A29"/>
    <w:rsid w:val="38FF3ECD"/>
    <w:rsid w:val="390160F4"/>
    <w:rsid w:val="390908A8"/>
    <w:rsid w:val="39097F1F"/>
    <w:rsid w:val="390A65B9"/>
    <w:rsid w:val="390E0D37"/>
    <w:rsid w:val="39160452"/>
    <w:rsid w:val="39180AEB"/>
    <w:rsid w:val="391843BD"/>
    <w:rsid w:val="391D4354"/>
    <w:rsid w:val="391E32EE"/>
    <w:rsid w:val="392451D4"/>
    <w:rsid w:val="392576AC"/>
    <w:rsid w:val="392751D2"/>
    <w:rsid w:val="39294C83"/>
    <w:rsid w:val="392C4A54"/>
    <w:rsid w:val="392E0314"/>
    <w:rsid w:val="392F4087"/>
    <w:rsid w:val="39317BB9"/>
    <w:rsid w:val="39395448"/>
    <w:rsid w:val="39396CB4"/>
    <w:rsid w:val="393B0C7E"/>
    <w:rsid w:val="39481B6D"/>
    <w:rsid w:val="39487705"/>
    <w:rsid w:val="394924CF"/>
    <w:rsid w:val="394F385D"/>
    <w:rsid w:val="395E6152"/>
    <w:rsid w:val="39666F13"/>
    <w:rsid w:val="39672ADA"/>
    <w:rsid w:val="39697599"/>
    <w:rsid w:val="396D65DF"/>
    <w:rsid w:val="39743AD8"/>
    <w:rsid w:val="39761CB6"/>
    <w:rsid w:val="39777F08"/>
    <w:rsid w:val="39785343"/>
    <w:rsid w:val="398C14D9"/>
    <w:rsid w:val="398E0DAD"/>
    <w:rsid w:val="3991281D"/>
    <w:rsid w:val="39932868"/>
    <w:rsid w:val="39A35E40"/>
    <w:rsid w:val="39A84565"/>
    <w:rsid w:val="39AA6D6C"/>
    <w:rsid w:val="39AD3929"/>
    <w:rsid w:val="39AD3EA6"/>
    <w:rsid w:val="39B81AF8"/>
    <w:rsid w:val="39BF18AF"/>
    <w:rsid w:val="39C14A43"/>
    <w:rsid w:val="39C52EA4"/>
    <w:rsid w:val="39CB39E5"/>
    <w:rsid w:val="39CC0C92"/>
    <w:rsid w:val="39D2513E"/>
    <w:rsid w:val="39E13E5C"/>
    <w:rsid w:val="39E60BE9"/>
    <w:rsid w:val="39EE5CF0"/>
    <w:rsid w:val="39F31988"/>
    <w:rsid w:val="39F5243C"/>
    <w:rsid w:val="39FE2EF2"/>
    <w:rsid w:val="3A0472C2"/>
    <w:rsid w:val="3A055E7A"/>
    <w:rsid w:val="3A0D6176"/>
    <w:rsid w:val="3A103EB8"/>
    <w:rsid w:val="3A13080D"/>
    <w:rsid w:val="3A173499"/>
    <w:rsid w:val="3A173B31"/>
    <w:rsid w:val="3A313E23"/>
    <w:rsid w:val="3A317409"/>
    <w:rsid w:val="3A325BDD"/>
    <w:rsid w:val="3A3951BD"/>
    <w:rsid w:val="3A3D402B"/>
    <w:rsid w:val="3A43428E"/>
    <w:rsid w:val="3A4A561C"/>
    <w:rsid w:val="3A570BFC"/>
    <w:rsid w:val="3A571AE7"/>
    <w:rsid w:val="3A573895"/>
    <w:rsid w:val="3A606BEE"/>
    <w:rsid w:val="3A655FB2"/>
    <w:rsid w:val="3A666016"/>
    <w:rsid w:val="3A6A35C8"/>
    <w:rsid w:val="3A6A56B0"/>
    <w:rsid w:val="3A7A2A2F"/>
    <w:rsid w:val="3A7C3F55"/>
    <w:rsid w:val="3A7C5025"/>
    <w:rsid w:val="3A830B2E"/>
    <w:rsid w:val="3A893037"/>
    <w:rsid w:val="3A8F74D3"/>
    <w:rsid w:val="3A905A18"/>
    <w:rsid w:val="3A946897"/>
    <w:rsid w:val="3A964AED"/>
    <w:rsid w:val="3AA50AA5"/>
    <w:rsid w:val="3AA641C2"/>
    <w:rsid w:val="3AA86CE8"/>
    <w:rsid w:val="3AAC6550"/>
    <w:rsid w:val="3AAF1923"/>
    <w:rsid w:val="3AB01182"/>
    <w:rsid w:val="3AB331C1"/>
    <w:rsid w:val="3AB45485"/>
    <w:rsid w:val="3AB5085A"/>
    <w:rsid w:val="3AC0599C"/>
    <w:rsid w:val="3AC208AD"/>
    <w:rsid w:val="3AC4360F"/>
    <w:rsid w:val="3ACA4067"/>
    <w:rsid w:val="3ACA7679"/>
    <w:rsid w:val="3ACD1791"/>
    <w:rsid w:val="3AD2235C"/>
    <w:rsid w:val="3AD57913"/>
    <w:rsid w:val="3AE071C4"/>
    <w:rsid w:val="3AE07F36"/>
    <w:rsid w:val="3AE27603"/>
    <w:rsid w:val="3AE8273F"/>
    <w:rsid w:val="3AEA4709"/>
    <w:rsid w:val="3AEC40A3"/>
    <w:rsid w:val="3AED5FA8"/>
    <w:rsid w:val="3AF45588"/>
    <w:rsid w:val="3AF61300"/>
    <w:rsid w:val="3AFA0DF0"/>
    <w:rsid w:val="3AFC1F16"/>
    <w:rsid w:val="3AFE3587"/>
    <w:rsid w:val="3AFE4326"/>
    <w:rsid w:val="3B0369AB"/>
    <w:rsid w:val="3B0426CC"/>
    <w:rsid w:val="3B051543"/>
    <w:rsid w:val="3B0633B9"/>
    <w:rsid w:val="3B077069"/>
    <w:rsid w:val="3B091033"/>
    <w:rsid w:val="3B0C079F"/>
    <w:rsid w:val="3B1B48C3"/>
    <w:rsid w:val="3B2740D4"/>
    <w:rsid w:val="3B281408"/>
    <w:rsid w:val="3B286250"/>
    <w:rsid w:val="3B292D1E"/>
    <w:rsid w:val="3B2F036E"/>
    <w:rsid w:val="3B3007B7"/>
    <w:rsid w:val="3B312338"/>
    <w:rsid w:val="3B315089"/>
    <w:rsid w:val="3B3B31B7"/>
    <w:rsid w:val="3B3B6D13"/>
    <w:rsid w:val="3B405F4E"/>
    <w:rsid w:val="3B451F73"/>
    <w:rsid w:val="3B4F1961"/>
    <w:rsid w:val="3B500FF0"/>
    <w:rsid w:val="3B5224A4"/>
    <w:rsid w:val="3B5878C5"/>
    <w:rsid w:val="3B637E13"/>
    <w:rsid w:val="3B643B7B"/>
    <w:rsid w:val="3B675D5A"/>
    <w:rsid w:val="3B6D1809"/>
    <w:rsid w:val="3B6F07D7"/>
    <w:rsid w:val="3B732951"/>
    <w:rsid w:val="3B762441"/>
    <w:rsid w:val="3B774F57"/>
    <w:rsid w:val="3B7B35B3"/>
    <w:rsid w:val="3B7F4E52"/>
    <w:rsid w:val="3B8406BA"/>
    <w:rsid w:val="3B857B69"/>
    <w:rsid w:val="3B862684"/>
    <w:rsid w:val="3B8669F9"/>
    <w:rsid w:val="3B89534D"/>
    <w:rsid w:val="3B8E3F09"/>
    <w:rsid w:val="3B922EDF"/>
    <w:rsid w:val="3B9C2722"/>
    <w:rsid w:val="3B9F448E"/>
    <w:rsid w:val="3BA07870"/>
    <w:rsid w:val="3BA117FD"/>
    <w:rsid w:val="3BA42B0A"/>
    <w:rsid w:val="3BAC5E63"/>
    <w:rsid w:val="3BAC7BF6"/>
    <w:rsid w:val="3BB05953"/>
    <w:rsid w:val="3BB14443"/>
    <w:rsid w:val="3BB429F2"/>
    <w:rsid w:val="3BBB601B"/>
    <w:rsid w:val="3BBD1E1E"/>
    <w:rsid w:val="3BC136BC"/>
    <w:rsid w:val="3BCE7B87"/>
    <w:rsid w:val="3BD0480A"/>
    <w:rsid w:val="3BD17677"/>
    <w:rsid w:val="3BD267F5"/>
    <w:rsid w:val="3BD27BB1"/>
    <w:rsid w:val="3BD326CD"/>
    <w:rsid w:val="3BDF1D94"/>
    <w:rsid w:val="3BE545B8"/>
    <w:rsid w:val="3BE57EB5"/>
    <w:rsid w:val="3BE6258E"/>
    <w:rsid w:val="3BE657B5"/>
    <w:rsid w:val="3BE92B6C"/>
    <w:rsid w:val="3BF14225"/>
    <w:rsid w:val="3BF35840"/>
    <w:rsid w:val="3BF375EE"/>
    <w:rsid w:val="3C027831"/>
    <w:rsid w:val="3C0417FB"/>
    <w:rsid w:val="3C076303"/>
    <w:rsid w:val="3C0B0719"/>
    <w:rsid w:val="3C0B4937"/>
    <w:rsid w:val="3C0D6901"/>
    <w:rsid w:val="3C12293E"/>
    <w:rsid w:val="3C147C90"/>
    <w:rsid w:val="3C1F4887"/>
    <w:rsid w:val="3C21415B"/>
    <w:rsid w:val="3C255101"/>
    <w:rsid w:val="3C277297"/>
    <w:rsid w:val="3C2D4641"/>
    <w:rsid w:val="3C2E0626"/>
    <w:rsid w:val="3C37572C"/>
    <w:rsid w:val="3C3A521C"/>
    <w:rsid w:val="3C3C0578"/>
    <w:rsid w:val="3C3C71E7"/>
    <w:rsid w:val="3C3F0A85"/>
    <w:rsid w:val="3C406CD7"/>
    <w:rsid w:val="3C461AED"/>
    <w:rsid w:val="3C4C1046"/>
    <w:rsid w:val="3C5623E7"/>
    <w:rsid w:val="3C581F47"/>
    <w:rsid w:val="3C58589D"/>
    <w:rsid w:val="3C5A58BF"/>
    <w:rsid w:val="3C642299"/>
    <w:rsid w:val="3C68688C"/>
    <w:rsid w:val="3C687FDC"/>
    <w:rsid w:val="3C6B3628"/>
    <w:rsid w:val="3C6D73A0"/>
    <w:rsid w:val="3C7249B6"/>
    <w:rsid w:val="3C7524EC"/>
    <w:rsid w:val="3C801AE9"/>
    <w:rsid w:val="3C81109D"/>
    <w:rsid w:val="3C860462"/>
    <w:rsid w:val="3C8666B4"/>
    <w:rsid w:val="3C8833DF"/>
    <w:rsid w:val="3C885F88"/>
    <w:rsid w:val="3C8B21EB"/>
    <w:rsid w:val="3C8C0DEF"/>
    <w:rsid w:val="3C926C30"/>
    <w:rsid w:val="3C9E39FD"/>
    <w:rsid w:val="3CA37266"/>
    <w:rsid w:val="3CA628B2"/>
    <w:rsid w:val="3CAF5C0A"/>
    <w:rsid w:val="3CB43221"/>
    <w:rsid w:val="3CC03974"/>
    <w:rsid w:val="3CC558D0"/>
    <w:rsid w:val="3CCA510B"/>
    <w:rsid w:val="3CCE2B34"/>
    <w:rsid w:val="3CDE204C"/>
    <w:rsid w:val="3CEB6517"/>
    <w:rsid w:val="3CED225A"/>
    <w:rsid w:val="3CF46D1B"/>
    <w:rsid w:val="3CF47AC1"/>
    <w:rsid w:val="3CF73BD8"/>
    <w:rsid w:val="3CFB7CF1"/>
    <w:rsid w:val="3D075731"/>
    <w:rsid w:val="3D08071D"/>
    <w:rsid w:val="3D0C1131"/>
    <w:rsid w:val="3D0F0457"/>
    <w:rsid w:val="3D112421"/>
    <w:rsid w:val="3D1141CF"/>
    <w:rsid w:val="3D1811D9"/>
    <w:rsid w:val="3D201ADD"/>
    <w:rsid w:val="3D251B75"/>
    <w:rsid w:val="3D281519"/>
    <w:rsid w:val="3D29471C"/>
    <w:rsid w:val="3D2F0AF9"/>
    <w:rsid w:val="3D301F62"/>
    <w:rsid w:val="3D3D4FC4"/>
    <w:rsid w:val="3D4E7C04"/>
    <w:rsid w:val="3D4F4CF8"/>
    <w:rsid w:val="3D5440BC"/>
    <w:rsid w:val="3D5642D8"/>
    <w:rsid w:val="3D571338"/>
    <w:rsid w:val="3D597924"/>
    <w:rsid w:val="3D5B18EE"/>
    <w:rsid w:val="3D5B544A"/>
    <w:rsid w:val="3D61560B"/>
    <w:rsid w:val="3D622C7D"/>
    <w:rsid w:val="3D624A2B"/>
    <w:rsid w:val="3D6528F4"/>
    <w:rsid w:val="3D66645D"/>
    <w:rsid w:val="3D673DEF"/>
    <w:rsid w:val="3D674623"/>
    <w:rsid w:val="3D702844"/>
    <w:rsid w:val="3D7529B0"/>
    <w:rsid w:val="3D780336"/>
    <w:rsid w:val="3D7B3D3F"/>
    <w:rsid w:val="3D7B789B"/>
    <w:rsid w:val="3D826A50"/>
    <w:rsid w:val="3D85696B"/>
    <w:rsid w:val="3D8726E3"/>
    <w:rsid w:val="3D8D43BC"/>
    <w:rsid w:val="3D9170BE"/>
    <w:rsid w:val="3D926CE1"/>
    <w:rsid w:val="3D962926"/>
    <w:rsid w:val="3D98669F"/>
    <w:rsid w:val="3D992BE2"/>
    <w:rsid w:val="3D995F73"/>
    <w:rsid w:val="3DA20CCA"/>
    <w:rsid w:val="3DA54139"/>
    <w:rsid w:val="3DA74B34"/>
    <w:rsid w:val="3DA768E2"/>
    <w:rsid w:val="3DA908A0"/>
    <w:rsid w:val="3DAB4E7C"/>
    <w:rsid w:val="3DAB7717"/>
    <w:rsid w:val="3DB334D8"/>
    <w:rsid w:val="3DBE523D"/>
    <w:rsid w:val="3DC237F9"/>
    <w:rsid w:val="3DD27F35"/>
    <w:rsid w:val="3DDD7FC6"/>
    <w:rsid w:val="3DE23DBE"/>
    <w:rsid w:val="3DE736D5"/>
    <w:rsid w:val="3DE90CA8"/>
    <w:rsid w:val="3DF24EA1"/>
    <w:rsid w:val="3DF37D79"/>
    <w:rsid w:val="3DFD6502"/>
    <w:rsid w:val="3E0271B3"/>
    <w:rsid w:val="3E067AAC"/>
    <w:rsid w:val="3E0B3FA3"/>
    <w:rsid w:val="3E0D61A2"/>
    <w:rsid w:val="3E157CEF"/>
    <w:rsid w:val="3E171CB9"/>
    <w:rsid w:val="3E176F4F"/>
    <w:rsid w:val="3E1857F0"/>
    <w:rsid w:val="3E1A3557"/>
    <w:rsid w:val="3E1C2E2C"/>
    <w:rsid w:val="3E2148E6"/>
    <w:rsid w:val="3E2241BA"/>
    <w:rsid w:val="3E267C4F"/>
    <w:rsid w:val="3E2C61B9"/>
    <w:rsid w:val="3E337E55"/>
    <w:rsid w:val="3E353A21"/>
    <w:rsid w:val="3E385855"/>
    <w:rsid w:val="3E3D60E3"/>
    <w:rsid w:val="3E3E6B98"/>
    <w:rsid w:val="3E410AE4"/>
    <w:rsid w:val="3E43485C"/>
    <w:rsid w:val="3E4660FB"/>
    <w:rsid w:val="3E4B0DFA"/>
    <w:rsid w:val="3E522CF1"/>
    <w:rsid w:val="3E542340"/>
    <w:rsid w:val="3E611186"/>
    <w:rsid w:val="3E62357C"/>
    <w:rsid w:val="3E6532EA"/>
    <w:rsid w:val="3E666726"/>
    <w:rsid w:val="3E6678A1"/>
    <w:rsid w:val="3E677D82"/>
    <w:rsid w:val="3E6A7D24"/>
    <w:rsid w:val="3E82485B"/>
    <w:rsid w:val="3E826B55"/>
    <w:rsid w:val="3E864A86"/>
    <w:rsid w:val="3E9230EE"/>
    <w:rsid w:val="3E9A0A99"/>
    <w:rsid w:val="3E9A516F"/>
    <w:rsid w:val="3E9A6446"/>
    <w:rsid w:val="3EA6691D"/>
    <w:rsid w:val="3EA90A54"/>
    <w:rsid w:val="3EAC6F7E"/>
    <w:rsid w:val="3EAC7F10"/>
    <w:rsid w:val="3EB017C6"/>
    <w:rsid w:val="3EB47508"/>
    <w:rsid w:val="3EB94B1E"/>
    <w:rsid w:val="3EBB73C7"/>
    <w:rsid w:val="3EBE490B"/>
    <w:rsid w:val="3EBF7C5B"/>
    <w:rsid w:val="3EC534C3"/>
    <w:rsid w:val="3ECA0F53"/>
    <w:rsid w:val="3ED11FD0"/>
    <w:rsid w:val="3ED96213"/>
    <w:rsid w:val="3EE651E8"/>
    <w:rsid w:val="3EE80F60"/>
    <w:rsid w:val="3EE87285"/>
    <w:rsid w:val="3EEA09C3"/>
    <w:rsid w:val="3EEE72EA"/>
    <w:rsid w:val="3EF5058E"/>
    <w:rsid w:val="3EFA0A69"/>
    <w:rsid w:val="3EFE69D5"/>
    <w:rsid w:val="3F0044FB"/>
    <w:rsid w:val="3F122481"/>
    <w:rsid w:val="3F133A69"/>
    <w:rsid w:val="3F13479C"/>
    <w:rsid w:val="3F1D32FF"/>
    <w:rsid w:val="3F204B9E"/>
    <w:rsid w:val="3F2327AE"/>
    <w:rsid w:val="3F2327AF"/>
    <w:rsid w:val="3F236F6B"/>
    <w:rsid w:val="3F261A88"/>
    <w:rsid w:val="3F282217"/>
    <w:rsid w:val="3F2C52F0"/>
    <w:rsid w:val="3F31617C"/>
    <w:rsid w:val="3F356669"/>
    <w:rsid w:val="3F3F75A9"/>
    <w:rsid w:val="3F402745"/>
    <w:rsid w:val="3F422D66"/>
    <w:rsid w:val="3F47607C"/>
    <w:rsid w:val="3F4D34B9"/>
    <w:rsid w:val="3F5D194E"/>
    <w:rsid w:val="3F5D679C"/>
    <w:rsid w:val="3F5D7BA0"/>
    <w:rsid w:val="3F5E0521"/>
    <w:rsid w:val="3F6031EC"/>
    <w:rsid w:val="3F672673"/>
    <w:rsid w:val="3F6820A1"/>
    <w:rsid w:val="3F692DCA"/>
    <w:rsid w:val="3F696545"/>
    <w:rsid w:val="3F6A39F6"/>
    <w:rsid w:val="3F6A5E19"/>
    <w:rsid w:val="3F6E36AA"/>
    <w:rsid w:val="3F7042AE"/>
    <w:rsid w:val="3F760C61"/>
    <w:rsid w:val="3F770324"/>
    <w:rsid w:val="3F7A38DB"/>
    <w:rsid w:val="3F85343F"/>
    <w:rsid w:val="3F874C4D"/>
    <w:rsid w:val="3F8974D9"/>
    <w:rsid w:val="3F8A6905"/>
    <w:rsid w:val="3F8E5FAB"/>
    <w:rsid w:val="3F8F0BD1"/>
    <w:rsid w:val="3F9133A5"/>
    <w:rsid w:val="3F934E84"/>
    <w:rsid w:val="3F981351"/>
    <w:rsid w:val="3F982986"/>
    <w:rsid w:val="3F9A3AE0"/>
    <w:rsid w:val="3F9A4950"/>
    <w:rsid w:val="3FA873A9"/>
    <w:rsid w:val="3FB672B0"/>
    <w:rsid w:val="3FBB0422"/>
    <w:rsid w:val="3FC01EDD"/>
    <w:rsid w:val="3FC35592"/>
    <w:rsid w:val="3FCC51CD"/>
    <w:rsid w:val="3FCC6E01"/>
    <w:rsid w:val="3FCE45FA"/>
    <w:rsid w:val="3FDC5DCB"/>
    <w:rsid w:val="3FDF6807"/>
    <w:rsid w:val="3FE16591"/>
    <w:rsid w:val="3FE23C01"/>
    <w:rsid w:val="3FEB0070"/>
    <w:rsid w:val="3FF3492F"/>
    <w:rsid w:val="3FFC1296"/>
    <w:rsid w:val="3FFF2A05"/>
    <w:rsid w:val="40083317"/>
    <w:rsid w:val="40093CF1"/>
    <w:rsid w:val="400B379F"/>
    <w:rsid w:val="401364B0"/>
    <w:rsid w:val="401673FB"/>
    <w:rsid w:val="401732FD"/>
    <w:rsid w:val="40176267"/>
    <w:rsid w:val="401D642E"/>
    <w:rsid w:val="401D732F"/>
    <w:rsid w:val="401E2E70"/>
    <w:rsid w:val="40204729"/>
    <w:rsid w:val="402204A1"/>
    <w:rsid w:val="40242BBF"/>
    <w:rsid w:val="402507DC"/>
    <w:rsid w:val="40275AB8"/>
    <w:rsid w:val="40295CD4"/>
    <w:rsid w:val="402B1A4C"/>
    <w:rsid w:val="402D739B"/>
    <w:rsid w:val="40356427"/>
    <w:rsid w:val="403F72A5"/>
    <w:rsid w:val="404B121E"/>
    <w:rsid w:val="404D5D77"/>
    <w:rsid w:val="404F38C4"/>
    <w:rsid w:val="4050045B"/>
    <w:rsid w:val="405368AD"/>
    <w:rsid w:val="4054703C"/>
    <w:rsid w:val="4057639D"/>
    <w:rsid w:val="405A40DF"/>
    <w:rsid w:val="405C39B3"/>
    <w:rsid w:val="40644F5E"/>
    <w:rsid w:val="406B009A"/>
    <w:rsid w:val="406C5054"/>
    <w:rsid w:val="40814C76"/>
    <w:rsid w:val="40827192"/>
    <w:rsid w:val="408F7457"/>
    <w:rsid w:val="4093314D"/>
    <w:rsid w:val="40980764"/>
    <w:rsid w:val="40983FBC"/>
    <w:rsid w:val="409A44DC"/>
    <w:rsid w:val="409E3FCC"/>
    <w:rsid w:val="40A37834"/>
    <w:rsid w:val="40A4667F"/>
    <w:rsid w:val="40A47108"/>
    <w:rsid w:val="40A53586"/>
    <w:rsid w:val="40A610D2"/>
    <w:rsid w:val="40A67324"/>
    <w:rsid w:val="40AD2461"/>
    <w:rsid w:val="40AE60D4"/>
    <w:rsid w:val="40AE7F87"/>
    <w:rsid w:val="40B437EF"/>
    <w:rsid w:val="40B9762F"/>
    <w:rsid w:val="40C652D1"/>
    <w:rsid w:val="40C818EC"/>
    <w:rsid w:val="40C9693C"/>
    <w:rsid w:val="40CA3B37"/>
    <w:rsid w:val="40CD059D"/>
    <w:rsid w:val="40CE0B15"/>
    <w:rsid w:val="40D07EFD"/>
    <w:rsid w:val="40D9709C"/>
    <w:rsid w:val="40E13EB9"/>
    <w:rsid w:val="40E40E38"/>
    <w:rsid w:val="40EA5463"/>
    <w:rsid w:val="40F053F7"/>
    <w:rsid w:val="40F826D2"/>
    <w:rsid w:val="40FC5196"/>
    <w:rsid w:val="410127AD"/>
    <w:rsid w:val="41017580"/>
    <w:rsid w:val="410D73A4"/>
    <w:rsid w:val="411424E0"/>
    <w:rsid w:val="41162EF6"/>
    <w:rsid w:val="41171F5D"/>
    <w:rsid w:val="41195D48"/>
    <w:rsid w:val="411D6D85"/>
    <w:rsid w:val="41214BFD"/>
    <w:rsid w:val="41263FC1"/>
    <w:rsid w:val="41281AE7"/>
    <w:rsid w:val="41287944"/>
    <w:rsid w:val="412C31AD"/>
    <w:rsid w:val="41304EAA"/>
    <w:rsid w:val="413B181B"/>
    <w:rsid w:val="414346B5"/>
    <w:rsid w:val="41441F27"/>
    <w:rsid w:val="41451209"/>
    <w:rsid w:val="41483F38"/>
    <w:rsid w:val="414A010A"/>
    <w:rsid w:val="414A7CB0"/>
    <w:rsid w:val="41584F04"/>
    <w:rsid w:val="41602ED0"/>
    <w:rsid w:val="416E7A1D"/>
    <w:rsid w:val="41704377"/>
    <w:rsid w:val="417B255F"/>
    <w:rsid w:val="41825DFD"/>
    <w:rsid w:val="418353DB"/>
    <w:rsid w:val="41857EAB"/>
    <w:rsid w:val="418D4040"/>
    <w:rsid w:val="418F600A"/>
    <w:rsid w:val="4194717D"/>
    <w:rsid w:val="41967399"/>
    <w:rsid w:val="419C394F"/>
    <w:rsid w:val="419E3C7A"/>
    <w:rsid w:val="419E624E"/>
    <w:rsid w:val="419F141C"/>
    <w:rsid w:val="41A01FC6"/>
    <w:rsid w:val="41A156D9"/>
    <w:rsid w:val="41A35612"/>
    <w:rsid w:val="41A63C78"/>
    <w:rsid w:val="41B1501A"/>
    <w:rsid w:val="41B6751F"/>
    <w:rsid w:val="41C07236"/>
    <w:rsid w:val="41C179AF"/>
    <w:rsid w:val="41C41F9A"/>
    <w:rsid w:val="41C54EC8"/>
    <w:rsid w:val="41D00126"/>
    <w:rsid w:val="41DC24A7"/>
    <w:rsid w:val="41E62B0C"/>
    <w:rsid w:val="41E72E5D"/>
    <w:rsid w:val="41E72FC5"/>
    <w:rsid w:val="41E950DD"/>
    <w:rsid w:val="41EE4ADF"/>
    <w:rsid w:val="41F5302C"/>
    <w:rsid w:val="41F66D2C"/>
    <w:rsid w:val="41FC16B9"/>
    <w:rsid w:val="41FD4D44"/>
    <w:rsid w:val="420662CD"/>
    <w:rsid w:val="42116A20"/>
    <w:rsid w:val="42144B18"/>
    <w:rsid w:val="4215030D"/>
    <w:rsid w:val="42167C79"/>
    <w:rsid w:val="421A58D4"/>
    <w:rsid w:val="421B789E"/>
    <w:rsid w:val="421C58E7"/>
    <w:rsid w:val="421F5DB4"/>
    <w:rsid w:val="4224225E"/>
    <w:rsid w:val="42274495"/>
    <w:rsid w:val="42311FDE"/>
    <w:rsid w:val="42343923"/>
    <w:rsid w:val="425012F6"/>
    <w:rsid w:val="425267CE"/>
    <w:rsid w:val="425570BD"/>
    <w:rsid w:val="425C5EED"/>
    <w:rsid w:val="425D1C65"/>
    <w:rsid w:val="42611755"/>
    <w:rsid w:val="42661114"/>
    <w:rsid w:val="4267090D"/>
    <w:rsid w:val="42674891"/>
    <w:rsid w:val="426B45E0"/>
    <w:rsid w:val="42703746"/>
    <w:rsid w:val="42723962"/>
    <w:rsid w:val="42777821"/>
    <w:rsid w:val="427B0074"/>
    <w:rsid w:val="42817701"/>
    <w:rsid w:val="4285798E"/>
    <w:rsid w:val="428C57AD"/>
    <w:rsid w:val="4291098B"/>
    <w:rsid w:val="429233A5"/>
    <w:rsid w:val="42927B60"/>
    <w:rsid w:val="429B28DE"/>
    <w:rsid w:val="429E5226"/>
    <w:rsid w:val="42A15FF5"/>
    <w:rsid w:val="42A2622D"/>
    <w:rsid w:val="42A31D6D"/>
    <w:rsid w:val="42AB29FD"/>
    <w:rsid w:val="42B74B72"/>
    <w:rsid w:val="42BA6382"/>
    <w:rsid w:val="42C41CF7"/>
    <w:rsid w:val="42C8103A"/>
    <w:rsid w:val="42C9409E"/>
    <w:rsid w:val="42CE51E1"/>
    <w:rsid w:val="42D208FA"/>
    <w:rsid w:val="42D40179"/>
    <w:rsid w:val="42D55421"/>
    <w:rsid w:val="42DC5BFB"/>
    <w:rsid w:val="42F02924"/>
    <w:rsid w:val="42F3147E"/>
    <w:rsid w:val="42F41CBF"/>
    <w:rsid w:val="42FE0D52"/>
    <w:rsid w:val="42FF3FE9"/>
    <w:rsid w:val="430345BA"/>
    <w:rsid w:val="4306667C"/>
    <w:rsid w:val="43081BD1"/>
    <w:rsid w:val="43087508"/>
    <w:rsid w:val="4309116E"/>
    <w:rsid w:val="43095949"/>
    <w:rsid w:val="430A1DED"/>
    <w:rsid w:val="430A3EE5"/>
    <w:rsid w:val="43122C0A"/>
    <w:rsid w:val="431C0A83"/>
    <w:rsid w:val="432033BE"/>
    <w:rsid w:val="4326474D"/>
    <w:rsid w:val="432804C5"/>
    <w:rsid w:val="432B3B11"/>
    <w:rsid w:val="43322079"/>
    <w:rsid w:val="43324E9F"/>
    <w:rsid w:val="43364990"/>
    <w:rsid w:val="433B50A3"/>
    <w:rsid w:val="43410D4F"/>
    <w:rsid w:val="43422F5A"/>
    <w:rsid w:val="43456981"/>
    <w:rsid w:val="43471AA9"/>
    <w:rsid w:val="434D7F2B"/>
    <w:rsid w:val="434F77FF"/>
    <w:rsid w:val="437232E5"/>
    <w:rsid w:val="4378210D"/>
    <w:rsid w:val="43792ACE"/>
    <w:rsid w:val="437E1E93"/>
    <w:rsid w:val="437F7839"/>
    <w:rsid w:val="43837DA9"/>
    <w:rsid w:val="43866F99"/>
    <w:rsid w:val="438B0671"/>
    <w:rsid w:val="438C33D7"/>
    <w:rsid w:val="438D0328"/>
    <w:rsid w:val="439523C6"/>
    <w:rsid w:val="439711A6"/>
    <w:rsid w:val="43995681"/>
    <w:rsid w:val="43B27D8E"/>
    <w:rsid w:val="43BB350B"/>
    <w:rsid w:val="43BB7D81"/>
    <w:rsid w:val="43C33DCA"/>
    <w:rsid w:val="43C51C6E"/>
    <w:rsid w:val="43C55D14"/>
    <w:rsid w:val="43C57AC2"/>
    <w:rsid w:val="43C90A97"/>
    <w:rsid w:val="43C954F5"/>
    <w:rsid w:val="43D1290A"/>
    <w:rsid w:val="43D23F8D"/>
    <w:rsid w:val="43D441A9"/>
    <w:rsid w:val="43D50701"/>
    <w:rsid w:val="43DE580C"/>
    <w:rsid w:val="43E51F12"/>
    <w:rsid w:val="43E90708"/>
    <w:rsid w:val="43EB0945"/>
    <w:rsid w:val="43EB701F"/>
    <w:rsid w:val="43EE526A"/>
    <w:rsid w:val="43EF1CD5"/>
    <w:rsid w:val="43F64368"/>
    <w:rsid w:val="43F82659"/>
    <w:rsid w:val="43F97AF1"/>
    <w:rsid w:val="43FB34E3"/>
    <w:rsid w:val="43FE2FD4"/>
    <w:rsid w:val="440624EF"/>
    <w:rsid w:val="44082585"/>
    <w:rsid w:val="440F7BAD"/>
    <w:rsid w:val="44112D07"/>
    <w:rsid w:val="441676D3"/>
    <w:rsid w:val="441706D6"/>
    <w:rsid w:val="44213429"/>
    <w:rsid w:val="44305F71"/>
    <w:rsid w:val="443231BD"/>
    <w:rsid w:val="443345D8"/>
    <w:rsid w:val="44384FBA"/>
    <w:rsid w:val="443B1A49"/>
    <w:rsid w:val="443B5FD6"/>
    <w:rsid w:val="443C6C9A"/>
    <w:rsid w:val="444529B0"/>
    <w:rsid w:val="44485FAE"/>
    <w:rsid w:val="445A684C"/>
    <w:rsid w:val="44627A06"/>
    <w:rsid w:val="44662AC1"/>
    <w:rsid w:val="4469314E"/>
    <w:rsid w:val="446A440B"/>
    <w:rsid w:val="446A7659"/>
    <w:rsid w:val="446C43E1"/>
    <w:rsid w:val="446C55DF"/>
    <w:rsid w:val="44705C7F"/>
    <w:rsid w:val="44760DBC"/>
    <w:rsid w:val="44782D86"/>
    <w:rsid w:val="447D65EE"/>
    <w:rsid w:val="44864A72"/>
    <w:rsid w:val="4487463E"/>
    <w:rsid w:val="4488746D"/>
    <w:rsid w:val="44890AEF"/>
    <w:rsid w:val="44891EC3"/>
    <w:rsid w:val="448C3CC5"/>
    <w:rsid w:val="449563AF"/>
    <w:rsid w:val="44957494"/>
    <w:rsid w:val="449A71A0"/>
    <w:rsid w:val="44A117B1"/>
    <w:rsid w:val="44A40300"/>
    <w:rsid w:val="44A65B45"/>
    <w:rsid w:val="44A771C7"/>
    <w:rsid w:val="44AD0C81"/>
    <w:rsid w:val="44AF0BE4"/>
    <w:rsid w:val="44B201C0"/>
    <w:rsid w:val="44B57217"/>
    <w:rsid w:val="44BA048C"/>
    <w:rsid w:val="44BD1779"/>
    <w:rsid w:val="44CD2CBD"/>
    <w:rsid w:val="44D15F3E"/>
    <w:rsid w:val="44D279D4"/>
    <w:rsid w:val="44D3551F"/>
    <w:rsid w:val="44D426B2"/>
    <w:rsid w:val="44D7144D"/>
    <w:rsid w:val="44D81A76"/>
    <w:rsid w:val="44DA5855"/>
    <w:rsid w:val="44DC1567"/>
    <w:rsid w:val="44DF0DF1"/>
    <w:rsid w:val="44E126D9"/>
    <w:rsid w:val="44E26451"/>
    <w:rsid w:val="44E346F2"/>
    <w:rsid w:val="44E422F7"/>
    <w:rsid w:val="44F23789"/>
    <w:rsid w:val="44F3519E"/>
    <w:rsid w:val="44F75300"/>
    <w:rsid w:val="44F85C75"/>
    <w:rsid w:val="44F91613"/>
    <w:rsid w:val="44FA7C3F"/>
    <w:rsid w:val="44FC5765"/>
    <w:rsid w:val="44FC7513"/>
    <w:rsid w:val="450241CA"/>
    <w:rsid w:val="45045908"/>
    <w:rsid w:val="45091972"/>
    <w:rsid w:val="45102FBE"/>
    <w:rsid w:val="451F1453"/>
    <w:rsid w:val="4522742F"/>
    <w:rsid w:val="45244CBC"/>
    <w:rsid w:val="452847AC"/>
    <w:rsid w:val="453749EF"/>
    <w:rsid w:val="45401AF6"/>
    <w:rsid w:val="45417FB0"/>
    <w:rsid w:val="45440EBA"/>
    <w:rsid w:val="45444DD9"/>
    <w:rsid w:val="454535E4"/>
    <w:rsid w:val="45473A47"/>
    <w:rsid w:val="45487968"/>
    <w:rsid w:val="454D7D6F"/>
    <w:rsid w:val="454E7990"/>
    <w:rsid w:val="45513D03"/>
    <w:rsid w:val="455235D7"/>
    <w:rsid w:val="455728DE"/>
    <w:rsid w:val="4560337A"/>
    <w:rsid w:val="45633A36"/>
    <w:rsid w:val="45670165"/>
    <w:rsid w:val="457277D5"/>
    <w:rsid w:val="457948A6"/>
    <w:rsid w:val="457C0654"/>
    <w:rsid w:val="457D6C89"/>
    <w:rsid w:val="4585575A"/>
    <w:rsid w:val="45873277"/>
    <w:rsid w:val="4588349D"/>
    <w:rsid w:val="4588524B"/>
    <w:rsid w:val="458B6AE9"/>
    <w:rsid w:val="458E336E"/>
    <w:rsid w:val="45967968"/>
    <w:rsid w:val="459D25A6"/>
    <w:rsid w:val="459D644F"/>
    <w:rsid w:val="459E05CA"/>
    <w:rsid w:val="459F0BED"/>
    <w:rsid w:val="45A32084"/>
    <w:rsid w:val="45A53995"/>
    <w:rsid w:val="45A7122C"/>
    <w:rsid w:val="45A71B75"/>
    <w:rsid w:val="45A831F7"/>
    <w:rsid w:val="45A94EF2"/>
    <w:rsid w:val="45AC718B"/>
    <w:rsid w:val="45B778DE"/>
    <w:rsid w:val="45BE1C89"/>
    <w:rsid w:val="45C4709A"/>
    <w:rsid w:val="45C73F6A"/>
    <w:rsid w:val="45D60A99"/>
    <w:rsid w:val="45D71407"/>
    <w:rsid w:val="45D86D8A"/>
    <w:rsid w:val="45DC16E7"/>
    <w:rsid w:val="45DE1B35"/>
    <w:rsid w:val="45E16709"/>
    <w:rsid w:val="45EA1A61"/>
    <w:rsid w:val="45EC1C07"/>
    <w:rsid w:val="45EC7588"/>
    <w:rsid w:val="45ED344E"/>
    <w:rsid w:val="45EE77A4"/>
    <w:rsid w:val="45F53D44"/>
    <w:rsid w:val="45F91CA4"/>
    <w:rsid w:val="45FB3C6E"/>
    <w:rsid w:val="45FC590E"/>
    <w:rsid w:val="46026DAB"/>
    <w:rsid w:val="46032B23"/>
    <w:rsid w:val="460348D1"/>
    <w:rsid w:val="4607616F"/>
    <w:rsid w:val="46120B76"/>
    <w:rsid w:val="46125562"/>
    <w:rsid w:val="461865CE"/>
    <w:rsid w:val="46207231"/>
    <w:rsid w:val="462211FB"/>
    <w:rsid w:val="46255ED1"/>
    <w:rsid w:val="462907DC"/>
    <w:rsid w:val="46380A1F"/>
    <w:rsid w:val="463E3EC9"/>
    <w:rsid w:val="464347C4"/>
    <w:rsid w:val="464D78CD"/>
    <w:rsid w:val="464E0242"/>
    <w:rsid w:val="464E1FF0"/>
    <w:rsid w:val="4654512D"/>
    <w:rsid w:val="465515D1"/>
    <w:rsid w:val="46582402"/>
    <w:rsid w:val="465A6A75"/>
    <w:rsid w:val="4662558E"/>
    <w:rsid w:val="46641814"/>
    <w:rsid w:val="466435C2"/>
    <w:rsid w:val="4669643F"/>
    <w:rsid w:val="467001B9"/>
    <w:rsid w:val="46704FD2"/>
    <w:rsid w:val="46744693"/>
    <w:rsid w:val="46770C1C"/>
    <w:rsid w:val="46784184"/>
    <w:rsid w:val="468123C6"/>
    <w:rsid w:val="46821C9A"/>
    <w:rsid w:val="46845473"/>
    <w:rsid w:val="468477C0"/>
    <w:rsid w:val="46853538"/>
    <w:rsid w:val="469A5235"/>
    <w:rsid w:val="469D560C"/>
    <w:rsid w:val="469F691B"/>
    <w:rsid w:val="46A2071E"/>
    <w:rsid w:val="46A33DBF"/>
    <w:rsid w:val="46A460D2"/>
    <w:rsid w:val="46A8471B"/>
    <w:rsid w:val="46A936EC"/>
    <w:rsid w:val="46A937CA"/>
    <w:rsid w:val="46AC2A99"/>
    <w:rsid w:val="46B00F72"/>
    <w:rsid w:val="46B86C48"/>
    <w:rsid w:val="46BC33FE"/>
    <w:rsid w:val="46C422B2"/>
    <w:rsid w:val="46C67DD9"/>
    <w:rsid w:val="46C832BD"/>
    <w:rsid w:val="46C95B1B"/>
    <w:rsid w:val="46CC1F51"/>
    <w:rsid w:val="46D93761"/>
    <w:rsid w:val="46DC584E"/>
    <w:rsid w:val="46DD4403"/>
    <w:rsid w:val="46E03910"/>
    <w:rsid w:val="46E04202"/>
    <w:rsid w:val="46E83108"/>
    <w:rsid w:val="46E97F6B"/>
    <w:rsid w:val="46FC0964"/>
    <w:rsid w:val="46FD7572"/>
    <w:rsid w:val="46FE3A16"/>
    <w:rsid w:val="47013507"/>
    <w:rsid w:val="470646EF"/>
    <w:rsid w:val="47065CD9"/>
    <w:rsid w:val="4707234B"/>
    <w:rsid w:val="4712301E"/>
    <w:rsid w:val="471257D7"/>
    <w:rsid w:val="471A45C8"/>
    <w:rsid w:val="471C783B"/>
    <w:rsid w:val="471C7D7D"/>
    <w:rsid w:val="471F573B"/>
    <w:rsid w:val="47255FBF"/>
    <w:rsid w:val="472D42FC"/>
    <w:rsid w:val="472F601E"/>
    <w:rsid w:val="473118AB"/>
    <w:rsid w:val="47334723"/>
    <w:rsid w:val="47341AA2"/>
    <w:rsid w:val="4734568A"/>
    <w:rsid w:val="473867FC"/>
    <w:rsid w:val="47392CA0"/>
    <w:rsid w:val="4741335D"/>
    <w:rsid w:val="474204C0"/>
    <w:rsid w:val="474D2D2A"/>
    <w:rsid w:val="4750714C"/>
    <w:rsid w:val="47507FEA"/>
    <w:rsid w:val="47525B10"/>
    <w:rsid w:val="475353E4"/>
    <w:rsid w:val="47541888"/>
    <w:rsid w:val="475F71FF"/>
    <w:rsid w:val="47615D53"/>
    <w:rsid w:val="47674701"/>
    <w:rsid w:val="477A6033"/>
    <w:rsid w:val="477C0DDF"/>
    <w:rsid w:val="477D340C"/>
    <w:rsid w:val="477E06B3"/>
    <w:rsid w:val="47877B1D"/>
    <w:rsid w:val="478A7058"/>
    <w:rsid w:val="478B2DD0"/>
    <w:rsid w:val="478F466E"/>
    <w:rsid w:val="47947ED7"/>
    <w:rsid w:val="479650AA"/>
    <w:rsid w:val="479E0D55"/>
    <w:rsid w:val="479E48B1"/>
    <w:rsid w:val="47A13F05"/>
    <w:rsid w:val="47A619B8"/>
    <w:rsid w:val="47AF2F63"/>
    <w:rsid w:val="47AF3F88"/>
    <w:rsid w:val="47AF6220"/>
    <w:rsid w:val="47B04E87"/>
    <w:rsid w:val="47B719B0"/>
    <w:rsid w:val="47B71E17"/>
    <w:rsid w:val="47BD5C6E"/>
    <w:rsid w:val="47C6205A"/>
    <w:rsid w:val="47DB3D58"/>
    <w:rsid w:val="47E50732"/>
    <w:rsid w:val="47E66258"/>
    <w:rsid w:val="47EF6AF9"/>
    <w:rsid w:val="47F66FD1"/>
    <w:rsid w:val="47F902A0"/>
    <w:rsid w:val="47F941DE"/>
    <w:rsid w:val="48013092"/>
    <w:rsid w:val="480A0199"/>
    <w:rsid w:val="480A63EB"/>
    <w:rsid w:val="4812529F"/>
    <w:rsid w:val="4814724D"/>
    <w:rsid w:val="481D62EF"/>
    <w:rsid w:val="48223734"/>
    <w:rsid w:val="482A08A6"/>
    <w:rsid w:val="482A25E9"/>
    <w:rsid w:val="48305086"/>
    <w:rsid w:val="483154E6"/>
    <w:rsid w:val="483416BA"/>
    <w:rsid w:val="48345529"/>
    <w:rsid w:val="483C2B6B"/>
    <w:rsid w:val="483D231C"/>
    <w:rsid w:val="48403E6C"/>
    <w:rsid w:val="48435459"/>
    <w:rsid w:val="484A6940"/>
    <w:rsid w:val="484C049B"/>
    <w:rsid w:val="48547666"/>
    <w:rsid w:val="485647F5"/>
    <w:rsid w:val="4856518C"/>
    <w:rsid w:val="48587156"/>
    <w:rsid w:val="485B04E9"/>
    <w:rsid w:val="485B5D5A"/>
    <w:rsid w:val="485D0FF3"/>
    <w:rsid w:val="486755EB"/>
    <w:rsid w:val="48684EBF"/>
    <w:rsid w:val="486912D0"/>
    <w:rsid w:val="486B07C6"/>
    <w:rsid w:val="48710218"/>
    <w:rsid w:val="4873326A"/>
    <w:rsid w:val="48804725"/>
    <w:rsid w:val="4884619D"/>
    <w:rsid w:val="488717E9"/>
    <w:rsid w:val="48880D20"/>
    <w:rsid w:val="489363E0"/>
    <w:rsid w:val="48946750"/>
    <w:rsid w:val="489A151D"/>
    <w:rsid w:val="489C049D"/>
    <w:rsid w:val="48A04659"/>
    <w:rsid w:val="48AC2FC1"/>
    <w:rsid w:val="48AE1E65"/>
    <w:rsid w:val="48B16866"/>
    <w:rsid w:val="48B451E2"/>
    <w:rsid w:val="48B63D1B"/>
    <w:rsid w:val="48BA2A7F"/>
    <w:rsid w:val="48BB76E5"/>
    <w:rsid w:val="48BC4994"/>
    <w:rsid w:val="48BF380A"/>
    <w:rsid w:val="48C12F4D"/>
    <w:rsid w:val="48CA13EC"/>
    <w:rsid w:val="48CE566A"/>
    <w:rsid w:val="48D569F9"/>
    <w:rsid w:val="48D6125E"/>
    <w:rsid w:val="48DB1376"/>
    <w:rsid w:val="48DF5182"/>
    <w:rsid w:val="48E409EA"/>
    <w:rsid w:val="48E65CC2"/>
    <w:rsid w:val="48E704DA"/>
    <w:rsid w:val="48EC789E"/>
    <w:rsid w:val="48ED3F27"/>
    <w:rsid w:val="48F03833"/>
    <w:rsid w:val="48F06C8F"/>
    <w:rsid w:val="48F84495"/>
    <w:rsid w:val="490231AB"/>
    <w:rsid w:val="49042AD4"/>
    <w:rsid w:val="490B241B"/>
    <w:rsid w:val="4910358D"/>
    <w:rsid w:val="49105C83"/>
    <w:rsid w:val="491C0184"/>
    <w:rsid w:val="491F06FD"/>
    <w:rsid w:val="49242C91"/>
    <w:rsid w:val="49260F47"/>
    <w:rsid w:val="493019DF"/>
    <w:rsid w:val="493718BB"/>
    <w:rsid w:val="493A4AAE"/>
    <w:rsid w:val="493E1E3B"/>
    <w:rsid w:val="493F6DDE"/>
    <w:rsid w:val="49425710"/>
    <w:rsid w:val="49435341"/>
    <w:rsid w:val="494575E3"/>
    <w:rsid w:val="494C2A78"/>
    <w:rsid w:val="494F1D2C"/>
    <w:rsid w:val="49521DF7"/>
    <w:rsid w:val="495267F3"/>
    <w:rsid w:val="495518E8"/>
    <w:rsid w:val="495A04B4"/>
    <w:rsid w:val="495C67D2"/>
    <w:rsid w:val="495C7CDB"/>
    <w:rsid w:val="49615189"/>
    <w:rsid w:val="49634005"/>
    <w:rsid w:val="4970227E"/>
    <w:rsid w:val="49725893"/>
    <w:rsid w:val="49746212"/>
    <w:rsid w:val="49757894"/>
    <w:rsid w:val="497A75A0"/>
    <w:rsid w:val="497C0AE1"/>
    <w:rsid w:val="498407A9"/>
    <w:rsid w:val="498D2E30"/>
    <w:rsid w:val="498E4CFA"/>
    <w:rsid w:val="499248EA"/>
    <w:rsid w:val="499331C3"/>
    <w:rsid w:val="49A972DA"/>
    <w:rsid w:val="49AE2DA6"/>
    <w:rsid w:val="49B063EE"/>
    <w:rsid w:val="49B54E1B"/>
    <w:rsid w:val="49BA174B"/>
    <w:rsid w:val="49BF3B22"/>
    <w:rsid w:val="49C76CAB"/>
    <w:rsid w:val="49CA4998"/>
    <w:rsid w:val="49CB3B7E"/>
    <w:rsid w:val="49D00F6E"/>
    <w:rsid w:val="49D40A5E"/>
    <w:rsid w:val="49DC7913"/>
    <w:rsid w:val="49E012F6"/>
    <w:rsid w:val="49E03CF6"/>
    <w:rsid w:val="49E2389B"/>
    <w:rsid w:val="49E76C62"/>
    <w:rsid w:val="49ED6ED9"/>
    <w:rsid w:val="49F04B27"/>
    <w:rsid w:val="49F04DE4"/>
    <w:rsid w:val="49F66C27"/>
    <w:rsid w:val="49FD0A6D"/>
    <w:rsid w:val="49FD3C5B"/>
    <w:rsid w:val="4A033B04"/>
    <w:rsid w:val="4A1763B3"/>
    <w:rsid w:val="4A184C64"/>
    <w:rsid w:val="4A1B465B"/>
    <w:rsid w:val="4A232B66"/>
    <w:rsid w:val="4A236A1F"/>
    <w:rsid w:val="4A266DE0"/>
    <w:rsid w:val="4A275032"/>
    <w:rsid w:val="4A296F6D"/>
    <w:rsid w:val="4A2A75AB"/>
    <w:rsid w:val="4A2B6D8C"/>
    <w:rsid w:val="4A2F1767"/>
    <w:rsid w:val="4A30453E"/>
    <w:rsid w:val="4A3459A1"/>
    <w:rsid w:val="4A38723F"/>
    <w:rsid w:val="4A3D2AA8"/>
    <w:rsid w:val="4A3D5D71"/>
    <w:rsid w:val="4A4200BE"/>
    <w:rsid w:val="4A463EF1"/>
    <w:rsid w:val="4A4E23DD"/>
    <w:rsid w:val="4A4E6FAF"/>
    <w:rsid w:val="4A546DA4"/>
    <w:rsid w:val="4A556518"/>
    <w:rsid w:val="4A58078E"/>
    <w:rsid w:val="4A5E2A1E"/>
    <w:rsid w:val="4A63203D"/>
    <w:rsid w:val="4A645600"/>
    <w:rsid w:val="4A653DAC"/>
    <w:rsid w:val="4A656918"/>
    <w:rsid w:val="4A6E2C61"/>
    <w:rsid w:val="4A6F21D0"/>
    <w:rsid w:val="4A78588E"/>
    <w:rsid w:val="4A7B35D0"/>
    <w:rsid w:val="4A8174F5"/>
    <w:rsid w:val="4A89343A"/>
    <w:rsid w:val="4A8E1972"/>
    <w:rsid w:val="4A9062CA"/>
    <w:rsid w:val="4A9F2ECE"/>
    <w:rsid w:val="4AA069DA"/>
    <w:rsid w:val="4AB368C6"/>
    <w:rsid w:val="4AB37F71"/>
    <w:rsid w:val="4ABE526B"/>
    <w:rsid w:val="4AC25BFA"/>
    <w:rsid w:val="4AC42881"/>
    <w:rsid w:val="4ACF105B"/>
    <w:rsid w:val="4AD66A58"/>
    <w:rsid w:val="4AD807FC"/>
    <w:rsid w:val="4ADB717D"/>
    <w:rsid w:val="4ADD1A9D"/>
    <w:rsid w:val="4ADF4B7D"/>
    <w:rsid w:val="4AE03433"/>
    <w:rsid w:val="4AE178D7"/>
    <w:rsid w:val="4AE42F23"/>
    <w:rsid w:val="4AEC002A"/>
    <w:rsid w:val="4AEC627C"/>
    <w:rsid w:val="4AED6DE4"/>
    <w:rsid w:val="4AF12273"/>
    <w:rsid w:val="4AF13892"/>
    <w:rsid w:val="4AF13BA2"/>
    <w:rsid w:val="4AF173EE"/>
    <w:rsid w:val="4AF2226F"/>
    <w:rsid w:val="4AF2694B"/>
    <w:rsid w:val="4B02455D"/>
    <w:rsid w:val="4B033745"/>
    <w:rsid w:val="4B054380"/>
    <w:rsid w:val="4B074E64"/>
    <w:rsid w:val="4B0D0B7C"/>
    <w:rsid w:val="4B1D01E3"/>
    <w:rsid w:val="4B1E0E0F"/>
    <w:rsid w:val="4B1F5D09"/>
    <w:rsid w:val="4B2E23F0"/>
    <w:rsid w:val="4B315617"/>
    <w:rsid w:val="4B32706E"/>
    <w:rsid w:val="4B335C59"/>
    <w:rsid w:val="4B35552D"/>
    <w:rsid w:val="4B410DB7"/>
    <w:rsid w:val="4B46598C"/>
    <w:rsid w:val="4B4A42C0"/>
    <w:rsid w:val="4B6A37B8"/>
    <w:rsid w:val="4B6F6058"/>
    <w:rsid w:val="4B704B7B"/>
    <w:rsid w:val="4B814C16"/>
    <w:rsid w:val="4B8506E5"/>
    <w:rsid w:val="4B8753A1"/>
    <w:rsid w:val="4B9672D6"/>
    <w:rsid w:val="4B971FC5"/>
    <w:rsid w:val="4B985ABC"/>
    <w:rsid w:val="4B9E00E3"/>
    <w:rsid w:val="4B9F64EA"/>
    <w:rsid w:val="4BA17066"/>
    <w:rsid w:val="4BA3418D"/>
    <w:rsid w:val="4BAA70ED"/>
    <w:rsid w:val="4BB3598B"/>
    <w:rsid w:val="4BB563E6"/>
    <w:rsid w:val="4BB943B0"/>
    <w:rsid w:val="4BCA1764"/>
    <w:rsid w:val="4BCD39B7"/>
    <w:rsid w:val="4BCD4BF1"/>
    <w:rsid w:val="4BDD2E31"/>
    <w:rsid w:val="4BE0752A"/>
    <w:rsid w:val="4BE3141A"/>
    <w:rsid w:val="4BE3142D"/>
    <w:rsid w:val="4BE56F53"/>
    <w:rsid w:val="4BE57457"/>
    <w:rsid w:val="4BE67EBD"/>
    <w:rsid w:val="4BE72211"/>
    <w:rsid w:val="4BED22AB"/>
    <w:rsid w:val="4BF30464"/>
    <w:rsid w:val="4BF37333"/>
    <w:rsid w:val="4BF453E8"/>
    <w:rsid w:val="4BF47196"/>
    <w:rsid w:val="4BF52F0E"/>
    <w:rsid w:val="4BFA1DED"/>
    <w:rsid w:val="4C067576"/>
    <w:rsid w:val="4C082C41"/>
    <w:rsid w:val="4C091A1C"/>
    <w:rsid w:val="4C0A0767"/>
    <w:rsid w:val="4C0B2731"/>
    <w:rsid w:val="4C0C45C3"/>
    <w:rsid w:val="4C0D46FC"/>
    <w:rsid w:val="4C0D64AA"/>
    <w:rsid w:val="4C11514E"/>
    <w:rsid w:val="4C1635B0"/>
    <w:rsid w:val="4C166E79"/>
    <w:rsid w:val="4C194E4E"/>
    <w:rsid w:val="4C26098E"/>
    <w:rsid w:val="4C26756B"/>
    <w:rsid w:val="4C286E40"/>
    <w:rsid w:val="4C31571C"/>
    <w:rsid w:val="4C324E37"/>
    <w:rsid w:val="4C43011D"/>
    <w:rsid w:val="4C43601E"/>
    <w:rsid w:val="4C4507B6"/>
    <w:rsid w:val="4C46376A"/>
    <w:rsid w:val="4C520360"/>
    <w:rsid w:val="4C52210E"/>
    <w:rsid w:val="4C5440D8"/>
    <w:rsid w:val="4C55361C"/>
    <w:rsid w:val="4C59524B"/>
    <w:rsid w:val="4C5C2F8D"/>
    <w:rsid w:val="4C5C4D3B"/>
    <w:rsid w:val="4C602902"/>
    <w:rsid w:val="4C650094"/>
    <w:rsid w:val="4C651E42"/>
    <w:rsid w:val="4C6A7458"/>
    <w:rsid w:val="4C6D516F"/>
    <w:rsid w:val="4C6F2CC0"/>
    <w:rsid w:val="4C7427F3"/>
    <w:rsid w:val="4C756154"/>
    <w:rsid w:val="4C7B3413"/>
    <w:rsid w:val="4C7D739B"/>
    <w:rsid w:val="4C806C7C"/>
    <w:rsid w:val="4C83676C"/>
    <w:rsid w:val="4C8D6FAC"/>
    <w:rsid w:val="4C9210B0"/>
    <w:rsid w:val="4C940C54"/>
    <w:rsid w:val="4C977576"/>
    <w:rsid w:val="4C991C31"/>
    <w:rsid w:val="4C995F8F"/>
    <w:rsid w:val="4CA414C9"/>
    <w:rsid w:val="4CA46052"/>
    <w:rsid w:val="4CA97D4D"/>
    <w:rsid w:val="4CAB201F"/>
    <w:rsid w:val="4CAE7A26"/>
    <w:rsid w:val="4CB07105"/>
    <w:rsid w:val="4CB50156"/>
    <w:rsid w:val="4CB84667"/>
    <w:rsid w:val="4CBC79C9"/>
    <w:rsid w:val="4CC0176E"/>
    <w:rsid w:val="4CC21042"/>
    <w:rsid w:val="4CC27316"/>
    <w:rsid w:val="4CC34DBA"/>
    <w:rsid w:val="4CC53781"/>
    <w:rsid w:val="4CCA7EF7"/>
    <w:rsid w:val="4CCF550D"/>
    <w:rsid w:val="4CD14818"/>
    <w:rsid w:val="4CD81552"/>
    <w:rsid w:val="4CE0771A"/>
    <w:rsid w:val="4CE362DF"/>
    <w:rsid w:val="4CE37103"/>
    <w:rsid w:val="4CE4720A"/>
    <w:rsid w:val="4CE57530"/>
    <w:rsid w:val="4CE70AA9"/>
    <w:rsid w:val="4CE84AB9"/>
    <w:rsid w:val="4CE94821"/>
    <w:rsid w:val="4CF17B79"/>
    <w:rsid w:val="4CF431C6"/>
    <w:rsid w:val="4CF4713F"/>
    <w:rsid w:val="4CF5766A"/>
    <w:rsid w:val="4CFD720C"/>
    <w:rsid w:val="4D0C49B3"/>
    <w:rsid w:val="4D0F5CA3"/>
    <w:rsid w:val="4D165123"/>
    <w:rsid w:val="4D170353"/>
    <w:rsid w:val="4D1B4BF6"/>
    <w:rsid w:val="4D1F46E6"/>
    <w:rsid w:val="4D2211D8"/>
    <w:rsid w:val="4D225F85"/>
    <w:rsid w:val="4D241CFD"/>
    <w:rsid w:val="4D245859"/>
    <w:rsid w:val="4D29404E"/>
    <w:rsid w:val="4D330192"/>
    <w:rsid w:val="4D341EAC"/>
    <w:rsid w:val="4D37384B"/>
    <w:rsid w:val="4D38645A"/>
    <w:rsid w:val="4D387556"/>
    <w:rsid w:val="4D426699"/>
    <w:rsid w:val="4D467EC5"/>
    <w:rsid w:val="4D470EE5"/>
    <w:rsid w:val="4D477799"/>
    <w:rsid w:val="4D4D1254"/>
    <w:rsid w:val="4D5123C6"/>
    <w:rsid w:val="4D602609"/>
    <w:rsid w:val="4D6E4D26"/>
    <w:rsid w:val="4D720CBA"/>
    <w:rsid w:val="4D7B1721"/>
    <w:rsid w:val="4D875DE8"/>
    <w:rsid w:val="4D8A33D6"/>
    <w:rsid w:val="4D913ADD"/>
    <w:rsid w:val="4D9E6F6C"/>
    <w:rsid w:val="4DA32EFC"/>
    <w:rsid w:val="4DAD0C10"/>
    <w:rsid w:val="4DAD37DA"/>
    <w:rsid w:val="4DAE15C6"/>
    <w:rsid w:val="4DB56DF9"/>
    <w:rsid w:val="4DBA2579"/>
    <w:rsid w:val="4DBA61BD"/>
    <w:rsid w:val="4DBF1A26"/>
    <w:rsid w:val="4DC442C6"/>
    <w:rsid w:val="4DCE475D"/>
    <w:rsid w:val="4DD54DA5"/>
    <w:rsid w:val="4DD81B7D"/>
    <w:rsid w:val="4DDC25D7"/>
    <w:rsid w:val="4DE80F7C"/>
    <w:rsid w:val="4DE81E14"/>
    <w:rsid w:val="4DEC3685"/>
    <w:rsid w:val="4DF67155"/>
    <w:rsid w:val="4E023BB8"/>
    <w:rsid w:val="4E091525"/>
    <w:rsid w:val="4E0F6509"/>
    <w:rsid w:val="4E127DA7"/>
    <w:rsid w:val="4E15789C"/>
    <w:rsid w:val="4E157C07"/>
    <w:rsid w:val="4E191534"/>
    <w:rsid w:val="4E1B3100"/>
    <w:rsid w:val="4E1C6E78"/>
    <w:rsid w:val="4E2043AF"/>
    <w:rsid w:val="4E21448E"/>
    <w:rsid w:val="4E2639AD"/>
    <w:rsid w:val="4E2A43EC"/>
    <w:rsid w:val="4E2E29AE"/>
    <w:rsid w:val="4E320449"/>
    <w:rsid w:val="4E3441C2"/>
    <w:rsid w:val="4E347D1E"/>
    <w:rsid w:val="4E3A2AC2"/>
    <w:rsid w:val="4E4125AE"/>
    <w:rsid w:val="4E487C6D"/>
    <w:rsid w:val="4E4D2511"/>
    <w:rsid w:val="4E4F1C84"/>
    <w:rsid w:val="4E572490"/>
    <w:rsid w:val="4E604FB7"/>
    <w:rsid w:val="4E656129"/>
    <w:rsid w:val="4E6D5FC6"/>
    <w:rsid w:val="4E6F42C7"/>
    <w:rsid w:val="4E7021C7"/>
    <w:rsid w:val="4E796078"/>
    <w:rsid w:val="4E7B7E90"/>
    <w:rsid w:val="4E7D7917"/>
    <w:rsid w:val="4E7E41D8"/>
    <w:rsid w:val="4E80581D"/>
    <w:rsid w:val="4E810A89"/>
    <w:rsid w:val="4E824F2D"/>
    <w:rsid w:val="4E832BEF"/>
    <w:rsid w:val="4E854A1D"/>
    <w:rsid w:val="4E8B49F6"/>
    <w:rsid w:val="4E8D742E"/>
    <w:rsid w:val="4E8F13F8"/>
    <w:rsid w:val="4E9502E8"/>
    <w:rsid w:val="4EA47A73"/>
    <w:rsid w:val="4EAA4484"/>
    <w:rsid w:val="4EB40E5E"/>
    <w:rsid w:val="4EB6433D"/>
    <w:rsid w:val="4EB64BD7"/>
    <w:rsid w:val="4EB714C5"/>
    <w:rsid w:val="4EB8474A"/>
    <w:rsid w:val="4EB95E3B"/>
    <w:rsid w:val="4EBD5F65"/>
    <w:rsid w:val="4EC15F85"/>
    <w:rsid w:val="4EC310A1"/>
    <w:rsid w:val="4EC6743E"/>
    <w:rsid w:val="4ECD6910"/>
    <w:rsid w:val="4ECE0172"/>
    <w:rsid w:val="4ECF6E36"/>
    <w:rsid w:val="4ED043EF"/>
    <w:rsid w:val="4ED137BE"/>
    <w:rsid w:val="4ED16532"/>
    <w:rsid w:val="4ED40594"/>
    <w:rsid w:val="4EDD2163"/>
    <w:rsid w:val="4EDE59FF"/>
    <w:rsid w:val="4EE554BC"/>
    <w:rsid w:val="4EEA2AD2"/>
    <w:rsid w:val="4EF02E49"/>
    <w:rsid w:val="4EF179BD"/>
    <w:rsid w:val="4EF37BD9"/>
    <w:rsid w:val="4EF43951"/>
    <w:rsid w:val="4EFE0B0B"/>
    <w:rsid w:val="4EFF3FC2"/>
    <w:rsid w:val="4F082F58"/>
    <w:rsid w:val="4F0C71D9"/>
    <w:rsid w:val="4F0E002C"/>
    <w:rsid w:val="4F111E0D"/>
    <w:rsid w:val="4F171FC9"/>
    <w:rsid w:val="4F1913AC"/>
    <w:rsid w:val="4F204A3C"/>
    <w:rsid w:val="4F2307E9"/>
    <w:rsid w:val="4F252122"/>
    <w:rsid w:val="4F361873"/>
    <w:rsid w:val="4F361A0F"/>
    <w:rsid w:val="4F3902E6"/>
    <w:rsid w:val="4F440434"/>
    <w:rsid w:val="4F460F98"/>
    <w:rsid w:val="4F473A81"/>
    <w:rsid w:val="4F4949CF"/>
    <w:rsid w:val="4F4C3210"/>
    <w:rsid w:val="4F534A42"/>
    <w:rsid w:val="4F573E7B"/>
    <w:rsid w:val="4F5861C5"/>
    <w:rsid w:val="4F641CE0"/>
    <w:rsid w:val="4F697E9B"/>
    <w:rsid w:val="4F6B3C13"/>
    <w:rsid w:val="4F6D68D9"/>
    <w:rsid w:val="4F6E4B5C"/>
    <w:rsid w:val="4F6E54B1"/>
    <w:rsid w:val="4F7034CF"/>
    <w:rsid w:val="4F717CEE"/>
    <w:rsid w:val="4F746C04"/>
    <w:rsid w:val="4F756840"/>
    <w:rsid w:val="4F793361"/>
    <w:rsid w:val="4F7F146C"/>
    <w:rsid w:val="4F895E47"/>
    <w:rsid w:val="4F8B712B"/>
    <w:rsid w:val="4F8C5039"/>
    <w:rsid w:val="4F8D64FD"/>
    <w:rsid w:val="4F8F4C0A"/>
    <w:rsid w:val="4F9220E5"/>
    <w:rsid w:val="4F92779E"/>
    <w:rsid w:val="4F952A3E"/>
    <w:rsid w:val="4F980780"/>
    <w:rsid w:val="4F9F29D3"/>
    <w:rsid w:val="4FA0074A"/>
    <w:rsid w:val="4FA03191"/>
    <w:rsid w:val="4FA9077D"/>
    <w:rsid w:val="4FA964E9"/>
    <w:rsid w:val="4FAB1AAC"/>
    <w:rsid w:val="4FAE66AC"/>
    <w:rsid w:val="4FB235F0"/>
    <w:rsid w:val="4FB945F5"/>
    <w:rsid w:val="4FBA4253"/>
    <w:rsid w:val="4FBC446F"/>
    <w:rsid w:val="4FBF29B1"/>
    <w:rsid w:val="4FBF5D0D"/>
    <w:rsid w:val="4FCB709A"/>
    <w:rsid w:val="4FCD55C2"/>
    <w:rsid w:val="4FDF015D"/>
    <w:rsid w:val="4FEC5731"/>
    <w:rsid w:val="4FEC6B65"/>
    <w:rsid w:val="4FF00260"/>
    <w:rsid w:val="4FF0236A"/>
    <w:rsid w:val="4FF04118"/>
    <w:rsid w:val="4FF736F9"/>
    <w:rsid w:val="4FF93316"/>
    <w:rsid w:val="4FFF25AD"/>
    <w:rsid w:val="5003209D"/>
    <w:rsid w:val="500876B4"/>
    <w:rsid w:val="50096F88"/>
    <w:rsid w:val="500B71A4"/>
    <w:rsid w:val="500F0A42"/>
    <w:rsid w:val="500F174E"/>
    <w:rsid w:val="501079FC"/>
    <w:rsid w:val="501E6ED7"/>
    <w:rsid w:val="5023004A"/>
    <w:rsid w:val="502913D8"/>
    <w:rsid w:val="502D0EC8"/>
    <w:rsid w:val="50317C72"/>
    <w:rsid w:val="50334005"/>
    <w:rsid w:val="5036276D"/>
    <w:rsid w:val="50371D47"/>
    <w:rsid w:val="50371F0C"/>
    <w:rsid w:val="50434FB1"/>
    <w:rsid w:val="504A7CCC"/>
    <w:rsid w:val="504F7091"/>
    <w:rsid w:val="50517B3A"/>
    <w:rsid w:val="50526B81"/>
    <w:rsid w:val="50574197"/>
    <w:rsid w:val="5060129E"/>
    <w:rsid w:val="5063308A"/>
    <w:rsid w:val="50697A27"/>
    <w:rsid w:val="506B7C43"/>
    <w:rsid w:val="5076286F"/>
    <w:rsid w:val="50795EBC"/>
    <w:rsid w:val="507A1C34"/>
    <w:rsid w:val="50834F8C"/>
    <w:rsid w:val="5086111D"/>
    <w:rsid w:val="50863D59"/>
    <w:rsid w:val="50865FC0"/>
    <w:rsid w:val="508807F5"/>
    <w:rsid w:val="50910320"/>
    <w:rsid w:val="50921FDA"/>
    <w:rsid w:val="50924B44"/>
    <w:rsid w:val="5095786A"/>
    <w:rsid w:val="509A656F"/>
    <w:rsid w:val="509B4084"/>
    <w:rsid w:val="50A62A29"/>
    <w:rsid w:val="50A72275"/>
    <w:rsid w:val="50B05655"/>
    <w:rsid w:val="50B82E88"/>
    <w:rsid w:val="50BC224C"/>
    <w:rsid w:val="50BC66CB"/>
    <w:rsid w:val="50C0528B"/>
    <w:rsid w:val="50C1761C"/>
    <w:rsid w:val="50C25AB5"/>
    <w:rsid w:val="50C40E5B"/>
    <w:rsid w:val="50C730CB"/>
    <w:rsid w:val="50C75131"/>
    <w:rsid w:val="50D41344"/>
    <w:rsid w:val="50D72809"/>
    <w:rsid w:val="50D72C5E"/>
    <w:rsid w:val="50D82199"/>
    <w:rsid w:val="50DC6F8F"/>
    <w:rsid w:val="50E20EB9"/>
    <w:rsid w:val="50E517A3"/>
    <w:rsid w:val="50EA67F8"/>
    <w:rsid w:val="50EB4A23"/>
    <w:rsid w:val="51020E71"/>
    <w:rsid w:val="51037E7B"/>
    <w:rsid w:val="51051E45"/>
    <w:rsid w:val="510746C6"/>
    <w:rsid w:val="51087DC2"/>
    <w:rsid w:val="510936E3"/>
    <w:rsid w:val="51095C3F"/>
    <w:rsid w:val="510C4F82"/>
    <w:rsid w:val="510E02F3"/>
    <w:rsid w:val="51180D53"/>
    <w:rsid w:val="511B1010"/>
    <w:rsid w:val="511B4452"/>
    <w:rsid w:val="511B51C5"/>
    <w:rsid w:val="51246997"/>
    <w:rsid w:val="512F1DBD"/>
    <w:rsid w:val="513F7105"/>
    <w:rsid w:val="51404C2B"/>
    <w:rsid w:val="51416E8D"/>
    <w:rsid w:val="5144595C"/>
    <w:rsid w:val="5147420C"/>
    <w:rsid w:val="514A4F45"/>
    <w:rsid w:val="514C1822"/>
    <w:rsid w:val="514C35D0"/>
    <w:rsid w:val="51502B40"/>
    <w:rsid w:val="515A03F1"/>
    <w:rsid w:val="515B1A65"/>
    <w:rsid w:val="515E05F2"/>
    <w:rsid w:val="51600E2A"/>
    <w:rsid w:val="51644DBE"/>
    <w:rsid w:val="51694182"/>
    <w:rsid w:val="51695F30"/>
    <w:rsid w:val="516A1CA8"/>
    <w:rsid w:val="51744C0F"/>
    <w:rsid w:val="51746468"/>
    <w:rsid w:val="51761C95"/>
    <w:rsid w:val="5176689F"/>
    <w:rsid w:val="517A15BD"/>
    <w:rsid w:val="517F5356"/>
    <w:rsid w:val="51840539"/>
    <w:rsid w:val="51842D6A"/>
    <w:rsid w:val="51844B18"/>
    <w:rsid w:val="51864D34"/>
    <w:rsid w:val="51870AB3"/>
    <w:rsid w:val="5187285A"/>
    <w:rsid w:val="51917235"/>
    <w:rsid w:val="519354C3"/>
    <w:rsid w:val="51974B41"/>
    <w:rsid w:val="519821A9"/>
    <w:rsid w:val="519A4B13"/>
    <w:rsid w:val="519B2D77"/>
    <w:rsid w:val="519C6CA6"/>
    <w:rsid w:val="51A0391C"/>
    <w:rsid w:val="51A37677"/>
    <w:rsid w:val="51A4340C"/>
    <w:rsid w:val="51A451BA"/>
    <w:rsid w:val="51A742B0"/>
    <w:rsid w:val="51A82AC2"/>
    <w:rsid w:val="51A921CF"/>
    <w:rsid w:val="51A96C75"/>
    <w:rsid w:val="51AC540D"/>
    <w:rsid w:val="51B66617"/>
    <w:rsid w:val="51BF1FF4"/>
    <w:rsid w:val="51C07756"/>
    <w:rsid w:val="51C370F3"/>
    <w:rsid w:val="51C37FF1"/>
    <w:rsid w:val="51C413B8"/>
    <w:rsid w:val="51C8534D"/>
    <w:rsid w:val="51CD6C40"/>
    <w:rsid w:val="51D07D5D"/>
    <w:rsid w:val="51D13AD5"/>
    <w:rsid w:val="51D40B54"/>
    <w:rsid w:val="51DA0BDC"/>
    <w:rsid w:val="51E101BC"/>
    <w:rsid w:val="51E60623"/>
    <w:rsid w:val="51F06651"/>
    <w:rsid w:val="51FA302C"/>
    <w:rsid w:val="51FF14CF"/>
    <w:rsid w:val="520B348B"/>
    <w:rsid w:val="520F5931"/>
    <w:rsid w:val="521072FC"/>
    <w:rsid w:val="52151C14"/>
    <w:rsid w:val="521B542A"/>
    <w:rsid w:val="521C11F4"/>
    <w:rsid w:val="5222272C"/>
    <w:rsid w:val="52285DEB"/>
    <w:rsid w:val="522E0F28"/>
    <w:rsid w:val="52353748"/>
    <w:rsid w:val="52362A3D"/>
    <w:rsid w:val="5237602E"/>
    <w:rsid w:val="52386F5F"/>
    <w:rsid w:val="523A09B3"/>
    <w:rsid w:val="523E4F7D"/>
    <w:rsid w:val="52482193"/>
    <w:rsid w:val="524D0EAB"/>
    <w:rsid w:val="524D13AE"/>
    <w:rsid w:val="524D1410"/>
    <w:rsid w:val="525555BB"/>
    <w:rsid w:val="526027E7"/>
    <w:rsid w:val="52666914"/>
    <w:rsid w:val="52724E97"/>
    <w:rsid w:val="52742DDF"/>
    <w:rsid w:val="527434F3"/>
    <w:rsid w:val="52796E2B"/>
    <w:rsid w:val="527B23BF"/>
    <w:rsid w:val="527C6137"/>
    <w:rsid w:val="527F3531"/>
    <w:rsid w:val="52822EC9"/>
    <w:rsid w:val="52860D64"/>
    <w:rsid w:val="5288301B"/>
    <w:rsid w:val="528D3AFA"/>
    <w:rsid w:val="529205A2"/>
    <w:rsid w:val="529C0587"/>
    <w:rsid w:val="529E7E5B"/>
    <w:rsid w:val="52A01807"/>
    <w:rsid w:val="52A116FA"/>
    <w:rsid w:val="52A6674B"/>
    <w:rsid w:val="52B0193D"/>
    <w:rsid w:val="52B74209"/>
    <w:rsid w:val="52BA27BB"/>
    <w:rsid w:val="52BE04FE"/>
    <w:rsid w:val="52BF46A2"/>
    <w:rsid w:val="52C8137C"/>
    <w:rsid w:val="52C97D12"/>
    <w:rsid w:val="52CA05EC"/>
    <w:rsid w:val="52CA6EA2"/>
    <w:rsid w:val="52CC1D29"/>
    <w:rsid w:val="52CC7362"/>
    <w:rsid w:val="52CD6993"/>
    <w:rsid w:val="52D01FDF"/>
    <w:rsid w:val="52D23FA9"/>
    <w:rsid w:val="52DD4E28"/>
    <w:rsid w:val="52E4331E"/>
    <w:rsid w:val="52E736E1"/>
    <w:rsid w:val="52FB3500"/>
    <w:rsid w:val="5302183A"/>
    <w:rsid w:val="530A434B"/>
    <w:rsid w:val="531254ED"/>
    <w:rsid w:val="53146370"/>
    <w:rsid w:val="531620E8"/>
    <w:rsid w:val="531835F6"/>
    <w:rsid w:val="53187715"/>
    <w:rsid w:val="531D3476"/>
    <w:rsid w:val="532A5B93"/>
    <w:rsid w:val="532A7941"/>
    <w:rsid w:val="532C1654"/>
    <w:rsid w:val="53302860"/>
    <w:rsid w:val="53307BB7"/>
    <w:rsid w:val="53341DBD"/>
    <w:rsid w:val="53364538"/>
    <w:rsid w:val="53395DD6"/>
    <w:rsid w:val="533B1B4E"/>
    <w:rsid w:val="533B3627"/>
    <w:rsid w:val="533D0650"/>
    <w:rsid w:val="533D0D5E"/>
    <w:rsid w:val="533E519B"/>
    <w:rsid w:val="53401FBA"/>
    <w:rsid w:val="53513E85"/>
    <w:rsid w:val="53514ECE"/>
    <w:rsid w:val="535624E4"/>
    <w:rsid w:val="53582700"/>
    <w:rsid w:val="535B2EDE"/>
    <w:rsid w:val="53662D5B"/>
    <w:rsid w:val="53684416"/>
    <w:rsid w:val="536C1D08"/>
    <w:rsid w:val="536C7F5A"/>
    <w:rsid w:val="536F7A4A"/>
    <w:rsid w:val="53733096"/>
    <w:rsid w:val="53745413"/>
    <w:rsid w:val="5376698C"/>
    <w:rsid w:val="53774BA2"/>
    <w:rsid w:val="53794425"/>
    <w:rsid w:val="538772D1"/>
    <w:rsid w:val="53887C35"/>
    <w:rsid w:val="538967B2"/>
    <w:rsid w:val="53896CD2"/>
    <w:rsid w:val="53911CF8"/>
    <w:rsid w:val="53915C12"/>
    <w:rsid w:val="53937AC2"/>
    <w:rsid w:val="5394685B"/>
    <w:rsid w:val="53971665"/>
    <w:rsid w:val="539D6365"/>
    <w:rsid w:val="53AC65A8"/>
    <w:rsid w:val="53B15E6A"/>
    <w:rsid w:val="53BB67EB"/>
    <w:rsid w:val="53BE0A79"/>
    <w:rsid w:val="53C17071"/>
    <w:rsid w:val="53C2345B"/>
    <w:rsid w:val="53C3430E"/>
    <w:rsid w:val="53C52D94"/>
    <w:rsid w:val="53C725AE"/>
    <w:rsid w:val="53C83B27"/>
    <w:rsid w:val="53C91A15"/>
    <w:rsid w:val="53C932DB"/>
    <w:rsid w:val="53CC2D53"/>
    <w:rsid w:val="53D0401B"/>
    <w:rsid w:val="53D33B35"/>
    <w:rsid w:val="53D55AFF"/>
    <w:rsid w:val="53DD2E74"/>
    <w:rsid w:val="53E2646E"/>
    <w:rsid w:val="53E75A96"/>
    <w:rsid w:val="53E93358"/>
    <w:rsid w:val="53EA0DE4"/>
    <w:rsid w:val="53EB5057"/>
    <w:rsid w:val="53EE0592"/>
    <w:rsid w:val="53F229C4"/>
    <w:rsid w:val="53F35F85"/>
    <w:rsid w:val="53F8359B"/>
    <w:rsid w:val="53FD6E04"/>
    <w:rsid w:val="53FF2B7C"/>
    <w:rsid w:val="54065CB8"/>
    <w:rsid w:val="54091C4C"/>
    <w:rsid w:val="540F4A8A"/>
    <w:rsid w:val="54106B37"/>
    <w:rsid w:val="541128AF"/>
    <w:rsid w:val="54146066"/>
    <w:rsid w:val="54172593"/>
    <w:rsid w:val="541859EC"/>
    <w:rsid w:val="54226773"/>
    <w:rsid w:val="542606AC"/>
    <w:rsid w:val="5426635A"/>
    <w:rsid w:val="54307E41"/>
    <w:rsid w:val="543213BA"/>
    <w:rsid w:val="543821F4"/>
    <w:rsid w:val="543A53A7"/>
    <w:rsid w:val="54483371"/>
    <w:rsid w:val="544A4A5E"/>
    <w:rsid w:val="544B4013"/>
    <w:rsid w:val="54505185"/>
    <w:rsid w:val="54531D3A"/>
    <w:rsid w:val="54563E63"/>
    <w:rsid w:val="545B74F3"/>
    <w:rsid w:val="546724CF"/>
    <w:rsid w:val="546B1FBF"/>
    <w:rsid w:val="546B6463"/>
    <w:rsid w:val="546E385E"/>
    <w:rsid w:val="547D1195"/>
    <w:rsid w:val="548E3F00"/>
    <w:rsid w:val="54905ECA"/>
    <w:rsid w:val="54A92AE8"/>
    <w:rsid w:val="54AB647D"/>
    <w:rsid w:val="54B03E76"/>
    <w:rsid w:val="54B22CCC"/>
    <w:rsid w:val="54B576DE"/>
    <w:rsid w:val="54BA746C"/>
    <w:rsid w:val="54C16083"/>
    <w:rsid w:val="54CB1875"/>
    <w:rsid w:val="54CD1A2D"/>
    <w:rsid w:val="54D040E6"/>
    <w:rsid w:val="54D1276A"/>
    <w:rsid w:val="54D67D81"/>
    <w:rsid w:val="54E25EDF"/>
    <w:rsid w:val="54E4075C"/>
    <w:rsid w:val="54EA382C"/>
    <w:rsid w:val="54EC24E5"/>
    <w:rsid w:val="54F16968"/>
    <w:rsid w:val="54F3336F"/>
    <w:rsid w:val="54F73B14"/>
    <w:rsid w:val="54FE4BE1"/>
    <w:rsid w:val="550301D6"/>
    <w:rsid w:val="5503044A"/>
    <w:rsid w:val="55050666"/>
    <w:rsid w:val="550541C2"/>
    <w:rsid w:val="55072FB0"/>
    <w:rsid w:val="55092506"/>
    <w:rsid w:val="550A1A20"/>
    <w:rsid w:val="550B5D51"/>
    <w:rsid w:val="55202DAA"/>
    <w:rsid w:val="55214C10"/>
    <w:rsid w:val="552839B3"/>
    <w:rsid w:val="552F123F"/>
    <w:rsid w:val="55326F81"/>
    <w:rsid w:val="55415F15"/>
    <w:rsid w:val="554760F5"/>
    <w:rsid w:val="554967A4"/>
    <w:rsid w:val="554A7ADE"/>
    <w:rsid w:val="554B1941"/>
    <w:rsid w:val="5553273C"/>
    <w:rsid w:val="55546EF7"/>
    <w:rsid w:val="556761F1"/>
    <w:rsid w:val="556978C7"/>
    <w:rsid w:val="556C4241"/>
    <w:rsid w:val="556D1D67"/>
    <w:rsid w:val="557673CF"/>
    <w:rsid w:val="55821CB6"/>
    <w:rsid w:val="55887681"/>
    <w:rsid w:val="55901F81"/>
    <w:rsid w:val="559317CE"/>
    <w:rsid w:val="559460CF"/>
    <w:rsid w:val="55961012"/>
    <w:rsid w:val="559E0172"/>
    <w:rsid w:val="55A06BCC"/>
    <w:rsid w:val="55A75279"/>
    <w:rsid w:val="55A97371"/>
    <w:rsid w:val="55B00597"/>
    <w:rsid w:val="55B55BE8"/>
    <w:rsid w:val="55B94FAC"/>
    <w:rsid w:val="55BA3285"/>
    <w:rsid w:val="55BD4A9D"/>
    <w:rsid w:val="55C30DBA"/>
    <w:rsid w:val="55C71191"/>
    <w:rsid w:val="55C776C9"/>
    <w:rsid w:val="55CC1183"/>
    <w:rsid w:val="55D50038"/>
    <w:rsid w:val="55DA564E"/>
    <w:rsid w:val="55DF0675"/>
    <w:rsid w:val="55DF3900"/>
    <w:rsid w:val="55E262B1"/>
    <w:rsid w:val="55E37BB9"/>
    <w:rsid w:val="55E4027B"/>
    <w:rsid w:val="55E9277A"/>
    <w:rsid w:val="55EE10FA"/>
    <w:rsid w:val="55EF16AD"/>
    <w:rsid w:val="55F34962"/>
    <w:rsid w:val="55F81F79"/>
    <w:rsid w:val="55F85AD5"/>
    <w:rsid w:val="560222CE"/>
    <w:rsid w:val="56083D8A"/>
    <w:rsid w:val="56091A90"/>
    <w:rsid w:val="560A5808"/>
    <w:rsid w:val="560C1A68"/>
    <w:rsid w:val="56116B96"/>
    <w:rsid w:val="561264F8"/>
    <w:rsid w:val="56146715"/>
    <w:rsid w:val="56151906"/>
    <w:rsid w:val="561641AD"/>
    <w:rsid w:val="561843C9"/>
    <w:rsid w:val="561D378D"/>
    <w:rsid w:val="56213494"/>
    <w:rsid w:val="562403AC"/>
    <w:rsid w:val="56266988"/>
    <w:rsid w:val="56286892"/>
    <w:rsid w:val="562B5EAA"/>
    <w:rsid w:val="562D159C"/>
    <w:rsid w:val="562E7748"/>
    <w:rsid w:val="56372AA1"/>
    <w:rsid w:val="56384123"/>
    <w:rsid w:val="563C1E65"/>
    <w:rsid w:val="563C7ACF"/>
    <w:rsid w:val="563F1955"/>
    <w:rsid w:val="564E304F"/>
    <w:rsid w:val="565B66E9"/>
    <w:rsid w:val="566162AA"/>
    <w:rsid w:val="56625CE5"/>
    <w:rsid w:val="566D69A1"/>
    <w:rsid w:val="567535C9"/>
    <w:rsid w:val="56755377"/>
    <w:rsid w:val="56757BE3"/>
    <w:rsid w:val="56777AE0"/>
    <w:rsid w:val="567A0CD4"/>
    <w:rsid w:val="567D5FDA"/>
    <w:rsid w:val="56823E07"/>
    <w:rsid w:val="56867584"/>
    <w:rsid w:val="5689497F"/>
    <w:rsid w:val="568D0788"/>
    <w:rsid w:val="568F3417"/>
    <w:rsid w:val="569533E6"/>
    <w:rsid w:val="5697709C"/>
    <w:rsid w:val="569A3F08"/>
    <w:rsid w:val="56A6274E"/>
    <w:rsid w:val="56A910D3"/>
    <w:rsid w:val="56AF4942"/>
    <w:rsid w:val="56AF7C16"/>
    <w:rsid w:val="56B52653"/>
    <w:rsid w:val="56C37E91"/>
    <w:rsid w:val="56DA342C"/>
    <w:rsid w:val="56DC71A4"/>
    <w:rsid w:val="56DD7F5E"/>
    <w:rsid w:val="56E10C5F"/>
    <w:rsid w:val="56E237B3"/>
    <w:rsid w:val="56E662B1"/>
    <w:rsid w:val="56F05B65"/>
    <w:rsid w:val="56F240C4"/>
    <w:rsid w:val="56F24C1A"/>
    <w:rsid w:val="56F65DB6"/>
    <w:rsid w:val="56FA5424"/>
    <w:rsid w:val="56FA587C"/>
    <w:rsid w:val="57034731"/>
    <w:rsid w:val="570E73AF"/>
    <w:rsid w:val="571662CA"/>
    <w:rsid w:val="571A1A7B"/>
    <w:rsid w:val="5726041F"/>
    <w:rsid w:val="572648C3"/>
    <w:rsid w:val="57277DEC"/>
    <w:rsid w:val="572850AA"/>
    <w:rsid w:val="57342067"/>
    <w:rsid w:val="57346C7D"/>
    <w:rsid w:val="573568B4"/>
    <w:rsid w:val="573B036F"/>
    <w:rsid w:val="574115C2"/>
    <w:rsid w:val="57435475"/>
    <w:rsid w:val="5745075C"/>
    <w:rsid w:val="57482A8C"/>
    <w:rsid w:val="5748483A"/>
    <w:rsid w:val="574922E2"/>
    <w:rsid w:val="574A068B"/>
    <w:rsid w:val="574F2F6B"/>
    <w:rsid w:val="57521214"/>
    <w:rsid w:val="57560D05"/>
    <w:rsid w:val="575635E0"/>
    <w:rsid w:val="575907F5"/>
    <w:rsid w:val="57594027"/>
    <w:rsid w:val="575D6537"/>
    <w:rsid w:val="57646128"/>
    <w:rsid w:val="5765719A"/>
    <w:rsid w:val="577473DD"/>
    <w:rsid w:val="577D5EA0"/>
    <w:rsid w:val="57813298"/>
    <w:rsid w:val="57825F9E"/>
    <w:rsid w:val="57840DC4"/>
    <w:rsid w:val="5789340B"/>
    <w:rsid w:val="578F3203"/>
    <w:rsid w:val="57916407"/>
    <w:rsid w:val="57946383"/>
    <w:rsid w:val="57951F0A"/>
    <w:rsid w:val="579932E7"/>
    <w:rsid w:val="579B2BBB"/>
    <w:rsid w:val="579E7B7C"/>
    <w:rsid w:val="579F72F0"/>
    <w:rsid w:val="57A35F14"/>
    <w:rsid w:val="57A83B5A"/>
    <w:rsid w:val="57AA1051"/>
    <w:rsid w:val="57AC4D88"/>
    <w:rsid w:val="57AF4C61"/>
    <w:rsid w:val="57BB1253"/>
    <w:rsid w:val="57BE1705"/>
    <w:rsid w:val="57C33EC0"/>
    <w:rsid w:val="57C739B1"/>
    <w:rsid w:val="57C87729"/>
    <w:rsid w:val="57CF2865"/>
    <w:rsid w:val="57D04F5B"/>
    <w:rsid w:val="57D61DA2"/>
    <w:rsid w:val="57DE6F4C"/>
    <w:rsid w:val="57E142B5"/>
    <w:rsid w:val="57E957B7"/>
    <w:rsid w:val="57F41B3E"/>
    <w:rsid w:val="57F549C2"/>
    <w:rsid w:val="57F56770"/>
    <w:rsid w:val="57FA3ED3"/>
    <w:rsid w:val="57FA5FD2"/>
    <w:rsid w:val="57FB5D50"/>
    <w:rsid w:val="57FC6FB6"/>
    <w:rsid w:val="58003366"/>
    <w:rsid w:val="580B5F93"/>
    <w:rsid w:val="58133C15"/>
    <w:rsid w:val="58156E12"/>
    <w:rsid w:val="581B113F"/>
    <w:rsid w:val="58207565"/>
    <w:rsid w:val="5821062A"/>
    <w:rsid w:val="5821512A"/>
    <w:rsid w:val="582235D0"/>
    <w:rsid w:val="58240E03"/>
    <w:rsid w:val="58274FEF"/>
    <w:rsid w:val="582858AA"/>
    <w:rsid w:val="58306484"/>
    <w:rsid w:val="5834469F"/>
    <w:rsid w:val="583813E5"/>
    <w:rsid w:val="583D0117"/>
    <w:rsid w:val="584119B5"/>
    <w:rsid w:val="58422036"/>
    <w:rsid w:val="584266A1"/>
    <w:rsid w:val="58462EE1"/>
    <w:rsid w:val="58474AF1"/>
    <w:rsid w:val="584F0B87"/>
    <w:rsid w:val="5851771E"/>
    <w:rsid w:val="58533496"/>
    <w:rsid w:val="58565030"/>
    <w:rsid w:val="5858416E"/>
    <w:rsid w:val="585B5A65"/>
    <w:rsid w:val="585F3CF0"/>
    <w:rsid w:val="586236D9"/>
    <w:rsid w:val="586A7801"/>
    <w:rsid w:val="586D0336"/>
    <w:rsid w:val="58767A29"/>
    <w:rsid w:val="587A1573"/>
    <w:rsid w:val="587A7C9E"/>
    <w:rsid w:val="587B479B"/>
    <w:rsid w:val="587C0C3F"/>
    <w:rsid w:val="587D6765"/>
    <w:rsid w:val="58802F30"/>
    <w:rsid w:val="588673C8"/>
    <w:rsid w:val="588817BB"/>
    <w:rsid w:val="588A4236"/>
    <w:rsid w:val="588B2C30"/>
    <w:rsid w:val="58905AA1"/>
    <w:rsid w:val="589968A1"/>
    <w:rsid w:val="589B7E1A"/>
    <w:rsid w:val="589E5122"/>
    <w:rsid w:val="58A81A34"/>
    <w:rsid w:val="58A938FC"/>
    <w:rsid w:val="58AE2DC2"/>
    <w:rsid w:val="58B2640F"/>
    <w:rsid w:val="58B41D1C"/>
    <w:rsid w:val="58B5733F"/>
    <w:rsid w:val="58C1194C"/>
    <w:rsid w:val="58C41435"/>
    <w:rsid w:val="58C46142"/>
    <w:rsid w:val="58C67691"/>
    <w:rsid w:val="58C779E0"/>
    <w:rsid w:val="58D42829"/>
    <w:rsid w:val="58D5034F"/>
    <w:rsid w:val="58D740C7"/>
    <w:rsid w:val="58DD46F2"/>
    <w:rsid w:val="58DF4D2A"/>
    <w:rsid w:val="58EA38FD"/>
    <w:rsid w:val="58EB36CF"/>
    <w:rsid w:val="58EE3C97"/>
    <w:rsid w:val="58FA192E"/>
    <w:rsid w:val="58FB7C62"/>
    <w:rsid w:val="58FF53CC"/>
    <w:rsid w:val="58FF717A"/>
    <w:rsid w:val="59012EF2"/>
    <w:rsid w:val="59034EBC"/>
    <w:rsid w:val="59041933"/>
    <w:rsid w:val="59050C34"/>
    <w:rsid w:val="59096590"/>
    <w:rsid w:val="590E4DA8"/>
    <w:rsid w:val="59151AFF"/>
    <w:rsid w:val="591643A9"/>
    <w:rsid w:val="591672EB"/>
    <w:rsid w:val="592E72F5"/>
    <w:rsid w:val="5934151A"/>
    <w:rsid w:val="59344A07"/>
    <w:rsid w:val="59366C3D"/>
    <w:rsid w:val="59367040"/>
    <w:rsid w:val="593A6404"/>
    <w:rsid w:val="593B7B86"/>
    <w:rsid w:val="59444C41"/>
    <w:rsid w:val="595526E7"/>
    <w:rsid w:val="59584FF3"/>
    <w:rsid w:val="595B6AA6"/>
    <w:rsid w:val="595E20F3"/>
    <w:rsid w:val="596D64A6"/>
    <w:rsid w:val="597731B4"/>
    <w:rsid w:val="598002BB"/>
    <w:rsid w:val="59814033"/>
    <w:rsid w:val="59826062"/>
    <w:rsid w:val="59851D75"/>
    <w:rsid w:val="59887FFC"/>
    <w:rsid w:val="598D6C40"/>
    <w:rsid w:val="599042AB"/>
    <w:rsid w:val="59981AA8"/>
    <w:rsid w:val="59AC5554"/>
    <w:rsid w:val="59AD307A"/>
    <w:rsid w:val="59B12B6A"/>
    <w:rsid w:val="59B461B6"/>
    <w:rsid w:val="59C049FC"/>
    <w:rsid w:val="59C53F20"/>
    <w:rsid w:val="59C92FBC"/>
    <w:rsid w:val="59CD7278"/>
    <w:rsid w:val="59CE54CA"/>
    <w:rsid w:val="59D32AE1"/>
    <w:rsid w:val="59D64D5C"/>
    <w:rsid w:val="59D8398E"/>
    <w:rsid w:val="59E62767"/>
    <w:rsid w:val="59F66C48"/>
    <w:rsid w:val="59FE5684"/>
    <w:rsid w:val="5A0739ED"/>
    <w:rsid w:val="5A084C52"/>
    <w:rsid w:val="5A0C4444"/>
    <w:rsid w:val="5A117165"/>
    <w:rsid w:val="5A221372"/>
    <w:rsid w:val="5A265CC2"/>
    <w:rsid w:val="5A283B23"/>
    <w:rsid w:val="5A296FE6"/>
    <w:rsid w:val="5A2C7190"/>
    <w:rsid w:val="5A33357F"/>
    <w:rsid w:val="5A3344C9"/>
    <w:rsid w:val="5A33532D"/>
    <w:rsid w:val="5A3572F7"/>
    <w:rsid w:val="5A3A2B60"/>
    <w:rsid w:val="5A4A2677"/>
    <w:rsid w:val="5A587827"/>
    <w:rsid w:val="5A5A5442"/>
    <w:rsid w:val="5A603616"/>
    <w:rsid w:val="5A623E64"/>
    <w:rsid w:val="5A6D6408"/>
    <w:rsid w:val="5A700229"/>
    <w:rsid w:val="5A72571A"/>
    <w:rsid w:val="5A736072"/>
    <w:rsid w:val="5A737E20"/>
    <w:rsid w:val="5A753B98"/>
    <w:rsid w:val="5A785073"/>
    <w:rsid w:val="5A7D47FA"/>
    <w:rsid w:val="5A853A15"/>
    <w:rsid w:val="5A867B53"/>
    <w:rsid w:val="5A9118FE"/>
    <w:rsid w:val="5A9304C2"/>
    <w:rsid w:val="5A9378D7"/>
    <w:rsid w:val="5A981634"/>
    <w:rsid w:val="5AA1673B"/>
    <w:rsid w:val="5AA4447D"/>
    <w:rsid w:val="5AA75A9A"/>
    <w:rsid w:val="5AAB1367"/>
    <w:rsid w:val="5AAC614C"/>
    <w:rsid w:val="5AAF57F4"/>
    <w:rsid w:val="5AAF5E9E"/>
    <w:rsid w:val="5AB521E6"/>
    <w:rsid w:val="5AB83A84"/>
    <w:rsid w:val="5ABC17C7"/>
    <w:rsid w:val="5ABD553F"/>
    <w:rsid w:val="5ABF3451"/>
    <w:rsid w:val="5AC468CD"/>
    <w:rsid w:val="5AD509CF"/>
    <w:rsid w:val="5AD54636"/>
    <w:rsid w:val="5ADA39FB"/>
    <w:rsid w:val="5ADD09B6"/>
    <w:rsid w:val="5ADD112C"/>
    <w:rsid w:val="5AE25892"/>
    <w:rsid w:val="5AE76118"/>
    <w:rsid w:val="5AE95366"/>
    <w:rsid w:val="5AED35EE"/>
    <w:rsid w:val="5AEE74A6"/>
    <w:rsid w:val="5AF076C2"/>
    <w:rsid w:val="5AF32D0E"/>
    <w:rsid w:val="5AF51163"/>
    <w:rsid w:val="5AFE3B8D"/>
    <w:rsid w:val="5B012C31"/>
    <w:rsid w:val="5B01367D"/>
    <w:rsid w:val="5B12588A"/>
    <w:rsid w:val="5B150ED7"/>
    <w:rsid w:val="5B16743A"/>
    <w:rsid w:val="5B17355B"/>
    <w:rsid w:val="5B173F22"/>
    <w:rsid w:val="5B1A676E"/>
    <w:rsid w:val="5B1E5FDD"/>
    <w:rsid w:val="5B1E7D8B"/>
    <w:rsid w:val="5B1F3D08"/>
    <w:rsid w:val="5B23426C"/>
    <w:rsid w:val="5B2478CD"/>
    <w:rsid w:val="5B2668C2"/>
    <w:rsid w:val="5B277F80"/>
    <w:rsid w:val="5B2B4256"/>
    <w:rsid w:val="5B2E4D4E"/>
    <w:rsid w:val="5B372BFB"/>
    <w:rsid w:val="5B3A6B8F"/>
    <w:rsid w:val="5B3E6680"/>
    <w:rsid w:val="5B3F5F54"/>
    <w:rsid w:val="5B411CCC"/>
    <w:rsid w:val="5B413F46"/>
    <w:rsid w:val="5B4348A7"/>
    <w:rsid w:val="5B57304C"/>
    <w:rsid w:val="5B57329D"/>
    <w:rsid w:val="5B5C4D58"/>
    <w:rsid w:val="5B6065F6"/>
    <w:rsid w:val="5B61236E"/>
    <w:rsid w:val="5B6D2AC1"/>
    <w:rsid w:val="5B7420A1"/>
    <w:rsid w:val="5B7839DE"/>
    <w:rsid w:val="5B793214"/>
    <w:rsid w:val="5B8207A1"/>
    <w:rsid w:val="5B841BB9"/>
    <w:rsid w:val="5B861920"/>
    <w:rsid w:val="5B926D8C"/>
    <w:rsid w:val="5B9E0ECC"/>
    <w:rsid w:val="5B9F7BC4"/>
    <w:rsid w:val="5BA31793"/>
    <w:rsid w:val="5BAB1666"/>
    <w:rsid w:val="5BB4249E"/>
    <w:rsid w:val="5BB46942"/>
    <w:rsid w:val="5BC568FF"/>
    <w:rsid w:val="5BCB39E8"/>
    <w:rsid w:val="5BCD355F"/>
    <w:rsid w:val="5BD13050"/>
    <w:rsid w:val="5BD4232D"/>
    <w:rsid w:val="5BD91F04"/>
    <w:rsid w:val="5BE427E9"/>
    <w:rsid w:val="5BEC60DC"/>
    <w:rsid w:val="5BED59B0"/>
    <w:rsid w:val="5BF44F90"/>
    <w:rsid w:val="5BF9191D"/>
    <w:rsid w:val="5BF94355"/>
    <w:rsid w:val="5BFA158B"/>
    <w:rsid w:val="5C0032A5"/>
    <w:rsid w:val="5C043425"/>
    <w:rsid w:val="5C074CC3"/>
    <w:rsid w:val="5C084598"/>
    <w:rsid w:val="5C0D4CE2"/>
    <w:rsid w:val="5C0F1698"/>
    <w:rsid w:val="5C0F5926"/>
    <w:rsid w:val="5C1178F0"/>
    <w:rsid w:val="5C182A2D"/>
    <w:rsid w:val="5C186FA6"/>
    <w:rsid w:val="5C190553"/>
    <w:rsid w:val="5C1D44E7"/>
    <w:rsid w:val="5C2F3D9C"/>
    <w:rsid w:val="5C341831"/>
    <w:rsid w:val="5C40164E"/>
    <w:rsid w:val="5C471564"/>
    <w:rsid w:val="5C494351"/>
    <w:rsid w:val="5C4D4754"/>
    <w:rsid w:val="5C545824"/>
    <w:rsid w:val="5C627D9A"/>
    <w:rsid w:val="5C642116"/>
    <w:rsid w:val="5C697181"/>
    <w:rsid w:val="5C6A0DAE"/>
    <w:rsid w:val="5C6C2D78"/>
    <w:rsid w:val="5C731B06"/>
    <w:rsid w:val="5C805DFE"/>
    <w:rsid w:val="5C82434A"/>
    <w:rsid w:val="5C837993"/>
    <w:rsid w:val="5C855BE8"/>
    <w:rsid w:val="5C88188B"/>
    <w:rsid w:val="5C8962E6"/>
    <w:rsid w:val="5C8F6F1A"/>
    <w:rsid w:val="5C8F7173"/>
    <w:rsid w:val="5C9D1184"/>
    <w:rsid w:val="5C9E41E1"/>
    <w:rsid w:val="5C9F6CAA"/>
    <w:rsid w:val="5CA02A22"/>
    <w:rsid w:val="5CA241D1"/>
    <w:rsid w:val="5CA249EC"/>
    <w:rsid w:val="5CA86DE2"/>
    <w:rsid w:val="5CB119B6"/>
    <w:rsid w:val="5CBA05C5"/>
    <w:rsid w:val="5CBC3D00"/>
    <w:rsid w:val="5CC069BD"/>
    <w:rsid w:val="5CC42BB4"/>
    <w:rsid w:val="5CC826A5"/>
    <w:rsid w:val="5CC93C63"/>
    <w:rsid w:val="5CCB56A3"/>
    <w:rsid w:val="5CDA23D8"/>
    <w:rsid w:val="5CDC034D"/>
    <w:rsid w:val="5CDE306E"/>
    <w:rsid w:val="5CE46DB3"/>
    <w:rsid w:val="5CE713B5"/>
    <w:rsid w:val="5CEB1EEF"/>
    <w:rsid w:val="5CEB3CAF"/>
    <w:rsid w:val="5CEF06D3"/>
    <w:rsid w:val="5CF32FF8"/>
    <w:rsid w:val="5CF35248"/>
    <w:rsid w:val="5CFA0384"/>
    <w:rsid w:val="5CFD1C22"/>
    <w:rsid w:val="5CFF599B"/>
    <w:rsid w:val="5D026879"/>
    <w:rsid w:val="5D043F49"/>
    <w:rsid w:val="5D0928E5"/>
    <w:rsid w:val="5D107BA8"/>
    <w:rsid w:val="5D126A91"/>
    <w:rsid w:val="5D13424B"/>
    <w:rsid w:val="5D25720C"/>
    <w:rsid w:val="5D272F0E"/>
    <w:rsid w:val="5D2F55DF"/>
    <w:rsid w:val="5D2F5FB9"/>
    <w:rsid w:val="5D39513A"/>
    <w:rsid w:val="5D3A2E77"/>
    <w:rsid w:val="5D3A4C25"/>
    <w:rsid w:val="5D4224B0"/>
    <w:rsid w:val="5D445E0F"/>
    <w:rsid w:val="5D4C1914"/>
    <w:rsid w:val="5D4E56CE"/>
    <w:rsid w:val="5D504448"/>
    <w:rsid w:val="5D577585"/>
    <w:rsid w:val="5D5C2DED"/>
    <w:rsid w:val="5D6A3CB1"/>
    <w:rsid w:val="5D6D6DA8"/>
    <w:rsid w:val="5D7418B5"/>
    <w:rsid w:val="5D780C51"/>
    <w:rsid w:val="5D7A3273"/>
    <w:rsid w:val="5D850596"/>
    <w:rsid w:val="5D8530C7"/>
    <w:rsid w:val="5D890A34"/>
    <w:rsid w:val="5D940CCE"/>
    <w:rsid w:val="5D971C5A"/>
    <w:rsid w:val="5D9B1B67"/>
    <w:rsid w:val="5D9C58DF"/>
    <w:rsid w:val="5D9D54C4"/>
    <w:rsid w:val="5DA63F16"/>
    <w:rsid w:val="5DAA29A5"/>
    <w:rsid w:val="5DAA78E3"/>
    <w:rsid w:val="5DAD2DD3"/>
    <w:rsid w:val="5DB976DD"/>
    <w:rsid w:val="5DC32E6C"/>
    <w:rsid w:val="5DC82230"/>
    <w:rsid w:val="5DC946EA"/>
    <w:rsid w:val="5DD50E01"/>
    <w:rsid w:val="5DD92690"/>
    <w:rsid w:val="5DDF4035"/>
    <w:rsid w:val="5DE30E18"/>
    <w:rsid w:val="5DE322E0"/>
    <w:rsid w:val="5DE63E7B"/>
    <w:rsid w:val="5DE66B5A"/>
    <w:rsid w:val="5DE80B25"/>
    <w:rsid w:val="5DEA7F80"/>
    <w:rsid w:val="5DF561EB"/>
    <w:rsid w:val="5E08087F"/>
    <w:rsid w:val="5E0D0138"/>
    <w:rsid w:val="5E0F60B1"/>
    <w:rsid w:val="5E134288"/>
    <w:rsid w:val="5E224037"/>
    <w:rsid w:val="5E282CCF"/>
    <w:rsid w:val="5E2F405E"/>
    <w:rsid w:val="5E323B4E"/>
    <w:rsid w:val="5E3478C6"/>
    <w:rsid w:val="5E360964"/>
    <w:rsid w:val="5E364C03"/>
    <w:rsid w:val="5E4A0E97"/>
    <w:rsid w:val="5E5670B7"/>
    <w:rsid w:val="5E5E6063"/>
    <w:rsid w:val="5E636847"/>
    <w:rsid w:val="5E653F23"/>
    <w:rsid w:val="5E693A13"/>
    <w:rsid w:val="5E6E2DD8"/>
    <w:rsid w:val="5E710B1A"/>
    <w:rsid w:val="5E766130"/>
    <w:rsid w:val="5E767EDE"/>
    <w:rsid w:val="5E781EA8"/>
    <w:rsid w:val="5E7A79CF"/>
    <w:rsid w:val="5E7B2F72"/>
    <w:rsid w:val="5E8330C7"/>
    <w:rsid w:val="5E843D62"/>
    <w:rsid w:val="5E884949"/>
    <w:rsid w:val="5E8D26AE"/>
    <w:rsid w:val="5E905320"/>
    <w:rsid w:val="5E93283E"/>
    <w:rsid w:val="5E952810"/>
    <w:rsid w:val="5E960581"/>
    <w:rsid w:val="5E993C15"/>
    <w:rsid w:val="5E9D2981"/>
    <w:rsid w:val="5E9F7435"/>
    <w:rsid w:val="5EA26F25"/>
    <w:rsid w:val="5EA41270"/>
    <w:rsid w:val="5EB81C90"/>
    <w:rsid w:val="5EBD5B0D"/>
    <w:rsid w:val="5EC37AEA"/>
    <w:rsid w:val="5EC647C6"/>
    <w:rsid w:val="5EC944B2"/>
    <w:rsid w:val="5ED15115"/>
    <w:rsid w:val="5ED6597D"/>
    <w:rsid w:val="5ED94955"/>
    <w:rsid w:val="5EDA221B"/>
    <w:rsid w:val="5EDD1D0C"/>
    <w:rsid w:val="5EDD61AF"/>
    <w:rsid w:val="5EDF3CD6"/>
    <w:rsid w:val="5EE03046"/>
    <w:rsid w:val="5EE25574"/>
    <w:rsid w:val="5EE3717D"/>
    <w:rsid w:val="5EE409E6"/>
    <w:rsid w:val="5EE412EC"/>
    <w:rsid w:val="5EE546B0"/>
    <w:rsid w:val="5EE65064"/>
    <w:rsid w:val="5EE94B54"/>
    <w:rsid w:val="5EEB798B"/>
    <w:rsid w:val="5EFE2E50"/>
    <w:rsid w:val="5F026009"/>
    <w:rsid w:val="5F04373C"/>
    <w:rsid w:val="5F0507BC"/>
    <w:rsid w:val="5F0A3E4D"/>
    <w:rsid w:val="5F117C07"/>
    <w:rsid w:val="5F137C44"/>
    <w:rsid w:val="5F1542AB"/>
    <w:rsid w:val="5F1576F7"/>
    <w:rsid w:val="5F1F0FB6"/>
    <w:rsid w:val="5F212BD9"/>
    <w:rsid w:val="5F2142EE"/>
    <w:rsid w:val="5F285AE4"/>
    <w:rsid w:val="5F335DCF"/>
    <w:rsid w:val="5F3538F6"/>
    <w:rsid w:val="5F38637A"/>
    <w:rsid w:val="5F3F4774"/>
    <w:rsid w:val="5F4104EC"/>
    <w:rsid w:val="5F427D72"/>
    <w:rsid w:val="5F43327C"/>
    <w:rsid w:val="5F461CB1"/>
    <w:rsid w:val="5F466C7E"/>
    <w:rsid w:val="5F5B2975"/>
    <w:rsid w:val="5F5D4BFA"/>
    <w:rsid w:val="5F5F4E16"/>
    <w:rsid w:val="5F71128A"/>
    <w:rsid w:val="5F763632"/>
    <w:rsid w:val="5F773F0E"/>
    <w:rsid w:val="5F781A34"/>
    <w:rsid w:val="5F7C32D2"/>
    <w:rsid w:val="5F7F1015"/>
    <w:rsid w:val="5F8605F5"/>
    <w:rsid w:val="5F8D54E0"/>
    <w:rsid w:val="5F9047A5"/>
    <w:rsid w:val="5F906D7E"/>
    <w:rsid w:val="5F942D12"/>
    <w:rsid w:val="5F964898"/>
    <w:rsid w:val="5F9C1BCA"/>
    <w:rsid w:val="5FA34D03"/>
    <w:rsid w:val="5FB8058F"/>
    <w:rsid w:val="5FBC4017"/>
    <w:rsid w:val="5FC1162D"/>
    <w:rsid w:val="5FCA136C"/>
    <w:rsid w:val="5FCC24AC"/>
    <w:rsid w:val="5FD5029D"/>
    <w:rsid w:val="5FDE7373"/>
    <w:rsid w:val="5FE07D05"/>
    <w:rsid w:val="5FE315A4"/>
    <w:rsid w:val="5FEA2B00"/>
    <w:rsid w:val="5FF53085"/>
    <w:rsid w:val="5FF9400F"/>
    <w:rsid w:val="5FFC4413"/>
    <w:rsid w:val="5FFE29B9"/>
    <w:rsid w:val="60012E6F"/>
    <w:rsid w:val="600532C8"/>
    <w:rsid w:val="600B2596"/>
    <w:rsid w:val="601A18EE"/>
    <w:rsid w:val="6022031E"/>
    <w:rsid w:val="60224665"/>
    <w:rsid w:val="60243CC7"/>
    <w:rsid w:val="60261490"/>
    <w:rsid w:val="60267544"/>
    <w:rsid w:val="602944DE"/>
    <w:rsid w:val="602A71D2"/>
    <w:rsid w:val="603251D0"/>
    <w:rsid w:val="60333DD1"/>
    <w:rsid w:val="60363DC9"/>
    <w:rsid w:val="603676AA"/>
    <w:rsid w:val="60391874"/>
    <w:rsid w:val="604272DE"/>
    <w:rsid w:val="60427D1F"/>
    <w:rsid w:val="604665C9"/>
    <w:rsid w:val="604F09E7"/>
    <w:rsid w:val="604F6C39"/>
    <w:rsid w:val="605026B2"/>
    <w:rsid w:val="60570CCE"/>
    <w:rsid w:val="6059747D"/>
    <w:rsid w:val="605A2876"/>
    <w:rsid w:val="605C4A3A"/>
    <w:rsid w:val="605E50CE"/>
    <w:rsid w:val="6066162F"/>
    <w:rsid w:val="60670929"/>
    <w:rsid w:val="606E639E"/>
    <w:rsid w:val="6071095D"/>
    <w:rsid w:val="60732C9E"/>
    <w:rsid w:val="607641C6"/>
    <w:rsid w:val="607E307A"/>
    <w:rsid w:val="60807BFF"/>
    <w:rsid w:val="60830691"/>
    <w:rsid w:val="60866A04"/>
    <w:rsid w:val="60883EF9"/>
    <w:rsid w:val="60932FCA"/>
    <w:rsid w:val="60984515"/>
    <w:rsid w:val="60994F1B"/>
    <w:rsid w:val="609E371C"/>
    <w:rsid w:val="60A17467"/>
    <w:rsid w:val="60A34518"/>
    <w:rsid w:val="60AD570E"/>
    <w:rsid w:val="60B032A0"/>
    <w:rsid w:val="60B116A2"/>
    <w:rsid w:val="60B40492"/>
    <w:rsid w:val="60B41F38"/>
    <w:rsid w:val="60B60A66"/>
    <w:rsid w:val="60C625CB"/>
    <w:rsid w:val="60CB00BF"/>
    <w:rsid w:val="60CE25B1"/>
    <w:rsid w:val="60CE4C92"/>
    <w:rsid w:val="60D307AA"/>
    <w:rsid w:val="60D31618"/>
    <w:rsid w:val="60D64C64"/>
    <w:rsid w:val="60D90D70"/>
    <w:rsid w:val="60DD2497"/>
    <w:rsid w:val="60E455D3"/>
    <w:rsid w:val="60E9572D"/>
    <w:rsid w:val="60EC70CE"/>
    <w:rsid w:val="60F36B64"/>
    <w:rsid w:val="60FA4DF7"/>
    <w:rsid w:val="60FA6BA5"/>
    <w:rsid w:val="60FD39DD"/>
    <w:rsid w:val="61021EFD"/>
    <w:rsid w:val="61026EA9"/>
    <w:rsid w:val="61033A30"/>
    <w:rsid w:val="610405E7"/>
    <w:rsid w:val="61045C75"/>
    <w:rsid w:val="61096DE8"/>
    <w:rsid w:val="610D086E"/>
    <w:rsid w:val="611068F3"/>
    <w:rsid w:val="611213AC"/>
    <w:rsid w:val="611B01DB"/>
    <w:rsid w:val="611C241C"/>
    <w:rsid w:val="611D0AE5"/>
    <w:rsid w:val="611D549B"/>
    <w:rsid w:val="61241643"/>
    <w:rsid w:val="61260CA1"/>
    <w:rsid w:val="6126314C"/>
    <w:rsid w:val="613025C6"/>
    <w:rsid w:val="61306A6A"/>
    <w:rsid w:val="6131633F"/>
    <w:rsid w:val="613818EA"/>
    <w:rsid w:val="613F468A"/>
    <w:rsid w:val="61462A30"/>
    <w:rsid w:val="61462BE6"/>
    <w:rsid w:val="61483DB4"/>
    <w:rsid w:val="61572249"/>
    <w:rsid w:val="615A507F"/>
    <w:rsid w:val="61614E76"/>
    <w:rsid w:val="616379EA"/>
    <w:rsid w:val="61656B01"/>
    <w:rsid w:val="61822775"/>
    <w:rsid w:val="61842912"/>
    <w:rsid w:val="618B4FCD"/>
    <w:rsid w:val="61901C5F"/>
    <w:rsid w:val="61A11BDD"/>
    <w:rsid w:val="61A16D93"/>
    <w:rsid w:val="61A501DD"/>
    <w:rsid w:val="61AA1326"/>
    <w:rsid w:val="61AC36FA"/>
    <w:rsid w:val="61B34FA6"/>
    <w:rsid w:val="61B431F8"/>
    <w:rsid w:val="61B529F2"/>
    <w:rsid w:val="61B551C2"/>
    <w:rsid w:val="61B56F70"/>
    <w:rsid w:val="61BA6246"/>
    <w:rsid w:val="61BF7DEE"/>
    <w:rsid w:val="61C251E9"/>
    <w:rsid w:val="61D94A0C"/>
    <w:rsid w:val="61E648C2"/>
    <w:rsid w:val="61E67129"/>
    <w:rsid w:val="61EC1770"/>
    <w:rsid w:val="61F43F9A"/>
    <w:rsid w:val="61F65F87"/>
    <w:rsid w:val="61F75025"/>
    <w:rsid w:val="61FE0917"/>
    <w:rsid w:val="61FF2760"/>
    <w:rsid w:val="62024F72"/>
    <w:rsid w:val="62033520"/>
    <w:rsid w:val="62051CA5"/>
    <w:rsid w:val="620C3034"/>
    <w:rsid w:val="620E278C"/>
    <w:rsid w:val="62122F41"/>
    <w:rsid w:val="62137E26"/>
    <w:rsid w:val="622142A5"/>
    <w:rsid w:val="622D7C6C"/>
    <w:rsid w:val="62315B2D"/>
    <w:rsid w:val="6237313D"/>
    <w:rsid w:val="623F6839"/>
    <w:rsid w:val="624520A2"/>
    <w:rsid w:val="62483940"/>
    <w:rsid w:val="624A590A"/>
    <w:rsid w:val="624D3A32"/>
    <w:rsid w:val="624F1E1F"/>
    <w:rsid w:val="625B7B17"/>
    <w:rsid w:val="62600C89"/>
    <w:rsid w:val="62652744"/>
    <w:rsid w:val="626E5E71"/>
    <w:rsid w:val="62724D32"/>
    <w:rsid w:val="62782477"/>
    <w:rsid w:val="627B4304"/>
    <w:rsid w:val="627E140F"/>
    <w:rsid w:val="62820561"/>
    <w:rsid w:val="628232F6"/>
    <w:rsid w:val="62830E1C"/>
    <w:rsid w:val="62832486"/>
    <w:rsid w:val="628B7C2E"/>
    <w:rsid w:val="628F32BF"/>
    <w:rsid w:val="62970423"/>
    <w:rsid w:val="629E58CA"/>
    <w:rsid w:val="62A43733"/>
    <w:rsid w:val="62A80882"/>
    <w:rsid w:val="62B31701"/>
    <w:rsid w:val="62B35552"/>
    <w:rsid w:val="62C17409"/>
    <w:rsid w:val="62C21944"/>
    <w:rsid w:val="62C92634"/>
    <w:rsid w:val="62CF5E0F"/>
    <w:rsid w:val="62D35345"/>
    <w:rsid w:val="62DA00CF"/>
    <w:rsid w:val="62DA6118"/>
    <w:rsid w:val="62E93375"/>
    <w:rsid w:val="62ED0BF8"/>
    <w:rsid w:val="62F67840"/>
    <w:rsid w:val="62FB09B2"/>
    <w:rsid w:val="62FD472A"/>
    <w:rsid w:val="630F01D4"/>
    <w:rsid w:val="63117733"/>
    <w:rsid w:val="631A1780"/>
    <w:rsid w:val="631D37BF"/>
    <w:rsid w:val="631D3EE3"/>
    <w:rsid w:val="631F0C82"/>
    <w:rsid w:val="63212B0F"/>
    <w:rsid w:val="63230CAE"/>
    <w:rsid w:val="63251ED3"/>
    <w:rsid w:val="63273E9D"/>
    <w:rsid w:val="63276FAC"/>
    <w:rsid w:val="632C185E"/>
    <w:rsid w:val="632E5E62"/>
    <w:rsid w:val="633D2D9C"/>
    <w:rsid w:val="63400ABB"/>
    <w:rsid w:val="63495BC1"/>
    <w:rsid w:val="634A03F0"/>
    <w:rsid w:val="63503F2D"/>
    <w:rsid w:val="63535CC3"/>
    <w:rsid w:val="63544BEA"/>
    <w:rsid w:val="635A1B0B"/>
    <w:rsid w:val="635E194A"/>
    <w:rsid w:val="635F1581"/>
    <w:rsid w:val="63645C52"/>
    <w:rsid w:val="63692DC4"/>
    <w:rsid w:val="63697A91"/>
    <w:rsid w:val="636B7D2B"/>
    <w:rsid w:val="63846BFA"/>
    <w:rsid w:val="638B7F88"/>
    <w:rsid w:val="638C3D00"/>
    <w:rsid w:val="638C5281"/>
    <w:rsid w:val="638D7FCF"/>
    <w:rsid w:val="638E04DE"/>
    <w:rsid w:val="639237D7"/>
    <w:rsid w:val="63932B55"/>
    <w:rsid w:val="63974B7F"/>
    <w:rsid w:val="639C03E7"/>
    <w:rsid w:val="639D1C59"/>
    <w:rsid w:val="639D4839"/>
    <w:rsid w:val="639F1C85"/>
    <w:rsid w:val="63A13518"/>
    <w:rsid w:val="63A66B70"/>
    <w:rsid w:val="63A96660"/>
    <w:rsid w:val="63AA7892"/>
    <w:rsid w:val="63AD4BBC"/>
    <w:rsid w:val="63B05C41"/>
    <w:rsid w:val="63B079EF"/>
    <w:rsid w:val="63BD210C"/>
    <w:rsid w:val="63BD4F8F"/>
    <w:rsid w:val="63C139AA"/>
    <w:rsid w:val="63E678B4"/>
    <w:rsid w:val="63F35B2D"/>
    <w:rsid w:val="63F552CE"/>
    <w:rsid w:val="63F566E8"/>
    <w:rsid w:val="63FE4C1B"/>
    <w:rsid w:val="63FF44D2"/>
    <w:rsid w:val="64050300"/>
    <w:rsid w:val="640D526E"/>
    <w:rsid w:val="6411283E"/>
    <w:rsid w:val="6416019A"/>
    <w:rsid w:val="641C5084"/>
    <w:rsid w:val="641C6E32"/>
    <w:rsid w:val="641D33BF"/>
    <w:rsid w:val="641D4A29"/>
    <w:rsid w:val="64355C74"/>
    <w:rsid w:val="645A5BAC"/>
    <w:rsid w:val="646207A9"/>
    <w:rsid w:val="64626CCD"/>
    <w:rsid w:val="64656A2B"/>
    <w:rsid w:val="646657C4"/>
    <w:rsid w:val="6467228E"/>
    <w:rsid w:val="646E4975"/>
    <w:rsid w:val="646F31ED"/>
    <w:rsid w:val="647301B2"/>
    <w:rsid w:val="647F1903"/>
    <w:rsid w:val="647F6D42"/>
    <w:rsid w:val="64835103"/>
    <w:rsid w:val="64836EB1"/>
    <w:rsid w:val="64893361"/>
    <w:rsid w:val="648D0CE2"/>
    <w:rsid w:val="64A15E2D"/>
    <w:rsid w:val="64A31301"/>
    <w:rsid w:val="64A40989"/>
    <w:rsid w:val="64A663D5"/>
    <w:rsid w:val="64AC2FEB"/>
    <w:rsid w:val="64AD03D2"/>
    <w:rsid w:val="64AF414A"/>
    <w:rsid w:val="64B41760"/>
    <w:rsid w:val="64B96D77"/>
    <w:rsid w:val="64C32220"/>
    <w:rsid w:val="64C43986"/>
    <w:rsid w:val="64C63247"/>
    <w:rsid w:val="64C9520C"/>
    <w:rsid w:val="64CB0A9E"/>
    <w:rsid w:val="64D15E6F"/>
    <w:rsid w:val="64D32693"/>
    <w:rsid w:val="64D665DB"/>
    <w:rsid w:val="64DB4F3F"/>
    <w:rsid w:val="64DC36BB"/>
    <w:rsid w:val="64E5191A"/>
    <w:rsid w:val="64EE5F12"/>
    <w:rsid w:val="64F07E3F"/>
    <w:rsid w:val="65064640"/>
    <w:rsid w:val="65075D34"/>
    <w:rsid w:val="650812D1"/>
    <w:rsid w:val="650A312E"/>
    <w:rsid w:val="650E0E71"/>
    <w:rsid w:val="65206DF6"/>
    <w:rsid w:val="65230A03"/>
    <w:rsid w:val="652555E7"/>
    <w:rsid w:val="65260365"/>
    <w:rsid w:val="65271F32"/>
    <w:rsid w:val="652A1A23"/>
    <w:rsid w:val="652E32C1"/>
    <w:rsid w:val="65313307"/>
    <w:rsid w:val="653438CC"/>
    <w:rsid w:val="653532E8"/>
    <w:rsid w:val="6535464F"/>
    <w:rsid w:val="653D2954"/>
    <w:rsid w:val="653D3504"/>
    <w:rsid w:val="65424FBE"/>
    <w:rsid w:val="65586590"/>
    <w:rsid w:val="655A7563"/>
    <w:rsid w:val="655D5954"/>
    <w:rsid w:val="6568074F"/>
    <w:rsid w:val="65683AC1"/>
    <w:rsid w:val="65690AC2"/>
    <w:rsid w:val="656E46DD"/>
    <w:rsid w:val="656F075D"/>
    <w:rsid w:val="6572093C"/>
    <w:rsid w:val="65752C9E"/>
    <w:rsid w:val="657F1BD2"/>
    <w:rsid w:val="657F1D6E"/>
    <w:rsid w:val="6582360D"/>
    <w:rsid w:val="658A7B74"/>
    <w:rsid w:val="65953340"/>
    <w:rsid w:val="659550EE"/>
    <w:rsid w:val="65956E9C"/>
    <w:rsid w:val="659661FB"/>
    <w:rsid w:val="659B647C"/>
    <w:rsid w:val="65A417D5"/>
    <w:rsid w:val="65A45331"/>
    <w:rsid w:val="65A65725"/>
    <w:rsid w:val="65AD18B1"/>
    <w:rsid w:val="65C6799D"/>
    <w:rsid w:val="65CE0600"/>
    <w:rsid w:val="65D44695"/>
    <w:rsid w:val="65D55783"/>
    <w:rsid w:val="65DF15F8"/>
    <w:rsid w:val="65E53A72"/>
    <w:rsid w:val="65ED6CD8"/>
    <w:rsid w:val="65EE2A50"/>
    <w:rsid w:val="65EF654B"/>
    <w:rsid w:val="65F52031"/>
    <w:rsid w:val="65F70D7A"/>
    <w:rsid w:val="65F960CC"/>
    <w:rsid w:val="65FC516D"/>
    <w:rsid w:val="65FD2C93"/>
    <w:rsid w:val="660364FC"/>
    <w:rsid w:val="6607052C"/>
    <w:rsid w:val="660758C0"/>
    <w:rsid w:val="660B1854"/>
    <w:rsid w:val="660B4B4A"/>
    <w:rsid w:val="66120F30"/>
    <w:rsid w:val="661C7ED9"/>
    <w:rsid w:val="662326FA"/>
    <w:rsid w:val="66236B9E"/>
    <w:rsid w:val="662D17CA"/>
    <w:rsid w:val="662F5543"/>
    <w:rsid w:val="66351614"/>
    <w:rsid w:val="6635242D"/>
    <w:rsid w:val="66352F1F"/>
    <w:rsid w:val="663669CA"/>
    <w:rsid w:val="663D12E2"/>
    <w:rsid w:val="663E5786"/>
    <w:rsid w:val="6641273E"/>
    <w:rsid w:val="664B7EA3"/>
    <w:rsid w:val="664D3C1B"/>
    <w:rsid w:val="665171D4"/>
    <w:rsid w:val="66522FDF"/>
    <w:rsid w:val="6659436D"/>
    <w:rsid w:val="665D4746"/>
    <w:rsid w:val="66644AC0"/>
    <w:rsid w:val="66682803"/>
    <w:rsid w:val="66692CE9"/>
    <w:rsid w:val="66724CCA"/>
    <w:rsid w:val="6673092B"/>
    <w:rsid w:val="66763171"/>
    <w:rsid w:val="66770C98"/>
    <w:rsid w:val="667E3DD4"/>
    <w:rsid w:val="667E72FC"/>
    <w:rsid w:val="667F18FA"/>
    <w:rsid w:val="66805D9E"/>
    <w:rsid w:val="668138C4"/>
    <w:rsid w:val="66860EDB"/>
    <w:rsid w:val="668645CE"/>
    <w:rsid w:val="668F3111"/>
    <w:rsid w:val="66901C8E"/>
    <w:rsid w:val="6692162D"/>
    <w:rsid w:val="669244A8"/>
    <w:rsid w:val="669A7F65"/>
    <w:rsid w:val="669C6028"/>
    <w:rsid w:val="669D2DA1"/>
    <w:rsid w:val="66A22F88"/>
    <w:rsid w:val="66A6332B"/>
    <w:rsid w:val="66A650D9"/>
    <w:rsid w:val="66A762C2"/>
    <w:rsid w:val="66A852F5"/>
    <w:rsid w:val="66AC7689"/>
    <w:rsid w:val="66AF6E27"/>
    <w:rsid w:val="66B27F22"/>
    <w:rsid w:val="66B75538"/>
    <w:rsid w:val="66BB1AFB"/>
    <w:rsid w:val="66C0619B"/>
    <w:rsid w:val="66C32773"/>
    <w:rsid w:val="66C37A39"/>
    <w:rsid w:val="66C477A7"/>
    <w:rsid w:val="66CA0391"/>
    <w:rsid w:val="66CF7EED"/>
    <w:rsid w:val="66D306AF"/>
    <w:rsid w:val="66D32E6D"/>
    <w:rsid w:val="66D8599D"/>
    <w:rsid w:val="66DC37C6"/>
    <w:rsid w:val="66DD08B3"/>
    <w:rsid w:val="66DD50B0"/>
    <w:rsid w:val="66E005EB"/>
    <w:rsid w:val="66E933FA"/>
    <w:rsid w:val="66EC6F90"/>
    <w:rsid w:val="66ED0F5A"/>
    <w:rsid w:val="66EF4CD2"/>
    <w:rsid w:val="66F10A4A"/>
    <w:rsid w:val="66F35066"/>
    <w:rsid w:val="66F53BB1"/>
    <w:rsid w:val="66F62437"/>
    <w:rsid w:val="670342D9"/>
    <w:rsid w:val="670B7AEA"/>
    <w:rsid w:val="67112E9A"/>
    <w:rsid w:val="671604B0"/>
    <w:rsid w:val="67184229"/>
    <w:rsid w:val="671A2F07"/>
    <w:rsid w:val="671C3FB3"/>
    <w:rsid w:val="67260D6C"/>
    <w:rsid w:val="67283D40"/>
    <w:rsid w:val="672C55DE"/>
    <w:rsid w:val="67310E46"/>
    <w:rsid w:val="673E7602"/>
    <w:rsid w:val="67410ADD"/>
    <w:rsid w:val="6744501E"/>
    <w:rsid w:val="6748602A"/>
    <w:rsid w:val="67513297"/>
    <w:rsid w:val="675168BE"/>
    <w:rsid w:val="6751773B"/>
    <w:rsid w:val="67550FD9"/>
    <w:rsid w:val="675863D3"/>
    <w:rsid w:val="676450B8"/>
    <w:rsid w:val="676F7BC1"/>
    <w:rsid w:val="67777B9B"/>
    <w:rsid w:val="677C0AB1"/>
    <w:rsid w:val="6781140F"/>
    <w:rsid w:val="678C53BC"/>
    <w:rsid w:val="678E0DF1"/>
    <w:rsid w:val="679715F1"/>
    <w:rsid w:val="679B2764"/>
    <w:rsid w:val="679C1682"/>
    <w:rsid w:val="679D7EDC"/>
    <w:rsid w:val="679E7A57"/>
    <w:rsid w:val="679F5AF1"/>
    <w:rsid w:val="67A56EB3"/>
    <w:rsid w:val="67AB11C6"/>
    <w:rsid w:val="67B04461"/>
    <w:rsid w:val="67B43AD5"/>
    <w:rsid w:val="67B657F0"/>
    <w:rsid w:val="67C73559"/>
    <w:rsid w:val="67D75D50"/>
    <w:rsid w:val="67D77C40"/>
    <w:rsid w:val="67D86E6E"/>
    <w:rsid w:val="67DB664A"/>
    <w:rsid w:val="67E40DD3"/>
    <w:rsid w:val="67E5371B"/>
    <w:rsid w:val="67F01ABC"/>
    <w:rsid w:val="67F26828"/>
    <w:rsid w:val="67F51E74"/>
    <w:rsid w:val="67F630AD"/>
    <w:rsid w:val="67F80294"/>
    <w:rsid w:val="67FA1B80"/>
    <w:rsid w:val="67FF0F45"/>
    <w:rsid w:val="68012F0F"/>
    <w:rsid w:val="680227E3"/>
    <w:rsid w:val="68030A35"/>
    <w:rsid w:val="680A62EC"/>
    <w:rsid w:val="680D18B3"/>
    <w:rsid w:val="681A45F0"/>
    <w:rsid w:val="681B3FAD"/>
    <w:rsid w:val="681B7EC8"/>
    <w:rsid w:val="681D761D"/>
    <w:rsid w:val="681F3F15"/>
    <w:rsid w:val="6820648F"/>
    <w:rsid w:val="68210EBB"/>
    <w:rsid w:val="68224C33"/>
    <w:rsid w:val="68297D70"/>
    <w:rsid w:val="6833299C"/>
    <w:rsid w:val="68361357"/>
    <w:rsid w:val="683C3F47"/>
    <w:rsid w:val="68496731"/>
    <w:rsid w:val="684B5F38"/>
    <w:rsid w:val="684D1CB0"/>
    <w:rsid w:val="684E77D6"/>
    <w:rsid w:val="68522367"/>
    <w:rsid w:val="68525518"/>
    <w:rsid w:val="68534DEC"/>
    <w:rsid w:val="685968A7"/>
    <w:rsid w:val="685C35C9"/>
    <w:rsid w:val="68624066"/>
    <w:rsid w:val="68692862"/>
    <w:rsid w:val="686E1C26"/>
    <w:rsid w:val="686F18B3"/>
    <w:rsid w:val="686F79F8"/>
    <w:rsid w:val="68721717"/>
    <w:rsid w:val="68740787"/>
    <w:rsid w:val="68774F7F"/>
    <w:rsid w:val="687B6CB9"/>
    <w:rsid w:val="68833155"/>
    <w:rsid w:val="688A2F04"/>
    <w:rsid w:val="688A4CB2"/>
    <w:rsid w:val="688C445A"/>
    <w:rsid w:val="688E1D41"/>
    <w:rsid w:val="688E1EF6"/>
    <w:rsid w:val="68923B67"/>
    <w:rsid w:val="68936099"/>
    <w:rsid w:val="689F0032"/>
    <w:rsid w:val="689F6284"/>
    <w:rsid w:val="68AC2199"/>
    <w:rsid w:val="68AD3A59"/>
    <w:rsid w:val="68B7537B"/>
    <w:rsid w:val="68B910F3"/>
    <w:rsid w:val="68BB10C6"/>
    <w:rsid w:val="68BD62AF"/>
    <w:rsid w:val="68C33D20"/>
    <w:rsid w:val="68C75477"/>
    <w:rsid w:val="68CC52CB"/>
    <w:rsid w:val="68D128E1"/>
    <w:rsid w:val="68D66149"/>
    <w:rsid w:val="68D91796"/>
    <w:rsid w:val="68DC0F3F"/>
    <w:rsid w:val="68DC4DE2"/>
    <w:rsid w:val="68DE0B5A"/>
    <w:rsid w:val="68DE733A"/>
    <w:rsid w:val="68E1689C"/>
    <w:rsid w:val="68E87FE9"/>
    <w:rsid w:val="68E94B4A"/>
    <w:rsid w:val="68EC771B"/>
    <w:rsid w:val="68ED3493"/>
    <w:rsid w:val="68EF4846"/>
    <w:rsid w:val="68F330E1"/>
    <w:rsid w:val="68F51C51"/>
    <w:rsid w:val="68F53477"/>
    <w:rsid w:val="68FC5484"/>
    <w:rsid w:val="68FE11FC"/>
    <w:rsid w:val="68FF6DF4"/>
    <w:rsid w:val="68FF7E90"/>
    <w:rsid w:val="69015A74"/>
    <w:rsid w:val="690A194F"/>
    <w:rsid w:val="690E58E3"/>
    <w:rsid w:val="691602F4"/>
    <w:rsid w:val="69164798"/>
    <w:rsid w:val="6917241F"/>
    <w:rsid w:val="692757B4"/>
    <w:rsid w:val="692C5D69"/>
    <w:rsid w:val="69346396"/>
    <w:rsid w:val="693469CC"/>
    <w:rsid w:val="69361313"/>
    <w:rsid w:val="6949137F"/>
    <w:rsid w:val="694E3F32"/>
    <w:rsid w:val="6953779A"/>
    <w:rsid w:val="69540E1C"/>
    <w:rsid w:val="696857DB"/>
    <w:rsid w:val="696A6892"/>
    <w:rsid w:val="696C260A"/>
    <w:rsid w:val="696D1EDE"/>
    <w:rsid w:val="69716FDF"/>
    <w:rsid w:val="69780673"/>
    <w:rsid w:val="697E527C"/>
    <w:rsid w:val="698305DC"/>
    <w:rsid w:val="69877DDF"/>
    <w:rsid w:val="69892AC8"/>
    <w:rsid w:val="698A6F2D"/>
    <w:rsid w:val="69921E25"/>
    <w:rsid w:val="699413F1"/>
    <w:rsid w:val="69971601"/>
    <w:rsid w:val="69972C72"/>
    <w:rsid w:val="699D0A15"/>
    <w:rsid w:val="699F29DF"/>
    <w:rsid w:val="69A960B4"/>
    <w:rsid w:val="69AF0D22"/>
    <w:rsid w:val="69AF51FE"/>
    <w:rsid w:val="69B12712"/>
    <w:rsid w:val="69B86D95"/>
    <w:rsid w:val="69BF3287"/>
    <w:rsid w:val="69C62A73"/>
    <w:rsid w:val="69C77840"/>
    <w:rsid w:val="69C83FC9"/>
    <w:rsid w:val="69C949D0"/>
    <w:rsid w:val="69CD613A"/>
    <w:rsid w:val="69D64202"/>
    <w:rsid w:val="69DD3414"/>
    <w:rsid w:val="69E90403"/>
    <w:rsid w:val="69E91EAC"/>
    <w:rsid w:val="69E95C9B"/>
    <w:rsid w:val="69EA149B"/>
    <w:rsid w:val="69EA5306"/>
    <w:rsid w:val="69EE301F"/>
    <w:rsid w:val="69F077FA"/>
    <w:rsid w:val="69FA19C4"/>
    <w:rsid w:val="6A072723"/>
    <w:rsid w:val="6A0868C0"/>
    <w:rsid w:val="6A097E59"/>
    <w:rsid w:val="6A0B1E23"/>
    <w:rsid w:val="6A0D620F"/>
    <w:rsid w:val="6A152520"/>
    <w:rsid w:val="6A1B06CD"/>
    <w:rsid w:val="6A1C386D"/>
    <w:rsid w:val="6A23521E"/>
    <w:rsid w:val="6A244471"/>
    <w:rsid w:val="6A2473ED"/>
    <w:rsid w:val="6A2F7A81"/>
    <w:rsid w:val="6A327325"/>
    <w:rsid w:val="6A3B3D8A"/>
    <w:rsid w:val="6A413A96"/>
    <w:rsid w:val="6A427C3D"/>
    <w:rsid w:val="6A4C654C"/>
    <w:rsid w:val="6A51255B"/>
    <w:rsid w:val="6A5125D0"/>
    <w:rsid w:val="6A535578"/>
    <w:rsid w:val="6A590DE0"/>
    <w:rsid w:val="6A5C452B"/>
    <w:rsid w:val="6A5D1F52"/>
    <w:rsid w:val="6A5E4CC7"/>
    <w:rsid w:val="6A6041B6"/>
    <w:rsid w:val="6A627569"/>
    <w:rsid w:val="6A6C4D68"/>
    <w:rsid w:val="6A7177BA"/>
    <w:rsid w:val="6A783F89"/>
    <w:rsid w:val="6A7A15FA"/>
    <w:rsid w:val="6A7A31EA"/>
    <w:rsid w:val="6A80552A"/>
    <w:rsid w:val="6A8162C7"/>
    <w:rsid w:val="6A84533B"/>
    <w:rsid w:val="6A892D47"/>
    <w:rsid w:val="6A8B4631"/>
    <w:rsid w:val="6A8D6CDC"/>
    <w:rsid w:val="6A910E03"/>
    <w:rsid w:val="6A9242F2"/>
    <w:rsid w:val="6A9260A0"/>
    <w:rsid w:val="6A9339A0"/>
    <w:rsid w:val="6A957FE4"/>
    <w:rsid w:val="6A963A7A"/>
    <w:rsid w:val="6A9A31A7"/>
    <w:rsid w:val="6AA87672"/>
    <w:rsid w:val="6AAF0A00"/>
    <w:rsid w:val="6AB2229E"/>
    <w:rsid w:val="6AB43CB7"/>
    <w:rsid w:val="6AB73495"/>
    <w:rsid w:val="6ABE6E95"/>
    <w:rsid w:val="6AC10733"/>
    <w:rsid w:val="6AC67AF8"/>
    <w:rsid w:val="6ACE4725"/>
    <w:rsid w:val="6AD2649C"/>
    <w:rsid w:val="6AD85F7A"/>
    <w:rsid w:val="6AD93CCF"/>
    <w:rsid w:val="6AD95A7D"/>
    <w:rsid w:val="6AE37B50"/>
    <w:rsid w:val="6AEC1C54"/>
    <w:rsid w:val="6AF042AC"/>
    <w:rsid w:val="6AF40B09"/>
    <w:rsid w:val="6AFA59F3"/>
    <w:rsid w:val="6B0074AE"/>
    <w:rsid w:val="6B0E0B53"/>
    <w:rsid w:val="6B0F29FC"/>
    <w:rsid w:val="6B0F7136"/>
    <w:rsid w:val="6B144D07"/>
    <w:rsid w:val="6B1747F7"/>
    <w:rsid w:val="6B1C272A"/>
    <w:rsid w:val="6B23319C"/>
    <w:rsid w:val="6B234B19"/>
    <w:rsid w:val="6B24387B"/>
    <w:rsid w:val="6B2F38EF"/>
    <w:rsid w:val="6B39476E"/>
    <w:rsid w:val="6B43383E"/>
    <w:rsid w:val="6B4F3F91"/>
    <w:rsid w:val="6B52709F"/>
    <w:rsid w:val="6B5B2936"/>
    <w:rsid w:val="6B5E5F82"/>
    <w:rsid w:val="6B5F2264"/>
    <w:rsid w:val="6B65747E"/>
    <w:rsid w:val="6B6858DA"/>
    <w:rsid w:val="6B6A0DCB"/>
    <w:rsid w:val="6B6E2531"/>
    <w:rsid w:val="6B6F5377"/>
    <w:rsid w:val="6B714433"/>
    <w:rsid w:val="6B721A2E"/>
    <w:rsid w:val="6B7738EB"/>
    <w:rsid w:val="6B7E4876"/>
    <w:rsid w:val="6B7E793E"/>
    <w:rsid w:val="6B826AEF"/>
    <w:rsid w:val="6B842A13"/>
    <w:rsid w:val="6B8960A3"/>
    <w:rsid w:val="6B981494"/>
    <w:rsid w:val="6B99345E"/>
    <w:rsid w:val="6BA319B1"/>
    <w:rsid w:val="6BAB7A60"/>
    <w:rsid w:val="6BAE03AB"/>
    <w:rsid w:val="6BAF67DE"/>
    <w:rsid w:val="6BB64010"/>
    <w:rsid w:val="6BBC02ED"/>
    <w:rsid w:val="6BC24763"/>
    <w:rsid w:val="6BCA12F9"/>
    <w:rsid w:val="6BCA3618"/>
    <w:rsid w:val="6BCE06BE"/>
    <w:rsid w:val="6BCE4EB6"/>
    <w:rsid w:val="6BCF0C2E"/>
    <w:rsid w:val="6BDF7224"/>
    <w:rsid w:val="6BE94C15"/>
    <w:rsid w:val="6BF40694"/>
    <w:rsid w:val="6BF6265F"/>
    <w:rsid w:val="6BFD1C3F"/>
    <w:rsid w:val="6C040838"/>
    <w:rsid w:val="6C0B610A"/>
    <w:rsid w:val="6C0D5C62"/>
    <w:rsid w:val="6C12412D"/>
    <w:rsid w:val="6C133654"/>
    <w:rsid w:val="6C202B2E"/>
    <w:rsid w:val="6C2216A6"/>
    <w:rsid w:val="6C237218"/>
    <w:rsid w:val="6C2947E2"/>
    <w:rsid w:val="6C2C2C28"/>
    <w:rsid w:val="6C2C7E2E"/>
    <w:rsid w:val="6C2E112B"/>
    <w:rsid w:val="6C335661"/>
    <w:rsid w:val="6C3513D9"/>
    <w:rsid w:val="6C386862"/>
    <w:rsid w:val="6C3D64DF"/>
    <w:rsid w:val="6C427652"/>
    <w:rsid w:val="6C4D1B4A"/>
    <w:rsid w:val="6C4D7283"/>
    <w:rsid w:val="6C510592"/>
    <w:rsid w:val="6C523D39"/>
    <w:rsid w:val="6C5630FD"/>
    <w:rsid w:val="6C564F9A"/>
    <w:rsid w:val="6C5850C7"/>
    <w:rsid w:val="6C5B75B1"/>
    <w:rsid w:val="6C68355C"/>
    <w:rsid w:val="6C6A090B"/>
    <w:rsid w:val="6C6D6230"/>
    <w:rsid w:val="6C6D7278"/>
    <w:rsid w:val="6C732F14"/>
    <w:rsid w:val="6C7843B5"/>
    <w:rsid w:val="6C792A11"/>
    <w:rsid w:val="6C7B3D7F"/>
    <w:rsid w:val="6C8B2DA7"/>
    <w:rsid w:val="6C8D2FC3"/>
    <w:rsid w:val="6C9003BD"/>
    <w:rsid w:val="6C925C78"/>
    <w:rsid w:val="6CA420BB"/>
    <w:rsid w:val="6CAB3449"/>
    <w:rsid w:val="6CAE4CE7"/>
    <w:rsid w:val="6CAF118B"/>
    <w:rsid w:val="6CB206A7"/>
    <w:rsid w:val="6CB55547"/>
    <w:rsid w:val="6CB56076"/>
    <w:rsid w:val="6CBA368C"/>
    <w:rsid w:val="6CBF6EF4"/>
    <w:rsid w:val="6CC23EA0"/>
    <w:rsid w:val="6CCB2DC7"/>
    <w:rsid w:val="6CCB6373"/>
    <w:rsid w:val="6CCC3665"/>
    <w:rsid w:val="6CCF71A6"/>
    <w:rsid w:val="6CD115CB"/>
    <w:rsid w:val="6CD422A9"/>
    <w:rsid w:val="6CDF2ADE"/>
    <w:rsid w:val="6CE34991"/>
    <w:rsid w:val="6CE77779"/>
    <w:rsid w:val="6CF23D90"/>
    <w:rsid w:val="6CF31FDC"/>
    <w:rsid w:val="6CF52916"/>
    <w:rsid w:val="6D0022E6"/>
    <w:rsid w:val="6D003795"/>
    <w:rsid w:val="6D064433"/>
    <w:rsid w:val="6D075EA7"/>
    <w:rsid w:val="6D10018E"/>
    <w:rsid w:val="6D105A96"/>
    <w:rsid w:val="6D1160C5"/>
    <w:rsid w:val="6D130451"/>
    <w:rsid w:val="6D1467D9"/>
    <w:rsid w:val="6D15307C"/>
    <w:rsid w:val="6D1E269E"/>
    <w:rsid w:val="6D265FA8"/>
    <w:rsid w:val="6D2671A0"/>
    <w:rsid w:val="6D2774DD"/>
    <w:rsid w:val="6D2D775E"/>
    <w:rsid w:val="6D3C3588"/>
    <w:rsid w:val="6D3F3B91"/>
    <w:rsid w:val="6D413DAD"/>
    <w:rsid w:val="6D4318D3"/>
    <w:rsid w:val="6D486EEA"/>
    <w:rsid w:val="6D50560A"/>
    <w:rsid w:val="6D51349E"/>
    <w:rsid w:val="6D526662"/>
    <w:rsid w:val="6D545516"/>
    <w:rsid w:val="6D5E009B"/>
    <w:rsid w:val="6D5E2269"/>
    <w:rsid w:val="6D6672C9"/>
    <w:rsid w:val="6D6A7E6A"/>
    <w:rsid w:val="6D6F6D82"/>
    <w:rsid w:val="6D714693"/>
    <w:rsid w:val="6D7478EE"/>
    <w:rsid w:val="6D777848"/>
    <w:rsid w:val="6D7970A3"/>
    <w:rsid w:val="6D7E5C43"/>
    <w:rsid w:val="6D7F4976"/>
    <w:rsid w:val="6D8223FC"/>
    <w:rsid w:val="6D8C5028"/>
    <w:rsid w:val="6D8F68C7"/>
    <w:rsid w:val="6D93423A"/>
    <w:rsid w:val="6D9B558B"/>
    <w:rsid w:val="6D9D71C3"/>
    <w:rsid w:val="6D9E678A"/>
    <w:rsid w:val="6DA85746"/>
    <w:rsid w:val="6DAF6F69"/>
    <w:rsid w:val="6DB8406F"/>
    <w:rsid w:val="6DBC4466"/>
    <w:rsid w:val="6DBE53FE"/>
    <w:rsid w:val="6DC43FB8"/>
    <w:rsid w:val="6DCA5B51"/>
    <w:rsid w:val="6DCA78FF"/>
    <w:rsid w:val="6DCF5D23"/>
    <w:rsid w:val="6DDF5B5A"/>
    <w:rsid w:val="6DE035C6"/>
    <w:rsid w:val="6DE23FFC"/>
    <w:rsid w:val="6DE94229"/>
    <w:rsid w:val="6DF36FAA"/>
    <w:rsid w:val="6DFB21AE"/>
    <w:rsid w:val="6DFD6735"/>
    <w:rsid w:val="6E056B89"/>
    <w:rsid w:val="6E086B91"/>
    <w:rsid w:val="6E0D0088"/>
    <w:rsid w:val="6E0D4782"/>
    <w:rsid w:val="6E1029AB"/>
    <w:rsid w:val="6E11552E"/>
    <w:rsid w:val="6E1B25FD"/>
    <w:rsid w:val="6E1F5E9D"/>
    <w:rsid w:val="6E273271"/>
    <w:rsid w:val="6E296D1B"/>
    <w:rsid w:val="6E2A2D59"/>
    <w:rsid w:val="6E2C680B"/>
    <w:rsid w:val="6E2E79AC"/>
    <w:rsid w:val="6E3A33B0"/>
    <w:rsid w:val="6E46167B"/>
    <w:rsid w:val="6E4A0A40"/>
    <w:rsid w:val="6E4B0954"/>
    <w:rsid w:val="6E505221"/>
    <w:rsid w:val="6E537DD3"/>
    <w:rsid w:val="6E5D0773"/>
    <w:rsid w:val="6E5D4C17"/>
    <w:rsid w:val="6E681AD6"/>
    <w:rsid w:val="6E6F0A17"/>
    <w:rsid w:val="6E753D0F"/>
    <w:rsid w:val="6E787DA6"/>
    <w:rsid w:val="6E825323"/>
    <w:rsid w:val="6E8D4E3C"/>
    <w:rsid w:val="6E921CAE"/>
    <w:rsid w:val="6E9268A3"/>
    <w:rsid w:val="6E9C573F"/>
    <w:rsid w:val="6E9E269F"/>
    <w:rsid w:val="6EA470E4"/>
    <w:rsid w:val="6EAC4873"/>
    <w:rsid w:val="6EAD542B"/>
    <w:rsid w:val="6EB04EF1"/>
    <w:rsid w:val="6EB9331C"/>
    <w:rsid w:val="6EBA3E17"/>
    <w:rsid w:val="6EBC36EB"/>
    <w:rsid w:val="6EBC65F9"/>
    <w:rsid w:val="6EBD54A7"/>
    <w:rsid w:val="6EC06661"/>
    <w:rsid w:val="6EC30F1E"/>
    <w:rsid w:val="6ECA603D"/>
    <w:rsid w:val="6ECE2859"/>
    <w:rsid w:val="6ED12638"/>
    <w:rsid w:val="6ED24CBD"/>
    <w:rsid w:val="6EDA624A"/>
    <w:rsid w:val="6EDE7B06"/>
    <w:rsid w:val="6EDF387E"/>
    <w:rsid w:val="6EE20EBC"/>
    <w:rsid w:val="6EE33335"/>
    <w:rsid w:val="6EE60768"/>
    <w:rsid w:val="6EEE3AC1"/>
    <w:rsid w:val="6EF43EBC"/>
    <w:rsid w:val="6EFB6D71"/>
    <w:rsid w:val="6EFC1D3A"/>
    <w:rsid w:val="6EFC4430"/>
    <w:rsid w:val="6EFF182A"/>
    <w:rsid w:val="6EFF7A7C"/>
    <w:rsid w:val="6F084B83"/>
    <w:rsid w:val="6F086931"/>
    <w:rsid w:val="6F152942"/>
    <w:rsid w:val="6F173FD5"/>
    <w:rsid w:val="6F174DC6"/>
    <w:rsid w:val="6F1B2B08"/>
    <w:rsid w:val="6F22336B"/>
    <w:rsid w:val="6F235519"/>
    <w:rsid w:val="6F241291"/>
    <w:rsid w:val="6F255735"/>
    <w:rsid w:val="6F285225"/>
    <w:rsid w:val="6F2C5FF8"/>
    <w:rsid w:val="6F340D22"/>
    <w:rsid w:val="6F3556F7"/>
    <w:rsid w:val="6F5002D8"/>
    <w:rsid w:val="6F51603E"/>
    <w:rsid w:val="6F516A80"/>
    <w:rsid w:val="6F525DFE"/>
    <w:rsid w:val="6F531916"/>
    <w:rsid w:val="6F543924"/>
    <w:rsid w:val="6F584A8E"/>
    <w:rsid w:val="6F5B208E"/>
    <w:rsid w:val="6F5E29F5"/>
    <w:rsid w:val="6F5E47A3"/>
    <w:rsid w:val="6F764042"/>
    <w:rsid w:val="6F765F90"/>
    <w:rsid w:val="6F810491"/>
    <w:rsid w:val="6F885CC3"/>
    <w:rsid w:val="6F8A1A3C"/>
    <w:rsid w:val="6F8C3F8D"/>
    <w:rsid w:val="6F8D32DA"/>
    <w:rsid w:val="6F8D5088"/>
    <w:rsid w:val="6F96218E"/>
    <w:rsid w:val="6F991C7F"/>
    <w:rsid w:val="6F992945"/>
    <w:rsid w:val="6F9F4848"/>
    <w:rsid w:val="6FA0237A"/>
    <w:rsid w:val="6FA56875"/>
    <w:rsid w:val="6FA752D8"/>
    <w:rsid w:val="6FAB748D"/>
    <w:rsid w:val="6FB24AEE"/>
    <w:rsid w:val="6FB62D43"/>
    <w:rsid w:val="6FB6638D"/>
    <w:rsid w:val="6FB74781"/>
    <w:rsid w:val="6FBA1521"/>
    <w:rsid w:val="6FBE63A8"/>
    <w:rsid w:val="6FC11862"/>
    <w:rsid w:val="6FCC5BB0"/>
    <w:rsid w:val="6FD601DD"/>
    <w:rsid w:val="6FDB3A32"/>
    <w:rsid w:val="6FDF206B"/>
    <w:rsid w:val="6FE3114C"/>
    <w:rsid w:val="6FE532F1"/>
    <w:rsid w:val="6FE729EA"/>
    <w:rsid w:val="6FEE1FCA"/>
    <w:rsid w:val="6FF00E32"/>
    <w:rsid w:val="6FF10A99"/>
    <w:rsid w:val="6FF643C7"/>
    <w:rsid w:val="6FF65E98"/>
    <w:rsid w:val="6FF922AC"/>
    <w:rsid w:val="6FFB08CE"/>
    <w:rsid w:val="6FFB39E9"/>
    <w:rsid w:val="6FFB46E7"/>
    <w:rsid w:val="7003534A"/>
    <w:rsid w:val="70057314"/>
    <w:rsid w:val="70057F50"/>
    <w:rsid w:val="70082813"/>
    <w:rsid w:val="700A66D9"/>
    <w:rsid w:val="700C2451"/>
    <w:rsid w:val="70194B6E"/>
    <w:rsid w:val="702552C0"/>
    <w:rsid w:val="702A5D52"/>
    <w:rsid w:val="702B68F1"/>
    <w:rsid w:val="702E15A7"/>
    <w:rsid w:val="70301EB6"/>
    <w:rsid w:val="703379DD"/>
    <w:rsid w:val="70385739"/>
    <w:rsid w:val="704221B5"/>
    <w:rsid w:val="704A2F79"/>
    <w:rsid w:val="705249E5"/>
    <w:rsid w:val="70531E2E"/>
    <w:rsid w:val="70585696"/>
    <w:rsid w:val="70587444"/>
    <w:rsid w:val="705C10EE"/>
    <w:rsid w:val="706109EE"/>
    <w:rsid w:val="70634ED0"/>
    <w:rsid w:val="70645DE9"/>
    <w:rsid w:val="706A53C9"/>
    <w:rsid w:val="70710506"/>
    <w:rsid w:val="707324D0"/>
    <w:rsid w:val="707557EA"/>
    <w:rsid w:val="70781894"/>
    <w:rsid w:val="70814BED"/>
    <w:rsid w:val="708273CF"/>
    <w:rsid w:val="708F6BDE"/>
    <w:rsid w:val="70905EB8"/>
    <w:rsid w:val="70950C1F"/>
    <w:rsid w:val="70965EC9"/>
    <w:rsid w:val="709865DE"/>
    <w:rsid w:val="709F1517"/>
    <w:rsid w:val="709F3CB3"/>
    <w:rsid w:val="70A0692F"/>
    <w:rsid w:val="70A15996"/>
    <w:rsid w:val="70A506CF"/>
    <w:rsid w:val="70A97C9F"/>
    <w:rsid w:val="70B030DE"/>
    <w:rsid w:val="70B30B1E"/>
    <w:rsid w:val="70B40794"/>
    <w:rsid w:val="70B84386"/>
    <w:rsid w:val="70BA1EAD"/>
    <w:rsid w:val="70BB16AE"/>
    <w:rsid w:val="70BC134B"/>
    <w:rsid w:val="70C90F89"/>
    <w:rsid w:val="70CB7EAF"/>
    <w:rsid w:val="70CD6084"/>
    <w:rsid w:val="70D07922"/>
    <w:rsid w:val="70D81887"/>
    <w:rsid w:val="70D94A29"/>
    <w:rsid w:val="70DA254F"/>
    <w:rsid w:val="70E20D75"/>
    <w:rsid w:val="70E974CE"/>
    <w:rsid w:val="70ED2282"/>
    <w:rsid w:val="70ED6D19"/>
    <w:rsid w:val="70F10A19"/>
    <w:rsid w:val="70F62372"/>
    <w:rsid w:val="70F962D7"/>
    <w:rsid w:val="70F96459"/>
    <w:rsid w:val="70FB5424"/>
    <w:rsid w:val="71061736"/>
    <w:rsid w:val="71121CE9"/>
    <w:rsid w:val="71126C39"/>
    <w:rsid w:val="71130FF4"/>
    <w:rsid w:val="71155335"/>
    <w:rsid w:val="711A294B"/>
    <w:rsid w:val="711D243B"/>
    <w:rsid w:val="711E68DF"/>
    <w:rsid w:val="71257E7D"/>
    <w:rsid w:val="7128150C"/>
    <w:rsid w:val="71297032"/>
    <w:rsid w:val="712D08D1"/>
    <w:rsid w:val="713A104E"/>
    <w:rsid w:val="713C6D66"/>
    <w:rsid w:val="71431EA2"/>
    <w:rsid w:val="71461992"/>
    <w:rsid w:val="714B0D57"/>
    <w:rsid w:val="714B21E6"/>
    <w:rsid w:val="71526589"/>
    <w:rsid w:val="715323BE"/>
    <w:rsid w:val="715B3690"/>
    <w:rsid w:val="715F2A54"/>
    <w:rsid w:val="71606418"/>
    <w:rsid w:val="716562BC"/>
    <w:rsid w:val="716A5681"/>
    <w:rsid w:val="71706FD4"/>
    <w:rsid w:val="71720832"/>
    <w:rsid w:val="717B209F"/>
    <w:rsid w:val="71834994"/>
    <w:rsid w:val="71872296"/>
    <w:rsid w:val="71896D52"/>
    <w:rsid w:val="718B3849"/>
    <w:rsid w:val="718F6E95"/>
    <w:rsid w:val="71922E29"/>
    <w:rsid w:val="71970440"/>
    <w:rsid w:val="71A62431"/>
    <w:rsid w:val="71AA0173"/>
    <w:rsid w:val="71AC28EB"/>
    <w:rsid w:val="71AD37BF"/>
    <w:rsid w:val="71BB5EDC"/>
    <w:rsid w:val="71BC3A02"/>
    <w:rsid w:val="71BE468D"/>
    <w:rsid w:val="71C75A92"/>
    <w:rsid w:val="71CC2058"/>
    <w:rsid w:val="71D21478"/>
    <w:rsid w:val="71D2470A"/>
    <w:rsid w:val="71D8548B"/>
    <w:rsid w:val="71D93EA1"/>
    <w:rsid w:val="71DD06C6"/>
    <w:rsid w:val="71E05943"/>
    <w:rsid w:val="71EC078C"/>
    <w:rsid w:val="71F500D8"/>
    <w:rsid w:val="71FB53D1"/>
    <w:rsid w:val="72007D93"/>
    <w:rsid w:val="72086C48"/>
    <w:rsid w:val="72097843"/>
    <w:rsid w:val="72141A90"/>
    <w:rsid w:val="72181CB5"/>
    <w:rsid w:val="721B2E1F"/>
    <w:rsid w:val="72230E0F"/>
    <w:rsid w:val="72231CD3"/>
    <w:rsid w:val="72250809"/>
    <w:rsid w:val="7225308B"/>
    <w:rsid w:val="72267932"/>
    <w:rsid w:val="723B04F2"/>
    <w:rsid w:val="723E32EB"/>
    <w:rsid w:val="723F6274"/>
    <w:rsid w:val="72596525"/>
    <w:rsid w:val="725F0F5E"/>
    <w:rsid w:val="72614DCE"/>
    <w:rsid w:val="726227FC"/>
    <w:rsid w:val="726F1340"/>
    <w:rsid w:val="727527C6"/>
    <w:rsid w:val="727647B8"/>
    <w:rsid w:val="72764B20"/>
    <w:rsid w:val="727B1B10"/>
    <w:rsid w:val="727B566C"/>
    <w:rsid w:val="72802C82"/>
    <w:rsid w:val="72807126"/>
    <w:rsid w:val="728564EA"/>
    <w:rsid w:val="72864731"/>
    <w:rsid w:val="728A6A82"/>
    <w:rsid w:val="728C3273"/>
    <w:rsid w:val="728E2856"/>
    <w:rsid w:val="729A6EF8"/>
    <w:rsid w:val="72A03324"/>
    <w:rsid w:val="72A20E4A"/>
    <w:rsid w:val="72AA278E"/>
    <w:rsid w:val="72AB5DE3"/>
    <w:rsid w:val="72AB7C8C"/>
    <w:rsid w:val="72AC0ABA"/>
    <w:rsid w:val="72AE5A41"/>
    <w:rsid w:val="72AF5315"/>
    <w:rsid w:val="72B03567"/>
    <w:rsid w:val="72B11514"/>
    <w:rsid w:val="72B6067D"/>
    <w:rsid w:val="72C74D55"/>
    <w:rsid w:val="72CD09AB"/>
    <w:rsid w:val="72D0088C"/>
    <w:rsid w:val="72E04D55"/>
    <w:rsid w:val="72E476B5"/>
    <w:rsid w:val="72E74AAF"/>
    <w:rsid w:val="72F1592E"/>
    <w:rsid w:val="72F71196"/>
    <w:rsid w:val="72F83160"/>
    <w:rsid w:val="72FA0C86"/>
    <w:rsid w:val="72FA7564"/>
    <w:rsid w:val="72FD0349"/>
    <w:rsid w:val="7300200C"/>
    <w:rsid w:val="73093217"/>
    <w:rsid w:val="7309772E"/>
    <w:rsid w:val="730B45CC"/>
    <w:rsid w:val="730E1CC8"/>
    <w:rsid w:val="73102258"/>
    <w:rsid w:val="73104006"/>
    <w:rsid w:val="731F2276"/>
    <w:rsid w:val="7334410A"/>
    <w:rsid w:val="73344DA5"/>
    <w:rsid w:val="73360E06"/>
    <w:rsid w:val="733A72D5"/>
    <w:rsid w:val="7343262D"/>
    <w:rsid w:val="73452683"/>
    <w:rsid w:val="734E22B4"/>
    <w:rsid w:val="7353384D"/>
    <w:rsid w:val="73536328"/>
    <w:rsid w:val="73551434"/>
    <w:rsid w:val="735540DE"/>
    <w:rsid w:val="73570B30"/>
    <w:rsid w:val="735C70D3"/>
    <w:rsid w:val="735E6502"/>
    <w:rsid w:val="735E7467"/>
    <w:rsid w:val="73667ADF"/>
    <w:rsid w:val="736B56E0"/>
    <w:rsid w:val="736B748E"/>
    <w:rsid w:val="73781BAB"/>
    <w:rsid w:val="738437CC"/>
    <w:rsid w:val="738A1B7C"/>
    <w:rsid w:val="73A3131E"/>
    <w:rsid w:val="73A711B1"/>
    <w:rsid w:val="73AD7AA7"/>
    <w:rsid w:val="73B10EE9"/>
    <w:rsid w:val="73B40E35"/>
    <w:rsid w:val="73B47087"/>
    <w:rsid w:val="73BB0416"/>
    <w:rsid w:val="73BB67B3"/>
    <w:rsid w:val="73C21AD8"/>
    <w:rsid w:val="73CB617F"/>
    <w:rsid w:val="73CF5C6F"/>
    <w:rsid w:val="73D14BA2"/>
    <w:rsid w:val="73D239B1"/>
    <w:rsid w:val="73D37293"/>
    <w:rsid w:val="73D40927"/>
    <w:rsid w:val="73DE27C0"/>
    <w:rsid w:val="73EB241B"/>
    <w:rsid w:val="73EF00BF"/>
    <w:rsid w:val="73F13E37"/>
    <w:rsid w:val="740022CC"/>
    <w:rsid w:val="74082F2F"/>
    <w:rsid w:val="741025A2"/>
    <w:rsid w:val="74145D78"/>
    <w:rsid w:val="7415295F"/>
    <w:rsid w:val="74155497"/>
    <w:rsid w:val="7416389E"/>
    <w:rsid w:val="7416564C"/>
    <w:rsid w:val="741B2C62"/>
    <w:rsid w:val="741C4C2C"/>
    <w:rsid w:val="741E5D9D"/>
    <w:rsid w:val="741F164E"/>
    <w:rsid w:val="74274E08"/>
    <w:rsid w:val="743261FE"/>
    <w:rsid w:val="743326A2"/>
    <w:rsid w:val="74373DBA"/>
    <w:rsid w:val="74392A0E"/>
    <w:rsid w:val="7439758C"/>
    <w:rsid w:val="74411194"/>
    <w:rsid w:val="74424693"/>
    <w:rsid w:val="74477EFB"/>
    <w:rsid w:val="744E128A"/>
    <w:rsid w:val="745253E2"/>
    <w:rsid w:val="74570CCE"/>
    <w:rsid w:val="7457581B"/>
    <w:rsid w:val="745B39A7"/>
    <w:rsid w:val="745B5755"/>
    <w:rsid w:val="745C6F80"/>
    <w:rsid w:val="746B557E"/>
    <w:rsid w:val="746F1200"/>
    <w:rsid w:val="74764B6B"/>
    <w:rsid w:val="74784920"/>
    <w:rsid w:val="74894804"/>
    <w:rsid w:val="748A0219"/>
    <w:rsid w:val="748A7DE8"/>
    <w:rsid w:val="749018A2"/>
    <w:rsid w:val="74962C31"/>
    <w:rsid w:val="74982F9A"/>
    <w:rsid w:val="74A0243F"/>
    <w:rsid w:val="74A25132"/>
    <w:rsid w:val="74A5312C"/>
    <w:rsid w:val="74A82061"/>
    <w:rsid w:val="74AF2C21"/>
    <w:rsid w:val="74B44E65"/>
    <w:rsid w:val="74B80DF9"/>
    <w:rsid w:val="74BA06CD"/>
    <w:rsid w:val="74C274EF"/>
    <w:rsid w:val="74C82995"/>
    <w:rsid w:val="74D07EF1"/>
    <w:rsid w:val="74D44721"/>
    <w:rsid w:val="74D84FF7"/>
    <w:rsid w:val="74D9655D"/>
    <w:rsid w:val="74E7523A"/>
    <w:rsid w:val="74F603AF"/>
    <w:rsid w:val="750156D5"/>
    <w:rsid w:val="750202C6"/>
    <w:rsid w:val="7506425C"/>
    <w:rsid w:val="750758DC"/>
    <w:rsid w:val="750B33B4"/>
    <w:rsid w:val="750B67AC"/>
    <w:rsid w:val="750C3049"/>
    <w:rsid w:val="75153B55"/>
    <w:rsid w:val="751B4EE4"/>
    <w:rsid w:val="751C4192"/>
    <w:rsid w:val="7521699E"/>
    <w:rsid w:val="75273889"/>
    <w:rsid w:val="752C0E9F"/>
    <w:rsid w:val="75324707"/>
    <w:rsid w:val="754206C3"/>
    <w:rsid w:val="7545103A"/>
    <w:rsid w:val="75470E99"/>
    <w:rsid w:val="754934DA"/>
    <w:rsid w:val="754957D8"/>
    <w:rsid w:val="754E52B9"/>
    <w:rsid w:val="75555FEB"/>
    <w:rsid w:val="755A1EB0"/>
    <w:rsid w:val="75666069"/>
    <w:rsid w:val="756819EF"/>
    <w:rsid w:val="75685A81"/>
    <w:rsid w:val="756920F3"/>
    <w:rsid w:val="7571539A"/>
    <w:rsid w:val="757179AB"/>
    <w:rsid w:val="75722D56"/>
    <w:rsid w:val="75790588"/>
    <w:rsid w:val="7579607C"/>
    <w:rsid w:val="757A60AE"/>
    <w:rsid w:val="75826D11"/>
    <w:rsid w:val="759055A1"/>
    <w:rsid w:val="75910085"/>
    <w:rsid w:val="75947170"/>
    <w:rsid w:val="75984ABB"/>
    <w:rsid w:val="75994786"/>
    <w:rsid w:val="759E15E6"/>
    <w:rsid w:val="75A4312B"/>
    <w:rsid w:val="75A44ED9"/>
    <w:rsid w:val="75A959AA"/>
    <w:rsid w:val="75AA24FD"/>
    <w:rsid w:val="75AE241F"/>
    <w:rsid w:val="75B275F6"/>
    <w:rsid w:val="75B27CA5"/>
    <w:rsid w:val="75B348F6"/>
    <w:rsid w:val="75B55338"/>
    <w:rsid w:val="75C15A8B"/>
    <w:rsid w:val="75C40A5A"/>
    <w:rsid w:val="75D37C5C"/>
    <w:rsid w:val="75D46E4C"/>
    <w:rsid w:val="75DA0985"/>
    <w:rsid w:val="75EB2B08"/>
    <w:rsid w:val="75FC6AF9"/>
    <w:rsid w:val="75FF0362"/>
    <w:rsid w:val="760065B4"/>
    <w:rsid w:val="760573CB"/>
    <w:rsid w:val="76092C6B"/>
    <w:rsid w:val="76143E0D"/>
    <w:rsid w:val="7617396F"/>
    <w:rsid w:val="76182881"/>
    <w:rsid w:val="761A1D90"/>
    <w:rsid w:val="761B3F41"/>
    <w:rsid w:val="761C0F14"/>
    <w:rsid w:val="762F50EB"/>
    <w:rsid w:val="763A1732"/>
    <w:rsid w:val="76426BCC"/>
    <w:rsid w:val="76432944"/>
    <w:rsid w:val="76467535"/>
    <w:rsid w:val="76515061"/>
    <w:rsid w:val="76562678"/>
    <w:rsid w:val="76571F4C"/>
    <w:rsid w:val="765863F0"/>
    <w:rsid w:val="765C57B4"/>
    <w:rsid w:val="765F4872"/>
    <w:rsid w:val="766023F8"/>
    <w:rsid w:val="76636B42"/>
    <w:rsid w:val="76745AD1"/>
    <w:rsid w:val="767755A1"/>
    <w:rsid w:val="767F69D7"/>
    <w:rsid w:val="76856AB9"/>
    <w:rsid w:val="768F0708"/>
    <w:rsid w:val="76911902"/>
    <w:rsid w:val="769660A1"/>
    <w:rsid w:val="769C3E9C"/>
    <w:rsid w:val="76A423A7"/>
    <w:rsid w:val="76A827A7"/>
    <w:rsid w:val="76B566AC"/>
    <w:rsid w:val="76CA6BC2"/>
    <w:rsid w:val="76CE66B2"/>
    <w:rsid w:val="76D108FC"/>
    <w:rsid w:val="76D25C65"/>
    <w:rsid w:val="76D36023"/>
    <w:rsid w:val="76D4359C"/>
    <w:rsid w:val="76D57A40"/>
    <w:rsid w:val="76D637B8"/>
    <w:rsid w:val="76DB0DCF"/>
    <w:rsid w:val="76DD4B47"/>
    <w:rsid w:val="76DF36D9"/>
    <w:rsid w:val="76E322BD"/>
    <w:rsid w:val="76E52316"/>
    <w:rsid w:val="76E92B95"/>
    <w:rsid w:val="76EC46EF"/>
    <w:rsid w:val="76ED5F8C"/>
    <w:rsid w:val="76ED6663"/>
    <w:rsid w:val="76EE465E"/>
    <w:rsid w:val="76F1414E"/>
    <w:rsid w:val="76F876C4"/>
    <w:rsid w:val="76FC05B4"/>
    <w:rsid w:val="76FF2D0F"/>
    <w:rsid w:val="76FF4ABD"/>
    <w:rsid w:val="771238C5"/>
    <w:rsid w:val="77130569"/>
    <w:rsid w:val="7715413F"/>
    <w:rsid w:val="771E135B"/>
    <w:rsid w:val="772A761D"/>
    <w:rsid w:val="772C64B4"/>
    <w:rsid w:val="772F0407"/>
    <w:rsid w:val="773447C0"/>
    <w:rsid w:val="7735228D"/>
    <w:rsid w:val="77377D64"/>
    <w:rsid w:val="77456AE1"/>
    <w:rsid w:val="774E77F3"/>
    <w:rsid w:val="774F6E70"/>
    <w:rsid w:val="77514BED"/>
    <w:rsid w:val="77585F7B"/>
    <w:rsid w:val="775C313C"/>
    <w:rsid w:val="775D19FB"/>
    <w:rsid w:val="775D40B0"/>
    <w:rsid w:val="775F555C"/>
    <w:rsid w:val="7761288A"/>
    <w:rsid w:val="776A48A8"/>
    <w:rsid w:val="776E6A77"/>
    <w:rsid w:val="777475A3"/>
    <w:rsid w:val="77752DF8"/>
    <w:rsid w:val="777D1E86"/>
    <w:rsid w:val="777E63ED"/>
    <w:rsid w:val="777F42A8"/>
    <w:rsid w:val="77811976"/>
    <w:rsid w:val="77836141"/>
    <w:rsid w:val="778419AE"/>
    <w:rsid w:val="77843214"/>
    <w:rsid w:val="77847E03"/>
    <w:rsid w:val="778C3EF5"/>
    <w:rsid w:val="7791148D"/>
    <w:rsid w:val="77972F48"/>
    <w:rsid w:val="77974CF6"/>
    <w:rsid w:val="779A6594"/>
    <w:rsid w:val="779C055E"/>
    <w:rsid w:val="779E42D6"/>
    <w:rsid w:val="77A103E0"/>
    <w:rsid w:val="77A17922"/>
    <w:rsid w:val="77A22D00"/>
    <w:rsid w:val="77A814B5"/>
    <w:rsid w:val="77AA445B"/>
    <w:rsid w:val="77AB3A64"/>
    <w:rsid w:val="77AB3C2A"/>
    <w:rsid w:val="77AF4036"/>
    <w:rsid w:val="77B70837"/>
    <w:rsid w:val="77B77FF7"/>
    <w:rsid w:val="77B82E31"/>
    <w:rsid w:val="77BE0081"/>
    <w:rsid w:val="77BE6726"/>
    <w:rsid w:val="77CF2125"/>
    <w:rsid w:val="77D25443"/>
    <w:rsid w:val="77D6701F"/>
    <w:rsid w:val="77DC4DFE"/>
    <w:rsid w:val="77F739E6"/>
    <w:rsid w:val="77FA5D85"/>
    <w:rsid w:val="7802176B"/>
    <w:rsid w:val="780337A2"/>
    <w:rsid w:val="780340CB"/>
    <w:rsid w:val="780533FD"/>
    <w:rsid w:val="7806125D"/>
    <w:rsid w:val="780954C8"/>
    <w:rsid w:val="780A371A"/>
    <w:rsid w:val="780B070A"/>
    <w:rsid w:val="78146346"/>
    <w:rsid w:val="78183DE9"/>
    <w:rsid w:val="781E2CD5"/>
    <w:rsid w:val="78232A2D"/>
    <w:rsid w:val="78250206"/>
    <w:rsid w:val="78252301"/>
    <w:rsid w:val="782C2386"/>
    <w:rsid w:val="782C7B34"/>
    <w:rsid w:val="7833133C"/>
    <w:rsid w:val="783B42D7"/>
    <w:rsid w:val="784604CA"/>
    <w:rsid w:val="784C1F84"/>
    <w:rsid w:val="784C4C06"/>
    <w:rsid w:val="784E2CAA"/>
    <w:rsid w:val="784F737E"/>
    <w:rsid w:val="7851759A"/>
    <w:rsid w:val="785B3F75"/>
    <w:rsid w:val="7860333A"/>
    <w:rsid w:val="78654D55"/>
    <w:rsid w:val="786C6182"/>
    <w:rsid w:val="78747106"/>
    <w:rsid w:val="787D09CF"/>
    <w:rsid w:val="788334CC"/>
    <w:rsid w:val="78852DA0"/>
    <w:rsid w:val="7892370F"/>
    <w:rsid w:val="78994A9D"/>
    <w:rsid w:val="789A117D"/>
    <w:rsid w:val="78A27DF6"/>
    <w:rsid w:val="78A7229F"/>
    <w:rsid w:val="78AF606F"/>
    <w:rsid w:val="78B00E0E"/>
    <w:rsid w:val="78B73AC0"/>
    <w:rsid w:val="78B95140"/>
    <w:rsid w:val="78BB2C66"/>
    <w:rsid w:val="78BC5212"/>
    <w:rsid w:val="78BE5F5A"/>
    <w:rsid w:val="78C50984"/>
    <w:rsid w:val="78C66239"/>
    <w:rsid w:val="78CA1E86"/>
    <w:rsid w:val="78CC030B"/>
    <w:rsid w:val="78CE0C0C"/>
    <w:rsid w:val="78D65786"/>
    <w:rsid w:val="78DA53DD"/>
    <w:rsid w:val="78DB3420"/>
    <w:rsid w:val="78DC497A"/>
    <w:rsid w:val="78E421BD"/>
    <w:rsid w:val="78E718B4"/>
    <w:rsid w:val="78E75809"/>
    <w:rsid w:val="78EA3B70"/>
    <w:rsid w:val="78FA26E8"/>
    <w:rsid w:val="78FD6DDA"/>
    <w:rsid w:val="790053B1"/>
    <w:rsid w:val="790243F1"/>
    <w:rsid w:val="79060B2C"/>
    <w:rsid w:val="790E02FC"/>
    <w:rsid w:val="79134850"/>
    <w:rsid w:val="79173863"/>
    <w:rsid w:val="7918089D"/>
    <w:rsid w:val="79183C14"/>
    <w:rsid w:val="791A150E"/>
    <w:rsid w:val="791B1956"/>
    <w:rsid w:val="792516D5"/>
    <w:rsid w:val="79254583"/>
    <w:rsid w:val="79256340"/>
    <w:rsid w:val="79377700"/>
    <w:rsid w:val="794013BD"/>
    <w:rsid w:val="7940316B"/>
    <w:rsid w:val="79490272"/>
    <w:rsid w:val="794A764D"/>
    <w:rsid w:val="794E4B73"/>
    <w:rsid w:val="794F7F27"/>
    <w:rsid w:val="795E2CD5"/>
    <w:rsid w:val="79607369"/>
    <w:rsid w:val="796230E1"/>
    <w:rsid w:val="796824C6"/>
    <w:rsid w:val="79767B69"/>
    <w:rsid w:val="79782905"/>
    <w:rsid w:val="79982FA7"/>
    <w:rsid w:val="799A28EB"/>
    <w:rsid w:val="799B0A42"/>
    <w:rsid w:val="79A04EBE"/>
    <w:rsid w:val="79A12ED7"/>
    <w:rsid w:val="79A436FA"/>
    <w:rsid w:val="79A731EA"/>
    <w:rsid w:val="79AE6327"/>
    <w:rsid w:val="79B41C03"/>
    <w:rsid w:val="79B75203"/>
    <w:rsid w:val="79B778D1"/>
    <w:rsid w:val="79B871A5"/>
    <w:rsid w:val="79BD1E6F"/>
    <w:rsid w:val="79BE0C60"/>
    <w:rsid w:val="79C913B2"/>
    <w:rsid w:val="79CD4BFB"/>
    <w:rsid w:val="79CE69C9"/>
    <w:rsid w:val="79D33FDF"/>
    <w:rsid w:val="79D42231"/>
    <w:rsid w:val="79D72945"/>
    <w:rsid w:val="79D833A4"/>
    <w:rsid w:val="79DF4732"/>
    <w:rsid w:val="79E23DB7"/>
    <w:rsid w:val="79E306C6"/>
    <w:rsid w:val="79E47F9A"/>
    <w:rsid w:val="79E7373C"/>
    <w:rsid w:val="79E87A8A"/>
    <w:rsid w:val="79F301DD"/>
    <w:rsid w:val="79F77CCE"/>
    <w:rsid w:val="7A036672"/>
    <w:rsid w:val="7A0619FD"/>
    <w:rsid w:val="7A067F11"/>
    <w:rsid w:val="7A0B5527"/>
    <w:rsid w:val="7A102B3D"/>
    <w:rsid w:val="7A1239FE"/>
    <w:rsid w:val="7A150154"/>
    <w:rsid w:val="7A1C7E11"/>
    <w:rsid w:val="7A1E1E33"/>
    <w:rsid w:val="7A223EAD"/>
    <w:rsid w:val="7A230AC3"/>
    <w:rsid w:val="7A2D1FFE"/>
    <w:rsid w:val="7A301431"/>
    <w:rsid w:val="7A304F8E"/>
    <w:rsid w:val="7A305DAE"/>
    <w:rsid w:val="7A3360C8"/>
    <w:rsid w:val="7A442090"/>
    <w:rsid w:val="7A497627"/>
    <w:rsid w:val="7A4A17D1"/>
    <w:rsid w:val="7A4B0019"/>
    <w:rsid w:val="7A4B61BA"/>
    <w:rsid w:val="7A4E29D8"/>
    <w:rsid w:val="7A5433BE"/>
    <w:rsid w:val="7A552C46"/>
    <w:rsid w:val="7A560E23"/>
    <w:rsid w:val="7A5658D8"/>
    <w:rsid w:val="7A596A72"/>
    <w:rsid w:val="7A637111"/>
    <w:rsid w:val="7A6C488F"/>
    <w:rsid w:val="7A6F1F5A"/>
    <w:rsid w:val="7A707A80"/>
    <w:rsid w:val="7A7362FE"/>
    <w:rsid w:val="7A7430CC"/>
    <w:rsid w:val="7A745551"/>
    <w:rsid w:val="7A796935"/>
    <w:rsid w:val="7A814F1E"/>
    <w:rsid w:val="7A862E00"/>
    <w:rsid w:val="7A897628"/>
    <w:rsid w:val="7A8B158A"/>
    <w:rsid w:val="7A8B2D14"/>
    <w:rsid w:val="7A9674E6"/>
    <w:rsid w:val="7A97325F"/>
    <w:rsid w:val="7A9E7346"/>
    <w:rsid w:val="7AA53BCD"/>
    <w:rsid w:val="7AAC0949"/>
    <w:rsid w:val="7AAE5B4C"/>
    <w:rsid w:val="7AB742DE"/>
    <w:rsid w:val="7AC202DC"/>
    <w:rsid w:val="7AC2652D"/>
    <w:rsid w:val="7AC52BAB"/>
    <w:rsid w:val="7ACD6C80"/>
    <w:rsid w:val="7ACF5F5F"/>
    <w:rsid w:val="7ADE2F9D"/>
    <w:rsid w:val="7ADF6716"/>
    <w:rsid w:val="7AEA338E"/>
    <w:rsid w:val="7AEE3E23"/>
    <w:rsid w:val="7AF1296F"/>
    <w:rsid w:val="7AF406B1"/>
    <w:rsid w:val="7AF71CAA"/>
    <w:rsid w:val="7B017E0B"/>
    <w:rsid w:val="7B05641A"/>
    <w:rsid w:val="7B087CB8"/>
    <w:rsid w:val="7B0B76CA"/>
    <w:rsid w:val="7B0E7470"/>
    <w:rsid w:val="7B13191B"/>
    <w:rsid w:val="7B136C12"/>
    <w:rsid w:val="7B14665D"/>
    <w:rsid w:val="7B1563F1"/>
    <w:rsid w:val="7B1D19B6"/>
    <w:rsid w:val="7B1D5512"/>
    <w:rsid w:val="7B22521E"/>
    <w:rsid w:val="7B242D44"/>
    <w:rsid w:val="7B272834"/>
    <w:rsid w:val="7B276391"/>
    <w:rsid w:val="7B2965AD"/>
    <w:rsid w:val="7B2A40D3"/>
    <w:rsid w:val="7B2B14F7"/>
    <w:rsid w:val="7B2B76AE"/>
    <w:rsid w:val="7B3219DB"/>
    <w:rsid w:val="7B346CFF"/>
    <w:rsid w:val="7B354F51"/>
    <w:rsid w:val="7B3B4456"/>
    <w:rsid w:val="7B3F7B7E"/>
    <w:rsid w:val="7B413F7E"/>
    <w:rsid w:val="7B454A69"/>
    <w:rsid w:val="7B477DF0"/>
    <w:rsid w:val="7B4909FD"/>
    <w:rsid w:val="7B51340D"/>
    <w:rsid w:val="7B5404A3"/>
    <w:rsid w:val="7B555173"/>
    <w:rsid w:val="7B567AA9"/>
    <w:rsid w:val="7B5A19FA"/>
    <w:rsid w:val="7B5B445D"/>
    <w:rsid w:val="7B5F5B2A"/>
    <w:rsid w:val="7B62561B"/>
    <w:rsid w:val="7B65564D"/>
    <w:rsid w:val="7B672C31"/>
    <w:rsid w:val="7B6770D5"/>
    <w:rsid w:val="7B6969A9"/>
    <w:rsid w:val="7B7122A7"/>
    <w:rsid w:val="7B767318"/>
    <w:rsid w:val="7B774F10"/>
    <w:rsid w:val="7B826770"/>
    <w:rsid w:val="7B871525"/>
    <w:rsid w:val="7B881E92"/>
    <w:rsid w:val="7B927291"/>
    <w:rsid w:val="7B931C78"/>
    <w:rsid w:val="7B95779E"/>
    <w:rsid w:val="7B960AA1"/>
    <w:rsid w:val="7B98728E"/>
    <w:rsid w:val="7BA17734"/>
    <w:rsid w:val="7BAA1B68"/>
    <w:rsid w:val="7BAB0E28"/>
    <w:rsid w:val="7BAE5967"/>
    <w:rsid w:val="7BB03744"/>
    <w:rsid w:val="7BB43AD4"/>
    <w:rsid w:val="7BBD6CF5"/>
    <w:rsid w:val="7BC609BA"/>
    <w:rsid w:val="7BC63DFB"/>
    <w:rsid w:val="7BC92567"/>
    <w:rsid w:val="7BD52290"/>
    <w:rsid w:val="7BDB06D8"/>
    <w:rsid w:val="7BDC0E31"/>
    <w:rsid w:val="7BDF7589"/>
    <w:rsid w:val="7BE92A89"/>
    <w:rsid w:val="7BF24BF0"/>
    <w:rsid w:val="7BFA609C"/>
    <w:rsid w:val="7BFA7D17"/>
    <w:rsid w:val="7C0043CF"/>
    <w:rsid w:val="7C013085"/>
    <w:rsid w:val="7C016BE2"/>
    <w:rsid w:val="7C037151"/>
    <w:rsid w:val="7C0641F8"/>
    <w:rsid w:val="7C093CE8"/>
    <w:rsid w:val="7C183F2B"/>
    <w:rsid w:val="7C184FB7"/>
    <w:rsid w:val="7C1D11E6"/>
    <w:rsid w:val="7C2428D0"/>
    <w:rsid w:val="7C28351F"/>
    <w:rsid w:val="7C2A5FBD"/>
    <w:rsid w:val="7C330D65"/>
    <w:rsid w:val="7C3639F5"/>
    <w:rsid w:val="7C371DE6"/>
    <w:rsid w:val="7C374CF9"/>
    <w:rsid w:val="7C3E1BE4"/>
    <w:rsid w:val="7C3F3BAE"/>
    <w:rsid w:val="7C4021C5"/>
    <w:rsid w:val="7C4D1E27"/>
    <w:rsid w:val="7C4D62CB"/>
    <w:rsid w:val="7C547659"/>
    <w:rsid w:val="7C566370"/>
    <w:rsid w:val="7C6554CE"/>
    <w:rsid w:val="7C6A0C2B"/>
    <w:rsid w:val="7C6B04FF"/>
    <w:rsid w:val="7C72188D"/>
    <w:rsid w:val="7C7572C2"/>
    <w:rsid w:val="7C7B5EF8"/>
    <w:rsid w:val="7C7D6C44"/>
    <w:rsid w:val="7C7F3FAA"/>
    <w:rsid w:val="7C80044E"/>
    <w:rsid w:val="7C8415C1"/>
    <w:rsid w:val="7C855A65"/>
    <w:rsid w:val="7C8810B1"/>
    <w:rsid w:val="7C8873AD"/>
    <w:rsid w:val="7C8B6DF3"/>
    <w:rsid w:val="7C8F2291"/>
    <w:rsid w:val="7C9B5BF7"/>
    <w:rsid w:val="7C9C621F"/>
    <w:rsid w:val="7CA05E22"/>
    <w:rsid w:val="7CA279A2"/>
    <w:rsid w:val="7CA65E91"/>
    <w:rsid w:val="7CA81753"/>
    <w:rsid w:val="7CAA1027"/>
    <w:rsid w:val="7CAF04D4"/>
    <w:rsid w:val="7CB13F96"/>
    <w:rsid w:val="7CB579CC"/>
    <w:rsid w:val="7CB93960"/>
    <w:rsid w:val="7CBC7C7D"/>
    <w:rsid w:val="7CBD354E"/>
    <w:rsid w:val="7CD11A50"/>
    <w:rsid w:val="7CD42548"/>
    <w:rsid w:val="7CD75B94"/>
    <w:rsid w:val="7CDA3206"/>
    <w:rsid w:val="7CEA517B"/>
    <w:rsid w:val="7CED5C1E"/>
    <w:rsid w:val="7CF130FA"/>
    <w:rsid w:val="7CF14EA8"/>
    <w:rsid w:val="7CF5799B"/>
    <w:rsid w:val="7CF624BE"/>
    <w:rsid w:val="7CF657B2"/>
    <w:rsid w:val="7CF84488"/>
    <w:rsid w:val="7D036989"/>
    <w:rsid w:val="7D056BA5"/>
    <w:rsid w:val="7D0C0A6E"/>
    <w:rsid w:val="7D0C3A90"/>
    <w:rsid w:val="7D0D041A"/>
    <w:rsid w:val="7D1D3EEF"/>
    <w:rsid w:val="7D1E37C3"/>
    <w:rsid w:val="7D1F286A"/>
    <w:rsid w:val="7D23702C"/>
    <w:rsid w:val="7D27053F"/>
    <w:rsid w:val="7D29599C"/>
    <w:rsid w:val="7D2D53B2"/>
    <w:rsid w:val="7D2F59D0"/>
    <w:rsid w:val="7D3354C1"/>
    <w:rsid w:val="7D3B6123"/>
    <w:rsid w:val="7D3C5597"/>
    <w:rsid w:val="7D3E5C13"/>
    <w:rsid w:val="7D467F74"/>
    <w:rsid w:val="7D4A6009"/>
    <w:rsid w:val="7D4B192B"/>
    <w:rsid w:val="7D603342"/>
    <w:rsid w:val="7D6067A7"/>
    <w:rsid w:val="7D6137E6"/>
    <w:rsid w:val="7D64006E"/>
    <w:rsid w:val="7D6417AF"/>
    <w:rsid w:val="7D6B164E"/>
    <w:rsid w:val="7D6E0B58"/>
    <w:rsid w:val="7D6E474B"/>
    <w:rsid w:val="7D7004C3"/>
    <w:rsid w:val="7D731D61"/>
    <w:rsid w:val="7D753095"/>
    <w:rsid w:val="7D761851"/>
    <w:rsid w:val="7D782922"/>
    <w:rsid w:val="7D7C5EB9"/>
    <w:rsid w:val="7D7D2765"/>
    <w:rsid w:val="7D845D1C"/>
    <w:rsid w:val="7D8C5DEA"/>
    <w:rsid w:val="7D8E26F7"/>
    <w:rsid w:val="7D932DDB"/>
    <w:rsid w:val="7D9505DD"/>
    <w:rsid w:val="7D9903CF"/>
    <w:rsid w:val="7D9C0750"/>
    <w:rsid w:val="7DA535E7"/>
    <w:rsid w:val="7DAE368C"/>
    <w:rsid w:val="7DAF266D"/>
    <w:rsid w:val="7DB020D4"/>
    <w:rsid w:val="7DB06B11"/>
    <w:rsid w:val="7DB87212"/>
    <w:rsid w:val="7DBC4A67"/>
    <w:rsid w:val="7DC07A2C"/>
    <w:rsid w:val="7DC205F3"/>
    <w:rsid w:val="7DCC7FF1"/>
    <w:rsid w:val="7DD10836"/>
    <w:rsid w:val="7DD520D4"/>
    <w:rsid w:val="7DD86068"/>
    <w:rsid w:val="7DDA033E"/>
    <w:rsid w:val="7DDB1F42"/>
    <w:rsid w:val="7DDD71DA"/>
    <w:rsid w:val="7DE762AB"/>
    <w:rsid w:val="7DE807D9"/>
    <w:rsid w:val="7DE81FDD"/>
    <w:rsid w:val="7DEB18F7"/>
    <w:rsid w:val="7DF05160"/>
    <w:rsid w:val="7DF509C8"/>
    <w:rsid w:val="7DF54524"/>
    <w:rsid w:val="7DF67F72"/>
    <w:rsid w:val="7DF96F41"/>
    <w:rsid w:val="7DFC1D56"/>
    <w:rsid w:val="7E0230E5"/>
    <w:rsid w:val="7E044877"/>
    <w:rsid w:val="7E0452E2"/>
    <w:rsid w:val="7E0D3F64"/>
    <w:rsid w:val="7E1846B6"/>
    <w:rsid w:val="7E1C6AC3"/>
    <w:rsid w:val="7E1D3F2F"/>
    <w:rsid w:val="7E2C3CBE"/>
    <w:rsid w:val="7E301F03"/>
    <w:rsid w:val="7E32242A"/>
    <w:rsid w:val="7E394D59"/>
    <w:rsid w:val="7E3B4C1D"/>
    <w:rsid w:val="7E4030DF"/>
    <w:rsid w:val="7E421E61"/>
    <w:rsid w:val="7E4E00D8"/>
    <w:rsid w:val="7E4E5490"/>
    <w:rsid w:val="7E503E50"/>
    <w:rsid w:val="7E50615E"/>
    <w:rsid w:val="7E515F78"/>
    <w:rsid w:val="7E566324"/>
    <w:rsid w:val="7E5D1B14"/>
    <w:rsid w:val="7E6873EC"/>
    <w:rsid w:val="7E6F077A"/>
    <w:rsid w:val="7E7318ED"/>
    <w:rsid w:val="7E7713DD"/>
    <w:rsid w:val="7E784ECC"/>
    <w:rsid w:val="7E81304E"/>
    <w:rsid w:val="7E8835EA"/>
    <w:rsid w:val="7E8A59B9"/>
    <w:rsid w:val="7E8B2AD2"/>
    <w:rsid w:val="7E8F6091"/>
    <w:rsid w:val="7E963EFC"/>
    <w:rsid w:val="7E9B65C0"/>
    <w:rsid w:val="7E9E2E0E"/>
    <w:rsid w:val="7EA27646"/>
    <w:rsid w:val="7EA62E94"/>
    <w:rsid w:val="7EA83C8C"/>
    <w:rsid w:val="7EA84AA5"/>
    <w:rsid w:val="7EAA3560"/>
    <w:rsid w:val="7EAF620C"/>
    <w:rsid w:val="7EB0673F"/>
    <w:rsid w:val="7EB443DF"/>
    <w:rsid w:val="7EC448BF"/>
    <w:rsid w:val="7EC90862"/>
    <w:rsid w:val="7EC9775F"/>
    <w:rsid w:val="7ED44A81"/>
    <w:rsid w:val="7ED95BF4"/>
    <w:rsid w:val="7EDA48F5"/>
    <w:rsid w:val="7EDC3936"/>
    <w:rsid w:val="7EEA5542"/>
    <w:rsid w:val="7EEC5E71"/>
    <w:rsid w:val="7EED5B43"/>
    <w:rsid w:val="7EEE33D2"/>
    <w:rsid w:val="7EEF6BA4"/>
    <w:rsid w:val="7EF05832"/>
    <w:rsid w:val="7EF11428"/>
    <w:rsid w:val="7F0521FC"/>
    <w:rsid w:val="7F0541DB"/>
    <w:rsid w:val="7F062761"/>
    <w:rsid w:val="7F08472B"/>
    <w:rsid w:val="7F1B445E"/>
    <w:rsid w:val="7F1D7569"/>
    <w:rsid w:val="7F27696A"/>
    <w:rsid w:val="7F2A644F"/>
    <w:rsid w:val="7F301B8B"/>
    <w:rsid w:val="7F3557C4"/>
    <w:rsid w:val="7F392B36"/>
    <w:rsid w:val="7F3C4EDD"/>
    <w:rsid w:val="7F427C3D"/>
    <w:rsid w:val="7F437511"/>
    <w:rsid w:val="7F473382"/>
    <w:rsid w:val="7F4968B4"/>
    <w:rsid w:val="7F5636E8"/>
    <w:rsid w:val="7F572FBC"/>
    <w:rsid w:val="7F5A688E"/>
    <w:rsid w:val="7F5C795C"/>
    <w:rsid w:val="7F613194"/>
    <w:rsid w:val="7F6B1C49"/>
    <w:rsid w:val="7F6C4CBA"/>
    <w:rsid w:val="7F6D27E0"/>
    <w:rsid w:val="7F721BA4"/>
    <w:rsid w:val="7F73429A"/>
    <w:rsid w:val="7F741DC0"/>
    <w:rsid w:val="7F742B8D"/>
    <w:rsid w:val="7F7751A6"/>
    <w:rsid w:val="7F7B3FE2"/>
    <w:rsid w:val="7F7F2C3F"/>
    <w:rsid w:val="7F802513"/>
    <w:rsid w:val="7F80640E"/>
    <w:rsid w:val="7F8525F4"/>
    <w:rsid w:val="7F8E4C30"/>
    <w:rsid w:val="7F8F7768"/>
    <w:rsid w:val="7F9B559F"/>
    <w:rsid w:val="7F9E1D90"/>
    <w:rsid w:val="7F9E368D"/>
    <w:rsid w:val="7FA513FD"/>
    <w:rsid w:val="7FB10148"/>
    <w:rsid w:val="7FB64187"/>
    <w:rsid w:val="7FB65F35"/>
    <w:rsid w:val="7FBA66AD"/>
    <w:rsid w:val="7FBC166D"/>
    <w:rsid w:val="7FBC195F"/>
    <w:rsid w:val="7FBF128D"/>
    <w:rsid w:val="7FC05B1E"/>
    <w:rsid w:val="7FC07115"/>
    <w:rsid w:val="7FCA5219"/>
    <w:rsid w:val="7FCE6AB3"/>
    <w:rsid w:val="7FD10FC1"/>
    <w:rsid w:val="7FD14B1D"/>
    <w:rsid w:val="7FD91C23"/>
    <w:rsid w:val="7FDB18A6"/>
    <w:rsid w:val="7FE02FB2"/>
    <w:rsid w:val="7FE43CA8"/>
    <w:rsid w:val="7FF13411"/>
    <w:rsid w:val="7FF64583"/>
    <w:rsid w:val="7FF802FC"/>
    <w:rsid w:val="7FF8479F"/>
    <w:rsid w:val="7FFB01B1"/>
    <w:rsid w:val="7FFB7D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doNotEmbedSmartTag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qFormat="1"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118"/>
    <w:autoRedefine/>
    <w:qFormat/>
    <w:uiPriority w:val="0"/>
    <w:pPr>
      <w:widowControl w:val="0"/>
      <w:jc w:val="both"/>
    </w:pPr>
    <w:rPr>
      <w:rFonts w:hint="default" w:ascii="Times New Roman" w:hAnsi="Times New Roman" w:eastAsia="宋体" w:cs="Times New Roman"/>
      <w:kern w:val="2"/>
      <w:sz w:val="21"/>
      <w:szCs w:val="21"/>
      <w:lang w:val="en-US" w:eastAsia="zh-CN" w:bidi="ar"/>
    </w:rPr>
  </w:style>
  <w:style w:type="paragraph" w:styleId="3">
    <w:name w:val="heading 1"/>
    <w:basedOn w:val="1"/>
    <w:next w:val="1"/>
    <w:autoRedefine/>
    <w:qFormat/>
    <w:uiPriority w:val="99"/>
    <w:pPr>
      <w:keepNext/>
      <w:overflowPunct w:val="0"/>
      <w:snapToGrid w:val="0"/>
      <w:spacing w:before="120" w:after="160" w:line="259" w:lineRule="auto"/>
      <w:ind w:left="432" w:hanging="432"/>
      <w:outlineLvl w:val="0"/>
    </w:pPr>
    <w:rPr>
      <w:rFonts w:eastAsia="黑体"/>
      <w:b/>
      <w:bCs/>
      <w:color w:val="000000"/>
      <w:kern w:val="44"/>
      <w:sz w:val="30"/>
      <w:szCs w:val="30"/>
    </w:rPr>
  </w:style>
  <w:style w:type="paragraph" w:styleId="4">
    <w:name w:val="heading 2"/>
    <w:basedOn w:val="1"/>
    <w:next w:val="1"/>
    <w:link w:val="80"/>
    <w:autoRedefine/>
    <w:qFormat/>
    <w:uiPriority w:val="0"/>
    <w:pPr>
      <w:spacing w:before="100" w:beforeAutospacing="1" w:after="100" w:afterAutospacing="1"/>
      <w:jc w:val="left"/>
      <w:outlineLvl w:val="1"/>
    </w:pPr>
    <w:rPr>
      <w:rFonts w:hint="eastAsia" w:ascii="宋体" w:hAnsi="宋体"/>
      <w:b/>
      <w:kern w:val="0"/>
      <w:sz w:val="36"/>
      <w:szCs w:val="36"/>
    </w:rPr>
  </w:style>
  <w:style w:type="paragraph" w:styleId="2">
    <w:name w:val="heading 3"/>
    <w:basedOn w:val="1"/>
    <w:next w:val="1"/>
    <w:link w:val="78"/>
    <w:autoRedefine/>
    <w:qFormat/>
    <w:uiPriority w:val="0"/>
    <w:pPr>
      <w:keepNext/>
      <w:keepLines/>
      <w:spacing w:before="260" w:after="260" w:line="416" w:lineRule="auto"/>
      <w:outlineLvl w:val="2"/>
    </w:pPr>
    <w:rPr>
      <w:rFonts w:ascii="Calibri" w:hAnsi="Calibri"/>
      <w:b/>
      <w:bCs/>
      <w:sz w:val="32"/>
      <w:szCs w:val="32"/>
    </w:rPr>
  </w:style>
  <w:style w:type="paragraph" w:styleId="5">
    <w:name w:val="heading 4"/>
    <w:basedOn w:val="1"/>
    <w:next w:val="1"/>
    <w:link w:val="100"/>
    <w:autoRedefine/>
    <w:qFormat/>
    <w:uiPriority w:val="0"/>
    <w:pPr>
      <w:keepNext/>
      <w:keepLines/>
      <w:spacing w:before="280" w:after="290" w:line="372" w:lineRule="auto"/>
      <w:outlineLvl w:val="3"/>
    </w:pPr>
    <w:rPr>
      <w:rFonts w:ascii="Arial" w:hAnsi="Arial" w:eastAsia="黑体"/>
      <w:b/>
      <w:bCs/>
      <w:sz w:val="28"/>
      <w:szCs w:val="28"/>
    </w:rPr>
  </w:style>
  <w:style w:type="paragraph" w:styleId="6">
    <w:name w:val="heading 5"/>
    <w:basedOn w:val="1"/>
    <w:next w:val="1"/>
    <w:autoRedefine/>
    <w:qFormat/>
    <w:uiPriority w:val="0"/>
    <w:pPr>
      <w:keepNext/>
      <w:keepLines/>
      <w:numPr>
        <w:ilvl w:val="4"/>
        <w:numId w:val="1"/>
      </w:numPr>
      <w:tabs>
        <w:tab w:val="clear" w:pos="0"/>
      </w:tabs>
      <w:adjustRightInd w:val="0"/>
      <w:ind w:left="0" w:firstLine="0"/>
      <w:jc w:val="center"/>
      <w:outlineLvl w:val="4"/>
    </w:pPr>
    <w:rPr>
      <w:b/>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7">
    <w:name w:val="Normal Indent"/>
    <w:basedOn w:val="1"/>
    <w:next w:val="5"/>
    <w:link w:val="82"/>
    <w:autoRedefine/>
    <w:qFormat/>
    <w:uiPriority w:val="0"/>
    <w:pPr>
      <w:ind w:firstLine="200" w:firstLineChars="200"/>
    </w:pPr>
    <w:rPr>
      <w:kern w:val="0"/>
      <w:sz w:val="28"/>
    </w:rPr>
  </w:style>
  <w:style w:type="paragraph" w:styleId="8">
    <w:name w:val="caption"/>
    <w:basedOn w:val="1"/>
    <w:next w:val="1"/>
    <w:autoRedefine/>
    <w:qFormat/>
    <w:uiPriority w:val="0"/>
    <w:pPr>
      <w:adjustRightInd w:val="0"/>
      <w:snapToGrid w:val="0"/>
      <w:spacing w:beforeLines="50"/>
      <w:jc w:val="center"/>
    </w:pPr>
    <w:rPr>
      <w:b/>
    </w:rPr>
  </w:style>
  <w:style w:type="paragraph" w:styleId="9">
    <w:name w:val="annotation text"/>
    <w:basedOn w:val="1"/>
    <w:link w:val="50"/>
    <w:autoRedefine/>
    <w:qFormat/>
    <w:uiPriority w:val="0"/>
    <w:pPr>
      <w:jc w:val="left"/>
    </w:pPr>
    <w:rPr>
      <w:kern w:val="0"/>
      <w:sz w:val="24"/>
      <w:szCs w:val="20"/>
    </w:rPr>
  </w:style>
  <w:style w:type="paragraph" w:styleId="10">
    <w:name w:val="Body Text"/>
    <w:basedOn w:val="1"/>
    <w:link w:val="81"/>
    <w:autoRedefine/>
    <w:qFormat/>
    <w:uiPriority w:val="0"/>
    <w:pPr>
      <w:widowControl/>
      <w:snapToGrid w:val="0"/>
      <w:spacing w:before="60" w:after="160" w:line="259" w:lineRule="auto"/>
      <w:ind w:right="113"/>
    </w:pPr>
    <w:rPr>
      <w:kern w:val="0"/>
      <w:sz w:val="18"/>
      <w:szCs w:val="20"/>
    </w:rPr>
  </w:style>
  <w:style w:type="paragraph" w:styleId="11">
    <w:name w:val="Body Text Indent"/>
    <w:basedOn w:val="1"/>
    <w:link w:val="52"/>
    <w:autoRedefine/>
    <w:qFormat/>
    <w:uiPriority w:val="0"/>
    <w:pPr>
      <w:spacing w:after="120"/>
      <w:ind w:left="420" w:leftChars="200"/>
    </w:pPr>
    <w:rPr>
      <w:kern w:val="0"/>
      <w:sz w:val="24"/>
      <w:szCs w:val="20"/>
    </w:rPr>
  </w:style>
  <w:style w:type="paragraph" w:styleId="12">
    <w:name w:val="Plain Text"/>
    <w:basedOn w:val="1"/>
    <w:next w:val="13"/>
    <w:autoRedefine/>
    <w:qFormat/>
    <w:uiPriority w:val="99"/>
    <w:rPr>
      <w:rFonts w:ascii="宋体" w:hAnsi="Courier New"/>
    </w:rPr>
  </w:style>
  <w:style w:type="paragraph" w:styleId="13">
    <w:name w:val="toc 1"/>
    <w:basedOn w:val="1"/>
    <w:autoRedefine/>
    <w:qFormat/>
    <w:uiPriority w:val="39"/>
  </w:style>
  <w:style w:type="paragraph" w:styleId="14">
    <w:name w:val="List Bullet 5"/>
    <w:basedOn w:val="1"/>
    <w:autoRedefine/>
    <w:qFormat/>
    <w:uiPriority w:val="0"/>
    <w:pPr>
      <w:numPr>
        <w:ilvl w:val="0"/>
        <w:numId w:val="2"/>
      </w:numPr>
    </w:pPr>
  </w:style>
  <w:style w:type="paragraph" w:styleId="15">
    <w:name w:val="Date"/>
    <w:basedOn w:val="1"/>
    <w:next w:val="1"/>
    <w:link w:val="53"/>
    <w:autoRedefine/>
    <w:qFormat/>
    <w:uiPriority w:val="0"/>
    <w:pPr>
      <w:ind w:left="100" w:leftChars="2500"/>
    </w:pPr>
    <w:rPr>
      <w:kern w:val="0"/>
      <w:sz w:val="24"/>
      <w:szCs w:val="20"/>
    </w:rPr>
  </w:style>
  <w:style w:type="paragraph" w:styleId="16">
    <w:name w:val="Balloon Text"/>
    <w:basedOn w:val="1"/>
    <w:link w:val="54"/>
    <w:autoRedefine/>
    <w:qFormat/>
    <w:uiPriority w:val="0"/>
    <w:rPr>
      <w:kern w:val="0"/>
      <w:sz w:val="18"/>
      <w:szCs w:val="20"/>
    </w:rPr>
  </w:style>
  <w:style w:type="paragraph" w:styleId="17">
    <w:name w:val="footer"/>
    <w:basedOn w:val="1"/>
    <w:next w:val="1"/>
    <w:link w:val="55"/>
    <w:autoRedefine/>
    <w:qFormat/>
    <w:uiPriority w:val="99"/>
    <w:pPr>
      <w:tabs>
        <w:tab w:val="center" w:pos="4153"/>
        <w:tab w:val="right" w:pos="8306"/>
      </w:tabs>
      <w:snapToGrid w:val="0"/>
      <w:jc w:val="left"/>
    </w:pPr>
    <w:rPr>
      <w:kern w:val="0"/>
      <w:sz w:val="18"/>
      <w:szCs w:val="20"/>
    </w:rPr>
  </w:style>
  <w:style w:type="paragraph" w:styleId="18">
    <w:name w:val="header"/>
    <w:basedOn w:val="1"/>
    <w:link w:val="56"/>
    <w:autoRedefine/>
    <w:qFormat/>
    <w:uiPriority w:val="0"/>
    <w:pPr>
      <w:pBdr>
        <w:bottom w:val="single" w:color="auto" w:sz="6" w:space="1"/>
      </w:pBdr>
      <w:tabs>
        <w:tab w:val="center" w:pos="4153"/>
        <w:tab w:val="right" w:pos="8306"/>
      </w:tabs>
      <w:snapToGrid w:val="0"/>
      <w:jc w:val="center"/>
    </w:pPr>
    <w:rPr>
      <w:kern w:val="0"/>
      <w:sz w:val="18"/>
      <w:szCs w:val="20"/>
    </w:rPr>
  </w:style>
  <w:style w:type="paragraph" w:styleId="19">
    <w:name w:val="Body Text Indent 3"/>
    <w:basedOn w:val="1"/>
    <w:autoRedefine/>
    <w:qFormat/>
    <w:uiPriority w:val="0"/>
    <w:pPr>
      <w:spacing w:after="120"/>
      <w:ind w:left="420" w:leftChars="200"/>
    </w:pPr>
    <w:rPr>
      <w:kern w:val="0"/>
      <w:sz w:val="16"/>
      <w:szCs w:val="16"/>
    </w:rPr>
  </w:style>
  <w:style w:type="paragraph" w:styleId="20">
    <w:name w:val="toc 2"/>
    <w:basedOn w:val="1"/>
    <w:next w:val="1"/>
    <w:autoRedefine/>
    <w:qFormat/>
    <w:uiPriority w:val="39"/>
    <w:pPr>
      <w:ind w:left="240"/>
      <w:jc w:val="left"/>
    </w:pPr>
    <w:rPr>
      <w:rFonts w:ascii="Calibri" w:hAnsi="Calibri" w:cs="Calibri"/>
      <w:smallCaps/>
      <w:sz w:val="20"/>
      <w:szCs w:val="20"/>
    </w:rPr>
  </w:style>
  <w:style w:type="paragraph" w:styleId="21">
    <w:name w:val="Body Text 2"/>
    <w:basedOn w:val="1"/>
    <w:autoRedefine/>
    <w:qFormat/>
    <w:uiPriority w:val="0"/>
    <w:pPr>
      <w:spacing w:after="120" w:line="480" w:lineRule="auto"/>
    </w:pPr>
  </w:style>
  <w:style w:type="paragraph" w:styleId="22">
    <w:name w:val="Normal (Web)"/>
    <w:basedOn w:val="1"/>
    <w:link w:val="57"/>
    <w:autoRedefine/>
    <w:qFormat/>
    <w:uiPriority w:val="0"/>
    <w:pPr>
      <w:widowControl/>
      <w:spacing w:before="100" w:beforeAutospacing="1" w:after="100" w:afterAutospacing="1"/>
      <w:jc w:val="left"/>
    </w:pPr>
    <w:rPr>
      <w:rFonts w:ascii="宋体" w:hAnsi="宋体"/>
      <w:kern w:val="0"/>
      <w:sz w:val="24"/>
      <w:szCs w:val="20"/>
    </w:rPr>
  </w:style>
  <w:style w:type="paragraph" w:styleId="23">
    <w:name w:val="annotation subject"/>
    <w:basedOn w:val="9"/>
    <w:next w:val="9"/>
    <w:link w:val="58"/>
    <w:autoRedefine/>
    <w:qFormat/>
    <w:uiPriority w:val="0"/>
    <w:rPr>
      <w:b/>
    </w:rPr>
  </w:style>
  <w:style w:type="paragraph" w:styleId="24">
    <w:name w:val="Body Text First Indent"/>
    <w:basedOn w:val="10"/>
    <w:autoRedefine/>
    <w:qFormat/>
    <w:uiPriority w:val="0"/>
    <w:pPr>
      <w:widowControl w:val="0"/>
      <w:snapToGrid/>
      <w:spacing w:before="0" w:after="120" w:line="240" w:lineRule="auto"/>
      <w:ind w:right="0" w:firstLine="420" w:firstLineChars="100"/>
    </w:pPr>
    <w:rPr>
      <w:kern w:val="2"/>
      <w:sz w:val="21"/>
      <w:szCs w:val="24"/>
    </w:rPr>
  </w:style>
  <w:style w:type="paragraph" w:styleId="25">
    <w:name w:val="Body Text First Indent 2"/>
    <w:basedOn w:val="11"/>
    <w:autoRedefine/>
    <w:qFormat/>
    <w:uiPriority w:val="0"/>
    <w:pPr>
      <w:tabs>
        <w:tab w:val="left" w:pos="420"/>
        <w:tab w:val="left" w:pos="870"/>
        <w:tab w:val="left" w:pos="3150"/>
      </w:tabs>
      <w:autoSpaceDE w:val="0"/>
      <w:autoSpaceDN w:val="0"/>
      <w:adjustRightInd w:val="0"/>
      <w:snapToGrid w:val="0"/>
      <w:spacing w:beforeLines="25" w:line="336" w:lineRule="auto"/>
      <w:ind w:firstLine="527"/>
    </w:pPr>
    <w:rPr>
      <w:rFonts w:hint="eastAsia" w:ascii="宋体"/>
      <w:szCs w:val="28"/>
    </w:rPr>
  </w:style>
  <w:style w:type="table" w:styleId="27">
    <w:name w:val="Table Grid"/>
    <w:basedOn w:val="26"/>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9">
    <w:name w:val="Strong"/>
    <w:basedOn w:val="28"/>
    <w:qFormat/>
    <w:uiPriority w:val="0"/>
    <w:rPr>
      <w:b/>
    </w:rPr>
  </w:style>
  <w:style w:type="character" w:styleId="30">
    <w:name w:val="page number"/>
    <w:autoRedefine/>
    <w:qFormat/>
    <w:uiPriority w:val="0"/>
  </w:style>
  <w:style w:type="character" w:styleId="31">
    <w:name w:val="Emphasis"/>
    <w:basedOn w:val="28"/>
    <w:autoRedefine/>
    <w:qFormat/>
    <w:uiPriority w:val="0"/>
    <w:rPr>
      <w:i/>
    </w:rPr>
  </w:style>
  <w:style w:type="character" w:styleId="32">
    <w:name w:val="Hyperlink"/>
    <w:autoRedefine/>
    <w:qFormat/>
    <w:uiPriority w:val="0"/>
    <w:rPr>
      <w:color w:val="0000FF"/>
      <w:u w:val="single"/>
    </w:rPr>
  </w:style>
  <w:style w:type="character" w:styleId="33">
    <w:name w:val="annotation reference"/>
    <w:basedOn w:val="28"/>
    <w:autoRedefine/>
    <w:qFormat/>
    <w:uiPriority w:val="0"/>
    <w:rPr>
      <w:sz w:val="21"/>
    </w:rPr>
  </w:style>
  <w:style w:type="paragraph" w:customStyle="1" w:styleId="34">
    <w:name w:val="表格"/>
    <w:basedOn w:val="35"/>
    <w:next w:val="1"/>
    <w:link w:val="93"/>
    <w:autoRedefine/>
    <w:qFormat/>
    <w:uiPriority w:val="0"/>
    <w:pPr>
      <w:spacing w:before="10" w:beforeLines="10" w:after="10" w:afterLines="10" w:line="259" w:lineRule="auto"/>
    </w:pPr>
    <w:rPr>
      <w:rFonts w:ascii="宋体" w:hAnsi="宋体"/>
    </w:rPr>
  </w:style>
  <w:style w:type="paragraph" w:customStyle="1" w:styleId="35">
    <w:name w:val="表头"/>
    <w:basedOn w:val="36"/>
    <w:next w:val="1"/>
    <w:autoRedefine/>
    <w:qFormat/>
    <w:uiPriority w:val="0"/>
    <w:pPr>
      <w:spacing w:line="320" w:lineRule="atLeast"/>
      <w:ind w:firstLine="0" w:firstLineChars="0"/>
      <w:jc w:val="center"/>
      <w:textAlignment w:val="baseline"/>
    </w:pPr>
    <w:rPr>
      <w:rFonts w:eastAsia="黑体"/>
      <w:color w:val="000000"/>
      <w:spacing w:val="-10"/>
      <w:kern w:val="0"/>
      <w:sz w:val="21"/>
      <w:szCs w:val="20"/>
    </w:rPr>
  </w:style>
  <w:style w:type="paragraph" w:customStyle="1" w:styleId="36">
    <w:name w:val="文本"/>
    <w:basedOn w:val="1"/>
    <w:autoRedefine/>
    <w:qFormat/>
    <w:uiPriority w:val="0"/>
    <w:pPr>
      <w:adjustRightInd w:val="0"/>
      <w:snapToGrid w:val="0"/>
      <w:spacing w:line="360" w:lineRule="auto"/>
      <w:ind w:firstLine="1446" w:firstLineChars="200"/>
    </w:pPr>
    <w:rPr>
      <w:sz w:val="24"/>
    </w:rPr>
  </w:style>
  <w:style w:type="character" w:customStyle="1" w:styleId="37">
    <w:name w:val="表格 Char"/>
    <w:autoRedefine/>
    <w:qFormat/>
    <w:uiPriority w:val="0"/>
    <w:rPr>
      <w:rFonts w:ascii="宋体" w:hAnsi="宋体" w:eastAsia="黑体"/>
      <w:sz w:val="21"/>
    </w:rPr>
  </w:style>
  <w:style w:type="paragraph" w:customStyle="1" w:styleId="38">
    <w:name w:val="Default"/>
    <w:basedOn w:val="39"/>
    <w:autoRedefine/>
    <w:qFormat/>
    <w:uiPriority w:val="0"/>
    <w:pPr>
      <w:autoSpaceDE w:val="0"/>
      <w:autoSpaceDN w:val="0"/>
    </w:pPr>
    <w:rPr>
      <w:rFonts w:ascii="仿宋" w:hAnsi="Calibri" w:eastAsia="仿宋" w:cs="仿宋"/>
      <w:sz w:val="24"/>
    </w:rPr>
  </w:style>
  <w:style w:type="paragraph" w:customStyle="1" w:styleId="39">
    <w:name w:val="标题 段落4级"/>
    <w:basedOn w:val="35"/>
    <w:autoRedefine/>
    <w:qFormat/>
    <w:uiPriority w:val="0"/>
    <w:pPr>
      <w:spacing w:line="500" w:lineRule="exact"/>
      <w:outlineLvl w:val="3"/>
    </w:pPr>
    <w:rPr>
      <w:rFonts w:eastAsia="仿宋_GB2312" w:cs="Calibri"/>
      <w:b/>
      <w:kern w:val="2"/>
      <w:sz w:val="28"/>
      <w:szCs w:val="24"/>
    </w:rPr>
  </w:style>
  <w:style w:type="paragraph" w:customStyle="1" w:styleId="40">
    <w:name w:val="xl27"/>
    <w:basedOn w:val="1"/>
    <w:next w:val="41"/>
    <w:autoRedefine/>
    <w:qFormat/>
    <w:uiPriority w:val="0"/>
    <w:pPr>
      <w:widowControl/>
      <w:pBdr>
        <w:bottom w:val="single" w:color="auto" w:sz="4" w:space="0"/>
        <w:right w:val="single" w:color="auto" w:sz="4" w:space="0"/>
      </w:pBdr>
      <w:spacing w:before="100" w:beforeAutospacing="1" w:after="100" w:afterAutospacing="1" w:line="240" w:lineRule="auto"/>
      <w:ind w:firstLine="0" w:firstLineChars="0"/>
      <w:jc w:val="center"/>
    </w:pPr>
    <w:rPr>
      <w:rFonts w:ascii="Arial Unicode MS" w:hAnsi="Arial Unicode MS" w:eastAsia="Arial Unicode MS" w:cs="Arial Unicode MS"/>
      <w:kern w:val="0"/>
    </w:rPr>
  </w:style>
  <w:style w:type="paragraph" w:customStyle="1" w:styleId="41">
    <w:name w:val="A正文"/>
    <w:basedOn w:val="1"/>
    <w:next w:val="10"/>
    <w:autoRedefine/>
    <w:qFormat/>
    <w:uiPriority w:val="0"/>
    <w:pPr>
      <w:widowControl/>
      <w:spacing w:line="240" w:lineRule="auto"/>
      <w:ind w:firstLine="0" w:firstLineChars="0"/>
      <w:jc w:val="left"/>
    </w:pPr>
    <w:rPr>
      <w:rFonts w:ascii="宋体" w:hAnsi="宋体"/>
      <w:kern w:val="0"/>
      <w:sz w:val="21"/>
      <w:szCs w:val="22"/>
    </w:rPr>
  </w:style>
  <w:style w:type="paragraph" w:customStyle="1" w:styleId="42">
    <w:name w:val="纯文本1"/>
    <w:basedOn w:val="1"/>
    <w:next w:val="1"/>
    <w:autoRedefine/>
    <w:qFormat/>
    <w:uiPriority w:val="0"/>
    <w:pPr>
      <w:adjustRightInd w:val="0"/>
      <w:textAlignment w:val="baseline"/>
    </w:pPr>
    <w:rPr>
      <w:rFonts w:ascii="宋体" w:hAnsi="Courier New"/>
      <w:szCs w:val="20"/>
    </w:rPr>
  </w:style>
  <w:style w:type="paragraph" w:customStyle="1" w:styleId="43">
    <w:name w:val="样式35"/>
    <w:basedOn w:val="44"/>
    <w:next w:val="48"/>
    <w:autoRedefine/>
    <w:qFormat/>
    <w:uiPriority w:val="0"/>
    <w:pPr>
      <w:tabs>
        <w:tab w:val="left" w:pos="0"/>
        <w:tab w:val="left" w:pos="360"/>
        <w:tab w:val="left" w:pos="540"/>
        <w:tab w:val="left" w:pos="720"/>
        <w:tab w:val="left" w:pos="1008"/>
        <w:tab w:val="left" w:pos="2570"/>
      </w:tabs>
      <w:spacing w:line="312" w:lineRule="auto"/>
      <w:ind w:firstLine="567"/>
      <w:textAlignment w:val="baseline"/>
    </w:pPr>
    <w:rPr>
      <w:rFonts w:ascii="宋体"/>
      <w:kern w:val="0"/>
      <w:sz w:val="28"/>
    </w:rPr>
  </w:style>
  <w:style w:type="paragraph" w:customStyle="1" w:styleId="44">
    <w:name w:val="样式26"/>
    <w:basedOn w:val="45"/>
    <w:autoRedefine/>
    <w:qFormat/>
    <w:uiPriority w:val="0"/>
    <w:pPr>
      <w:tabs>
        <w:tab w:val="left" w:pos="0"/>
        <w:tab w:val="left" w:pos="360"/>
        <w:tab w:val="left" w:pos="540"/>
        <w:tab w:val="left" w:pos="720"/>
        <w:tab w:val="left" w:pos="1008"/>
        <w:tab w:val="left" w:pos="2570"/>
      </w:tabs>
      <w:autoSpaceDE w:val="0"/>
      <w:autoSpaceDN w:val="0"/>
    </w:pPr>
    <w:rPr>
      <w:rFonts w:ascii="仿宋_GB2312" w:hAnsi="Calibri" w:eastAsia="仿宋_GB2312" w:cs="宋体"/>
      <w:color w:val="000000"/>
      <w:szCs w:val="21"/>
    </w:rPr>
  </w:style>
  <w:style w:type="paragraph" w:customStyle="1" w:styleId="45">
    <w:name w:val="样式21"/>
    <w:basedOn w:val="46"/>
    <w:autoRedefine/>
    <w:qFormat/>
    <w:uiPriority w:val="0"/>
    <w:pPr>
      <w:tabs>
        <w:tab w:val="left" w:pos="0"/>
        <w:tab w:val="left" w:pos="360"/>
        <w:tab w:val="left" w:pos="540"/>
        <w:tab w:val="left" w:pos="720"/>
        <w:tab w:val="left" w:pos="1008"/>
        <w:tab w:val="left" w:pos="2570"/>
      </w:tabs>
      <w:spacing w:beforeLines="50" w:afterLines="50"/>
      <w:ind w:left="720" w:hanging="720"/>
      <w:outlineLvl w:val="2"/>
    </w:pPr>
    <w:rPr>
      <w:rFonts w:eastAsia="MS Mincho"/>
      <w:sz w:val="24"/>
      <w:szCs w:val="32"/>
    </w:rPr>
  </w:style>
  <w:style w:type="paragraph" w:customStyle="1" w:styleId="46">
    <w:name w:val="样式5"/>
    <w:basedOn w:val="47"/>
    <w:autoRedefine/>
    <w:qFormat/>
    <w:uiPriority w:val="0"/>
    <w:pPr>
      <w:tabs>
        <w:tab w:val="left" w:pos="0"/>
        <w:tab w:val="left" w:pos="1008"/>
        <w:tab w:val="left" w:pos="2570"/>
      </w:tabs>
      <w:ind w:left="482" w:firstLine="0" w:firstLineChars="0"/>
    </w:pPr>
    <w:rPr>
      <w:rFonts w:eastAsia="仿宋_GB2312"/>
      <w:b w:val="0"/>
    </w:rPr>
  </w:style>
  <w:style w:type="paragraph" w:customStyle="1" w:styleId="47">
    <w:name w:val="样式12"/>
    <w:basedOn w:val="6"/>
    <w:autoRedefine/>
    <w:qFormat/>
    <w:uiPriority w:val="0"/>
    <w:pPr>
      <w:ind w:firstLine="200" w:firstLineChars="200"/>
    </w:pPr>
  </w:style>
  <w:style w:type="paragraph" w:customStyle="1" w:styleId="48">
    <w:name w:val="font6"/>
    <w:next w:val="20"/>
    <w:autoRedefine/>
    <w:qFormat/>
    <w:uiPriority w:val="0"/>
    <w:pPr>
      <w:spacing w:before="280" w:after="280"/>
      <w:jc w:val="both"/>
    </w:pPr>
    <w:rPr>
      <w:rFonts w:ascii="Times New Roman" w:hAnsi="Times New Roman" w:eastAsia="宋体" w:cs="Times New Roman"/>
      <w:kern w:val="2"/>
      <w:sz w:val="21"/>
      <w:szCs w:val="22"/>
      <w:lang w:val="en-US" w:eastAsia="zh-CN" w:bidi="ar-SA"/>
    </w:rPr>
  </w:style>
  <w:style w:type="paragraph" w:customStyle="1" w:styleId="49">
    <w:name w:val="+正文"/>
    <w:basedOn w:val="1"/>
    <w:autoRedefine/>
    <w:qFormat/>
    <w:uiPriority w:val="0"/>
    <w:pPr>
      <w:spacing w:line="360" w:lineRule="auto"/>
      <w:ind w:firstLine="200" w:firstLineChars="200"/>
    </w:pPr>
    <w:rPr>
      <w:sz w:val="28"/>
      <w:szCs w:val="28"/>
    </w:rPr>
  </w:style>
  <w:style w:type="character" w:customStyle="1" w:styleId="50">
    <w:name w:val="批注文字 字符"/>
    <w:link w:val="9"/>
    <w:autoRedefine/>
    <w:qFormat/>
    <w:uiPriority w:val="0"/>
    <w:rPr>
      <w:rFonts w:ascii="Times New Roman" w:hAnsi="Times New Roman" w:eastAsia="宋体"/>
      <w:sz w:val="24"/>
    </w:rPr>
  </w:style>
  <w:style w:type="character" w:customStyle="1" w:styleId="51">
    <w:name w:val="正文文本 Char"/>
    <w:autoRedefine/>
    <w:qFormat/>
    <w:uiPriority w:val="0"/>
    <w:rPr>
      <w:sz w:val="18"/>
    </w:rPr>
  </w:style>
  <w:style w:type="character" w:customStyle="1" w:styleId="52">
    <w:name w:val="正文文本缩进 字符"/>
    <w:link w:val="11"/>
    <w:autoRedefine/>
    <w:qFormat/>
    <w:uiPriority w:val="0"/>
    <w:rPr>
      <w:rFonts w:ascii="Times New Roman" w:hAnsi="Times New Roman" w:eastAsia="宋体"/>
      <w:sz w:val="24"/>
    </w:rPr>
  </w:style>
  <w:style w:type="character" w:customStyle="1" w:styleId="53">
    <w:name w:val="日期 字符1"/>
    <w:link w:val="15"/>
    <w:autoRedefine/>
    <w:qFormat/>
    <w:uiPriority w:val="0"/>
    <w:rPr>
      <w:rFonts w:ascii="Times New Roman" w:hAnsi="Times New Roman" w:eastAsia="宋体"/>
      <w:sz w:val="24"/>
    </w:rPr>
  </w:style>
  <w:style w:type="character" w:customStyle="1" w:styleId="54">
    <w:name w:val="批注框文本 字符"/>
    <w:link w:val="16"/>
    <w:autoRedefine/>
    <w:qFormat/>
    <w:uiPriority w:val="0"/>
    <w:rPr>
      <w:rFonts w:ascii="Times New Roman" w:hAnsi="Times New Roman" w:eastAsia="宋体"/>
      <w:sz w:val="18"/>
    </w:rPr>
  </w:style>
  <w:style w:type="character" w:customStyle="1" w:styleId="55">
    <w:name w:val="页脚 字符1"/>
    <w:link w:val="17"/>
    <w:autoRedefine/>
    <w:qFormat/>
    <w:uiPriority w:val="99"/>
    <w:rPr>
      <w:sz w:val="18"/>
    </w:rPr>
  </w:style>
  <w:style w:type="character" w:customStyle="1" w:styleId="56">
    <w:name w:val="页眉 字符"/>
    <w:link w:val="18"/>
    <w:autoRedefine/>
    <w:qFormat/>
    <w:uiPriority w:val="0"/>
    <w:rPr>
      <w:sz w:val="18"/>
    </w:rPr>
  </w:style>
  <w:style w:type="character" w:customStyle="1" w:styleId="57">
    <w:name w:val="普通(网站) 字符"/>
    <w:link w:val="22"/>
    <w:autoRedefine/>
    <w:qFormat/>
    <w:uiPriority w:val="0"/>
    <w:rPr>
      <w:rFonts w:ascii="宋体" w:hAnsi="宋体" w:eastAsia="宋体"/>
      <w:sz w:val="24"/>
    </w:rPr>
  </w:style>
  <w:style w:type="character" w:customStyle="1" w:styleId="58">
    <w:name w:val="批注主题 字符"/>
    <w:link w:val="23"/>
    <w:autoRedefine/>
    <w:qFormat/>
    <w:uiPriority w:val="0"/>
    <w:rPr>
      <w:rFonts w:ascii="Times New Roman" w:hAnsi="Times New Roman" w:eastAsia="宋体"/>
      <w:b/>
      <w:kern w:val="2"/>
      <w:sz w:val="24"/>
    </w:rPr>
  </w:style>
  <w:style w:type="paragraph" w:customStyle="1" w:styleId="59">
    <w:name w:val="正文-lcc"/>
    <w:basedOn w:val="1"/>
    <w:autoRedefine/>
    <w:qFormat/>
    <w:uiPriority w:val="0"/>
    <w:pPr>
      <w:snapToGrid w:val="0"/>
    </w:pPr>
    <w:rPr>
      <w:rFonts w:eastAsia="仿宋"/>
      <w:color w:val="000000"/>
    </w:rPr>
  </w:style>
  <w:style w:type="character" w:customStyle="1" w:styleId="60">
    <w:name w:val="正文文本 字符1"/>
    <w:autoRedefine/>
    <w:qFormat/>
    <w:uiPriority w:val="0"/>
    <w:rPr>
      <w:rFonts w:ascii="Times New Roman" w:hAnsi="Times New Roman" w:eastAsia="宋体"/>
      <w:sz w:val="24"/>
    </w:rPr>
  </w:style>
  <w:style w:type="character" w:customStyle="1" w:styleId="61">
    <w:name w:val="日期 字符"/>
    <w:autoRedefine/>
    <w:qFormat/>
    <w:uiPriority w:val="0"/>
    <w:rPr>
      <w:rFonts w:ascii="Times New Roman" w:hAnsi="Times New Roman" w:eastAsia="宋体"/>
      <w:sz w:val="24"/>
    </w:rPr>
  </w:style>
  <w:style w:type="character" w:customStyle="1" w:styleId="62">
    <w:name w:val="批注文字 字符1"/>
    <w:autoRedefine/>
    <w:qFormat/>
    <w:uiPriority w:val="0"/>
    <w:rPr>
      <w:rFonts w:ascii="Times New Roman" w:hAnsi="Times New Roman" w:eastAsia="宋体"/>
      <w:sz w:val="24"/>
    </w:rPr>
  </w:style>
  <w:style w:type="character" w:customStyle="1" w:styleId="63">
    <w:name w:val="页脚 字符"/>
    <w:autoRedefine/>
    <w:qFormat/>
    <w:uiPriority w:val="99"/>
  </w:style>
  <w:style w:type="paragraph" w:customStyle="1" w:styleId="64">
    <w:name w:val="博泵1"/>
    <w:basedOn w:val="1"/>
    <w:autoRedefine/>
    <w:qFormat/>
    <w:uiPriority w:val="0"/>
    <w:pPr>
      <w:adjustRightInd w:val="0"/>
      <w:spacing w:line="480" w:lineRule="exact"/>
      <w:textAlignment w:val="baseline"/>
    </w:pPr>
    <w:rPr>
      <w:rFonts w:hAnsi="宋体"/>
      <w:color w:val="000000"/>
      <w:kern w:val="0"/>
      <w:szCs w:val="20"/>
    </w:rPr>
  </w:style>
  <w:style w:type="paragraph" w:customStyle="1" w:styleId="65">
    <w:name w:val="表标题"/>
    <w:next w:val="1"/>
    <w:autoRedefine/>
    <w:qFormat/>
    <w:uiPriority w:val="0"/>
    <w:pPr>
      <w:jc w:val="center"/>
    </w:pPr>
    <w:rPr>
      <w:rFonts w:ascii="Times New Roman" w:hAnsi="Times New Roman" w:eastAsia="宋体" w:cs="Times New Roman"/>
      <w:b/>
      <w:kern w:val="2"/>
      <w:sz w:val="24"/>
      <w:szCs w:val="24"/>
      <w:lang w:val="en-US" w:eastAsia="zh-CN" w:bidi="ar-SA"/>
    </w:rPr>
  </w:style>
  <w:style w:type="paragraph" w:customStyle="1" w:styleId="66">
    <w:name w:val="样式11"/>
    <w:basedOn w:val="1"/>
    <w:autoRedefine/>
    <w:qFormat/>
    <w:uiPriority w:val="0"/>
    <w:pPr>
      <w:adjustRightInd w:val="0"/>
      <w:snapToGrid w:val="0"/>
      <w:spacing w:line="360" w:lineRule="auto"/>
      <w:ind w:firstLine="420" w:firstLineChars="200"/>
    </w:pPr>
  </w:style>
  <w:style w:type="paragraph" w:customStyle="1" w:styleId="67">
    <w:name w:val="报告表正文"/>
    <w:basedOn w:val="1"/>
    <w:autoRedefine/>
    <w:qFormat/>
    <w:uiPriority w:val="0"/>
    <w:pPr>
      <w:adjustRightInd w:val="0"/>
      <w:spacing w:line="312" w:lineRule="auto"/>
      <w:ind w:left="113" w:right="113" w:firstLine="482"/>
      <w:jc w:val="left"/>
      <w:textAlignment w:val="baseline"/>
    </w:pPr>
    <w:rPr>
      <w:kern w:val="0"/>
      <w:sz w:val="24"/>
    </w:rPr>
  </w:style>
  <w:style w:type="paragraph" w:customStyle="1" w:styleId="68">
    <w:name w:val="表格居中"/>
    <w:autoRedefine/>
    <w:qFormat/>
    <w:uiPriority w:val="0"/>
    <w:pPr>
      <w:jc w:val="center"/>
    </w:pPr>
    <w:rPr>
      <w:rFonts w:ascii="Times New Roman" w:hAnsi="Times New Roman" w:eastAsia="宋体" w:cs="Times New Roman"/>
      <w:kern w:val="2"/>
      <w:sz w:val="24"/>
      <w:szCs w:val="24"/>
      <w:lang w:val="en-US" w:eastAsia="zh-CN" w:bidi="ar-SA"/>
    </w:rPr>
  </w:style>
  <w:style w:type="paragraph" w:customStyle="1" w:styleId="69">
    <w:name w:val="表格正文"/>
    <w:basedOn w:val="1"/>
    <w:next w:val="1"/>
    <w:autoRedefine/>
    <w:qFormat/>
    <w:uiPriority w:val="0"/>
    <w:pPr>
      <w:adjustRightInd w:val="0"/>
      <w:snapToGrid w:val="0"/>
      <w:jc w:val="center"/>
      <w:textAlignment w:val="baseline"/>
    </w:pPr>
    <w:rPr>
      <w:rFonts w:ascii="宋体" w:hAnsi="Calibri"/>
      <w:snapToGrid w:val="0"/>
      <w:spacing w:val="4"/>
      <w:w w:val="90"/>
      <w:kern w:val="0"/>
      <w:sz w:val="24"/>
    </w:rPr>
  </w:style>
  <w:style w:type="paragraph" w:customStyle="1" w:styleId="70">
    <w:name w:val="正文_10"/>
    <w:autoRedefine/>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1">
    <w:name w:val="CM75"/>
    <w:basedOn w:val="1"/>
    <w:next w:val="1"/>
    <w:autoRedefine/>
    <w:qFormat/>
    <w:uiPriority w:val="0"/>
    <w:pPr>
      <w:autoSpaceDE w:val="0"/>
      <w:autoSpaceDN w:val="0"/>
      <w:adjustRightInd w:val="0"/>
      <w:spacing w:after="60"/>
      <w:jc w:val="left"/>
    </w:pPr>
    <w:rPr>
      <w:rFonts w:ascii="Sim Sun+ 2" w:hAnsi="Calibri" w:eastAsia="Sim Sun+ 2" w:cs="Sim Sun+ 2"/>
      <w:kern w:val="0"/>
      <w:sz w:val="24"/>
    </w:rPr>
  </w:style>
  <w:style w:type="paragraph" w:customStyle="1" w:styleId="72">
    <w:name w:val="表格文字"/>
    <w:basedOn w:val="10"/>
    <w:next w:val="10"/>
    <w:autoRedefine/>
    <w:qFormat/>
    <w:uiPriority w:val="0"/>
    <w:pPr>
      <w:adjustRightInd w:val="0"/>
      <w:spacing w:line="300" w:lineRule="auto"/>
      <w:jc w:val="center"/>
    </w:pPr>
    <w:rPr>
      <w:rFonts w:ascii="仿宋_GB2312" w:hAnsi="Arial Black"/>
      <w:kern w:val="44"/>
    </w:rPr>
  </w:style>
  <w:style w:type="paragraph" w:customStyle="1" w:styleId="73">
    <w:name w:val="普通(网站)2"/>
    <w:basedOn w:val="1"/>
    <w:autoRedefine/>
    <w:qFormat/>
    <w:uiPriority w:val="0"/>
    <w:pPr>
      <w:widowControl/>
      <w:spacing w:before="100" w:beforeAutospacing="1" w:after="100" w:afterAutospacing="1"/>
      <w:jc w:val="left"/>
    </w:pPr>
    <w:rPr>
      <w:rFonts w:ascii="宋体" w:hAnsi="宋体"/>
      <w:sz w:val="24"/>
      <w:szCs w:val="20"/>
    </w:rPr>
  </w:style>
  <w:style w:type="paragraph" w:customStyle="1" w:styleId="74">
    <w:name w:val="2"/>
    <w:basedOn w:val="1"/>
    <w:next w:val="19"/>
    <w:autoRedefine/>
    <w:qFormat/>
    <w:uiPriority w:val="0"/>
    <w:pPr>
      <w:tabs>
        <w:tab w:val="left" w:pos="604"/>
      </w:tabs>
      <w:spacing w:line="360" w:lineRule="auto"/>
      <w:ind w:firstLine="600"/>
    </w:pPr>
    <w:rPr>
      <w:sz w:val="24"/>
    </w:rPr>
  </w:style>
  <w:style w:type="paragraph" w:customStyle="1" w:styleId="75">
    <w:name w:val="Table Paragraph"/>
    <w:basedOn w:val="1"/>
    <w:autoRedefine/>
    <w:qFormat/>
    <w:uiPriority w:val="1"/>
    <w:pPr>
      <w:spacing w:line="360" w:lineRule="auto"/>
      <w:ind w:firstLine="200" w:firstLineChars="200"/>
      <w:jc w:val="center"/>
    </w:pPr>
    <w:rPr>
      <w:rFonts w:ascii="宋体" w:hAnsi="宋体" w:cs="宋体"/>
      <w:sz w:val="24"/>
    </w:rPr>
  </w:style>
  <w:style w:type="paragraph" w:customStyle="1" w:styleId="76">
    <w:name w:val="注"/>
    <w:basedOn w:val="1"/>
    <w:autoRedefine/>
    <w:qFormat/>
    <w:uiPriority w:val="0"/>
    <w:pPr>
      <w:jc w:val="left"/>
    </w:pPr>
    <w:rPr>
      <w:sz w:val="18"/>
    </w:rPr>
  </w:style>
  <w:style w:type="table" w:customStyle="1" w:styleId="77">
    <w:name w:val="网格型3"/>
    <w:basedOn w:val="26"/>
    <w:autoRedefine/>
    <w:qFormat/>
    <w:uiPriority w:val="0"/>
    <w:rPr>
      <w:rFonts w:ascii="Calibri" w:hAnsi="Calibri" w:eastAsia="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78">
    <w:name w:val="标题 3 字符"/>
    <w:basedOn w:val="28"/>
    <w:link w:val="2"/>
    <w:autoRedefine/>
    <w:qFormat/>
    <w:uiPriority w:val="0"/>
    <w:rPr>
      <w:b/>
      <w:kern w:val="2"/>
      <w:sz w:val="32"/>
      <w:szCs w:val="32"/>
    </w:rPr>
  </w:style>
  <w:style w:type="character" w:customStyle="1" w:styleId="79">
    <w:name w:val="font51"/>
    <w:basedOn w:val="28"/>
    <w:autoRedefine/>
    <w:qFormat/>
    <w:uiPriority w:val="0"/>
    <w:rPr>
      <w:rFonts w:hint="eastAsia" w:ascii="宋体" w:hAnsi="宋体" w:eastAsia="宋体" w:cs="宋体"/>
      <w:color w:val="000000"/>
      <w:sz w:val="21"/>
      <w:szCs w:val="21"/>
      <w:u w:val="none"/>
    </w:rPr>
  </w:style>
  <w:style w:type="character" w:customStyle="1" w:styleId="80">
    <w:name w:val="标题 2 字符"/>
    <w:basedOn w:val="28"/>
    <w:link w:val="4"/>
    <w:autoRedefine/>
    <w:qFormat/>
    <w:uiPriority w:val="0"/>
    <w:rPr>
      <w:b/>
      <w:kern w:val="2"/>
      <w:sz w:val="18"/>
      <w:szCs w:val="32"/>
    </w:rPr>
  </w:style>
  <w:style w:type="character" w:customStyle="1" w:styleId="81">
    <w:name w:val="正文文本 字符"/>
    <w:basedOn w:val="28"/>
    <w:link w:val="10"/>
    <w:autoRedefine/>
    <w:qFormat/>
    <w:uiPriority w:val="0"/>
    <w:rPr>
      <w:kern w:val="2"/>
      <w:sz w:val="21"/>
      <w:szCs w:val="24"/>
    </w:rPr>
  </w:style>
  <w:style w:type="character" w:customStyle="1" w:styleId="82">
    <w:name w:val="正文缩进 字符"/>
    <w:basedOn w:val="28"/>
    <w:link w:val="7"/>
    <w:autoRedefine/>
    <w:qFormat/>
    <w:uiPriority w:val="0"/>
    <w:rPr>
      <w:sz w:val="21"/>
      <w:szCs w:val="24"/>
    </w:rPr>
  </w:style>
  <w:style w:type="character" w:customStyle="1" w:styleId="83">
    <w:name w:val="font11"/>
    <w:basedOn w:val="28"/>
    <w:autoRedefine/>
    <w:qFormat/>
    <w:uiPriority w:val="0"/>
    <w:rPr>
      <w:rFonts w:hint="default" w:ascii="Times New Roman" w:hAnsi="Times New Roman" w:cs="Times New Roman"/>
      <w:color w:val="FF0000"/>
      <w:sz w:val="18"/>
      <w:szCs w:val="18"/>
      <w:u w:val="none"/>
    </w:rPr>
  </w:style>
  <w:style w:type="paragraph" w:customStyle="1" w:styleId="84">
    <w:name w:val="表内表"/>
    <w:basedOn w:val="1"/>
    <w:autoRedefine/>
    <w:qFormat/>
    <w:uiPriority w:val="0"/>
    <w:pPr>
      <w:spacing w:line="240" w:lineRule="atLeast"/>
      <w:jc w:val="center"/>
    </w:pPr>
    <w:rPr>
      <w:bCs/>
      <w:sz w:val="18"/>
      <w:lang w:val="zh-CN"/>
    </w:rPr>
  </w:style>
  <w:style w:type="paragraph" w:customStyle="1" w:styleId="85">
    <w:name w:val="样式1"/>
    <w:basedOn w:val="86"/>
    <w:autoRedefine/>
    <w:qFormat/>
    <w:uiPriority w:val="0"/>
    <w:rPr>
      <w:szCs w:val="21"/>
    </w:rPr>
  </w:style>
  <w:style w:type="paragraph" w:customStyle="1" w:styleId="86">
    <w:name w:val="列出段落1"/>
    <w:basedOn w:val="1"/>
    <w:autoRedefine/>
    <w:qFormat/>
    <w:uiPriority w:val="0"/>
    <w:pPr>
      <w:ind w:firstLine="420"/>
    </w:pPr>
    <w:rPr>
      <w:szCs w:val="20"/>
    </w:rPr>
  </w:style>
  <w:style w:type="paragraph" w:customStyle="1" w:styleId="87">
    <w:name w:val="5正文"/>
    <w:basedOn w:val="1"/>
    <w:autoRedefine/>
    <w:qFormat/>
    <w:uiPriority w:val="0"/>
    <w:pPr>
      <w:snapToGrid w:val="0"/>
      <w:spacing w:line="360" w:lineRule="auto"/>
      <w:ind w:firstLine="200" w:firstLineChars="200"/>
    </w:pPr>
    <w:rPr>
      <w:sz w:val="24"/>
    </w:rPr>
  </w:style>
  <w:style w:type="paragraph" w:customStyle="1" w:styleId="88">
    <w:name w:val="正文1"/>
    <w:autoRedefine/>
    <w:qFormat/>
    <w:uiPriority w:val="0"/>
    <w:pPr>
      <w:jc w:val="both"/>
    </w:pPr>
    <w:rPr>
      <w:rFonts w:ascii="Times New Roman" w:hAnsi="Times New Roman" w:eastAsia="宋体" w:cs="Times New Roman"/>
      <w:kern w:val="2"/>
      <w:sz w:val="21"/>
      <w:szCs w:val="21"/>
      <w:lang w:val="en-US" w:eastAsia="zh-CN" w:bidi="ar-SA"/>
    </w:rPr>
  </w:style>
  <w:style w:type="character" w:customStyle="1" w:styleId="89">
    <w:name w:val="font21"/>
    <w:autoRedefine/>
    <w:qFormat/>
    <w:uiPriority w:val="0"/>
    <w:rPr>
      <w:rFonts w:hint="eastAsia" w:ascii="宋体" w:hAnsi="宋体" w:eastAsia="宋体" w:cs="宋体"/>
      <w:color w:val="000000"/>
      <w:sz w:val="21"/>
      <w:szCs w:val="21"/>
      <w:u w:val="none"/>
    </w:rPr>
  </w:style>
  <w:style w:type="paragraph" w:customStyle="1" w:styleId="90">
    <w:name w:val="Body text|1"/>
    <w:basedOn w:val="1"/>
    <w:autoRedefine/>
    <w:qFormat/>
    <w:uiPriority w:val="0"/>
    <w:pPr>
      <w:spacing w:line="458" w:lineRule="auto"/>
      <w:ind w:firstLine="400"/>
    </w:pPr>
    <w:rPr>
      <w:rFonts w:ascii="宋体" w:hAnsi="宋体" w:cs="宋体"/>
      <w:sz w:val="22"/>
      <w:szCs w:val="22"/>
      <w:lang w:val="zh-TW" w:eastAsia="zh-TW" w:bidi="zh-TW"/>
    </w:rPr>
  </w:style>
  <w:style w:type="paragraph" w:customStyle="1" w:styleId="91">
    <w:name w:val="表格文字2"/>
    <w:basedOn w:val="1"/>
    <w:autoRedefine/>
    <w:qFormat/>
    <w:uiPriority w:val="0"/>
    <w:pPr>
      <w:tabs>
        <w:tab w:val="left" w:pos="277"/>
        <w:tab w:val="left" w:pos="600"/>
        <w:tab w:val="left" w:pos="780"/>
        <w:tab w:val="left" w:pos="2517"/>
      </w:tabs>
      <w:adjustRightInd w:val="0"/>
      <w:jc w:val="center"/>
      <w:textAlignment w:val="baseline"/>
    </w:pPr>
    <w:rPr>
      <w:kern w:val="0"/>
    </w:rPr>
  </w:style>
  <w:style w:type="paragraph" w:customStyle="1" w:styleId="92">
    <w:name w:val="表格1"/>
    <w:basedOn w:val="1"/>
    <w:autoRedefine/>
    <w:qFormat/>
    <w:uiPriority w:val="0"/>
    <w:pPr>
      <w:widowControl/>
      <w:adjustRightInd w:val="0"/>
      <w:snapToGrid w:val="0"/>
      <w:jc w:val="center"/>
    </w:pPr>
    <w:rPr>
      <w:spacing w:val="4"/>
      <w:kern w:val="0"/>
      <w:sz w:val="20"/>
      <w:szCs w:val="20"/>
    </w:rPr>
  </w:style>
  <w:style w:type="character" w:customStyle="1" w:styleId="93">
    <w:name w:val="表格 Char Char"/>
    <w:link w:val="34"/>
    <w:autoRedefine/>
    <w:qFormat/>
    <w:uiPriority w:val="0"/>
    <w:rPr>
      <w:rFonts w:ascii="宋体"/>
      <w:kern w:val="0"/>
      <w:szCs w:val="20"/>
    </w:rPr>
  </w:style>
  <w:style w:type="paragraph" w:customStyle="1" w:styleId="94">
    <w:name w:val="！正文"/>
    <w:basedOn w:val="1"/>
    <w:autoRedefine/>
    <w:qFormat/>
    <w:uiPriority w:val="99"/>
    <w:pPr>
      <w:widowControl/>
      <w:spacing w:line="460" w:lineRule="exact"/>
    </w:pPr>
    <w:rPr>
      <w:rFonts w:cs="宋体"/>
      <w:kern w:val="0"/>
    </w:rPr>
  </w:style>
  <w:style w:type="paragraph" w:customStyle="1" w:styleId="95">
    <w:name w:val="列出段落11"/>
    <w:autoRedefine/>
    <w:qFormat/>
    <w:uiPriority w:val="0"/>
    <w:pPr>
      <w:widowControl w:val="0"/>
      <w:adjustRightInd w:val="0"/>
      <w:snapToGrid w:val="0"/>
      <w:spacing w:line="360" w:lineRule="auto"/>
      <w:ind w:firstLine="420" w:firstLineChars="200"/>
      <w:jc w:val="both"/>
    </w:pPr>
    <w:rPr>
      <w:rFonts w:ascii="Calibri" w:hAnsi="Calibri" w:eastAsia="宋体" w:cs="Times New Roman"/>
      <w:kern w:val="2"/>
      <w:sz w:val="24"/>
      <w:szCs w:val="22"/>
      <w:lang w:val="en-US" w:eastAsia="zh-CN" w:bidi="ar-SA"/>
    </w:rPr>
  </w:style>
  <w:style w:type="paragraph" w:customStyle="1" w:styleId="96">
    <w:name w:val="图表标题"/>
    <w:next w:val="1"/>
    <w:autoRedefine/>
    <w:qFormat/>
    <w:uiPriority w:val="0"/>
    <w:pPr>
      <w:widowControl w:val="0"/>
      <w:adjustRightInd w:val="0"/>
      <w:snapToGrid w:val="0"/>
      <w:ind w:firstLine="200" w:firstLineChars="200"/>
      <w:jc w:val="center"/>
    </w:pPr>
    <w:rPr>
      <w:rFonts w:ascii="Arial" w:hAnsi="Arial" w:eastAsia="宋体" w:cs="宋体"/>
      <w:b/>
      <w:kern w:val="2"/>
      <w:sz w:val="24"/>
      <w:szCs w:val="22"/>
      <w:lang w:val="en-US" w:eastAsia="zh-CN" w:bidi="ar-SA"/>
    </w:rPr>
  </w:style>
  <w:style w:type="character" w:customStyle="1" w:styleId="97">
    <w:name w:val="fontstyle01"/>
    <w:basedOn w:val="28"/>
    <w:autoRedefine/>
    <w:qFormat/>
    <w:uiPriority w:val="0"/>
    <w:rPr>
      <w:rFonts w:ascii="宋体" w:hAnsi="宋体" w:eastAsia="宋体" w:cs="宋体"/>
      <w:color w:val="000000"/>
      <w:sz w:val="22"/>
      <w:szCs w:val="22"/>
    </w:rPr>
  </w:style>
  <w:style w:type="character" w:customStyle="1" w:styleId="98">
    <w:name w:val="fontstyle21"/>
    <w:basedOn w:val="28"/>
    <w:autoRedefine/>
    <w:qFormat/>
    <w:uiPriority w:val="0"/>
    <w:rPr>
      <w:rFonts w:ascii="TimesNewRomanPSMT" w:hAnsi="TimesNewRomanPSMT" w:eastAsia="TimesNewRomanPSMT" w:cs="TimesNewRomanPSMT"/>
      <w:color w:val="000000"/>
      <w:sz w:val="22"/>
      <w:szCs w:val="22"/>
    </w:rPr>
  </w:style>
  <w:style w:type="paragraph" w:customStyle="1" w:styleId="99">
    <w:name w:val="表格字体"/>
    <w:basedOn w:val="1"/>
    <w:autoRedefine/>
    <w:qFormat/>
    <w:uiPriority w:val="0"/>
    <w:pPr>
      <w:widowControl/>
      <w:jc w:val="center"/>
    </w:pPr>
  </w:style>
  <w:style w:type="character" w:customStyle="1" w:styleId="100">
    <w:name w:val="标题 4 字符"/>
    <w:link w:val="5"/>
    <w:autoRedefine/>
    <w:qFormat/>
    <w:uiPriority w:val="0"/>
    <w:rPr>
      <w:rFonts w:ascii="Arial" w:hAnsi="Arial" w:eastAsia="黑体"/>
      <w:b/>
      <w:bCs/>
      <w:sz w:val="28"/>
      <w:szCs w:val="28"/>
    </w:rPr>
  </w:style>
  <w:style w:type="character" w:customStyle="1" w:styleId="101">
    <w:name w:val="正文缩进 Char2"/>
    <w:autoRedefine/>
    <w:qFormat/>
    <w:uiPriority w:val="0"/>
    <w:rPr>
      <w:rFonts w:ascii="Times New Roman" w:hAnsi="Times New Roman" w:eastAsia="宋体"/>
      <w:kern w:val="0"/>
      <w:sz w:val="21"/>
    </w:rPr>
  </w:style>
  <w:style w:type="table" w:customStyle="1" w:styleId="102">
    <w:name w:val="黄桥表111"/>
    <w:basedOn w:val="26"/>
    <w:qFormat/>
    <w:uiPriority w:val="0"/>
    <w:pPr>
      <w:widowControl w:val="0"/>
      <w:adjustRightInd w:val="0"/>
      <w:snapToGrid w:val="0"/>
      <w:jc w:val="center"/>
    </w:pPr>
    <w:tblPr>
      <w:tblBorders>
        <w:top w:val="single" w:color="auto" w:sz="12" w:space="0"/>
        <w:bottom w:val="single" w:color="auto" w:sz="12" w:space="0"/>
        <w:insideH w:val="single" w:color="auto" w:sz="4" w:space="0"/>
        <w:insideV w:val="single" w:color="auto" w:sz="4" w:space="0"/>
      </w:tblBorders>
    </w:tblPr>
    <w:tcPr>
      <w:shd w:val="clear" w:color="auto" w:fill="auto"/>
      <w:vAlign w:val="center"/>
    </w:tcPr>
  </w:style>
  <w:style w:type="paragraph" w:customStyle="1" w:styleId="103">
    <w:name w:val="表内正文"/>
    <w:basedOn w:val="24"/>
    <w:qFormat/>
    <w:uiPriority w:val="0"/>
    <w:pPr>
      <w:spacing w:line="500" w:lineRule="exact"/>
      <w:ind w:firstLine="200" w:firstLineChars="200"/>
    </w:pPr>
    <w:rPr>
      <w:rFonts w:eastAsia="仿宋_GB2312"/>
      <w:sz w:val="28"/>
    </w:rPr>
  </w:style>
  <w:style w:type="paragraph" w:customStyle="1" w:styleId="104">
    <w:name w:val="表头样式1"/>
    <w:basedOn w:val="1"/>
    <w:qFormat/>
    <w:uiPriority w:val="0"/>
    <w:pPr>
      <w:keepNext/>
      <w:adjustRightInd w:val="0"/>
      <w:snapToGrid w:val="0"/>
      <w:spacing w:before="100"/>
      <w:jc w:val="center"/>
    </w:pPr>
    <w:rPr>
      <w:rFonts w:ascii="Times New Roman" w:hAnsi="Times New Roman" w:eastAsia="宋体" w:cs="Times New Roman"/>
      <w:b/>
      <w:kern w:val="44"/>
      <w:sz w:val="24"/>
      <w:lang w:eastAsia="zh-CN"/>
    </w:rPr>
  </w:style>
  <w:style w:type="paragraph" w:customStyle="1" w:styleId="105">
    <w:name w:val="史 表内表格样式"/>
    <w:basedOn w:val="1"/>
    <w:qFormat/>
    <w:uiPriority w:val="0"/>
    <w:pPr>
      <w:spacing w:line="240" w:lineRule="auto"/>
      <w:jc w:val="center"/>
    </w:pPr>
    <w:rPr>
      <w:rFonts w:ascii="Times New Roman" w:hAnsi="Times New Roman" w:eastAsia="宋体"/>
      <w:bCs/>
      <w:szCs w:val="21"/>
    </w:rPr>
  </w:style>
  <w:style w:type="character" w:customStyle="1" w:styleId="106">
    <w:name w:val="aar_9ptcopy1"/>
    <w:autoRedefine/>
    <w:qFormat/>
    <w:uiPriority w:val="0"/>
    <w:rPr>
      <w:rFonts w:hint="default" w:ascii="ˎ̥" w:hAnsi="ˎ̥"/>
      <w:sz w:val="18"/>
      <w:szCs w:val="18"/>
    </w:rPr>
  </w:style>
  <w:style w:type="paragraph" w:customStyle="1" w:styleId="107">
    <w:name w:val="Normal"/>
    <w:basedOn w:val="1"/>
    <w:qFormat/>
    <w:uiPriority w:val="0"/>
    <w:pPr>
      <w:keepNext w:val="0"/>
      <w:keepLines w:val="0"/>
      <w:widowControl/>
      <w:suppressLineNumbers w:val="0"/>
      <w:spacing w:before="0" w:beforeAutospacing="0" w:after="0" w:afterAutospacing="0"/>
      <w:ind w:left="0" w:right="0"/>
      <w:jc w:val="both"/>
    </w:pPr>
    <w:rPr>
      <w:rFonts w:hint="default" w:ascii="Times New Roman" w:hAnsi="Times New Roman" w:eastAsia="宋体" w:cs="Times New Roman"/>
      <w:kern w:val="2"/>
      <w:sz w:val="21"/>
      <w:szCs w:val="21"/>
      <w:lang w:val="en-US" w:eastAsia="zh-CN" w:bidi="ar"/>
    </w:rPr>
  </w:style>
  <w:style w:type="paragraph" w:customStyle="1" w:styleId="108">
    <w:name w:val="正本文字"/>
    <w:basedOn w:val="1"/>
    <w:qFormat/>
    <w:uiPriority w:val="0"/>
    <w:pPr>
      <w:adjustRightInd w:val="0"/>
      <w:snapToGrid w:val="0"/>
      <w:spacing w:line="360" w:lineRule="auto"/>
      <w:ind w:firstLine="480" w:firstLineChars="200"/>
      <w:jc w:val="left"/>
    </w:pPr>
    <w:rPr>
      <w:rFonts w:ascii="Calibri" w:hAnsi="Calibri" w:eastAsia="宋体" w:cs="Times New Roman"/>
      <w:kern w:val="18"/>
      <w:sz w:val="24"/>
      <w:szCs w:val="22"/>
    </w:rPr>
  </w:style>
  <w:style w:type="paragraph" w:customStyle="1" w:styleId="109">
    <w:name w:val="00注释-报告表"/>
    <w:basedOn w:val="1"/>
    <w:autoRedefine/>
    <w:qFormat/>
    <w:uiPriority w:val="0"/>
    <w:pPr>
      <w:autoSpaceDE w:val="0"/>
      <w:autoSpaceDN w:val="0"/>
      <w:adjustRightInd w:val="0"/>
      <w:snapToGrid w:val="0"/>
      <w:spacing w:line="360" w:lineRule="auto"/>
    </w:pPr>
    <w:rPr>
      <w:b/>
      <w:bCs/>
      <w:sz w:val="18"/>
      <w:szCs w:val="18"/>
    </w:rPr>
  </w:style>
  <w:style w:type="paragraph" w:customStyle="1" w:styleId="110">
    <w:name w:val="谏壁正文chen"/>
    <w:basedOn w:val="1"/>
    <w:autoRedefine/>
    <w:qFormat/>
    <w:uiPriority w:val="0"/>
    <w:pPr>
      <w:spacing w:line="360" w:lineRule="auto"/>
      <w:ind w:firstLine="200" w:firstLineChars="200"/>
    </w:pPr>
    <w:rPr>
      <w:rFonts w:ascii="Calibri" w:hAnsi="Calibri"/>
      <w:sz w:val="24"/>
      <w:szCs w:val="22"/>
    </w:rPr>
  </w:style>
  <w:style w:type="paragraph" w:customStyle="1" w:styleId="111">
    <w:name w:val="Table Text"/>
    <w:basedOn w:val="1"/>
    <w:semiHidden/>
    <w:qFormat/>
    <w:uiPriority w:val="0"/>
    <w:rPr>
      <w:rFonts w:ascii="仿宋" w:hAnsi="仿宋" w:eastAsia="仿宋" w:cs="仿宋"/>
      <w:sz w:val="24"/>
      <w:szCs w:val="24"/>
      <w:lang w:val="en-US" w:eastAsia="en-US" w:bidi="ar-SA"/>
    </w:rPr>
  </w:style>
  <w:style w:type="table" w:customStyle="1" w:styleId="112">
    <w:name w:val="Table Normal"/>
    <w:semiHidden/>
    <w:unhideWhenUsed/>
    <w:qFormat/>
    <w:uiPriority w:val="0"/>
    <w:tblPr>
      <w:tblCellMar>
        <w:top w:w="0" w:type="dxa"/>
        <w:left w:w="0" w:type="dxa"/>
        <w:bottom w:w="0" w:type="dxa"/>
        <w:right w:w="0" w:type="dxa"/>
      </w:tblCellMar>
    </w:tblPr>
  </w:style>
  <w:style w:type="character" w:customStyle="1" w:styleId="113">
    <w:name w:val="font31"/>
    <w:basedOn w:val="28"/>
    <w:qFormat/>
    <w:uiPriority w:val="0"/>
    <w:rPr>
      <w:rFonts w:hint="default" w:ascii="Times New Roman" w:hAnsi="Times New Roman" w:cs="Times New Roman"/>
      <w:color w:val="000000"/>
      <w:sz w:val="18"/>
      <w:szCs w:val="18"/>
      <w:u w:val="none"/>
      <w:vertAlign w:val="subscript"/>
    </w:rPr>
  </w:style>
  <w:style w:type="paragraph" w:styleId="114">
    <w:name w:val="List Paragraph"/>
    <w:basedOn w:val="1"/>
    <w:qFormat/>
    <w:uiPriority w:val="34"/>
    <w:pPr>
      <w:ind w:firstLine="420" w:firstLineChars="200"/>
    </w:pPr>
  </w:style>
  <w:style w:type="paragraph" w:customStyle="1" w:styleId="115">
    <w:name w:val="msolistparagraph"/>
    <w:basedOn w:val="1"/>
    <w:autoRedefine/>
    <w:qFormat/>
    <w:uiPriority w:val="0"/>
    <w:pPr>
      <w:ind w:firstLine="420" w:firstLineChars="200"/>
    </w:pPr>
    <w:rPr>
      <w:szCs w:val="20"/>
    </w:rPr>
  </w:style>
  <w:style w:type="paragraph" w:customStyle="1" w:styleId="116">
    <w:name w:val="2 表格内容"/>
    <w:basedOn w:val="1"/>
    <w:qFormat/>
    <w:uiPriority w:val="0"/>
    <w:pPr>
      <w:adjustRightInd w:val="0"/>
      <w:snapToGrid w:val="0"/>
      <w:spacing w:line="320" w:lineRule="exact"/>
      <w:jc w:val="center"/>
    </w:pPr>
    <w:rPr>
      <w:szCs w:val="21"/>
    </w:rPr>
  </w:style>
  <w:style w:type="character" w:customStyle="1" w:styleId="117">
    <w:name w:val="要点1"/>
    <w:basedOn w:val="118"/>
    <w:link w:val="1"/>
    <w:qFormat/>
    <w:uiPriority w:val="0"/>
    <w:rPr>
      <w:rFonts w:hint="default" w:ascii="Times New Roman" w:hAnsi="Times New Roman" w:eastAsia="宋体" w:cs="Times New Roman"/>
      <w:kern w:val="2"/>
      <w:sz w:val="21"/>
      <w:szCs w:val="21"/>
      <w:lang w:val="en-US" w:eastAsia="zh-CN" w:bidi="ar"/>
    </w:rPr>
  </w:style>
  <w:style w:type="character" w:customStyle="1" w:styleId="118">
    <w:name w:val="默认段落字体1"/>
    <w:link w:val="1"/>
    <w:semiHidden/>
    <w:qFormat/>
    <w:uiPriority w:val="0"/>
  </w:style>
  <w:style w:type="paragraph" w:customStyle="1" w:styleId="119">
    <w:name w:val="3 正文"/>
    <w:basedOn w:val="1"/>
    <w:qFormat/>
    <w:uiPriority w:val="0"/>
    <w:pPr>
      <w:adjustRightInd w:val="0"/>
      <w:snapToGrid w:val="0"/>
      <w:ind w:firstLine="480"/>
    </w:pPr>
    <w:rPr>
      <w:lang w:val="zh-CN"/>
    </w:rPr>
  </w:style>
  <w:style w:type="paragraph" w:customStyle="1" w:styleId="120">
    <w:name w:val="Heading #4|1"/>
    <w:basedOn w:val="1"/>
    <w:qFormat/>
    <w:uiPriority w:val="0"/>
    <w:pPr>
      <w:widowControl w:val="0"/>
      <w:shd w:val="clear" w:color="auto" w:fill="auto"/>
      <w:spacing w:after="340"/>
      <w:ind w:firstLine="200"/>
      <w:outlineLvl w:val="3"/>
    </w:pPr>
    <w:rPr>
      <w:rFonts w:ascii="宋体" w:hAnsi="宋体" w:eastAsia="宋体" w:cs="宋体"/>
      <w:sz w:val="26"/>
      <w:szCs w:val="26"/>
      <w:u w:val="none"/>
      <w:shd w:val="clear" w:color="auto" w:fill="auto"/>
      <w:lang w:val="zh-TW" w:eastAsia="zh-TW" w:bidi="zh-TW"/>
    </w:rPr>
  </w:style>
  <w:style w:type="paragraph" w:customStyle="1" w:styleId="121">
    <w:name w:val="Body text|3"/>
    <w:basedOn w:val="1"/>
    <w:qFormat/>
    <w:uiPriority w:val="0"/>
    <w:pPr>
      <w:widowControl w:val="0"/>
      <w:shd w:val="clear" w:color="auto" w:fill="auto"/>
      <w:jc w:val="center"/>
    </w:pPr>
    <w:rPr>
      <w:rFonts w:ascii="宋体" w:hAnsi="宋体" w:eastAsia="宋体" w:cs="宋体"/>
      <w:sz w:val="18"/>
      <w:szCs w:val="18"/>
      <w:u w:val="none"/>
      <w:shd w:val="clear" w:color="auto" w:fill="auto"/>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4" Type="http://schemas.openxmlformats.org/officeDocument/2006/relationships/fontTable" Target="fontTable.xml"/><Relationship Id="rId23" Type="http://schemas.openxmlformats.org/officeDocument/2006/relationships/customXml" Target="../customXml/item2.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image" Target="media/image9.wmf"/><Relationship Id="rId2" Type="http://schemas.openxmlformats.org/officeDocument/2006/relationships/settings" Target="settings.xml"/><Relationship Id="rId19" Type="http://schemas.openxmlformats.org/officeDocument/2006/relationships/oleObject" Target="embeddings/oleObject2.bin"/><Relationship Id="rId18" Type="http://schemas.openxmlformats.org/officeDocument/2006/relationships/image" Target="media/image8.png"/><Relationship Id="rId17" Type="http://schemas.openxmlformats.org/officeDocument/2006/relationships/image" Target="media/image7.png"/><Relationship Id="rId16" Type="http://schemas.openxmlformats.org/officeDocument/2006/relationships/image" Target="media/image6.png"/><Relationship Id="rId15" Type="http://schemas.openxmlformats.org/officeDocument/2006/relationships/image" Target="media/image5.png"/><Relationship Id="rId14" Type="http://schemas.openxmlformats.org/officeDocument/2006/relationships/image" Target="media/image4.png"/><Relationship Id="rId13" Type="http://schemas.openxmlformats.org/officeDocument/2006/relationships/image" Target="media/image3.png"/><Relationship Id="rId12" Type="http://schemas.openxmlformats.org/officeDocument/2006/relationships/image" Target="media/image2.emf"/><Relationship Id="rId11" Type="http://schemas.openxmlformats.org/officeDocument/2006/relationships/oleObject" Target="embeddings/oleObject1.bin"/><Relationship Id="rId10" Type="http://schemas.openxmlformats.org/officeDocument/2006/relationships/image" Target="media/image1.jpe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7e9526f3-e1e5-434e-b784-b1b07630b4f1</errorID>
      <errorWord>2026年03月</errorWord>
      <group>L1_Knowledge</group>
      <groupName>知识性问题</groupName>
      <ability>L2_Time</ability>
      <abilityName>日期时间</abilityName>
      <candidateList>
        <item>2026年3月</item>
      </candidateList>
      <explain>根据日常书写习惯，月份一般会省略前导零。</explain>
      <paraID>1F034619</paraID>
      <start>20</start>
      <end>27</end>
      <status>modified</status>
      <modifiedWord>2026年3月</modifiedWord>
      <trackRevisions>false</trackRevisions>
    </reviewItem>
    <reviewItem>
      <errorID>1055cf68-1dc7-4161-ae41-86c2f853bb21</errorID>
      <errorWord>无需设置</errorWord>
      <group>L1_Word</group>
      <groupName>字词问题</groupName>
      <ability>L2_Alias</ability>
      <abilityName>也作/曾用词</abilityName>
      <candidateList>
        <item>无须设置</item>
      </candidateList>
      <explain>词汇[无需设置]为不规范表述或旧称，其规范书面表述为[无须设置]。</explain>
      <paraID> 2EBB4D7</paraID>
      <start>36</start>
      <end>40</end>
      <status>ignored</status>
      <modifiedWord/>
      <trackRevisions>false</trackRevisions>
    </reviewItem>
    <reviewItem>
      <errorID>3031a47e-4a68-407a-a793-7e8c22663427</errorID>
      <errorWord>研</errorWord>
      <group>L1_Word</group>
      <groupName>字词问题</groupName>
      <ability>L2_Typo</ability>
      <abilityName>字词错误</abilityName>
      <candidateList>
        <item>研院</item>
      </candidateList>
      <explain/>
      <paraID>152796C5</paraID>
      <start>72</start>
      <end>73</end>
      <status>ignored</status>
      <modifiedWord/>
      <trackRevisions>false</trackRevisions>
    </reviewItem>
    <reviewItem>
      <errorID>1afcd9aa-0db6-49af-825a-56d937e7c45a</errorID>
      <errorWord>等</errorWord>
      <group>L1_Word</group>
      <groupName>字词问题</groupName>
      <ability>L2_Typo</ability>
      <abilityName>字词错误</abilityName>
      <candidateList>
        <item>等为</item>
      </candidateList>
      <explain/>
      <paraID>152796C5</paraID>
      <start>95</start>
      <end>96</end>
      <status>ignored</status>
      <modifiedWord/>
      <trackRevisions>false</trackRevisions>
    </reviewItem>
    <reviewItem>
      <errorID>644d1a30-6432-4c23-b95e-bd2ad83ab8e0</errorID>
      <errorWord>主要重点</errorWord>
      <group>L1_AI</group>
      <groupName>深度校对</groupName>
      <ability>L2_AI_Grammar</ability>
      <abilityName>语法纠错</abilityName>
      <candidateList>
        <item>重点</item>
      </candidateList>
      <explain/>
      <paraID>7E1E0D9F</paraID>
      <start>67</start>
      <end>69</end>
      <status>modified</status>
      <modifiedWord>重点</modifiedWord>
      <trackRevisions>false</trackRevisions>
    </reviewItem>
    <reviewItem>
      <errorID>0705bb53-41f2-4ab0-8e45-b5462dce52ba</errorID>
      <errorWord>一级</errorWord>
      <group>L1_AI</group>
      <groupName>深度校对</groupName>
      <ability>L2_AI_Grammar</ability>
      <abilityName>语法纠错</abilityName>
      <candidateList>
        <item>规定，一级</item>
      </candidateList>
      <explain/>
      <paraID>2DB32FAC</paraID>
      <start>15</start>
      <end>17</end>
      <status>ignored</status>
      <modifiedWord/>
      <trackRevisions>false</trackRevisions>
    </reviewItem>
    <reviewItem>
      <errorID>5a69c30f-dfbc-42ef-8b2e-30c6310e38b1</errorID>
      <errorWord>不</errorWord>
      <group>L1_AI</group>
      <groupName>深度校对</groupName>
      <ability>L2_AI_Word</ability>
      <abilityName>字词纠错</abilityName>
      <candidateList>
        <item>对不</item>
      </candidateList>
      <explain/>
      <paraID>2DB32FAC</paraID>
      <start>29</start>
      <end>30</end>
      <status>ignored</status>
      <modifiedWord/>
      <trackRevisions>false</trackRevisions>
    </reviewItem>
    <reviewItem>
      <errorID>fc814788-8d64-4175-91ed-e4c0b16dc59d</errorID>
      <errorWord>实施</errorWord>
      <group>L1_AI</group>
      <groupName>深度校对</groupName>
      <ability>L2_AI_Word</ability>
      <abilityName>字词纠错</abilityName>
      <candidateList>
        <item>应实施</item>
      </candidateList>
      <explain/>
      <paraID>2DB32FAC</paraID>
      <start>41</start>
      <end>43</end>
      <status>ignored</status>
      <modifiedWord/>
      <trackRevisions>false</trackRevisions>
    </reviewItem>
    <reviewItem>
      <errorID>c98c45f7-4178-4e0c-a3cf-c48c7ca2c306</errorID>
      <errorWord>存续</errorWord>
      <group>L1_AI</group>
      <groupName>深度校对</groupName>
      <ability>L2_AI_Word</ability>
      <abilityName>字词纠错</abilityName>
      <candidateList>
        <item>在存续</item>
      </candidateList>
      <explain/>
      <paraID>2DB32FAC</paraID>
      <start>53</start>
      <end>55</end>
      <status>ignored</status>
      <modifiedWord/>
      <trackRevisions>false</trackRevisions>
    </reviewItem>
    <reviewItem>
      <errorID>3e703a87-5f83-416a-85cc-ec1fd785e6f5</errorID>
      <errorWord>除</errorWord>
      <group>L1_AI</group>
      <groupName>深度校对</groupName>
      <ability>L2_AI_Punc</ability>
      <abilityName>标点纠错</abilityName>
      <candidateList>
        <item>，除</item>
      </candidateList>
      <explain/>
      <paraID>2DB32FAC</paraID>
      <start>57</start>
      <end>58</end>
      <status>ignored</status>
      <modifiedWord/>
      <trackRevisions>false</trackRevisions>
    </reviewItem>
    <reviewItem>
      <errorID>9dcd78fb-5b85-4e93-8994-f75144d51251</errorID>
      <errorWord>不得</errorWord>
      <group>L1_AI</group>
      <groupName>深度校对</groupName>
      <ability>L2_AI_Punc</ability>
      <abilityName>标点纠错</abilityName>
      <candidateList>
        <item>，不得</item>
      </candidateList>
      <explain/>
      <paraID>2DB32FAC</paraID>
      <start>65</start>
      <end>67</end>
      <status>ignored</status>
      <modifiedWord/>
      <trackRevisions>false</trackRevisions>
    </reviewItem>
    <reviewItem>
      <errorID>1cb2ffbf-2ea3-419d-b8cf-3ce6b7b1def9</errorID>
      <errorWord>设置</errorWord>
      <group>L1_AI</group>
      <groupName>深度校对</groupName>
      <ability>L2_AI_Word</ability>
      <abilityName>字词纠错</abilityName>
      <candidateList>
        <item>应设置</item>
      </candidateList>
      <explain/>
      <paraID> F947842</paraID>
      <start>6</start>
      <end>8</end>
      <status>ignored</status>
      <modifiedWord/>
      <trackRevisions>false</trackRevisions>
    </reviewItem>
    <reviewItem>
      <errorID>581ec50d-69fd-4fda-acec-0f21d8c2361d</errorID>
      <errorWord>。</errorWord>
      <group>L1_AI</group>
      <groupName>深度校对</groupName>
      <ability>L2_AI_Punc</ability>
      <abilityName>标点纠错</abilityName>
      <candidateList>
        <item>；</item>
      </candidateList>
      <explain/>
      <paraID> F947842</paraID>
      <start>18</start>
      <end>19</end>
      <status>ignored</status>
      <modifiedWord/>
      <trackRevisions>false</trackRevisions>
    </reviewItem>
    <reviewItem>
      <errorID>c8ba8987-7781-4297-bd16-adfa19e807e7</errorID>
      <errorWord>设置</errorWord>
      <group>L1_AI</group>
      <groupName>深度校对</groupName>
      <ability>L2_AI_Word</ability>
      <abilityName>字词纠错</abilityName>
      <candidateList>
        <item>应设置</item>
      </candidateList>
      <explain/>
      <paraID> F947842</paraID>
      <start>27</start>
      <end>29</end>
      <status>ignored</status>
      <modifiedWord/>
      <trackRevisions>false</trackRevisions>
    </reviewItem>
    <reviewItem>
      <errorID>143ac3ac-a452-4583-bcc3-1b390fe6115c</errorID>
      <errorWord>空间</errorWord>
      <group>L1_AI</group>
      <groupName>深度校对</groupName>
      <ability>L2_AI_Word</ability>
      <abilityName>字词纠错</abilityName>
      <candidateList>
        <item>的空间</item>
      </candidateList>
      <explain/>
      <paraID> F947842</paraID>
      <start>35</start>
      <end>37</end>
      <status>ignored</status>
      <modifiedWord/>
      <trackRevisions>false</trackRevisions>
    </reviewItem>
    <reviewItem>
      <errorID>37b95989-944d-4e48-8b09-b9b7191f26fa</errorID>
      <errorWord>确保</errorWord>
      <group>L1_AI</group>
      <groupName>深度校对</groupName>
      <ability>L2_AI_Punc</ability>
      <abilityName>标点纠错</abilityName>
      <candidateList>
        <item>，确保</item>
      </candidateList>
      <explain/>
      <paraID>4DD646E8</paraID>
      <start>31</start>
      <end>33</end>
      <status>ignored</status>
      <modifiedWord/>
      <trackRevisions>false</trackRevisions>
    </reviewItem>
    <reviewItem>
      <errorID>52dc6ca1-494b-495e-9a9e-489dd5a35b00</errorID>
      <errorWord>优先</errorWord>
      <group>L1_AI</group>
      <groupName>深度校对</groupName>
      <ability>L2_AI_Word</ability>
      <abilityName>字词纠错</abilityName>
      <candidateList>
        <item>应优先</item>
      </candidateList>
      <explain/>
      <paraID>4DD646E8</paraID>
      <start>83</start>
      <end>85</end>
      <status>ignored</status>
      <modifiedWord/>
      <trackRevisions>false</trackRevisions>
    </reviewItem>
    <reviewItem>
      <errorID>33e359eb-6720-4624-a20b-c0b5c96d4083</errorID>
      <errorWord>一级</errorWord>
      <group>L1_AI</group>
      <groupName>深度校对</groupName>
      <ability>L2_AI_Grammar</ability>
      <abilityName>语法纠错</abilityName>
      <candidateList>
        <item>规定，一级</item>
      </candidateList>
      <explain/>
      <paraID>306AFE56</paraID>
      <start>17</start>
      <end>19</end>
      <status>ignored</status>
      <modifiedWord/>
      <trackRevisions>false</trackRevisions>
    </reviewItem>
    <reviewItem>
      <errorID>ba63597d-5870-482f-9d6d-b84d02a3089c</errorID>
      <errorWord>达到</errorWord>
      <group>L1_AI</group>
      <groupName>深度校对</groupName>
      <ability>L2_AI_Word</ability>
      <abilityName>字词纠错</abilityName>
      <candidateList>
        <item>应达到</item>
      </candidateList>
      <explain/>
      <paraID>5FEEDAFE</paraID>
      <start>9</start>
      <end>11</end>
      <status>ignored</status>
      <modifiedWord/>
      <trackRevisions>false</trackRevisions>
    </reviewItem>
    <reviewItem>
      <errorID>afb9fb47-d305-4958-ac3d-9964cfc10485</errorID>
      <errorWord>《</errorWord>
      <group>L1_Punc</group>
      <groupName>标点问题</groupName>
      <ability>L2_Punc</ability>
      <abilityName>标点符号检查</abilityName>
      <candidateList/>
      <explain>此处标点可能未正确匹配，请检查句子中是否存在标点冗余、缺失或使用错误的情况。</explain>
      <paraID>69542ACC</paraID>
      <start>113</start>
      <end>114</end>
      <status>ignored</status>
      <modifiedWord/>
      <trackRevisions>false</trackRevisions>
    </reviewItem>
    <reviewItem>
      <errorID>c138b1f7-8db8-4a74-b5a8-3bcaadc43fac</errorID>
      <errorWord>上线</errorWord>
      <group>L1_Word</group>
      <groupName>字词问题</groupName>
      <ability>L2_Typo</ability>
      <abilityName>字词错误</abilityName>
      <candidateList>
        <item>上限</item>
      </candidateList>
      <explain/>
      <paraID>39AB12FB</paraID>
      <start>59</start>
      <end>61</end>
      <status>ignored</status>
      <modifiedWord/>
      <trackRevisions>false</trackRevisions>
    </reviewItem>
    <reviewItem>
      <errorID>037e40e8-4838-4fbf-9306-796ac021a2cc</errorID>
      <errorWord>“</errorWord>
      <group>L1_Punc</group>
      <groupName>标点问题</groupName>
      <ability>L2_Punc</ability>
      <abilityName>标点符号检查</abilityName>
      <candidateList>
        <item>‘</item>
      </candidateList>
      <explain>当引号中还需要使用引号时，外面一层用双引号，里面一层用单引号。</explain>
      <paraID>34BDBB23</paraID>
      <start>52</start>
      <end>53</end>
      <status>ignored</status>
      <modifiedWord/>
      <trackRevisions>false</trackRevisions>
    </reviewItem>
    <reviewItem>
      <errorID>aa59c46a-1292-4927-a71e-de8b25d877c5</errorID>
      <errorWord>”</errorWord>
      <group>L1_Punc</group>
      <groupName>标点问题</groupName>
      <ability>L2_Punc</ability>
      <abilityName>标点符号检查</abilityName>
      <candidateList>
        <item>’</item>
      </candidateList>
      <explain>当引号中还需要使用引号时，外面一层用双引号，里面一层用单引号。</explain>
      <paraID>34BDBB23</paraID>
      <start>57</start>
      <end>58</end>
      <status>ignored</status>
      <modifiedWord/>
      <trackRevisions>false</trackRevisions>
    </reviewItem>
    <reviewItem>
      <errorID>7f1b2f2c-a610-4eca-9bdb-95539028e896</errorID>
      <errorWord>上线</errorWord>
      <group>L1_Word</group>
      <groupName>字词问题</groupName>
      <ability>L2_Typo</ability>
      <abilityName>字词错误</abilityName>
      <candidateList>
        <item>上限</item>
      </candidateList>
      <explain/>
      <paraID>71696257</paraID>
      <start>110</start>
      <end>112</end>
      <status>ignored</status>
      <modifiedWord/>
      <trackRevisions>false</trackRevisions>
    </reviewItem>
    <reviewItem>
      <errorID>749134c0-a31f-4ef1-80af-33de3cc70c90</errorID>
      <errorWord>中华人民共和国水污染防治法</errorWord>
      <group>L1_Knowledge</group>
      <groupName>知识性问题</groupName>
      <ability>L2_Knowledge</ability>
      <abilityName>其他知识</abilityName>
      <candidateList/>
      <explain>当前法律法规未收录或尚未生效，注意核查是否正确。</explain>
      <paraID>4AF06703</paraID>
      <start>7</start>
      <end>20</end>
      <status>ignored</status>
      <modifiedWord/>
      <trackRevisions>false</trackRevisions>
    </reviewItem>
    <reviewItem>
      <errorID>6dadc1bf-b7a7-4e9f-a03f-6c4e89f308d2</errorID>
      <errorWord>中华人民共和国湿地保护法</errorWord>
      <group>L1_Knowledge</group>
      <groupName>知识性问题</groupName>
      <ability>L2_Knowledge</ability>
      <abilityName>其他知识</abilityName>
      <candidateList/>
      <explain>当前法律法规未收录或尚未生效，注意核查是否正确。</explain>
      <paraID>71A982A2</paraID>
      <start>79</start>
      <end>91</end>
      <status>ignored</status>
      <modifiedWord/>
      <trackRevisions>false</trackRevisions>
    </reviewItem>
    <reviewItem>
      <errorID>b742cd76-bbe6-4177-b7c5-331294117bc4</errorID>
      <errorWord>[2025]1号</errorWord>
      <group>L1_Knowledge</group>
      <groupName>知识性问题</groupName>
      <ability>L2_Knowledge</ability>
      <abilityName>其他知识</abilityName>
      <candidateList>
        <item>〔2025〕1号</item>
      </candidateList>
      <explain>发文字号格式错误。</explain>
      <paraID> 820AF56</paraID>
      <start>91</start>
      <end>99</end>
      <status>modified</status>
      <modifiedWord>〔2025〕1号</modifiedWord>
      <trackRevisions>false</trackRevisions>
    </reviewItem>
    <reviewItem>
      <errorID>f6c51669-3912-4b5b-b67b-ce9d0d514474</errorID>
      <errorWord>高新区</errorWord>
      <group>L1_Word</group>
      <groupName>字词问题</groupName>
      <ability>L2_Typo</ability>
      <abilityName>字词错误</abilityName>
      <candidateList>
        <item>高新</item>
      </candidateList>
      <explain/>
      <paraID> 820AF56</paraID>
      <start>192</start>
      <end>195</end>
      <status>ignored</status>
      <modifiedWord/>
      <trackRevisions>false</trackRevisions>
    </reviewItem>
    <reviewItem>
      <errorID>ec8ad4ca-dfef-4f33-9a48-0d1363b7c8a2</errorID>
      <errorWord>胶粘剂</errorWord>
      <group>L1_Word</group>
      <groupName>字词问题</groupName>
      <ability>L2_Typo</ability>
      <abilityName>字词错误</abilityName>
      <candidateList>
        <item>胶黏剂</item>
      </candidateList>
      <explain/>
      <paraID>6F7AB276</paraID>
      <start>184</start>
      <end>187</end>
      <status>ignored</status>
      <modifiedWord/>
      <trackRevisions>false</trackRevisions>
    </reviewItem>
    <reviewItem>
      <errorID>c74c7176-28b6-4358-9128-82e38eb6d03f</errorID>
      <errorWord>上线</errorWord>
      <group>L1_Word</group>
      <groupName>字词问题</groupName>
      <ability>L2_Typo</ability>
      <abilityName>字词错误</abilityName>
      <candidateList>
        <item>上限</item>
      </candidateList>
      <explain/>
      <paraID>6D178CA5</paraID>
      <start>138</start>
      <end>140</end>
      <status>ignored</status>
      <modifiedWord/>
      <trackRevisions>false</trackRevisions>
    </reviewItem>
    <reviewItem>
      <errorID>4ecbb64c-7ec7-44e3-b10d-a2a6c6ff4576</errorID>
      <errorWord>强</errorWord>
      <group>L1_Word</group>
      <groupName>字词问题</groupName>
      <ability>L2_Typo</ability>
      <abilityName>字词错误</abilityName>
      <candidateList>
        <item>强对</item>
      </candidateList>
      <explain/>
      <paraID>5E6A6236</paraID>
      <start>123</start>
      <end>124</end>
      <status>ignored</status>
      <modifiedWord/>
      <trackRevisions>false</trackRevisions>
    </reviewItem>
    <reviewItem>
      <errorID>cecc7805-edf8-46d2-829f-5f39fa68c523</errorID>
      <errorWord>胶粘剂</errorWord>
      <group>L1_Word</group>
      <groupName>字词问题</groupName>
      <ability>L2_Typo</ability>
      <abilityName>字词错误</abilityName>
      <candidateList>
        <item>胶黏剂</item>
      </candidateList>
      <explain/>
      <paraID>48984A45</paraID>
      <start>23</start>
      <end>26</end>
      <status>ignored</status>
      <modifiedWord/>
      <trackRevisions>false</trackRevisions>
    </reviewItem>
    <reviewItem>
      <errorID>972914ea-2d9b-43b7-bfe7-a4d5f0d72dd7</errorID>
      <errorWord>[2009]</errorWord>
      <group>L1_Punc</group>
      <groupName>标点问题</groupName>
      <ability>L2_Punc</ability>
      <abilityName>标点符号检查</abilityName>
      <candidateList>
        <item>〔2009〕</item>
      </candidateList>
      <explain/>
      <paraID> 99A2C64</paraID>
      <start>101</start>
      <end>107</end>
      <status>modified</status>
      <modifiedWord>〔2009〕</modifiedWord>
      <trackRevisions>false</trackRevisions>
    </reviewItem>
    <reviewItem>
      <errorID>c948b540-7207-428d-904a-d4fd0b36f297</errorID>
      <errorWord>中华人民共和国环境保护法</errorWord>
      <group>L1_Knowledge</group>
      <groupName>知识性问题</groupName>
      <ability>L2_Knowledge</ability>
      <abilityName>其他知识</abilityName>
      <candidateList/>
      <explain>当前法律法规未收录或尚未生效，注意核查是否正确。</explain>
      <paraID>57B1DF70</paraID>
      <start>3</start>
      <end>15</end>
      <status>ignored</status>
      <modifiedWord/>
      <trackRevisions>false</trackRevisions>
    </reviewItem>
    <reviewItem>
      <errorID>75e2d606-85da-4750-b48f-ccd848f5bfbf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55DBC6DC</paraID>
      <start>8</start>
      <end>9</end>
      <status>ignored</status>
      <modifiedWord/>
      <trackRevisions>false</trackRevisions>
    </reviewItem>
    <reviewItem>
      <errorID>9e7b92ca-8c9d-479c-995b-01a31dcdb1c9</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55DBC6DC</paraID>
      <start>25</start>
      <end>26</end>
      <status>ignored</status>
      <modifiedWord/>
      <trackRevisions>false</trackRevisions>
    </reviewItem>
    <reviewItem>
      <errorID>57360436-d5c3-40ec-9af3-346348c9615b</errorID>
      <errorWord>极其罕见</errorWord>
      <group>L1_Grammar</group>
      <groupName>语法问题</groupName>
      <ability>L2_Grammar</ability>
      <abilityName>语法错误</abilityName>
      <candidateList>
        <item>罕见</item>
      </candidateList>
      <explain/>
      <paraID> 134C7F7</paraID>
      <start>85</start>
      <end>89</end>
      <status>ignored</status>
      <modifiedWord/>
      <trackRevisions>false</trackRevisions>
    </reviewItem>
    <reviewItem>
      <errorID>43afb06d-8d94-472a-b882-71d12e4217f4</errorID>
      <errorWord>粘度</errorWord>
      <group>L1_Word</group>
      <groupName>字词问题</groupName>
      <ability>L2_Alias</ability>
      <abilityName>也作/曾用词</abilityName>
      <candidateList>
        <item>黏度</item>
      </candidateList>
      <explain>词汇[粘度]为不规范表述或旧称，其规范书面表述为[黏度]。</explain>
      <paraID> 38A1090</paraID>
      <start>30</start>
      <end>32</end>
      <status>ignored</status>
      <modifiedWord/>
      <trackRevisions>false</trackRevisions>
    </reviewItem>
    <reviewItem>
      <errorID>a4a93014-46d4-483b-a273-90a933f24df9</errorID>
      <errorWord>程</errorWord>
      <group>L1_Word</group>
      <groupName>字词问题</groupName>
      <ability>L2_Typo</ability>
      <abilityName>字词错误</abilityName>
      <candidateList>
        <item>程中</item>
      </candidateList>
      <explain/>
      <paraID>501F4917</paraID>
      <start>34</start>
      <end>35</end>
      <status>ignored</status>
      <modifiedWord/>
      <trackRevisions>false</trackRevisions>
    </reviewItem>
    <reviewItem>
      <errorID>5a8c31e9-dae5-48a9-90d3-3ea81d28cdd2</errorID>
      <errorWord>漂浮</errorWord>
      <group>L1_Word</group>
      <groupName>字词问题</groupName>
      <ability>L2_Typo</ability>
      <abilityName>字词错误</abilityName>
      <candidateList>
        <item>飘浮</item>
      </candidateList>
      <explain/>
      <paraID>29C3944E</paraID>
      <start>239</start>
      <end>241</end>
      <status>ignored</status>
      <modifiedWord/>
      <trackRevisions>false</trackRevisions>
    </reviewItem>
    <reviewItem>
      <errorID>d4715323-5eca-402f-9ef5-ef7319e3cd78</errorID>
      <errorWord>程</errorWord>
      <group>L1_Word</group>
      <groupName>字词问题</groupName>
      <ability>L2_Typo</ability>
      <abilityName>字词错误</abilityName>
      <candidateList>
        <item>程中</item>
      </candidateList>
      <explain/>
      <paraID>7D9C8881</paraID>
      <start>182</start>
      <end>183</end>
      <status>ignored</status>
      <modifiedWord/>
      <trackRevisions>false</trackRevisions>
    </reviewItem>
    <reviewItem>
      <errorID>9cc073d8-745f-42a3-89a6-51d38943569c</errorID>
      <errorWord>程</errorWord>
      <group>L1_Word</group>
      <groupName>字词问题</groupName>
      <ability>L2_Typo</ability>
      <abilityName>字词错误</abilityName>
      <candidateList>
        <item>程中</item>
      </candidateList>
      <explain/>
      <paraID>7D9C8881</paraID>
      <start>254</start>
      <end>255</end>
      <status>ignored</status>
      <modifiedWord/>
      <trackRevisions>false</trackRevisions>
    </reviewItem>
    <reviewItem>
      <errorID>b8fa581c-c987-4d81-aad9-ef892901e427</errorID>
      <errorWord>[2009]</errorWord>
      <group>L1_Punc</group>
      <groupName>标点问题</groupName>
      <ability>L2_Punc</ability>
      <abilityName>标点符号检查</abilityName>
      <candidateList>
        <item>〔2009〕</item>
      </candidateList>
      <explain/>
      <paraID>18D09347</paraID>
      <start>101</start>
      <end>107</end>
      <status>modified</status>
      <modifiedWord>〔2009〕</modifiedWord>
      <trackRevisions>false</trackRevisions>
    </reviewItem>
    <reviewItem>
      <errorID>723acb43-f8c4-48ea-831a-fc0e81ca847d</errorID>
      <errorWord>[2009]</errorWord>
      <group>L1_Punc</group>
      <groupName>标点问题</groupName>
      <ability>L2_Punc</ability>
      <abilityName>标点符号检查</abilityName>
      <candidateList>
        <item>〔2009〕</item>
      </candidateList>
      <explain/>
      <paraID>704E0F4A</paraID>
      <start>6</start>
      <end>12</end>
      <status>modified</status>
      <modifiedWord>〔2009〕</modifiedWord>
      <trackRevisions>false</trackRevisions>
    </reviewItem>
    <reviewItem>
      <errorID>19950a95-0a7b-425d-971b-26f2980b69e0</errorID>
      <errorWord>〉</errorWord>
      <group>L1_Punc</group>
      <groupName>标点问题</groupName>
      <ability>L2_Punc</ability>
      <abilityName>标点符号检查</abilityName>
      <candidateList/>
      <explain>此处标点可能未正确匹配，请检查句子中是否存在标点冗余、缺失或使用错误的情况。</explain>
      <paraID>5E96C715</paraID>
      <start>78</start>
      <end>79</end>
      <status>ignored</status>
      <modifiedWord/>
      <trackRevisions>false</trackRevisions>
    </reviewItem>
    <reviewItem>
      <errorID>e241d7d6-3c51-49ec-8ded-53b586e9fe28</errorID>
      <errorWord>利用</errorWord>
      <group>L1_Word</group>
      <groupName>字词问题</groupName>
      <ability>L2_Typo</ability>
      <abilityName>字词错误</abilityName>
      <candidateList>
        <item>利于</item>
      </candidateList>
      <explain>存在字形相近字词的误用。</explain>
      <paraID>5E96C715</paraID>
      <start>136</start>
      <end>138</end>
      <status>modified</status>
      <modifiedWord>利于</modifiedWord>
      <trackRevisions>false</trackRevisions>
    </reviewItem>
    <reviewItem>
      <errorID>5f9f6e6a-1f39-4de0-b995-103732ebf7d0</errorID>
      <errorWord>涉及到</errorWord>
      <group>L1_Grammar</group>
      <groupName>语法问题</groupName>
      <ability>L2_Grammar</ability>
      <abilityName>语法错误</abilityName>
      <candidateList>
        <item>涉及</item>
      </candidateList>
      <explain>〈动〉牵涉到；关联到：案子～好几个人｜这个问题～面很广。</explain>
      <paraID> E5552C7</paraID>
      <start>26</start>
      <end>28</end>
      <status>modified</status>
      <modifiedWord>涉及</modifiedWord>
      <trackRevisions>false</trackRevisions>
    </reviewItem>
    <reviewItem>
      <errorID>9cc1181c-5b96-4e65-93a1-bc57c0cee9ee</errorID>
      <errorWord>同肘</errorWord>
      <group>L1_Word</group>
      <groupName>字词问题</groupName>
      <ability>L2_Typo</ability>
      <abilityName>字词错误</abilityName>
      <candidateList>
        <item>同时</item>
      </candidateList>
      <explain>❶〈名〉同一个时候：他们俩是～复员的｜在抓紧工程进度的～，必须注意工程质量。❷〈连〉表示并列关系，常含有进一层的意味：这是非常重要的任务，～也是十分艰巨的任务。</explain>
      <paraID>3F6B63D8</paraID>
      <start>44</start>
      <end>46</end>
      <status>modified</status>
      <modifiedWord>同时</modifiedWord>
      <trackRevisions>false</trackRevisions>
    </reviewItem>
    <reviewItem>
      <errorID>2bd73464-3c91-428f-8d34-063b0caf4007</errorID>
      <errorWord>釆用</errorWord>
      <group>L1_Word</group>
      <groupName>字词问题</groupName>
      <ability>L2_Typo</ability>
      <abilityName>字词错误</abilityName>
      <candidateList>
        <item>采用</item>
      </candidateList>
      <explain>〈动〉认为合适而使用：～新工艺｜～举手表决方式｜那篇稿子已被编辑部～。</explain>
      <paraID>5EE42E83</paraID>
      <start>12</start>
      <end>14</end>
      <status>modified</status>
      <modifiedWord>采用</modifiedWord>
      <trackRevisions>false</trackRevisions>
    </reviewItem>
    <reviewItem>
      <errorID>e7f7713d-6a77-475d-8936-efe1a1183385</errorID>
      <errorWord>釆</errorWord>
      <group>L1_Word</group>
      <groupName>字词问题</groupName>
      <ability>L2_Typo</ability>
      <abilityName>字词错误</abilityName>
      <candidateList>
        <item>采</item>
      </candidateList>
      <explain/>
      <paraID>5EE42E83</paraID>
      <start>62</start>
      <end>63</end>
      <status>modified</status>
      <modifiedWord>采</modifiedWord>
      <trackRevisions>false</trackRevisions>
    </reviewItem>
    <reviewItem>
      <errorID>08cb0645-115e-4423-9fee-c8d3624a2c95</errorID>
      <errorWord>釆</errorWord>
      <group>L1_Word</group>
      <groupName>字词问题</groupName>
      <ability>L2_Typo</ability>
      <abilityName>字词错误</abilityName>
      <candidateList>
        <item>采</item>
      </candidateList>
      <explain/>
      <paraID>5EE42E83</paraID>
      <start>106</start>
      <end>107</end>
      <status>modified</status>
      <modifiedWord>采</modifiedWord>
      <trackRevisions>false</trackRevisions>
    </reviewItem>
    <reviewItem>
      <errorID>c4cfe98d-ae32-447e-8c8e-d91f8cb5d80f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24BD6BAD</paraID>
      <start>95</start>
      <end>96</end>
      <status>ignored</status>
      <modifiedWord/>
      <trackRevisions>false</trackRevisions>
    </reviewItem>
    <reviewItem>
      <errorID>02631cd8-58aa-4956-84d6-277b64032cc4</errorID>
      <errorWord>*</errorWord>
      <group>L1_Punc</group>
      <groupName>标点问题</groupName>
      <ability>L2_Punc</ability>
      <abilityName>标点符号检查</abilityName>
      <candidateList/>
      <explain/>
      <paraID>3719FF55</paraID>
      <start>0</start>
      <end>1</end>
      <status>ignored</status>
      <modifiedWord/>
      <trackRevisions>false</trackRevisions>
    </reviewItem>
    <reviewItem>
      <errorID>8a6268d6-0937-498a-a39c-8f92aebcf9a6</errorID>
      <errorWord>做</errorWord>
      <group>L1_Word</group>
      <groupName>字词问题</groupName>
      <ability>L2_Typo</ability>
      <abilityName>字词错误</abilityName>
      <candidateList>
        <item>作</item>
      </candidateList>
      <explain>存在发音相同字词的误用。</explain>
      <paraID> C6D7DF9</paraID>
      <start>38</start>
      <end>39</end>
      <status>ignored</status>
      <modifiedWord/>
      <trackRevisions>false</trackRevisions>
    </reviewItem>
    <reviewItem>
      <errorID>9873f294-aec0-44d9-aea0-348348b7b9c0</errorID>
      <errorWord>程</errorWord>
      <group>L1_Word</group>
      <groupName>字词问题</groupName>
      <ability>L2_Typo</ability>
      <abilityName>字词错误</abilityName>
      <candidateList>
        <item>程中</item>
      </candidateList>
      <explain/>
      <paraID>74AD8B63</paraID>
      <start>36</start>
      <end>37</end>
      <status>ignored</status>
      <modifiedWord/>
      <trackRevisions>false</trackRevisions>
    </reviewItem>
    <reviewItem>
      <errorID>c30d73ef-a940-4eb2-a501-8b44adf7d988</errorID>
      <errorWord>三项</errorWord>
      <group>L1_Knowledge</group>
      <groupName>知识性问题</groupName>
      <ability>L2_Knowledge</ability>
      <abilityName>其他知识</abilityName>
      <candidateList>
        <item>三元</item>
      </candidateList>
      <explain/>
      <paraID> A619407</paraID>
      <start>143</start>
      <end>145</end>
      <status>ignored</status>
      <modifiedWord/>
      <trackRevisions>false</trackRevisions>
    </reviewItem>
    <reviewItem>
      <errorID>111a1bbc-a90a-4c37-8896-c768fcf1045b</errorID>
      <errorWord>组成</errorWord>
      <group>L1_Word</group>
      <groupName>字词问题</groupName>
      <ability>L2_Typo</ability>
      <abilityName>字词错误</abilityName>
      <candidateList>
        <item>成</item>
      </candidateList>
      <explain>（～儿）〈量〉十分之一叫一成：九～金｜村里今年收的庄稼比去年增加两～。</explain>
      <paraID>73FFBE01</paraID>
      <start>126</start>
      <end>128</end>
      <status>ignored</status>
      <modifiedWord/>
      <trackRevisions>false</trackRevisions>
    </reviewItem>
    <reviewItem>
      <errorID>ceba7356-e52d-422e-9928-b9b758a1f893</errorID>
      <errorWord>气化后</errorWord>
      <group>L1_Word</group>
      <groupName>字词问题</groupName>
      <ability>L2_Variant</ability>
      <abilityName>异形词</abilityName>
      <candidateList>
        <item>汽化后</item>
      </candidateList>
      <explain>词汇[气化后]的规范词形写作[汽化后]。</explain>
      <paraID>454BC85B</paraID>
      <start>117</start>
      <end>120</end>
      <status>ignored</status>
      <modifiedWord/>
      <trackRevisions>false</trackRevisions>
    </reviewItem>
    <reviewItem>
      <errorID>e1cb44d2-32f9-40e8-973e-874b39d4f873</errorID>
      <errorWord>kw</errorWord>
      <group>L1_Word</group>
      <groupName>字词问题</groupName>
      <ability>L2_Typo</ability>
      <abilityName>字词错误</abilityName>
      <candidateList>
        <item>kW</item>
      </candidateList>
      <explain/>
      <paraID> 2D50B9A</paraID>
      <start>12</start>
      <end>14</end>
      <status>modified</status>
      <modifiedWord>kW</modifiedWord>
      <trackRevisions>false</trackRevisions>
    </reviewItem>
    <reviewItem>
      <errorID>59d3e1b1-a490-4781-9144-9096692c462d</errorID>
      <errorWord>kw</errorWord>
      <group>L1_Word</group>
      <groupName>字词问题</groupName>
      <ability>L2_Typo</ability>
      <abilityName>字词错误</abilityName>
      <candidateList>
        <item>kW</item>
      </candidateList>
      <explain/>
      <paraID>642536E5</paraID>
      <start>10</start>
      <end>12</end>
      <status>modified</status>
      <modifiedWord>kW</modifiedWord>
      <trackRevisions>false</trackRevisions>
    </reviewItem>
    <reviewItem>
      <errorID>820cd7cd-99c6-4336-8344-51181f336ca2</errorID>
      <errorWord>达</errorWord>
      <group>L1_Word</group>
      <groupName>字词问题</groupName>
      <ability>L2_Typo</ability>
      <abilityName>字词错误</abilityName>
      <candidateList>
        <item>达到</item>
      </candidateList>
      <explain>〈动〉到（多指抽象事物或程度）：达得到｜达不到｜目的没有～｜～国际水平。</explain>
      <paraID>4E6FE83E</paraID>
      <start>127</start>
      <end>128</end>
      <status>ignored</status>
      <modifiedWord/>
      <trackRevisions>false</trackRevisions>
    </reviewItem>
    <reviewItem>
      <errorID>fb8b5e97-b6fc-434e-a02f-fec926729d0a</errorID>
      <errorWord>消音器</errorWord>
      <group>L1_Word</group>
      <groupName>字词问题</groupName>
      <ability>L2_Typo</ability>
      <abilityName>字词错误</abilityName>
      <candidateList>
        <item>消声器</item>
      </candidateList>
      <explain/>
      <paraID>14B96A99</paraID>
      <start>23</start>
      <end>26</end>
      <status>ignored</status>
      <modifiedWord/>
      <trackRevisions>false</trackRevisions>
    </reviewItem>
    <reviewItem>
      <errorID>11582f62-fa3f-40d0-9424-1d93f982c2ec</errorID>
      <errorWord>消音器</errorWord>
      <group>L1_Word</group>
      <groupName>字词问题</groupName>
      <ability>L2_Typo</ability>
      <abilityName>字词错误</abilityName>
      <candidateList>
        <item>消声器</item>
      </candidateList>
      <explain/>
      <paraID>4DD8C56A</paraID>
      <start>25</start>
      <end>28</end>
      <status>ignored</status>
      <modifiedWord/>
      <trackRevisions>false</trackRevisions>
    </reviewItem>
    <reviewItem>
      <errorID>6b06efc7-3de8-4871-83f1-ddcda41df846</errorID>
      <errorWord>消音器</errorWord>
      <group>L1_Word</group>
      <groupName>字词问题</groupName>
      <ability>L2_Typo</ability>
      <abilityName>字词错误</abilityName>
      <candidateList>
        <item>消声器</item>
      </candidateList>
      <explain/>
      <paraID>68A00901</paraID>
      <start>10</start>
      <end>13</end>
      <status>ignored</status>
      <modifiedWord/>
      <trackRevisions>false</trackRevisions>
    </reviewItem>
    <reviewItem>
      <errorID>7ffceb0c-f2ce-4a64-bb45-94506fa0d041</errorID>
      <errorWord>III</errorWord>
      <group>L1_Word</group>
      <groupName>字词问题</groupName>
      <ability>L2_Typo</ability>
      <abilityName>字词错误</abilityName>
      <candidateList>
        <item>Ⅲ</item>
      </candidateList>
      <explain/>
      <paraID>3AF50AFB</paraID>
      <start>31</start>
      <end>34</end>
      <status>ignored</status>
      <modifiedWord/>
      <trackRevisions>false</trackRevisions>
    </reviewItem>
    <reviewItem>
      <errorID>76c31dfd-e9bb-4e1b-a7c6-abf6f690128f</errorID>
      <errorWord>III</errorWord>
      <group>L1_Word</group>
      <groupName>字词问题</groupName>
      <ability>L2_Typo</ability>
      <abilityName>字词错误</abilityName>
      <candidateList>
        <item>Ⅲ</item>
      </candidateList>
      <explain/>
      <paraID>5212BC0C</paraID>
      <start>0</start>
      <end>3</end>
      <status>ignored</status>
      <modifiedWord/>
      <trackRevisions>false</trackRevisions>
    </reviewItem>
    <reviewItem>
      <errorID>359e7df5-f60e-4b81-96a9-016301ebaaba</errorID>
      <errorWord>III</errorWord>
      <group>L1_Word</group>
      <groupName>字词问题</groupName>
      <ability>L2_Typo</ability>
      <abilityName>字词错误</abilityName>
      <candidateList>
        <item>Ⅲ</item>
      </candidateList>
      <explain/>
      <paraID>3BC1A9D2</paraID>
      <start>0</start>
      <end>3</end>
      <status>ignored</status>
      <modifiedWord/>
      <trackRevisions>false</trackRevisions>
    </reviewItem>
    <reviewItem>
      <errorID>a886dc43-234c-4be0-9d84-1d2837cccfe8</errorID>
      <errorWord>III</errorWord>
      <group>L1_Word</group>
      <groupName>字词问题</groupName>
      <ability>L2_Typo</ability>
      <abilityName>字词错误</abilityName>
      <candidateList>
        <item>Ⅲ</item>
      </candidateList>
      <explain/>
      <paraID>375D9F2B</paraID>
      <start>0</start>
      <end>3</end>
      <status>ignored</status>
      <modifiedWord/>
      <trackRevisions>false</trackRevisions>
    </reviewItem>
    <reviewItem>
      <errorID>8683e2ed-08a5-44a1-8f8d-58a0e2403928</errorID>
      <errorWord>III</errorWord>
      <group>L1_Word</group>
      <groupName>字词问题</groupName>
      <ability>L2_Typo</ability>
      <abilityName>字词错误</abilityName>
      <candidateList>
        <item>Ⅲ</item>
      </candidateList>
      <explain/>
      <paraID>2C56E4F0</paraID>
      <start>0</start>
      <end>3</end>
      <status>ignored</status>
      <modifiedWord/>
      <trackRevisions>false</trackRevisions>
    </reviewItem>
    <reviewItem>
      <errorID>a8001b08-4cfe-4181-be53-3f54ba5a6cb6</errorID>
      <errorWord>III</errorWord>
      <group>L1_Word</group>
      <groupName>字词问题</groupName>
      <ability>L2_Typo</ability>
      <abilityName>字词错误</abilityName>
      <candidateList>
        <item>Ⅲ</item>
      </candidateList>
      <explain/>
      <paraID>1FC087F1</paraID>
      <start>0</start>
      <end>3</end>
      <status>ignored</status>
      <modifiedWord/>
      <trackRevisions>false</trackRevisions>
    </reviewItem>
    <reviewItem>
      <errorID>14d13546-428b-43db-9070-143cc7b7c45f</errorID>
      <errorWord>III</errorWord>
      <group>L1_Word</group>
      <groupName>字词问题</groupName>
      <ability>L2_Typo</ability>
      <abilityName>字词错误</abilityName>
      <candidateList>
        <item>Ⅲ</item>
      </candidateList>
      <explain/>
      <paraID>416C6157</paraID>
      <start>0</start>
      <end>3</end>
      <status>ignored</status>
      <modifiedWord/>
      <trackRevisions>false</trackRevisions>
    </reviewItem>
    <reviewItem>
      <errorID>0cf13048-e34a-4975-83bf-efcd28642d2e</errorID>
      <errorWord>《</errorWord>
      <group>L1_Punc</group>
      <groupName>标点问题</groupName>
      <ability>L2_Punc</ability>
      <abilityName>标点符号检查</abilityName>
      <candidateList/>
      <explain>同一形式括号套用。</explain>
      <paraID> E82EB30</paraID>
      <start>66</start>
      <end>67</end>
      <status>ignored</status>
      <modifiedWord/>
      <trackRevisions>false</trackRevisions>
    </reviewItem>
    <reviewItem>
      <errorID>1ea5fc84-e4bc-4416-aecf-7d71f58b0a98</errorID>
      <errorWord>《</errorWord>
      <group>L1_Punc</group>
      <groupName>标点问题</groupName>
      <ability>L2_Punc</ability>
      <abilityName>标点符号检查</abilityName>
      <candidateList/>
      <explain>同一形式括号套用。</explain>
      <paraID>1FC76193</paraID>
      <start>163</start>
      <end>164</end>
      <status>ignored</status>
      <modifiedWord/>
      <trackRevisions>false</trackRevisions>
    </reviewItem>
    <reviewItem>
      <errorID>4f6f9365-bc5e-4848-9367-4def2f310cf3</errorID>
      <errorWord>《</errorWord>
      <group>L1_Punc</group>
      <groupName>标点问题</groupName>
      <ability>L2_Punc</ability>
      <abilityName>标点符号检查</abilityName>
      <candidateList/>
      <explain>同一形式括号套用。</explain>
      <paraID>1FC76193</paraID>
      <start>251</start>
      <end>252</end>
      <status>ignored</status>
      <modifiedWord/>
      <trackRevisions>false</trackRevisions>
    </reviewItem>
    <reviewItem>
      <errorID>f07e2f12-0fe5-4608-ae15-cabacd0f399f</errorID>
      <errorWord>《</errorWord>
      <group>L1_Punc</group>
      <groupName>标点问题</groupName>
      <ability>L2_Punc</ability>
      <abilityName>标点符号检查</abilityName>
      <candidateList/>
      <explain>同一形式括号套用。</explain>
      <paraID> 69E5CF0</paraID>
      <start>15</start>
      <end>16</end>
      <status>ignored</status>
      <modifiedWord/>
      <trackRevisions>false</trackRevisions>
    </reviewItem>
    <reviewItem>
      <errorID>96f85b49-6c5c-4edc-b614-6ed1ea3e5b62</errorID>
      <errorWord>《</errorWord>
      <group>L1_Punc</group>
      <groupName>标点问题</groupName>
      <ability>L2_Punc</ability>
      <abilityName>标点符号检查</abilityName>
      <candidateList/>
      <explain>同一形式括号套用。</explain>
      <paraID>4D695C0E</paraID>
      <start>24</start>
      <end>25</end>
      <status>ignored</status>
      <modifiedWord/>
      <trackRevisions>false</trackRevisions>
    </reviewItem>
    <reviewItem>
      <errorID>b73e16c5-8164-4c53-8365-617cf49db543</errorID>
      <errorWord>强</errorWord>
      <group>L1_Word</group>
      <groupName>字词问题</groupName>
      <ability>L2_Typo</ability>
      <abilityName>字词错误</abilityName>
      <candidateList>
        <item>强对</item>
      </candidateList>
      <explain/>
      <paraID>4DA1D108</paraID>
      <start>101</start>
      <end>102</end>
      <status>ignored</status>
      <modifiedWord/>
      <trackRevisions>false</trackRevisions>
    </reviewItem>
    <reviewItem>
      <errorID>030918f5-322d-4528-93a9-c4319a4906c6</errorID>
      <errorWord>行政代</errorWord>
      <group>L1_Word</group>
      <groupName>字词问题</groupName>
      <ability>L2_Typo</ability>
      <abilityName>字词错误</abilityName>
      <candidateList>
        <item>行政</item>
      </candidateList>
      <explain/>
      <paraID>539CDEDE</paraID>
      <start>37</start>
      <end>40</end>
      <status>ignored</status>
      <modifiedWord/>
      <trackRevisions>false</trackRevisions>
    </reviewItem>
    <reviewItem>
      <errorID>35aa814f-348b-4406-8461-53d012403b77</errorID>
      <errorWord>程</errorWord>
      <group>L1_Word</group>
      <groupName>字词问题</groupName>
      <ability>L2_Typo</ability>
      <abilityName>字词错误</abilityName>
      <candidateList>
        <item>程中</item>
      </candidateList>
      <explain/>
      <paraID>5A4E5C7A</paraID>
      <start>11</start>
      <end>12</end>
      <status>ignored</status>
      <modifiedWord/>
      <trackRevisions>false</trackRevisions>
    </reviewItem>
    <reviewItem>
      <errorID>ecb856a8-98c7-416f-a103-e2501554c52f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37648CB8</paraID>
      <start>130</start>
      <end>131</end>
      <status>ignored</status>
      <modifiedWord/>
      <trackRevisions>false</trackRevisions>
    </reviewItem>
    <reviewItem>
      <errorID>c4f2ee7f-9409-49c3-a194-cc0f3e24fe06</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37648CB8</paraID>
      <start>169</start>
      <end>170</end>
      <status>ignored</status>
      <modifiedWord/>
      <trackRevisions>false</trackRevisions>
    </reviewItem>
    <reviewItem>
      <errorID>5a301d68-2af4-4159-89b4-0e2e484d4334</errorID>
      <errorWord>上述等</errorWord>
      <group>L1_Word</group>
      <groupName>字词问题</groupName>
      <ability>L2_Typo</ability>
      <abilityName>字词错误</abilityName>
      <candidateList>
        <item>上述</item>
      </candidateList>
      <explain>〈形〉属性词。上面所说的：～各条，望切实执行。</explain>
      <paraID> AE0054D</paraID>
      <start>18</start>
      <end>21</end>
      <status>ignored</status>
      <modifiedWord/>
      <trackRevisions>false</trackRevisions>
    </reviewItem>
    <reviewItem>
      <errorID>d2adfba0-7366-4906-a835-f727070d51e4</errorID>
      <errorWord>无需设置</errorWord>
      <group>L1_Word</group>
      <groupName>字词问题</groupName>
      <ability>L2_Alias</ability>
      <abilityName>也作/曾用词</abilityName>
      <candidateList>
        <item>无须设置</item>
      </candidateList>
      <explain>词汇[无需设置]为不规范表述或旧称，其规范书面表述为[无须设置]。</explain>
      <paraID>1C18B52D</paraID>
      <start>59</start>
      <end>63</end>
      <status>ignored</status>
      <modifiedWord/>
      <trackRevisions>false</trackRevisions>
    </reviewItem>
    <reviewItem>
      <errorID>82961ad3-c5df-4cf6-8747-ed8c244e830f</errorID>
      <errorWord>穿带</errorWord>
      <group>L1_Word</group>
      <groupName>字词问题</groupName>
      <ability>L2_Typo</ability>
      <abilityName>字词错误</abilityName>
      <candidateList>
        <item>穿戴</item>
      </candidateList>
      <explain>❶〈动〉穿和戴，泛指打扮：她～得很时髦。❷〈名〉指穿的和戴的衣帽、首饰等：一身好～。</explain>
      <paraID>57187C27</paraID>
      <start>14</start>
      <end>16</end>
      <status>ignored</status>
      <modifiedWord/>
      <trackRevisions>false</trackRevisions>
    </reviewItem>
    <reviewItem>
      <errorID>060eda51-14f9-4de5-8707-e1355483c597</errorID>
      <errorWord>提高</errorWord>
      <group>L1_Grammar</group>
      <groupName>语法问题</groupName>
      <ability>L2_Grammar</ability>
      <abilityName>语法错误</abilityName>
      <candidateList>
        <item>增强</item>
      </candidateList>
      <explain>“提高～意识”搭配不当，建议修改为“增强～意识”。</explain>
      <paraID>4F10170D</paraID>
      <start>24</start>
      <end>26</end>
      <status>ignored</status>
      <modifiedWord/>
      <trackRevisions>false</trackRevisions>
    </reviewItem>
    <reviewItem>
      <errorID>82c2747e-2802-4534-b924-192075c626c2</errorID>
      <errorWord>无需设置</errorWord>
      <group>L1_Word</group>
      <groupName>字词问题</groupName>
      <ability>L2_Alias</ability>
      <abilityName>也作/曾用词</abilityName>
      <candidateList>
        <item>无须设置</item>
      </candidateList>
      <explain>词汇[无需设置]为不规范表述或旧称，其规范书面表述为[无须设置]。</explain>
      <paraID> CABB0CC</paraID>
      <start>12</start>
      <end>16</end>
      <status>ignored</status>
      <modifiedWord/>
      <trackRevisions>false</trackRevisions>
    </reviewItem>
    <reviewItem>
      <errorID>0371fef5-26a6-4c6f-8b33-e8db8033f0fb</errorID>
      <errorWord>穿带</errorWord>
      <group>L1_Word</group>
      <groupName>字词问题</groupName>
      <ability>L2_Typo</ability>
      <abilityName>字词错误</abilityName>
      <candidateList>
        <item>穿戴</item>
      </candidateList>
      <explain>❶〈动〉穿和戴，泛指打扮：她～得很时髦。❷〈名〉指穿的和戴的衣帽、首饰等：一身好～。</explain>
      <paraID>5773F6E1</paraID>
      <start>14</start>
      <end>16</end>
      <status>ignored</status>
      <modifiedWord/>
      <trackRevisions>false</trackRevisions>
    </reviewItem>
    <reviewItem>
      <errorID>bc5d870a-0036-4a3d-852c-8f03c8ad5088</errorID>
      <errorWord>提高</errorWord>
      <group>L1_Grammar</group>
      <groupName>语法问题</groupName>
      <ability>L2_Grammar</ability>
      <abilityName>语法错误</abilityName>
      <candidateList>
        <item>增强</item>
      </candidateList>
      <explain>“提高～意识”搭配不当，建议修改为“增强～意识”。</explain>
      <paraID>15D176D1</paraID>
      <start>24</start>
      <end>26</end>
      <status>ignored</status>
      <modifiedWord/>
      <trackRevisions>false</trackRevisions>
    </reviewItem>
    <reviewItem>
      <errorID>632e753b-5470-4295-8df7-66f33e91fe53</errorID>
      <errorWord>三区三线</errorWord>
      <group>L1_Political</group>
      <groupName>政治性问题</groupName>
      <ability>L2_Keyword</ability>
      <abilityName>固定表述</abilityName>
      <candidateList>
        <item>“三区三线”</item>
      </candidateList>
      <explain>注意检查当前固定表述标点是否使用规范。</explain>
      <paraID>2B41042E</paraID>
      <start>10</start>
      <end>14</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0d46023-0212-4a64-814c-1d5c714ca760}">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116</Pages>
  <Words>23472</Words>
  <Characters>24888</Characters>
  <Lines>616</Lines>
  <Paragraphs>173</Paragraphs>
  <TotalTime>2</TotalTime>
  <ScaleCrop>false</ScaleCrop>
  <LinksUpToDate>false</LinksUpToDate>
  <CharactersWithSpaces>25000</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2021-08-12T00:30:00Z</dcterms:created>
  <dc:creator>lhj</dc:creator>
  <cp:lastModifiedBy>史</cp:lastModifiedBy>
  <cp:lastPrinted>2021-12-16T00:25:00Z</cp:lastPrinted>
  <dcterms:modified xsi:type="dcterms:W3CDTF">2026-07-15T01:17:37Z</dcterms:modified>
  <dc:title>附件2</dc:title>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BF2061F7E7D94529AC784EFE6EDFE986_13</vt:lpwstr>
  </property>
  <property fmtid="{D5CDD505-2E9C-101B-9397-08002B2CF9AE}" pid="4" name="KSOTemplateDocerSaveRecord">
    <vt:lpwstr>eyJoZGlkIjoiN2ZhZGFiNTg2ZDlhNTZjNjFmMWRkN2Q4OWRmYTJhMWQiLCJ1c2VySWQiOiIyNzg2NzM0MDQifQ==</vt:lpwstr>
  </property>
</Properties>
</file>